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580" w:right="980" w:hanging="2589"/>
        <w:spacing w:after="0" w:line="508" w:lineRule="auto"/>
        <w:tabs>
          <w:tab w:leader="none" w:pos="128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 OR</w:t>
      </w:r>
    </w:p>
    <w:p>
      <w:pPr>
        <w:spacing w:after="0" w:line="28" w:lineRule="exact"/>
        <w:rPr>
          <w:rFonts w:ascii="MS PGothic" w:cs="MS PGothic" w:eastAsia="MS PGothic" w:hAnsi="MS PGothic"/>
          <w:sz w:val="18"/>
          <w:szCs w:val="18"/>
          <w:color w:val="auto"/>
        </w:rPr>
      </w:pPr>
    </w:p>
    <w:p>
      <w:pPr>
        <w:ind w:left="1300" w:hanging="338"/>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-7620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001-37986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47-4219082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9480 South Dixie Highway</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Miami, Florida</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33156</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671-8000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FINTECH ACQUISITION CORP. II, 2929 Arch Street, Suite 1703, Philadelphia, PA 19104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w w:val="91"/>
              </w:rPr>
              <w:t>Emerging growth company</w:t>
            </w:r>
          </w:p>
        </w:tc>
      </w:tr>
    </w:tbl>
    <w:p>
      <w:pPr>
        <w:spacing w:after="0" w:line="209"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November 9, 2018, there were 36,182,783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17145</wp:posOffset>
            </wp:positionV>
            <wp:extent cx="7200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20"/>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2018 and December 31, 2017</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and Comprehensive Loss for the Three Months Ended September 30, 2018</w:t>
              </w:r>
            </w:hyperlink>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and 2017 and Nine Months Ended September 30, 2018, Successor Company Period from February 1, 2017 to September 30,</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380" w:type="dxa"/>
            <w:vAlign w:val="bottom"/>
            <w:gridSpan w:val="19"/>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Predecessor Company Period from January 1, 2017 to January 31, 2017</w:t>
              </w:r>
            </w:hyperlink>
          </w:p>
        </w:tc>
        <w:tc>
          <w:tcPr>
            <w:tcW w:w="94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 of Changes in Stockholders’ Equity for the Nine Months Ended September 30, 2018</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2018, Successor Company Period</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380" w:type="dxa"/>
            <w:vAlign w:val="bottom"/>
            <w:gridSpan w:val="19"/>
            <w:shd w:val="clear" w:color="auto" w:fill="CCEEFF"/>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from February 1, 2017 to September 30, 2017 and Predecessor Company Period from January 1, 2017 to January 31, 2017</w:t>
              </w:r>
            </w:hyperlink>
          </w:p>
        </w:tc>
        <w:tc>
          <w:tcPr>
            <w:tcW w:w="94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94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Statements contained in this Quarterly Report on Form 10-Q that reflect our current views with respect to future events and financial performance, business strategies, expectations for our business and the business of the Company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“will,” “approximately,” “shall” and similar expressions may identify forward-looking statements, but the absence of these words does not mean that a statement is not forward-looking. Forward-looking statements in this Quarterly Report on Form 10-Q may include, for example, the future financial performance of the Company.</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us. We cannot assure you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Some factors that could cause actual results to differ include, but are not limited to:</w:t>
      </w:r>
    </w:p>
    <w:p>
      <w:pPr>
        <w:spacing w:after="0" w:line="17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Merger, which may be affected by, among other things, competition, and the ability of the combined business to grow and manage growth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foreign exchange rates could impact consumer remittance activity; and</w:t>
      </w:r>
    </w:p>
    <w:p>
      <w:pPr>
        <w:spacing w:after="0" w:line="9"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the prospectus, dated October 25, 2018, filed pursuant to Rule 424(b)(3), as may be updated by the other documents that we file with the Securities and Exchange Commission.</w:t>
      </w:r>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PART 1 – FINANCIAL INFORMATION</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tcPr>
          <w:p>
            <w:pPr>
              <w:jc w:val="center"/>
              <w:ind w:left="2470"/>
              <w:spacing w:after="0"/>
              <w:rPr>
                <w:sz w:val="20"/>
                <w:szCs w:val="20"/>
                <w:color w:val="auto"/>
              </w:rPr>
            </w:pPr>
            <w:r>
              <w:rPr>
                <w:rFonts w:ascii="Arial" w:cs="Arial" w:eastAsia="Arial" w:hAnsi="Arial"/>
                <w:sz w:val="18"/>
                <w:szCs w:val="18"/>
                <w:b w:val="1"/>
                <w:bCs w:val="1"/>
                <w:color w:val="auto"/>
              </w:rPr>
              <w:t>INTERNATIONAL MONEY EXPRESS, INC.</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20" w:type="dxa"/>
            <w:vAlign w:val="bottom"/>
          </w:tcPr>
          <w:p>
            <w:pPr>
              <w:jc w:val="center"/>
              <w:ind w:left="247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color w:val="auto"/>
              </w:rPr>
              <w:t>Successor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20" w:type="dxa"/>
            <w:vAlign w:val="bottom"/>
          </w:tcPr>
          <w:p>
            <w:pPr>
              <w:ind w:left="3700"/>
              <w:spacing w:after="0" w:line="201" w:lineRule="exact"/>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82,490,398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59,155,618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$340,178 and $307,562,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80,923,807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51,374,377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wires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7,675,491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Other prepaid expenses and current assets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3,472,124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172,006,107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119,105,872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36,259,666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36,259,666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39,389,769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Deferred tax asset,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257,819,956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216,052,911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ind w:left="220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 net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4,078,627</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14,060,179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8,919,796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Wire transfers and money orders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78,152,404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48,276,649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and other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14,018,061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110,309,271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72,624,330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liability,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Debt, net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104,423,502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107,526,462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 term liabilities</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109,580,521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107,526,462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Common stock $0.0001 par value; 200,000,000 shares authorized, 36,182,783 and 17,227,682 shares issued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outstanding as of September 30, 2018 and December 31, 2017,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60,203,431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(22,281,866)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(10,173,453)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37,930,164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35,902,119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257,819,956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216,052,911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8"/>
                <w:szCs w:val="18"/>
                <w:color w:val="auto"/>
              </w:rPr>
              <w:t>Successor Company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vMerge w:val="restart"/>
          </w:tcPr>
          <w:p>
            <w:pPr>
              <w:jc w:val="right"/>
              <w:ind w:right="620"/>
              <w:spacing w:after="0"/>
              <w:rPr>
                <w:sz w:val="20"/>
                <w:szCs w:val="20"/>
                <w:color w:val="auto"/>
              </w:rPr>
            </w:pPr>
            <w:r>
              <w:rPr>
                <w:rFonts w:ascii="Arial" w:cs="Arial" w:eastAsia="Arial" w:hAnsi="Arial"/>
                <w:sz w:val="18"/>
                <w:szCs w:val="18"/>
                <w:color w:val="auto"/>
              </w:rPr>
              <w:t>Three Months Ended</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1"/>
              </w:rPr>
              <w:t>Nine</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2"/>
              </w:rPr>
              <w:t>Period from</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Period from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1"/>
              </w:rPr>
              <w:t>Months Ended</w:t>
            </w:r>
          </w:p>
        </w:tc>
        <w:tc>
          <w:tcPr>
            <w:tcW w:w="144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w w:val="96"/>
              </w:rPr>
              <w:t>February 1, 2017</w:t>
            </w:r>
          </w:p>
        </w:tc>
        <w:tc>
          <w:tcPr>
            <w:tcW w:w="1320" w:type="dxa"/>
            <w:vAlign w:val="bottom"/>
            <w:gridSpan w:val="4"/>
          </w:tcPr>
          <w:p>
            <w:pPr>
              <w:jc w:val="center"/>
              <w:ind w:right="20"/>
              <w:spacing w:after="0" w:line="202" w:lineRule="exact"/>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20"/>
                <w:szCs w:val="20"/>
                <w:color w:val="auto"/>
              </w:rPr>
            </w:pPr>
          </w:p>
        </w:tc>
        <w:tc>
          <w:tcPr>
            <w:tcW w:w="1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to September 30,</w:t>
            </w:r>
          </w:p>
        </w:tc>
        <w:tc>
          <w:tcPr>
            <w:tcW w:w="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line="203" w:lineRule="exact"/>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right"/>
              <w:ind w:right="67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61,331,837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47,642,153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168,554,175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119,226,787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10,697,168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8,413,051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29,013,221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21,690,233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56,393,294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198,843,890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141,771,122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14,425,343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from agents and banks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48,305,007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37,846,027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132,564,938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94,607,887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10,959,507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5,983,784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24,632,910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16,395,185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4,530,308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Other selling, general and administrative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5,206,932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13,390,449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10,400,190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6,304,972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10,319,283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6,212,602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4,142,139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4,553,042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12,056,986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74,918,557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52,546,272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192,657,093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139,672,850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19,333,395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Operating (loss) income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(2,410,091)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3,847,022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6,186,797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2,098,272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(4,908,052)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3,433,731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4,612,430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10,109,664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8,107,258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(5,843,822)</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(765,408)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(3,922,867)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(6,008,986)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(5,521,794)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Income tax provision (benefit)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7,569,174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(191,727)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8,185,546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1,052,479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(2,203,373)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(13,412,996)</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(573,681)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(12,108,413)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(7,061,465)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(3,318,421)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18,990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Comprehensive loss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(13,390,544)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(569,822)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(12,101,062)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(7,042,475)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(3,320,874)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Loss per common share: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Basic and diluted</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30,975,338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17,227,682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21,827,082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17,227,682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gridSpan w:val="5"/>
            <w:vMerge w:val="restart"/>
          </w:tcPr>
          <w:p>
            <w:pPr>
              <w:ind w:left="6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Additional</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Paid-in Capital</w:t>
            </w:r>
          </w:p>
        </w:tc>
        <w:tc>
          <w:tcPr>
            <w:tcW w:w="16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46,076,220</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(10,173,453)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35,902,119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Net equity infusion from reverse</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recapitalization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18,955,101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8,961,625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8,963,521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5,165,586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5,165,586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(12,108,413)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(12,108,413)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36,182,783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60,203,431</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(22,281,866)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4,980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37,930,164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Borders>
              <w:right w:val="single" w:sz="8" w:color="auto"/>
            </w:tcBorders>
            <w:gridSpan w:val="5"/>
          </w:tcPr>
          <w:p>
            <w:pPr>
              <w:jc w:val="right"/>
              <w:ind w:right="840"/>
              <w:spacing w:after="0"/>
              <w:rPr>
                <w:sz w:val="20"/>
                <w:szCs w:val="20"/>
                <w:color w:val="auto"/>
              </w:rPr>
            </w:pPr>
            <w:r>
              <w:rPr>
                <w:rFonts w:ascii="Arial" w:cs="Arial" w:eastAsia="Arial" w:hAnsi="Arial"/>
                <w:sz w:val="18"/>
                <w:szCs w:val="18"/>
                <w:color w:val="auto"/>
              </w:rPr>
              <w:t>Successor Company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15"/>
              <w:spacing w:after="0" w:line="201" w:lineRule="exact"/>
              <w:rPr>
                <w:sz w:val="20"/>
                <w:szCs w:val="20"/>
                <w:color w:val="auto"/>
              </w:rPr>
            </w:pPr>
            <w:r>
              <w:rPr>
                <w:rFonts w:ascii="Arial" w:cs="Arial" w:eastAsia="Arial" w:hAnsi="Arial"/>
                <w:sz w:val="18"/>
                <w:szCs w:val="18"/>
                <w:color w:val="auto"/>
                <w:w w:val="97"/>
              </w:rPr>
              <w:t>Nine</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6"/>
              </w:rPr>
              <w:t>Period from</w:t>
            </w: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500" w:type="dxa"/>
            <w:vAlign w:val="bottom"/>
            <w:gridSpan w:val="3"/>
          </w:tcPr>
          <w:p>
            <w:pPr>
              <w:jc w:val="center"/>
              <w:ind w:right="295"/>
              <w:spacing w:after="0"/>
              <w:rPr>
                <w:sz w:val="20"/>
                <w:szCs w:val="20"/>
                <w:color w:val="auto"/>
              </w:rPr>
            </w:pPr>
            <w:r>
              <w:rPr>
                <w:rFonts w:ascii="Arial" w:cs="Arial" w:eastAsia="Arial" w:hAnsi="Arial"/>
                <w:sz w:val="18"/>
                <w:szCs w:val="18"/>
                <w:color w:val="auto"/>
                <w:w w:val="89"/>
              </w:rPr>
              <w:t>Months Ended</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February 1, 2017</w:t>
            </w:r>
          </w:p>
        </w:tc>
        <w:tc>
          <w:tcPr>
            <w:tcW w:w="1440" w:type="dxa"/>
            <w:vAlign w:val="bottom"/>
            <w:gridSpan w:val="4"/>
          </w:tcPr>
          <w:p>
            <w:pPr>
              <w:jc w:val="center"/>
              <w:ind w:left="10"/>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500" w:type="dxa"/>
            <w:vAlign w:val="bottom"/>
            <w:gridSpan w:val="3"/>
          </w:tcPr>
          <w:p>
            <w:pPr>
              <w:jc w:val="center"/>
              <w:ind w:right="295"/>
              <w:spacing w:after="0"/>
              <w:rPr>
                <w:sz w:val="20"/>
                <w:szCs w:val="20"/>
                <w:color w:val="auto"/>
              </w:rPr>
            </w:pPr>
            <w:r>
              <w:rPr>
                <w:rFonts w:ascii="Arial" w:cs="Arial" w:eastAsia="Arial" w:hAnsi="Arial"/>
                <w:sz w:val="18"/>
                <w:szCs w:val="18"/>
                <w:color w:val="auto"/>
                <w:w w:val="88"/>
              </w:rPr>
              <w:t>September 30,</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September 30,</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gridSpan w:val="3"/>
          </w:tcPr>
          <w:p>
            <w:pPr>
              <w:jc w:val="right"/>
              <w:ind w:right="850"/>
              <w:spacing w:after="0"/>
              <w:rPr>
                <w:sz w:val="20"/>
                <w:szCs w:val="20"/>
                <w:color w:val="auto"/>
              </w:rPr>
            </w:pPr>
            <w:r>
              <w:rPr>
                <w:rFonts w:ascii="Arial" w:cs="Arial" w:eastAsia="Arial" w:hAnsi="Arial"/>
                <w:sz w:val="17"/>
                <w:szCs w:val="17"/>
                <w:color w:val="auto"/>
                <w:w w:val="72"/>
              </w:rPr>
              <w:t>(Unaudited)</w:t>
            </w: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(12,108,413)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(7,061,465)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w w:val="99"/>
              </w:rPr>
              <w:t>Adjustments to reconcile net loss to net cash provided by (used in) operating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11,749,513</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12,056,986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5,165,586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1,534,655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bad debts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743,285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Debt origination costs amortization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699,731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125,053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6,905,873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151,724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86,351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adjustments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25,415,712</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15,519,867</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(30,285,672)</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(26,826,448)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Prepaid wires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2,784,622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(2,402,576)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7,848,641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prepaid expenses and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(1,427,760)</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(1,706,487)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Wire transfers and money orders payables</w:t>
            </w:r>
          </w:p>
        </w:tc>
        <w:tc>
          <w:tcPr>
            <w:tcW w:w="120" w:type="dxa"/>
            <w:vAlign w:val="bottom"/>
          </w:tcPr>
          <w:p>
            <w:pPr>
              <w:spacing w:after="0"/>
              <w:rPr>
                <w:sz w:val="18"/>
                <w:szCs w:val="18"/>
                <w:color w:val="auto"/>
              </w:rPr>
            </w:pPr>
          </w:p>
        </w:tc>
        <w:tc>
          <w:tcPr>
            <w:tcW w:w="1380" w:type="dxa"/>
            <w:vAlign w:val="bottom"/>
            <w:gridSpan w:val="2"/>
          </w:tcPr>
          <w:p>
            <w:pPr>
              <w:jc w:val="right"/>
              <w:ind w:right="295"/>
              <w:spacing w:after="0"/>
              <w:rPr>
                <w:sz w:val="20"/>
                <w:szCs w:val="20"/>
                <w:color w:val="auto"/>
              </w:rPr>
            </w:pPr>
            <w:r>
              <w:rPr>
                <w:rFonts w:ascii="Arial" w:cs="Arial" w:eastAsia="Arial" w:hAnsi="Arial"/>
                <w:sz w:val="18"/>
                <w:szCs w:val="18"/>
                <w:color w:val="auto"/>
              </w:rPr>
              <w:t>29,639,809</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13,100,915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16,497,269</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18"/>
                <w:szCs w:val="18"/>
                <w:color w:val="auto"/>
              </w:rPr>
            </w:pPr>
          </w:p>
        </w:tc>
        <w:tc>
          <w:tcPr>
            <w:tcW w:w="1380" w:type="dxa"/>
            <w:vAlign w:val="bottom"/>
            <w:gridSpan w:val="2"/>
          </w:tcPr>
          <w:p>
            <w:pPr>
              <w:jc w:val="right"/>
              <w:ind w:right="295"/>
              <w:spacing w:after="0"/>
              <w:rPr>
                <w:sz w:val="20"/>
                <w:szCs w:val="20"/>
                <w:color w:val="auto"/>
              </w:rPr>
            </w:pPr>
            <w:r>
              <w:rPr>
                <w:rFonts w:ascii="Arial" w:cs="Arial" w:eastAsia="Arial" w:hAnsi="Arial"/>
                <w:sz w:val="18"/>
                <w:szCs w:val="18"/>
                <w:color w:val="auto"/>
              </w:rPr>
              <w:t>30,515,567</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(10,835,076)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8,652,067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(3,575,065)</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(3,095,230)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Net cash used in acquisition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(923,654)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(3,575,065)</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(4,018,884)</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Borrowings under term loan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102,000,000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reverse recapitalization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101,663,573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Cash consideration to Intermex shareholders</w:t>
            </w:r>
          </w:p>
        </w:tc>
        <w:tc>
          <w:tcPr>
            <w:tcW w:w="120" w:type="dxa"/>
            <w:vAlign w:val="bottom"/>
          </w:tcPr>
          <w:p>
            <w:pPr>
              <w:spacing w:after="0"/>
              <w:rPr>
                <w:sz w:val="18"/>
                <w:szCs w:val="18"/>
                <w:color w:val="auto"/>
              </w:rPr>
            </w:pPr>
          </w:p>
        </w:tc>
        <w:tc>
          <w:tcPr>
            <w:tcW w:w="1380" w:type="dxa"/>
            <w:vAlign w:val="bottom"/>
            <w:gridSpan w:val="2"/>
          </w:tcPr>
          <w:p>
            <w:pPr>
              <w:jc w:val="right"/>
              <w:ind w:right="235"/>
              <w:spacing w:after="0"/>
              <w:rPr>
                <w:sz w:val="20"/>
                <w:szCs w:val="20"/>
                <w:color w:val="auto"/>
              </w:rPr>
            </w:pPr>
            <w:r>
              <w:rPr>
                <w:rFonts w:ascii="Arial" w:cs="Arial" w:eastAsia="Arial" w:hAnsi="Arial"/>
                <w:sz w:val="18"/>
                <w:szCs w:val="18"/>
                <w:color w:val="auto"/>
                <w:w w:val="92"/>
              </w:rPr>
              <w:t>(101,658,947)</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(Repayments) under revolving loan, net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20" w:type="dxa"/>
            <w:vAlign w:val="bottom"/>
          </w:tcPr>
          <w:p>
            <w:pPr>
              <w:spacing w:after="0"/>
              <w:rPr>
                <w:sz w:val="18"/>
                <w:szCs w:val="18"/>
                <w:color w:val="auto"/>
              </w:rPr>
            </w:pPr>
          </w:p>
        </w:tc>
        <w:tc>
          <w:tcPr>
            <w:tcW w:w="1380" w:type="dxa"/>
            <w:vAlign w:val="bottom"/>
            <w:gridSpan w:val="2"/>
          </w:tcPr>
          <w:p>
            <w:pPr>
              <w:jc w:val="right"/>
              <w:ind w:right="235"/>
              <w:spacing w:after="0"/>
              <w:rPr>
                <w:sz w:val="20"/>
                <w:szCs w:val="20"/>
                <w:color w:val="auto"/>
              </w:rPr>
            </w:pPr>
            <w:r>
              <w:rPr>
                <w:rFonts w:ascii="Arial" w:cs="Arial" w:eastAsia="Arial" w:hAnsi="Arial"/>
                <w:sz w:val="18"/>
                <w:szCs w:val="18"/>
                <w:color w:val="auto"/>
              </w:rPr>
              <w:t>(3,637,500)</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(75,000,000)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origination costs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(4,682,830)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Common dividend distributions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(3,632,874)</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14,317,170</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27,152</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restricted cash</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23,334,780</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6,387,489</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59,795,280</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44,628,247</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end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83,130,060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44,497,379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44,628,247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Borders>
              <w:right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9"/>
              </w:rPr>
              <w:t>Successor Company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520"/>
              <w:spacing w:after="0" w:line="201" w:lineRule="exact"/>
              <w:rPr>
                <w:sz w:val="20"/>
                <w:szCs w:val="20"/>
                <w:color w:val="auto"/>
              </w:rPr>
            </w:pPr>
            <w:r>
              <w:rPr>
                <w:rFonts w:ascii="Arial" w:cs="Arial" w:eastAsia="Arial" w:hAnsi="Arial"/>
                <w:sz w:val="18"/>
                <w:szCs w:val="18"/>
                <w:color w:val="auto"/>
                <w:w w:val="97"/>
              </w:rPr>
              <w:t>Nine</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2"/>
              </w:rPr>
              <w:t>Period from</w:t>
            </w: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Months Ended</w:t>
            </w:r>
          </w:p>
        </w:tc>
        <w:tc>
          <w:tcPr>
            <w:tcW w:w="144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0"/>
              </w:rPr>
              <w:t>February 1, 2017</w:t>
            </w: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44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8"/>
              </w:rPr>
              <w:t>to September 30,</w:t>
            </w:r>
          </w:p>
        </w:tc>
        <w:tc>
          <w:tcPr>
            <w:tcW w:w="20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20"/>
                <w:szCs w:val="20"/>
                <w:color w:val="auto"/>
              </w:rPr>
            </w:pPr>
          </w:p>
        </w:tc>
        <w:tc>
          <w:tcPr>
            <w:tcW w:w="2640" w:type="dxa"/>
            <w:vAlign w:val="bottom"/>
            <w:tcBorders>
              <w:right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9,409,516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8,556,649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1,494,900</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Agent business acquired in exchange for receivables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Intermex transaction accruals settled by acquisition proceeds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9,062,769</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Intermex”)(See Note 2).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Merger.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of the Company include Intermex, its wholly-owned indirect subsidiary, Intermex Wire Transfer, LLC (“LLC”), Intermex Wire Transfers de Guatemala, S.A. (“Guatemala”) - 99.8% owned by LLC, Intermex Wire Transfer de Mexico, S.A. and Intermex Transfers de Mexico, S.A. (“Mexico”) - 98% owned by LLC, Intermex Wire Transfer Corp. - 100% owned by LLC and Intermex Wire Transfer II, LLC - 100% owned by LLC.</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Merger has been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is treated as the equivalent of Intermex issuing stock for the net assets of FinTech, accompanied by a recapitalization. The net assets of FinTech are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for all Successor periods. The historical financial information and operating results of FinTech prior to the Merger have not been separately presented in these consolidated financial statements as they were not significant or meaningful.</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Stella Point Capital, LLC (“Stella Point”) acquired a majority interest in Intermex on February 1, 2017 as discussed in further detail in Note 2. In connection with the acquisition of Intermex by Stella Point, the Company applied “push-down” accounting and the assets and liabilities were adjusted to fair value on the closing date of the transaction, February 1, 2017. As a result, the Company's condensed consolidated financial statement presentation distinguishes between a predecessor period ("Predecessor") for periods prior to the transaction, and a successor period ("Successor"), for periods subsequent to the transaction.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operates as a money transmitter, primarily between the United States of America (“U.S.”) and Mexico, Guatemala and other countries in Latin America through a network of authorized agents located in various unaffiliated retail establishments throughout the 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significant inter-company balances and transactions have been eliminated from the condensed consolidated financial statements. The condensed consolidated financial statements are prepared in accordance with U.S. generally accepted accounting principles (“GAAP”). Certain reclassifications have been made to prior-year amounts in the consolidated statements of operations and comprehensive loss to conform to current-year reporting classifications. Principally, certain employee benefits that were classified as other selling, general and administrative expenses are now presented within salaries and benefits. The reclassifications had no impact on operating (loss) income or net loss.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statements have been included. The results reported in these interim financial statements are not necessarily indicative of the results that may be reported for the entire year. Certain information and footnote disclosures required by GAAP have been condensed or omitted. These interim financial statements should be read in conjunction with the consolidated financial statements and related notes of Intermex Holdings, Inc. (“Holdings”) for the fiscal year ended December 31, 2017 (“Audited Financial Statements”) disclosed in the prospectus, dated October 25, 2018, filed pursuant to Rule 424(b)(3), starting on page F-14. Holdings is an indirect wholly owned subsidiary of the Company and has no operations of its own, other than its ownership of its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Financial Accounting Standards Board (“FASB”) issued amended guidance, Restricted Cash, which requires restricted cash to be presented with cash and cash equivalents in the condensed consolidated statements of cash flows. The Company adopted this guidance in the first quarter of 2018 using a retrospective transition method for each period presented. Cash and restricted cash included $639,662 of restricted cash for all beginning and ending periods presented in the condensed consolidated statements of cash flows, which is included in other prepaid expenses and current assets, and other assets in the Company’s condensed consolidated balance sheets at September 30, 2018 and December 31, 2017, respectively. The restricted cash was deposited with a U.S. bank as cash collateral for an irrevocable stand-by letter of credit issued as collateral for the operating lease of the Company’s headquarters. This lease was renegotiated in April 2018, and accordingly, the letter of credit is no longer required; the Company expects to collect these funds in the fourth quarter of 2018.</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simplifies several aspects of the accounting for share-based payment transactions, including the income tax consequences, classification of awards as either equity or liabilities, and classification on the statement of cash flows. The Company adopted this guidance in the first quarter of 2018 and the impact of this adoption did not have a material impact on the Company’s condensed consolidated financial statements.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amended the existing accounting standards for revenue recognition. The new guidance establishes principles for recognizing revenue upon the transfer of promised goods or services to customers, in an amount that reflects the expected consideration received in exchange for those goods or services. This guidance is required to be adopted by the Company in the first quarter of 2019 and can be applied using either a retrospective or a modified retrospective approach. Based on our assessment of the new standard, we have determined the vast majority of our revenues include only one performance obligation, which is to collect the consumer's money and make funds available for payment, generally on the same day, to a designated recipient in the currency requested. Accordingly, management believes this standard will not have a material impact on the Company’s financial statements and expects to adopt this standard using the modified retrospective approach, with the cumulative effect of adoption, if any, included in accumulated deficit as of January 1, 2019. However, management is continuing to assess the requirements of the new revenue guidance, including enhanced disclosures and reporting requirements.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Business Combinations - Clarifying the Definition of a Business</w:t>
      </w:r>
      <w:r>
        <w:rPr>
          <w:rFonts w:ascii="Arial" w:cs="Arial" w:eastAsia="Arial" w:hAnsi="Arial"/>
          <w:sz w:val="16"/>
          <w:szCs w:val="16"/>
          <w:color w:val="auto"/>
        </w:rPr>
        <w:t>, which assists entities with evaluating whether transactions should be accounted for as acquisitions (or disposals) of assets or businesses. This guidance is required to be adopted by the Company in the first quarter of 2019 on a prospective basis, and the Company does not believe it will have a material impact on the consolidated financial statements.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 increase transparency and comparability among organizations by recognizing lease assets and lease liabilities on the balance sheet for those leases classified as operating leases under previous U.S. GAAP. The guidance requires that a lessee recognize a liability to make lease payments (the lease liability) and a right-of-use asset representing its right to use the underlying asset for the lease term on the balance sheet. This guidance is required to be adopted by the Company in the first quarter of 2020 and must be applied using a modified retrospective approach. The Company is currently evaluating the impact this guidance will have on the consolidated financial statements.</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Statement of Cash Flows - Classification of Certain Cash Receipts and Cash Payments</w:t>
      </w:r>
      <w:r>
        <w:rPr>
          <w:rFonts w:ascii="Arial" w:cs="Arial" w:eastAsia="Arial" w:hAnsi="Arial"/>
          <w:sz w:val="16"/>
          <w:szCs w:val="16"/>
          <w:color w:val="auto"/>
        </w:rPr>
        <w:t>, which clarifies how certain cash receipts and cash payments are presented and classified in the consolidated statements of cash flows. The amendments are aimed at reducing the existing diversity in practice. This guidance is required to be adopted by the Company in the first quarter of 2019 and must be applied using a retrospective approach for each period presented. The adoption of this guidance is not expected to have a material impact on the consolidated financial statements.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beginning in in the first quarter of 2021. The adoption of this guidance is not expected to have a material impact on the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currently is required to adopt the new standard in the first quarter of 2021. The Company is currently evaluating the impact this guidance will have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2 – FINTECH MERGER AND STELLA POINT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FinTech Merger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 on July 26, 2018, Intermex and FinTech consummated the Merger, which has been accounted for as a reverse recapitalization. Immediately prior to the Merger, FinTech’s shareholders exercised their right to redeem certain of their outstanding shares for cash, resulting in the redemption of 4,938,232 shares of FinTech for gross redemption payments of $49,808,935. Subsequent to this redemption, there were 18,955,101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from FinTech amounted to $4,626 as shown in the table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left="2760"/>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ind w:right="31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80" w:right="3860"/>
        <w:spacing w:after="0" w:line="257" w:lineRule="auto"/>
        <w:rPr>
          <w:sz w:val="20"/>
          <w:szCs w:val="20"/>
          <w:color w:val="auto"/>
        </w:rPr>
      </w:pPr>
      <w:r>
        <w:rPr>
          <w:rFonts w:ascii="Arial" w:cs="Arial" w:eastAsia="Arial" w:hAnsi="Arial"/>
          <w:sz w:val="18"/>
          <w:szCs w:val="18"/>
          <w:color w:val="auto"/>
        </w:rPr>
        <w:t>Intermex Merger costs paid from acquisition proceeds at closing 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59" w:lineRule="exact"/>
        <w:rPr>
          <w:sz w:val="20"/>
          <w:szCs w:val="20"/>
          <w:color w:val="auto"/>
        </w:rPr>
      </w:pPr>
    </w:p>
    <w:p>
      <w:pPr>
        <w:ind w:right="31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FinTech assets acquired and liabilities assumed in the Merger: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equity infusion from FinTech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4" w:hanging="304"/>
        <w:spacing w:after="0"/>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110,726,342</w:t>
      </w:r>
    </w:p>
    <w:p>
      <w:pPr>
        <w:spacing w:after="0" w:line="248"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(9,062,769)</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(101,658,947)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543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spacing w:after="0" w:line="2" w:lineRule="exact"/>
        <w:rPr>
          <w:sz w:val="20"/>
          <w:szCs w:val="20"/>
          <w:color w:val="auto"/>
        </w:rPr>
      </w:pPr>
    </w:p>
    <w:p>
      <w:pPr>
        <w:ind w:left="784" w:hanging="784"/>
        <w:spacing w:after="0"/>
        <w:tabs>
          <w:tab w:leader="none" w:pos="784" w:val="left"/>
        </w:tabs>
        <w:numPr>
          <w:ilvl w:val="0"/>
          <w:numId w:val="5"/>
        </w:numPr>
        <w:rPr>
          <w:rFonts w:ascii="Arial" w:cs="Arial" w:eastAsia="Arial" w:hAnsi="Arial"/>
          <w:sz w:val="18"/>
          <w:szCs w:val="18"/>
          <w:color w:val="auto"/>
        </w:rPr>
      </w:pPr>
      <w:r>
        <w:rPr>
          <w:rFonts w:ascii="Arial" w:cs="Arial" w:eastAsia="Arial" w:hAnsi="Arial"/>
          <w:sz w:val="18"/>
          <w:szCs w:val="18"/>
          <w:color w:val="auto"/>
        </w:rPr>
        <w:t>4,626</w:t>
      </w:r>
    </w:p>
    <w:p>
      <w:pPr>
        <w:spacing w:after="0" w:line="279" w:lineRule="exact"/>
        <w:rPr>
          <w:sz w:val="20"/>
          <w:szCs w:val="20"/>
          <w:color w:val="auto"/>
        </w:rPr>
      </w:pPr>
    </w:p>
    <w:p>
      <w:pPr>
        <w:ind w:left="304" w:hanging="304"/>
        <w:spacing w:after="0"/>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110,726,342</w:t>
      </w:r>
    </w:p>
    <w:p>
      <w:pPr>
        <w:spacing w:after="0" w:line="248" w:lineRule="exact"/>
        <w:rPr>
          <w:rFonts w:ascii="Arial" w:cs="Arial" w:eastAsia="Arial" w:hAnsi="Arial"/>
          <w:sz w:val="16"/>
          <w:szCs w:val="16"/>
          <w:color w:val="auto"/>
        </w:rPr>
      </w:pPr>
    </w:p>
    <w:p>
      <w:pPr>
        <w:ind w:left="224"/>
        <w:spacing w:after="0"/>
        <w:rPr>
          <w:rFonts w:ascii="Arial" w:cs="Arial" w:eastAsia="Arial" w:hAnsi="Arial"/>
          <w:sz w:val="16"/>
          <w:szCs w:val="16"/>
          <w:color w:val="auto"/>
        </w:rPr>
      </w:pPr>
      <w:r>
        <w:rPr>
          <w:rFonts w:ascii="Arial" w:cs="Arial" w:eastAsia="Arial" w:hAnsi="Arial"/>
          <w:sz w:val="16"/>
          <w:szCs w:val="16"/>
          <w:color w:val="auto"/>
        </w:rPr>
        <w:t>(101,658,947)</w:t>
      </w:r>
    </w:p>
    <w:p>
      <w:pPr>
        <w:spacing w:after="0" w:line="248" w:lineRule="exact"/>
        <w:rPr>
          <w:sz w:val="20"/>
          <w:szCs w:val="20"/>
          <w:color w:val="auto"/>
        </w:rPr>
      </w:pPr>
    </w:p>
    <w:p>
      <w:pPr>
        <w:ind w:left="684"/>
        <w:spacing w:after="0"/>
        <w:rPr>
          <w:sz w:val="20"/>
          <w:szCs w:val="20"/>
          <w:color w:val="auto"/>
        </w:rPr>
      </w:pPr>
      <w:r>
        <w:rPr>
          <w:rFonts w:ascii="Arial" w:cs="Arial" w:eastAsia="Arial" w:hAnsi="Arial"/>
          <w:sz w:val="18"/>
          <w:szCs w:val="18"/>
          <w:color w:val="auto"/>
        </w:rPr>
        <w:t>76,478</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(180,352)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543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spacing w:after="0" w:line="2" w:lineRule="exact"/>
        <w:rPr>
          <w:sz w:val="20"/>
          <w:szCs w:val="20"/>
          <w:color w:val="auto"/>
        </w:rPr>
      </w:pPr>
    </w:p>
    <w:p>
      <w:pPr>
        <w:ind w:left="464" w:hanging="464"/>
        <w:spacing w:after="0"/>
        <w:tabs>
          <w:tab w:leader="none" w:pos="464" w:val="left"/>
        </w:tabs>
        <w:numPr>
          <w:ilvl w:val="0"/>
          <w:numId w:val="7"/>
        </w:numPr>
        <w:rPr>
          <w:rFonts w:ascii="Arial" w:cs="Arial" w:eastAsia="Arial" w:hAnsi="Arial"/>
          <w:sz w:val="17"/>
          <w:szCs w:val="17"/>
          <w:color w:val="auto"/>
        </w:rPr>
      </w:pPr>
      <w:r>
        <w:rPr>
          <w:rFonts w:ascii="Arial" w:cs="Arial" w:eastAsia="Arial" w:hAnsi="Arial"/>
          <w:sz w:val="17"/>
          <w:szCs w:val="17"/>
          <w:color w:val="auto"/>
        </w:rPr>
        <w:t>8,963,521</w:t>
      </w:r>
    </w:p>
    <w:p>
      <w:pPr>
        <w:spacing w:after="0" w:line="211" w:lineRule="exact"/>
        <w:rPr>
          <w:sz w:val="20"/>
          <w:szCs w:val="20"/>
          <w:color w:val="auto"/>
        </w:rPr>
      </w:pPr>
    </w:p>
    <w:p>
      <w:pPr>
        <w:sectPr>
          <w:pgSz w:w="11900" w:h="16838" w:orient="portrait"/>
          <w:cols w:equalWidth="0" w:num="2">
            <w:col w:w="8660" w:space="316"/>
            <w:col w:w="2444"/>
          </w:cols>
          <w:pgMar w:left="240" w:top="121" w:right="239" w:bottom="144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Cash consideration to Intermex shareholders includes the payout of all vested Incentive Units issued to employees of the Company as discussed in Note 8.</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completion of the Merger on July 26, 2018, there were 36,182,783 shares of International Money Express, Inc. common stock outstanding, warrants to purchase 8,959,999 shares of common stock and 3,371,389 shares reserved for issuance under the International Money Express, Inc. 2018 Omnibus Equity Compensation Plan (See Note 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by Stella Point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 2016, Intermex and its majority owner at the time, Lindsay Goldberg LLC, entered into an agreement with Stella Point, acquirer, for the sale of Intermex. This acquisition was accounted for as a business combination and became effective on February 1, 2017 for a transaction price of $52,000,000 in cash, plus $12,410,000 of rollover equity from certain existing management holders, the assumption of approximately $78,000,000 of Intermex’s outstanding debt and an additional funding of $5,000,000 of Intermex debt. There was no contingent consideration in the transaction. As a result, Stella Point acquired 80.7% of the voting equity interest in Intermex and other minority stockholders acquired the remaining interest, none individually greater than 10%. The purchase price in excess of the fair value of acquired assets was accounted for as goodwill, as discussed further below.</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Assets Acquired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 method for a business combination requires that the assets acquired and liabilities assumed be recognized at their allocated fair values as of the February 1, 2017 acquisition date, which is summarized below:</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361886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-108585</wp:posOffset>
            </wp:positionV>
            <wp:extent cx="361886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61886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tangible assets acquired</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6188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Deferred tax asset,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Less: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61886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6188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Goodwill</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36188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Successor</w:t>
      </w:r>
    </w:p>
    <w:p>
      <w:pPr>
        <w:spacing w:after="0" w:line="23" w:lineRule="exact"/>
        <w:rPr>
          <w:sz w:val="20"/>
          <w:szCs w:val="20"/>
          <w:color w:val="auto"/>
        </w:rPr>
      </w:pPr>
    </w:p>
    <w:p>
      <w:pPr>
        <w:ind w:left="408"/>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0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 w:lineRule="exact"/>
        <w:rPr>
          <w:sz w:val="20"/>
          <w:szCs w:val="20"/>
          <w:color w:val="auto"/>
        </w:rPr>
      </w:pPr>
    </w:p>
    <w:p>
      <w:pPr>
        <w:ind w:left="708" w:hanging="708"/>
        <w:spacing w:after="0"/>
        <w:tabs>
          <w:tab w:leader="none" w:pos="708" w:val="left"/>
        </w:tabs>
        <w:numPr>
          <w:ilvl w:val="0"/>
          <w:numId w:val="8"/>
        </w:numPr>
        <w:rPr>
          <w:rFonts w:ascii="Arial" w:cs="Arial" w:eastAsia="Arial" w:hAnsi="Arial"/>
          <w:sz w:val="17"/>
          <w:szCs w:val="17"/>
          <w:color w:val="auto"/>
        </w:rPr>
      </w:pPr>
      <w:r>
        <w:rPr>
          <w:rFonts w:ascii="Arial" w:cs="Arial" w:eastAsia="Arial" w:hAnsi="Arial"/>
          <w:sz w:val="17"/>
          <w:szCs w:val="17"/>
          <w:color w:val="auto"/>
        </w:rPr>
        <w:t>43,064,931</w:t>
      </w:r>
    </w:p>
    <w:p>
      <w:pPr>
        <w:spacing w:after="0" w:line="34" w:lineRule="exact"/>
        <w:rPr>
          <w:rFonts w:ascii="Arial" w:cs="Arial" w:eastAsia="Arial" w:hAnsi="Arial"/>
          <w:sz w:val="17"/>
          <w:szCs w:val="17"/>
          <w:color w:val="auto"/>
        </w:rPr>
      </w:pPr>
    </w:p>
    <w:p>
      <w:pPr>
        <w:ind w:left="708"/>
        <w:spacing w:after="0"/>
        <w:rPr>
          <w:rFonts w:ascii="Arial" w:cs="Arial" w:eastAsia="Arial" w:hAnsi="Arial"/>
          <w:sz w:val="17"/>
          <w:szCs w:val="17"/>
          <w:color w:val="auto"/>
        </w:rPr>
      </w:pPr>
      <w:r>
        <w:rPr>
          <w:rFonts w:ascii="Arial" w:cs="Arial" w:eastAsia="Arial" w:hAnsi="Arial"/>
          <w:sz w:val="17"/>
          <w:szCs w:val="17"/>
          <w:color w:val="auto"/>
        </w:rPr>
        <w:t>24,031,575</w:t>
      </w:r>
    </w:p>
    <w:p>
      <w:pPr>
        <w:spacing w:after="0" w:line="20" w:lineRule="exact"/>
        <w:rPr>
          <w:rFonts w:ascii="Arial" w:cs="Arial" w:eastAsia="Arial" w:hAnsi="Arial"/>
          <w:sz w:val="17"/>
          <w:szCs w:val="17"/>
          <w:color w:val="auto"/>
        </w:rPr>
      </w:pPr>
    </w:p>
    <w:p>
      <w:pPr>
        <w:ind w:left="788"/>
        <w:spacing w:after="0"/>
        <w:rPr>
          <w:rFonts w:ascii="Arial" w:cs="Arial" w:eastAsia="Arial" w:hAnsi="Arial"/>
          <w:sz w:val="17"/>
          <w:szCs w:val="17"/>
          <w:color w:val="auto"/>
        </w:rPr>
      </w:pPr>
      <w:r>
        <w:rPr>
          <w:rFonts w:ascii="Arial" w:cs="Arial" w:eastAsia="Arial" w:hAnsi="Arial"/>
          <w:sz w:val="17"/>
          <w:szCs w:val="17"/>
          <w:color w:val="auto"/>
        </w:rPr>
        <w:t>3,712,848</w:t>
      </w:r>
    </w:p>
    <w:p>
      <w:pPr>
        <w:spacing w:after="0" w:line="20" w:lineRule="exact"/>
        <w:rPr>
          <w:rFonts w:ascii="Arial" w:cs="Arial" w:eastAsia="Arial" w:hAnsi="Arial"/>
          <w:sz w:val="17"/>
          <w:szCs w:val="17"/>
          <w:color w:val="auto"/>
        </w:rPr>
      </w:pPr>
    </w:p>
    <w:p>
      <w:pPr>
        <w:ind w:left="788"/>
        <w:spacing w:after="0"/>
        <w:rPr>
          <w:rFonts w:ascii="Arial" w:cs="Arial" w:eastAsia="Arial" w:hAnsi="Arial"/>
          <w:sz w:val="17"/>
          <w:szCs w:val="17"/>
          <w:color w:val="auto"/>
        </w:rPr>
      </w:pPr>
      <w:r>
        <w:rPr>
          <w:rFonts w:ascii="Arial" w:cs="Arial" w:eastAsia="Arial" w:hAnsi="Arial"/>
          <w:sz w:val="17"/>
          <w:szCs w:val="17"/>
          <w:color w:val="auto"/>
        </w:rPr>
        <w:t>6,328,146</w:t>
      </w:r>
    </w:p>
    <w:p>
      <w:pPr>
        <w:spacing w:after="0" w:line="20" w:lineRule="exact"/>
        <w:rPr>
          <w:rFonts w:ascii="Arial" w:cs="Arial" w:eastAsia="Arial" w:hAnsi="Arial"/>
          <w:sz w:val="17"/>
          <w:szCs w:val="17"/>
          <w:color w:val="auto"/>
        </w:rPr>
      </w:pPr>
    </w:p>
    <w:p>
      <w:pPr>
        <w:ind w:left="788"/>
        <w:spacing w:after="0"/>
        <w:rPr>
          <w:rFonts w:ascii="Arial" w:cs="Arial" w:eastAsia="Arial" w:hAnsi="Arial"/>
          <w:sz w:val="17"/>
          <w:szCs w:val="17"/>
          <w:color w:val="auto"/>
        </w:rPr>
      </w:pPr>
      <w:r>
        <w:rPr>
          <w:rFonts w:ascii="Arial" w:cs="Arial" w:eastAsia="Arial" w:hAnsi="Arial"/>
          <w:sz w:val="17"/>
          <w:szCs w:val="17"/>
          <w:color w:val="auto"/>
        </w:rPr>
        <w:t>1,345,562</w:t>
      </w:r>
    </w:p>
    <w:p>
      <w:pPr>
        <w:spacing w:after="0" w:line="33" w:lineRule="exact"/>
        <w:rPr>
          <w:rFonts w:ascii="Arial" w:cs="Arial" w:eastAsia="Arial" w:hAnsi="Arial"/>
          <w:sz w:val="17"/>
          <w:szCs w:val="17"/>
          <w:color w:val="auto"/>
        </w:rPr>
      </w:pPr>
    </w:p>
    <w:p>
      <w:pPr>
        <w:ind w:left="708"/>
        <w:spacing w:after="0"/>
        <w:rPr>
          <w:rFonts w:ascii="Arial" w:cs="Arial" w:eastAsia="Arial" w:hAnsi="Arial"/>
          <w:sz w:val="17"/>
          <w:szCs w:val="17"/>
          <w:color w:val="auto"/>
        </w:rPr>
      </w:pPr>
      <w:r>
        <w:rPr>
          <w:rFonts w:ascii="Arial" w:cs="Arial" w:eastAsia="Arial" w:hAnsi="Arial"/>
          <w:sz w:val="17"/>
          <w:szCs w:val="17"/>
          <w:color w:val="auto"/>
        </w:rPr>
        <w:t>78,483,062</w:t>
      </w:r>
    </w:p>
    <w:p>
      <w:pPr>
        <w:spacing w:after="0" w:line="34" w:lineRule="exact"/>
        <w:rPr>
          <w:rFonts w:ascii="Arial" w:cs="Arial" w:eastAsia="Arial" w:hAnsi="Arial"/>
          <w:sz w:val="17"/>
          <w:szCs w:val="17"/>
          <w:color w:val="auto"/>
        </w:rPr>
      </w:pPr>
    </w:p>
    <w:p>
      <w:pPr>
        <w:ind w:left="708"/>
        <w:spacing w:after="0"/>
        <w:rPr>
          <w:rFonts w:ascii="Arial" w:cs="Arial" w:eastAsia="Arial" w:hAnsi="Arial"/>
          <w:sz w:val="17"/>
          <w:szCs w:val="17"/>
          <w:color w:val="auto"/>
        </w:rPr>
      </w:pPr>
      <w:r>
        <w:rPr>
          <w:rFonts w:ascii="Arial" w:cs="Arial" w:eastAsia="Arial" w:hAnsi="Arial"/>
          <w:sz w:val="17"/>
          <w:szCs w:val="17"/>
          <w:color w:val="auto"/>
        </w:rPr>
        <w:t>62,660,000</w:t>
      </w:r>
    </w:p>
    <w:p>
      <w:pPr>
        <w:spacing w:after="0" w:line="21" w:lineRule="exact"/>
        <w:rPr>
          <w:sz w:val="20"/>
          <w:szCs w:val="20"/>
          <w:color w:val="auto"/>
        </w:rPr>
      </w:pPr>
    </w:p>
    <w:p>
      <w:pPr>
        <w:ind w:left="808"/>
        <w:spacing w:after="0"/>
        <w:rPr>
          <w:sz w:val="20"/>
          <w:szCs w:val="20"/>
          <w:color w:val="auto"/>
        </w:rPr>
      </w:pPr>
      <w:r>
        <w:rPr>
          <w:rFonts w:ascii="Arial" w:cs="Arial" w:eastAsia="Arial" w:hAnsi="Arial"/>
          <w:sz w:val="17"/>
          <w:szCs w:val="17"/>
          <w:color w:val="auto"/>
        </w:rPr>
        <w:t>2,118,801</w:t>
      </w:r>
    </w:p>
    <w:p>
      <w:pPr>
        <w:spacing w:after="0" w:line="21"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(115,111,529)</w:t>
      </w:r>
    </w:p>
    <w:p>
      <w:pPr>
        <w:spacing w:after="0" w:line="22" w:lineRule="exact"/>
        <w:rPr>
          <w:sz w:val="20"/>
          <w:szCs w:val="20"/>
          <w:color w:val="auto"/>
        </w:rPr>
      </w:pPr>
    </w:p>
    <w:p>
      <w:pPr>
        <w:ind w:left="708"/>
        <w:spacing w:after="0"/>
        <w:rPr>
          <w:sz w:val="20"/>
          <w:szCs w:val="20"/>
          <w:color w:val="auto"/>
        </w:rPr>
      </w:pPr>
      <w:r>
        <w:rPr>
          <w:rFonts w:ascii="Arial" w:cs="Arial" w:eastAsia="Arial" w:hAnsi="Arial"/>
          <w:sz w:val="17"/>
          <w:szCs w:val="17"/>
          <w:color w:val="auto"/>
        </w:rPr>
        <w:t>28,150,334</w:t>
      </w:r>
    </w:p>
    <w:p>
      <w:pPr>
        <w:spacing w:after="0" w:line="237" w:lineRule="exact"/>
        <w:rPr>
          <w:sz w:val="20"/>
          <w:szCs w:val="20"/>
          <w:color w:val="auto"/>
        </w:rPr>
      </w:pPr>
    </w:p>
    <w:p>
      <w:pPr>
        <w:ind w:left="708"/>
        <w:spacing w:after="0"/>
        <w:rPr>
          <w:sz w:val="20"/>
          <w:szCs w:val="20"/>
          <w:color w:val="auto"/>
        </w:rPr>
      </w:pPr>
      <w:r>
        <w:rPr>
          <w:rFonts w:ascii="Arial" w:cs="Arial" w:eastAsia="Arial" w:hAnsi="Arial"/>
          <w:sz w:val="17"/>
          <w:szCs w:val="17"/>
          <w:color w:val="auto"/>
        </w:rPr>
        <w:t>36,259,666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960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8" w:lineRule="exact"/>
        <w:rPr>
          <w:sz w:val="20"/>
          <w:szCs w:val="20"/>
          <w:color w:val="auto"/>
        </w:rPr>
      </w:pPr>
    </w:p>
    <w:p>
      <w:pPr>
        <w:ind w:left="708" w:hanging="708"/>
        <w:spacing w:after="0"/>
        <w:tabs>
          <w:tab w:leader="none" w:pos="708" w:val="left"/>
        </w:tabs>
        <w:numPr>
          <w:ilvl w:val="0"/>
          <w:numId w:val="9"/>
        </w:numPr>
        <w:rPr>
          <w:rFonts w:ascii="Arial" w:cs="Arial" w:eastAsia="Arial" w:hAnsi="Arial"/>
          <w:sz w:val="17"/>
          <w:szCs w:val="17"/>
          <w:color w:val="auto"/>
        </w:rPr>
      </w:pPr>
      <w:r>
        <w:rPr>
          <w:rFonts w:ascii="Arial" w:cs="Arial" w:eastAsia="Arial" w:hAnsi="Arial"/>
          <w:sz w:val="17"/>
          <w:szCs w:val="17"/>
          <w:color w:val="auto"/>
        </w:rPr>
        <w:t>64,410,000</w:t>
      </w:r>
    </w:p>
    <w:p>
      <w:pPr>
        <w:spacing w:after="0" w:line="211" w:lineRule="exact"/>
        <w:rPr>
          <w:sz w:val="20"/>
          <w:szCs w:val="20"/>
          <w:color w:val="auto"/>
        </w:rPr>
      </w:pPr>
    </w:p>
    <w:p>
      <w:pPr>
        <w:sectPr>
          <w:pgSz w:w="11900" w:h="16838" w:orient="portrait"/>
          <w:cols w:equalWidth="0" w:num="2">
            <w:col w:w="3812" w:space="720"/>
            <w:col w:w="6888"/>
          </w:cols>
          <w:pgMar w:left="240" w:top="122" w:right="239" w:bottom="1440" w:gutter="0" w:footer="0" w:header="0"/>
          <w:type w:val="continuous"/>
        </w:sectPr>
      </w:pP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acquired consist primarily of a trade name, agent relationships and developed technology. The excess of the purchase consideration over the fair value of net tangible and identifiable intangible assets acquired was recorded as goodwill, which is attributable to the workforce and reputation of Intermex. The accounting for this business combination has been completed, therefore the measurement period is closed. Goodwill was not deductible for income tax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related to the Merger and Stella Point acquisition were expensed as incurred and included as “transaction costs” in the condensed consolidated statements of operations and comprehensive loss. Transaction costs in the condensed consolidated statements of operations and comprehensive loss for the three and nine months ended September 30, 2018 amounted to $6,304,972 and $10,319,283, respectively, and related specifically to the Merger, while expenses of $6,212,602 for the Successor period from February 1, 2017 through September 30, 2017 and $3,917,188 for the Predecessor period from January 1, 2017 through January 31, 2017 relate to the Stella Point acquisition. Transaction costs include all internal and external costs directly related to the Merger and Stella Point acquisition, consisting primarily of legal, consulting, accounting, advisory and financing fees and certain incentive bonuses directly related to the Merger and Stella Point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NOTE 3 – GOODWILL AND OTHER INTANGIBLE ASSETS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the majority of the other intangible assets on the condensed consolidated balance sheets of the Company were recognized upon the acquisition by Stella Point (see Note 2). Agent relationships, trade name and developed technology are all amortized over 15 years using an accelerated method that correlates with the projected realization of the benefit. Other intangibles primarily relate to the acquisition of certain agent locations, which are amortized straight line over 10 years. The determination of our other intangible fair values includes several assumptions that are subject to various risks and uncertainties. Management believes it has made reasonable estimates and judgments concerning these risks and uncertainties. A change in the conditions, circumstances or strategy of the Company may result in a need to recognize an impairment charge.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other intangible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800"/>
              <w:spacing w:after="0"/>
              <w:rPr>
                <w:sz w:val="20"/>
                <w:szCs w:val="20"/>
                <w:color w:val="auto"/>
              </w:rPr>
            </w:pPr>
            <w:r>
              <w:rPr>
                <w:rFonts w:ascii="Arial" w:cs="Arial" w:eastAsia="Arial" w:hAnsi="Arial"/>
                <w:sz w:val="18"/>
                <w:szCs w:val="18"/>
                <w:color w:val="auto"/>
              </w:rPr>
              <w:t>Successor Company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w w:val="91"/>
              </w:rPr>
              <w:t>Other Intangibles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36,259,666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(9,351,263)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36,259,666</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39,389,769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040" w:type="dxa"/>
            <w:vAlign w:val="bottom"/>
            <w:gridSpan w:val="2"/>
          </w:tcPr>
          <w:p>
            <w:pPr>
              <w:spacing w:after="0"/>
              <w:rPr>
                <w:sz w:val="20"/>
                <w:szCs w:val="20"/>
                <w:color w:val="auto"/>
              </w:rPr>
            </w:pPr>
            <w:r>
              <w:rPr>
                <w:rFonts w:ascii="Arial" w:cs="Arial" w:eastAsia="Arial" w:hAnsi="Arial"/>
                <w:sz w:val="18"/>
                <w:szCs w:val="18"/>
                <w:color w:val="auto"/>
              </w:rPr>
              <w:t>NOTE 4 – ACCRUED AND OTHER LIABILITIES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Accrued and other liabilities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right"/>
              <w:ind w:right="800"/>
              <w:spacing w:after="0"/>
              <w:rPr>
                <w:sz w:val="20"/>
                <w:szCs w:val="20"/>
                <w:color w:val="auto"/>
              </w:rPr>
            </w:pPr>
            <w:r>
              <w:rPr>
                <w:rFonts w:ascii="Arial" w:cs="Arial" w:eastAsia="Arial" w:hAnsi="Arial"/>
                <w:sz w:val="18"/>
                <w:szCs w:val="18"/>
                <w:color w:val="auto"/>
              </w:rPr>
              <w:t>Successor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 to agents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8,302,004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1,542,822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bank charges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884,069</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loyalty program rebates</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840,039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audit and accounting fees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603,322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legal fees</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694,871</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470,934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14,018,061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11,514,449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040" w:type="dxa"/>
            <w:vAlign w:val="bottom"/>
            <w:gridSpan w:val="2"/>
          </w:tcPr>
          <w:p>
            <w:pPr>
              <w:spacing w:after="0"/>
              <w:rPr>
                <w:sz w:val="20"/>
                <w:szCs w:val="20"/>
                <w:color w:val="auto"/>
              </w:rPr>
            </w:pPr>
            <w:r>
              <w:rPr>
                <w:rFonts w:ascii="Arial" w:cs="Arial" w:eastAsia="Arial" w:hAnsi="Arial"/>
                <w:sz w:val="18"/>
                <w:szCs w:val="18"/>
                <w:color w:val="auto"/>
              </w:rPr>
              <w:t>NOTE 5 – DEBT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Debt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right"/>
              <w:ind w:right="800"/>
              <w:spacing w:after="0"/>
              <w:rPr>
                <w:sz w:val="20"/>
                <w:szCs w:val="20"/>
                <w:color w:val="auto"/>
              </w:rPr>
            </w:pPr>
            <w:r>
              <w:rPr>
                <w:rFonts w:ascii="Arial" w:cs="Arial" w:eastAsia="Arial" w:hAnsi="Arial"/>
                <w:sz w:val="18"/>
                <w:szCs w:val="18"/>
                <w:color w:val="auto"/>
              </w:rPr>
              <w:t>Successor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92,150,000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95,787,500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112,150,000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115,787,500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16"/>
                <w:szCs w:val="16"/>
                <w:color w:val="auto"/>
              </w:rPr>
              <w:t xml:space="preserve">Less: Current portion of long term debt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(4,078,627)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(3,913,436)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origination costs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(3,647,871)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(4,347,602)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104,423,502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107,526,462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Current portion of long-term debt is net of debt origination costs of $771,373 at September 30, 2018 and $936,564 at December 31, 2017.</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23, 2017, Intermex entered into a Financing Agreement (the “Financing Agreement”) with MC Credit Partners to refinance its debt. The Financing Agreement includes a revolving credit facility that provides for funding of up to $20 million in the aggregate and a term loan in an aggregate principal amount of $97 million (together the “Senior Secured Credit Facility”). Interest on the term loan and revolving credit facility is determined by reference to either LIBOR or a “base rate”, in each case plus an applicable margin of 9% per annum for LIBOR loans or 8% per annum for base rate loans. The principal amount of the term loan must be repaid in consecutive quarterly installments on the last business day of each March, June, September and December commencing in December 2017. The Company must repay an amount equal to 1.25% of the original amount borrowed for each quarterly payment from December 31, 2017 through September 30, 2019 and 2.50% of the original amount borrowed for each quarterly payment from December 31, 2019 and thereafter.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19, 2017, the Financing Agreement was amended to allow for the change of control of Intermex pursuant to the Merger. Upon closing of the Merger, the Company was required to pay $1.5 million in fees to MC Credit Partners, which were expensed as transaction costs in the condensed consolidated statements of operations and comprehensive loss for the three and nine months ended September 30, 2018 and funded by the proceeds received in the Merger.</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7, 2018, the Company entered into a new financing agreement (the “Credit Agreement”) with, among others, certain of its domestic subsidiaries as borrowers, certain other domestic subsidiaries and a group of banking institutions. The Credit Agreement provides for a $35 million revolving credit facility, a $90 million term loan facility and an up to $30 million incremental facility. The Credit Agreement also provides for the issuance of letters of credit, which would reduce availability under the revolving credit facility. The proceeds of the loans were used to repay existing indebtedness, for working capital purposes and to pay fees and expenses in connection with the transaction. The maturity date of the Credit Agreement is November 7, 2023.</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term loan facility must be repaid in consecutive quarterly installments of 5% in year 1, 7.5% in years 2 and 3, 10% in years 4 and 5, in each case on the last day of each quarter, commencing in March 2019 with a final payment at maturity. The loans under the Credit Agreement may be prepaid at any time without payment or penalty.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substantially all of the assets of the loan parties, subject to certain exclusions and limitations.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execution of the Credit Agreement, the Company incurred a prepayment penalty of approximately $2.0 million, which will be recognized as interest expense in the fourth quarter 2018 in the condensed consolidated statements of operations and comprehensive loss. In addition, the Company wrote off approximately $3.7 million of debt origination costs related to the Senior Secured Credit Facility as interest expense during the fourth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a market-based measurement that should be determined based on assumptions that market participants would use in pricing an asset or liability. As a basis for considering such assumptions, a three- 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non-financial assets measured at fair value on a nonrecurring basis include the goodwill and other intangibles derived on February 1, 2017 as a result of the Stella Point acquisition as disclosed in Note 2 and more fully disclosed in detail in Note 4 of the Audited Financial Statements.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instruments that are not measured at fair value on a recurring basis include its revolving credit facility and term loan. The estimated fair value of the term loan approximates book value as the debt bears a market interest rate that adjusts periodically. The estimated fair value of the revolving credit facility would approximate face value given the payment schedule and variable interest rate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7 - RELATED PARTY TRANSACTIONS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Successor periods prior to the Merger, Intermex paid a monthly management fee of $65,000, plus reimbursement of expenses, to a related party for management services, which is included in other selling, general and administrative expenses on the Company’s condensed consolidated statements of operations and comprehensive loss. During the Predecessor period from January 1, 2017 to January 31, 2017, all management fees were waived. There were no amounts payable to or receivable from related parties included in the condensed consolidated balance sheets at September 30, 2018 and December 30, 2017. Upon closing of the Merger on July 26, 2018 (See Note 2), the management fee agreement with the related party was terminated, and a one-time termination fee of $1.6 million was included as part of transaction costs in the condensed consolidated statements of operations and comprehensive loss for the three and nine months ended September 30,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NOTE 8 – STOCKHOLDERS’ EQUITY AND SHARE-BASED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completion of the Merger on the Closing Date, there were 36,182,783 shares of International Money Express, Inc. common stock outstanding and outstanding warrants to purchase 8,959,999 shares of common stock. As of the Closing Date, the former stockholders of Intermex owned approximately 48.3% and the former stockholders of FinTech owned approximately 51.7% of the combined company’s outstanding common stock. At September 30, 2018, the Company was authorized to issue 200,000,000 shares of common stock and had 36,182,783 shares of common stock issued and outstanding at $0.0001 par value per common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Warrants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Merger, FinTech issued 8,749,999 public warrants (“Public Warrants”) and 210,000 private placement warrants (“Placement Warrants”)(combined are referred to as the “Warrants”). The Company assumed the FinTech equity warrants upon the change of control event. As a result of the Merger, the Warrants issued by FinTech are no longer exercisable for shares of FinTech common stock but instead are exercisable for common stock of the Company. All other features of the Warrants remain unchanged. There are no cash obligations for the Company pertaining to these Warrants, and they are recognized in equity upon any exercise.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whole Warrant entitles the holder to purchase one share of the Company's common stock at a price of $11.50 per share. The Warrants became exercisable 30 days after the completion of the Merger and expire five years after that date, or earlier upon redemption or liquidation.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call the Public Warrants for redemption, in whole and not in part, at a price of $0.01 per warrant upon not less than 30 days prior written notice of redemption to each warrant holder if the reported last sale price of the Company’s common stock equals or exceeds $24.00 per share for any 20 trading days within a 30-trading day period ended three business days before the Company sends the notice of redemption to the warrant holders. The Company cannot call the Placement Warrants as long as they are held by the original holders or transferred to certain permitted transferees established in the Warrant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2018 Omnibus Equity Compensation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Merger, the stockholders of FinTech approved the International Money Express, Inc. 2018 Omnibus Equity Compensation Plan (the “2018 Plan”). There were 3,371,389 shares reserved for issuance under the 2018 Plan, of which stock options to purchase 2,771,719 shares of common stock and restricted stock units in respect of 21,189 shares of common stock were granted to employees and independent directors of the Company in connection with the completion of the transactions at the Closing Date.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value of each option grant is estimated on the grant date using the Black-Scholes option pricing model. The option pricing model requires the input of highly subjective assumptions, including the grant date fair value of our common stock, expected volatility, expected forfeitures and risk-free interest rates. To determine the grant date fair value of the Company’s common stock, we use the closing market price of our common stock at the grant date. We also use an expected volatility based on the historical volatilities of a group of guideline companies and the "simplified" method for calculating the expected life of our stock options. We have elected to account for forfeitures as they occur. The risk-free interest rates are obtained from publicly available U.S. Treasury yield curve rates.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2018 Plan vest in four equal installments over four years. The Company recognized compensation expense for stock options of $395,250 for the three and nine months ended September 30, 2018, which is included in salaries and benefits in the condensed consolidated statements of operations and comprehensive loss. No stock options vested during the third quarter of 2018. The weighted-average grant date fair value for the stock options to purchase 2,771,719 shares of common stock granted on the Closing Date was $3.43 per share. As of September 30, 2018, there were 2,764,219 non-vested stock options and unrecognized compensation expense of approximately $9.1 million is expected to be recognized over a weighted-average period of 3.8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during the nine months ended September 30, 2018 is presented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Number of</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 Remaining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Options</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Exercise Price</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2,771,719</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980" w:type="dxa"/>
            <w:vAlign w:val="bottom"/>
          </w:tcPr>
          <w:p>
            <w:pPr>
              <w:jc w:val="right"/>
              <w:spacing w:after="0"/>
              <w:rPr>
                <w:sz w:val="20"/>
                <w:szCs w:val="20"/>
                <w:color w:val="auto"/>
              </w:rPr>
            </w:pPr>
            <w:r>
              <w:rPr>
                <w:rFonts w:ascii="Arial" w:cs="Arial" w:eastAsia="Arial" w:hAnsi="Arial"/>
                <w:sz w:val="18"/>
                <w:szCs w:val="18"/>
                <w:color w:val="auto"/>
              </w:rPr>
              <w:t>2,764,219</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restricted stock units issued under the 2018 Plan to the Company’s independent directors vest on the one-year anniversary from the grant date. The Company recognized compensation expense for restricted stock units of $35,000 for the three and nine months ended September 30, 2018, which is included in salaries and benefits in the condensed consolidated statements of operations and comprehensive loss. There were no forfeited or vested restricted stock units during the third quarter of 2018. As of September 30, 2018, there was $175,000 of unrecognized compensation expense for the restricted stock units. In addition to the grant of restricted stock units, each of the independent directors receives an annual cash retainer of $40,000 for services as a director.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Units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Interwire LLC, the former parent company of Intermex, issued Class B, C and D incentive units to employees of the Company (collectively “incentive units”). As these units were issued as compensation to the Company’s employees, the expense was recorded by the Company. In connection with the Merger, on the closing date, all unvested incentive units for Class B, C and D became fully vested and were immediately recognized as share-based compensation expense in the third quarter of 2018. Share-based compensation expense recognized related to these incentive units and included in salaries and benefits in the condensed consolidated statements of operations and comprehensive loss, amounted to $4,022,738 and $287,440 for the three months ended September 30, 2018 and 2017, respectively, $4,735,336 for the nine months ended September 30, 2018, and $1,534,655 for the Successor period from February 1, 2017 through September 30, 2017. The performance conditions related to the Class C and D units were not considered probable of being achieved prior to the Merger, and therefore, no compensation was recognized for all prior periods. Subsequent to this settlement, all incentive units ceased to exist. Share-based compensation of $2,916,324 for the Predecessor period from January 1, 2017 through January 31, 2017 primarily included the expense associated with stock options and restricted awards that vested due to the Stella acquisition.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Successor period from January 1, 2018 through September 30, 2018, the number of units and the weighted-average grant date fair value for the incentive units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Grant Date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Grant Date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Class B Units</w:t>
            </w:r>
          </w:p>
        </w:tc>
        <w:tc>
          <w:tcPr>
            <w:tcW w:w="2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 Value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Class C Units</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Class D Units</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Outstanding at</w:t>
            </w: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7,472,000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0.4879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0.1489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0.4948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0.2126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0.1535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(7,882,000)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0.4883</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0.2082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0.1491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September 30, 2018</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8"/>
                <w:szCs w:val="18"/>
                <w:color w:val="auto"/>
              </w:rPr>
              <w:t>NOTE 9 – LOSS PER SHARE</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(income) loss per share is calculated by dividing net income (loss) for period by the weighted average number of common shares outstanding for the period. In computing dilutive income (loss) per share, basic income (loss) per share is adjusted for the assumed issuance of all applicable potentially dilutive share-based awards, including common stock options, restricted stock and warrants.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w w:val="98"/>
              </w:rPr>
              <w:t>Below are basic and diluted net loss per share for the periods indicated: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7"/>
              </w:rPr>
              <w:t>Successor Company</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540"/>
              <w:spacing w:after="0" w:line="201" w:lineRule="exact"/>
              <w:rPr>
                <w:sz w:val="20"/>
                <w:szCs w:val="20"/>
                <w:color w:val="auto"/>
              </w:rPr>
            </w:pPr>
            <w:r>
              <w:rPr>
                <w:rFonts w:ascii="Arial" w:cs="Arial" w:eastAsia="Arial" w:hAnsi="Arial"/>
                <w:sz w:val="18"/>
                <w:szCs w:val="18"/>
                <w:color w:val="auto"/>
                <w:w w:val="97"/>
              </w:rPr>
              <w:t>Nine</w:t>
            </w:r>
          </w:p>
        </w:tc>
        <w:tc>
          <w:tcPr>
            <w:tcW w:w="140" w:type="dxa"/>
            <w:vAlign w:val="bottom"/>
          </w:tcPr>
          <w:p>
            <w:pPr>
              <w:spacing w:after="0"/>
              <w:rPr>
                <w:sz w:val="17"/>
                <w:szCs w:val="17"/>
                <w:color w:val="auto"/>
              </w:rPr>
            </w:pPr>
          </w:p>
        </w:tc>
        <w:tc>
          <w:tcPr>
            <w:tcW w:w="11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2"/>
              </w:rPr>
              <w:t>Period from</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Months Ended</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February 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jc w:val="right"/>
              <w:ind w:right="1080"/>
              <w:spacing w:after="0"/>
              <w:rPr>
                <w:sz w:val="20"/>
                <w:szCs w:val="20"/>
                <w:color w:val="auto"/>
              </w:rPr>
            </w:pPr>
            <w:r>
              <w:rPr>
                <w:rFonts w:ascii="Arial" w:cs="Arial" w:eastAsia="Arial" w:hAnsi="Arial"/>
                <w:sz w:val="18"/>
                <w:szCs w:val="18"/>
                <w:color w:val="auto"/>
              </w:rPr>
              <w:t>September 30,</w:t>
            </w: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to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center"/>
              <w:spacing w:after="0"/>
              <w:rPr>
                <w:sz w:val="20"/>
                <w:szCs w:val="20"/>
                <w:color w:val="auto"/>
              </w:rPr>
            </w:pPr>
            <w:r>
              <w:rPr>
                <w:rFonts w:ascii="Arial" w:cs="Arial" w:eastAsia="Arial" w:hAnsi="Arial"/>
                <w:sz w:val="18"/>
                <w:szCs w:val="18"/>
                <w:color w:val="auto"/>
                <w:w w:val="93"/>
              </w:rPr>
              <w:t>(Unaudited)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basic and diluted loss per common shares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(13,412,996)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(573,681)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(12,108,413)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(7,061,465)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30,975,338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17,227,682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21,827,082</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computation of diluted loss per share above excludes the effect of 1,587 and 531 restricted stock units for the three month and nine-month periods ending September 30, 2018, respectively, because the inclusion of these would be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between the income tax provision (benefit) at the US statutory tax rate and the Company’s income tax provision (benefit) on the condensed consolidated statements of operations and comprehensive loss is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8"/>
                <w:szCs w:val="18"/>
                <w:color w:val="auto"/>
              </w:rPr>
              <w:t>Successor Company</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600"/>
              <w:spacing w:after="0" w:line="201" w:lineRule="exact"/>
              <w:rPr>
                <w:sz w:val="20"/>
                <w:szCs w:val="20"/>
                <w:color w:val="auto"/>
              </w:rPr>
            </w:pPr>
            <w:r>
              <w:rPr>
                <w:rFonts w:ascii="Arial" w:cs="Arial" w:eastAsia="Arial" w:hAnsi="Arial"/>
                <w:sz w:val="18"/>
                <w:szCs w:val="18"/>
                <w:color w:val="auto"/>
                <w:w w:val="97"/>
              </w:rPr>
              <w:t>Nine</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4"/>
              </w:rPr>
              <w:t>Period from</w:t>
            </w: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Months Ended</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February 1, 2017</w:t>
            </w: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September 30,</w:t>
            </w:r>
          </w:p>
        </w:tc>
        <w:tc>
          <w:tcPr>
            <w:tcW w:w="2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4"/>
          </w:tcPr>
          <w:p>
            <w:pPr>
              <w:jc w:val="right"/>
              <w:ind w:right="610"/>
              <w:spacing w:after="0"/>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right w:val="single" w:sz="8" w:color="auto"/>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(5,843,822)</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(765,408)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(3,922,867)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(6,008,986)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(5,521,794)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US statutory tax rate</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rate</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(1,227,203)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(260,239)</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(823,802)</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(2,043,055)</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(1,877,410)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(benefit), net of federal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1,354,628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1,470,870</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Foreign tax rates different from US statutory rate</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113,891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147,154</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93,158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7,411,475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7,483,530</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3,081,763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tax rate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(51,994)</w:t>
            </w:r>
          </w:p>
        </w:tc>
        <w:tc>
          <w:tcPr>
            <w:tcW w:w="2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(51,994)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(86,275)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(94,864)</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(16,765)</w:t>
            </w:r>
          </w:p>
        </w:tc>
        <w:tc>
          <w:tcPr>
            <w:tcW w:w="24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2,658</w:t>
            </w: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(16,765)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tax provision (benefit)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7,569,174</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(191,727)</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8,185,546</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1,052,479</w:t>
            </w: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(2,203,373</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right"/>
              <w:ind w:right="5"/>
              <w:spacing w:after="0"/>
              <w:rPr>
                <w:sz w:val="20"/>
                <w:szCs w:val="20"/>
                <w:color w:val="auto"/>
              </w:rPr>
            </w:pPr>
            <w:r>
              <w:rPr>
                <w:rFonts w:ascii="Arial" w:cs="Arial" w:eastAsia="Arial" w:hAnsi="Arial"/>
                <w:sz w:val="14"/>
                <w:szCs w:val="14"/>
                <w:color w:val="auto"/>
              </w:rPr>
              <w:t>16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presented in the income tax reconciliation above, the tax provision (benefit) recognized on the condensed consolidated statements of operations and comprehensive loss was impacted by state taxes, non-deductible expenses such as share-based compensation expense, transaction costs and foreign tax rates applicable to the Company’s foreign subsidiaries that are higher or lower than the U.S. statutory rate.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U.S. enacted tax reform legislation known as H.R. 1, commonly referred to as the “Tax Cuts and Jobs Act” (the “Act”), resulting in significant modifications to existing law. Due to the timing of the Act and the complexity involved in applying the provisions of the Act, the Company made a reasonable estimate of the effects and recorded provisional amounts in the fourth quarter of 2017, which primarily included the impact of the remeasurement of the Company’s deferred tax balances to reflect the change in the corporate tax rate. As a result of the changes to tax laws and tax rates under the Act, the Company reduced its deferred tax asset as of December 31, 2017 by $656,000.</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Company collects and prepares necessary data and interprets the Act and any additional guidance issued by the U.S. Treasury Department, the IRS, and other standard-setting bodies, the Company may make adjustments to the provisional amounts recorded in December 2017. Those adjustments may materially impact the provision for income taxes and effective tax rate in the period in which the adjustments are made. During the nine months ended September 30, 2018, there were no such adjustments made to the provisional amounts recorded in December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did not have any amounts accrued for interest and penalties or recorded for uncertain tax 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to leases for office space and branch locations, several of which are on a month-to-month basis. Rent expense under all operating leases, included in other selling, general and administrative expenses in the condensed consolidated statements of operations and comprehensive loss, amounted to $491,212 and $440,511 for the three months ended September 30, 2018 and 2017, respectively, $1,418,350 for the nine months ended September 30, 2018, $1,155,440 for the Successor period from February 1, 2017 through September 30, 2017, and $135,636 for the Predecessor period from January 1, 2017 through January 31, 2017.</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2018, the Company renegotiated its corporate lease to extend the term through November 2025. At September 30, 2018 future minimum rental payments required under operating leases for the remainder of 2018 and thereafter are as follows for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6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rPr>
              <w:t>INTERNATIONAL MONEY EXPRESS, INC.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6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gridSpan w:val="3"/>
          </w:tcPr>
          <w:p>
            <w:pPr>
              <w:jc w:val="center"/>
              <w:ind w:right="2280"/>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378,224</w:t>
            </w:r>
          </w:p>
        </w:tc>
        <w:tc>
          <w:tcPr>
            <w:tcW w:w="12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1,263,467</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981,139</w:t>
            </w:r>
          </w:p>
        </w:tc>
        <w:tc>
          <w:tcPr>
            <w:tcW w:w="12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846,364</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738,385</w:t>
            </w:r>
          </w:p>
        </w:tc>
        <w:tc>
          <w:tcPr>
            <w:tcW w:w="12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753,692</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1,438,239</w:t>
            </w:r>
          </w:p>
        </w:tc>
        <w:tc>
          <w:tcPr>
            <w:tcW w:w="120" w:type="dxa"/>
            <w:vAlign w:val="bottom"/>
            <w:tcBorders>
              <w:bottom w:val="single" w:sz="8" w:color="CCEEFF"/>
            </w:tcBorders>
            <w:shd w:val="clear" w:color="auto" w:fill="CCEEFF"/>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6,399,510</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that the expected outcome of these matters, both individually or in the aggregate, will not have a material adverse effect on either the results of operations or financial condition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50 U.S. states and two territories.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matters will not have a material adverse effect on either the results of operations or financial condition of the Company.</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2018, the Company received a notice from the Staff of the Listing Qualifications Department (the "Staff") of The Nasdaq Stock Market LLC ("Nasdaq") indicating that, based upon the Company's non-compliance with the minimum number of round lot holders for the listing of its common stock and warrants on The Nasdaq Capital Market, as set forth in Nasdaq Listing Rules 5550(a)(3) and 5515(a)(4), respectively, the Company's common stock and warrants may be subject to delisting from Nasdaq unless the Company timely requests a hearing before a Nasdaq Hearings Panel (the "Panel").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29, 2018, the Company received a notice from Nasdaq (the “Nasdaq Notice”) informing the Company that it has met the listing requirements with respect to its common stock and that the Company’s common stock will continue to be listed and trade on The Nasdaq Capital Market under the symbol “IMXI.” Additionally, the Nasdaq Notice informed the Company that it had not demonstrated compliance with the warrant listing requirements. The Company has withdrawn its request for a hearing before the Panel with respect to the warrant listing requirements. Accordingly, the Nasdaq Notice informed the Company that the Panel had determined to delist the Company’s warrants and suspend the trading of the warrants from The Nasdaq Capital Market effective as of the open of business on October 31,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12 – SUBSEQUENT EVENTS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the condensed consolidated financial statements were issued. Except for the matters discussed in Notes 5 and 11, there were no other subsequent events that would have required adjustment or disclosure in the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Condensed Consolidated Financial Statements and related Notes included in this Quarterly Report on Form 10-Q and our Audited Financial Statements and related Notes and MD&amp;A included in our prospectus, dated October 25, 2018, filed pursuant to Rule 424(b)(3). This MD&amp;A contains forward-looking statements that involve risks and uncertainties. Please see “Special Note Regarding Forward-Looking Statements” for additional factors relating to such statements, and see “Risk Factors” in our documents we have filed or furnished with the SEC for a discussion of certain risk factors applicable to our business, financial condition and results of operations. Past operating results are not necessarily indicative of operating results in any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a rapidly growing and leading money remittance services company focused on the U.S. to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and Puerto Rico, where customers can send money to beneficiaries in Mexico, Guatemala and 15 additional Latin American countries. Our services are accessible in person through our approximately 100,000 sending and paying agents and company-owned stores, as well as online and via Internet-enabled mobile devices.</w:t>
      </w:r>
    </w:p>
    <w:p>
      <w:pPr>
        <w:spacing w:after="0" w:line="19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Money remittance services are the primary source of our revenue. These services involve the movement of funds on behalf of an originating customer for receipt by a designated beneficiary at a designated receiving location. Our remittances to Latin America are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consumers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United States and our paying agents in the destination country. Remittances paid in local currencies that are not pegged to the U.S. dollar also earn revenue through our daily management of currency exchange spreads.</w:t>
      </w:r>
    </w:p>
    <w:p>
      <w:pPr>
        <w:spacing w:after="0" w:line="2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money remittance services enable our customers to send and receive funds through our extensive network of locations in the United States that are primarily operated by third-party businesses, which we refer to as agents, and a small number of company-owned stores in the LAC corridor. In addition, our services are offered digitally through Intermexonline.com and via Internet-enabled mobile devices. We currently operate in the United States, Mexico, Guatemala and 15 additional countries. Since January 2015 through December 31, 2017 we have grown our agent network by more than 73%, and increased our remittance transactions volume by approximately 71%.</w:t>
      </w:r>
    </w:p>
    <w:p>
      <w:pPr>
        <w:spacing w:after="0" w:line="21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non-bank financial institution, we are regulated by the Department of Treasury, the Internal Revenue Service, FinCEN, the Consumer Financial Protection Bureau, the Department of Banking and Finance of the State of Florida and additionally by the various regulatory institutions of those states where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 money transfer and payment instrument licensing laws; escheatment laws; privacy, data protection and information security laws; and consumer disclosure and consumer protection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Various trends and other factors have affected and may continue to affect our business, financial condition and operating results, including:</w:t>
      </w:r>
    </w:p>
    <w:p>
      <w:pPr>
        <w:spacing w:after="0" w:line="26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international political factors or implementation of tariffs, border taxes or restrictions on remittances or transfers of money out of the United States;</w:t>
      </w:r>
    </w:p>
    <w:p>
      <w:pPr>
        <w:sectPr>
          <w:pgSz w:w="11900" w:h="16838" w:orient="portrait"/>
          <w:cols w:equalWidth="0" w:num="1">
            <w:col w:w="11420"/>
          </w:cols>
          <w:pgMar w:left="240" w:top="121" w:right="239" w:bottom="70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70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exchange rates could impact consumer remittance activity</w:t>
      </w:r>
    </w:p>
    <w:p>
      <w:pPr>
        <w:spacing w:after="0" w:line="2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Latin American political and economic conditions remain unstable, as evidenced by high unemployment rates in key markets, currency reserves, currency controls, restricted lending activity, weak currencies and low consumer confidence, among other factors. Specifically, continued political and economic unrest in parts of Mexico and Guatemala contributed to volatility. Our business has generally been resilient during times of economic instability as money remittances are essential to many recipients, with the funds used by the receiving party for their daily needs. However, long-term sustained devaluation of the Mexican peso or Guatemalan quetzal as compared to the U.S. dollar could negatively affect our revenues and profitability.</w:t>
      </w:r>
    </w:p>
    <w:p>
      <w:pPr>
        <w:spacing w:after="0" w:line="2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Money remittance businesses such as ours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or consumer fraud, money laundering, terrorist financing and other illicit activity, along with enhancements to improve consumer protection, including related to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2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17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and marketing efforts. We sell credible solutions to our agents, not discounts or higher commissions, as is typical for the industry. We compete for money remittance customers on the basis of trust, convenience, service, efficiency of outlets, value, technology and brand recognition.</w:t>
      </w:r>
    </w:p>
    <w:p>
      <w:pPr>
        <w:spacing w:after="0" w:line="2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expect to encounter increasing competition as new technologies emerge that allow customers to send and receive money through a variety of channels, but we do not expect adoption rates of such new technologies to be as significant in the near term for the customer segment we serve. We continue to differentiate our business through programs to foster loyalty among agents as well as customers and have expanded our channels through which our services are accessed to include online and mobile offerings in preparation for customer adoption.</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08" w:lineRule="exact"/>
        <w:rPr>
          <w:sz w:val="20"/>
          <w:szCs w:val="20"/>
          <w:color w:val="auto"/>
        </w:rPr>
      </w:pPr>
    </w:p>
    <w:p>
      <w:pPr>
        <w:ind w:left="660" w:right="7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0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will remain an “emerging growth company” until the earliest of: (i) the last day of the fiscal year during which we had total annual gross revenues of $1 billion or more; (ii) the last day of the fiscal year following the fifth anniversary of the date of the first sale of our common stock pursuant to an effective registration statement; (iii) the date on which we have, during the previous three-year period, issued more than $1 billion in non-convertible debt; or</w:t>
      </w:r>
    </w:p>
    <w:p>
      <w:pPr>
        <w:ind w:right="20" w:firstLine="8"/>
        <w:spacing w:after="0" w:line="261"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filer,” which means the market value of our common stock that is held by non-affiliates exceeds $700 million as of the prior June 30.</w:t>
      </w:r>
    </w:p>
    <w:p>
      <w:pPr>
        <w:sectPr>
          <w:pgSz w:w="11900" w:h="16838" w:orient="portrait"/>
          <w:cols w:equalWidth="0" w:num="1">
            <w:col w:w="11420"/>
          </w:cols>
          <w:pgMar w:left="240" w:top="121"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December 2017, the United States enacted tax reform legislation known as the H.R.1, commonly referred to as the “Tax Cuts and Jobs Act” (the “Act”), resulting in significant modifications to existing law. Due to the timing of the Act and the complexity involved in applying the provisions of the Act, we made a reasonable estimate of the effects and recorded provisional amounts for the Successor period from February 1, 2017 through December 31, 2017, which include a reduction in the corporate tax rate from 34% to 21% as well as other changes. As a result of the changes to tax laws and tax rates under the Act, we have recorded a provisional one-time increase in income tax expense of $656,000 for the Successor period from February 1, 2017 through December 31, 2017, which consists primarily of the remeasurement of deferred tax assets and liabilities from 34% to 21%. We do not expect to incur a liability related to the one-time deemed repatriation transition tax on unrepatriated foreign earnings, as our foreign subsidiaries have a combined accumulated deficit.</w:t>
      </w:r>
    </w:p>
    <w:p>
      <w:pPr>
        <w:spacing w:after="0" w:line="1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we collect and prepare necessary data, interpret the Act and any additional guidance issued by the U.S. Treasury Department, the IRS, and other standard-setting bodies, we may make adjustments to the provisional amounts. Those adjustments may materially impact the provision for income taxes and effective tax rate in the period in which the adjustments are made. The accounting for the tax effects of the Act will be completed in 2018. Provisional amounts for the income tax effect of the Act have been recorded as of December 31, 2017 and are subject to change during 2018. During the nine months ended September 30, 2018, there were no adjustments made to the provisional amounts recorded in December 2017.</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Merger</w:t>
      </w:r>
    </w:p>
    <w:p>
      <w:pPr>
        <w:spacing w:after="0" w:line="25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Merger.</w:t>
      </w:r>
    </w:p>
    <w:p>
      <w:pPr>
        <w:spacing w:after="0" w:line="2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Merger has been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is treated as the equivalent of Intermex issuing stock for the net assets of FinTech, accompanied by a recapitalization. The net assets of FinTech are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for all Successor periods. The historical financial information and operating results of FinTech prior to the Merger have not been separately presented in these consolidated financial statements as they were not significant or meaningful.</w:t>
      </w:r>
    </w:p>
    <w:p>
      <w:pPr>
        <w:spacing w:after="0" w:line="2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Merger was approved by FinTech’s stockholders at the Special Meeting of FinTech Stockholders held on July 20, 2018. In connection with the closing of the Merger, FinTech redeemed a total of 4,938,232 shares of its common stock at a redemption price of $10.086957 per share, resulting in a total payment to redeeming stockholders of approximately $49.8 million. The aggregate consideration paid in the Merger consisted of approximately (i) $102.0 million in cash and (ii) 17.2 million shares of FinTech common stock.</w:t>
      </w:r>
    </w:p>
    <w:p>
      <w:pPr>
        <w:spacing w:after="0" w:line="2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After the completion of the transactions on the Closing Date, there were 36,182,783 shares of International Money Express, Inc. outstanding common stock, warrants to purchase 8,959,999 shares of common stock and 3,371,389 shares reserved for issuance under the International Money Express, Inc. 2018 Equity Compensation Plan, of which stock options to purchase 2,771,719 shares of common stock and restricted stock units in respect of 21,189 shares of common stock were granted to employees and independent directors of the Company in connection with the completion of the transactions. As of the Closing Date, the former stockholders of Intermex owned approximately 48.3% and the former stockholders of FinTech owned approximately 51.7% of the combined Company’s outstanding common stock.</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Stella Point Acquisition</w:t>
      </w:r>
    </w:p>
    <w:p>
      <w:pPr>
        <w:spacing w:after="0" w:line="25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February 1, 2016, Intermex’s direct wholly owned subsidiary Holdings entered into an Agreement and Plan of Merger pursuant to which Interwire LLC, an affiliate of Stella Point, acquired 100% of the outstanding capital stock of Holdings, the surviving corporation in a merger with a subsidiary of Interwire LLC that was formed for purposes of the transaction, which we refer to as the Stella Point acquisition. The Stella Point acquisition was consummated on February 1, 2017 for a cash purchase price of approximately $52.0 million, plus approximately $12.4 million of rollover equity from certain existing management holders, the assumption of approximately $78.0 million of Holdings’ outstanding debt and an additional funding of $5.0 million of Holdings debt. In connection with the Stella Point acquisition, certain members of our management contributed approximately $12.4 million of Holdings shares held by them to Interwire LLC in exchange for equity interests in Interwire LLC. In connection with the Stella Point acquisition, we applied “push-down accounting” and the assets and liabilities were adjusted to fair value on the closing date of the transaction, February 1, 2017. As a result, our financial statement presentations distinguish between a predecessor period (“Predecessor”), for periods prior to the closing of the Stella Point acquisition, and a successor period (“Successor”), for periods subsequent to the closing of such transaction. The Successor’s financial statements reflect a new basis of accounting that is based on the fair value of assets acquired and liabilities assumed as of the transaction date. The consolidated financial statements presented herein are those of Successor from its inception on February 1, 2017 through September 30, 2018, and those of Predecessor for all periods prior to the transaction date. The successor period may not be comparable to the predecessor periods.</w:t>
      </w:r>
    </w:p>
    <w:p>
      <w:pPr>
        <w:sectPr>
          <w:pgSz w:w="11900" w:h="16838" w:orient="portrait"/>
          <w:cols w:equalWidth="0" w:num="1">
            <w:col w:w="11420"/>
          </w:cols>
          <w:pgMar w:left="240" w:top="121"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5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services charges from agents and banks, salaries and benefits and selling, general and administrative expenses. To help us assess our performance with these key indicators, we use Adjusted EBITDA as a non-GAAP financial measure. We believe this non-GAAP measure provides useful information to investors and expanded insight to measure our revenue and cost performance as a supplement to our U.S. GAAP consolidated financial statements. See the “Adjusted EBITDA” sections below for reconciliations of Adjusted EBITDA to our net loss, the closest GAAP measure.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revenues based on the difference between the set exchange rate charged by us to the sender and the rate available to us in the wholesale foreign exchange market.</w:t>
      </w: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use forward foreign exchange contracts to manage the risk associated with currency fluctuations on settlement of wire transfers in foreign currencies.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Service charges and fees primarily consist of agent commissions and bank fees. Service charges and fees vary based on agent commission percentages and the amount of fees charged by the banks. Agents earn a commission on each transaction they process of approximately 50% of the transaction fee. Service charges and fees may increase if banks or payer organizations increase their fee structure. Service charges also vary based on the method the customer selects to send the transfer and payer organization that facilitates the transaction.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sales team as well as employees at our company-owned stores. Corporate employees include management, customer service, compliance, information technology, finance and human resources. Our sales team, located throughout the United States, is focused on supporting and growing our agent network. Share-based compensation is not comparable between the Successor and Predecessor periods and will also not be comparable in the periods before and after the Merger due to the different compensation plans in place at those times.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General and administrative expenses primarily consist of fixed overhead expenses associated with our operations, such as rent expense, insurance, professional services, management fees and other similar types of expenses. General and administrative expenses are expected to increase going forward as we are now a publicly traded company; however, the impact will be partially offset by the termination of the management fee agreement with Stella Point. A portion of general and administrative expenses relate to our 31 company-owned stores, however the majority relate to the overall business. Selling expenses include expenses such as advertising and promotion, provision for bad debt expense and expenses associated with increasing our network of agents. These expenses are expected to continue to increase as our revenues increase.</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Costs</w:t>
      </w:r>
    </w:p>
    <w:p>
      <w:pPr>
        <w:spacing w:after="0" w:line="2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incurred transaction costs associated with both the Stella Point acquisition as well as the Merger. These costs include all internal and external costs directly related to the transaction, consisting primarily of legal, consulting, accounting, advisory fees, and certain incentive bonuses directly related to the transaction. Due to their significance, transaction costs are detailed separately in our consolidated financial statements. The third quarter of 2018 includes certain one-time payments that were contingent on the consummation of the Merger, including employee bonus payments, waiver from our lenders to allow for the Merger and the termination fee associated with the management fee agreement. Payment of these items were funded at closing with a portion of the proceeds received from the Merger.</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Depreciation and amortization is not comparable between the Successor and Predecessor companies. Due to the application of “push-down” accounting with the Stella Point acquisition, the Successor company established a new basis for its tangible and intangible assets. Depreciation largely consists of depreciation of computer equipment and software that supports our technology platform. Amortization of intangible assets is primarily related to our trade name, agent relationships and developed technology. The Merger did not result in a new basis for our tangible and intangible assets.</w:t>
      </w:r>
    </w:p>
    <w:p>
      <w:pPr>
        <w:sectPr>
          <w:pgSz w:w="11900" w:h="16838" w:orient="portrait"/>
          <w:cols w:equalWidth="0" w:num="1">
            <w:col w:w="11420"/>
          </w:cols>
          <w:pgMar w:left="240" w:top="121"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consists primarily of interest associated with our senior secured credit facility, which consists of a term loan and revolving credit facility, which was refinanced on August 23, 2017. At September 30, 2018, the interest rates for the term loan and revolving credit facility were 11.51% and 13.0%, respectively. Interest on the term loan is based on the LIBOR Rate plus an applicable margin. Interest on the revolving credit facility is determined based on the highest of the LIBOR Rate, commercial lending rate of the collateral agent and federal funds rate, plus an applicable margin. Also included as a component of interest expense is the amortization of debt origination costs.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Provision (Benefit)</w:t>
      </w:r>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income tax provision (benefit) includes the expected benefit of all deferred tax assets, including our net operating loss carryforwards. With few exceptions, our net operating loss carryforwards will expire between 2029 through 2037. The February 1, 2017 acquisition by Stella Point Capital and the Merger were considered change of ownership transactions under Section 382 of the Code. After the change of ownership, utilization of our net operating loss carryforwards are subject to annual limitations, however our current assessment is that no valuation allowance is required for any of our deferred tax assets. Our tax provision (benefit) has been impacted by non-deductible expenses, including equity compensation and transaction costs. The Act, enacted in December 2017, reduced our federal corporate tax rate from 34% to 21% beginning in 2018.</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loss is determined by subtracting operating and non-operating expenses from revenues.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color w:val="auto"/>
              </w:rPr>
              <w:t>Successor Company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1"/>
              </w:rPr>
              <w:t>Nine</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2"/>
              </w:rPr>
              <w:t>Period from</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Months Ended</w:t>
            </w:r>
          </w:p>
        </w:tc>
        <w:tc>
          <w:tcPr>
            <w:tcW w:w="10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February 1, 2017</w:t>
            </w:r>
          </w:p>
        </w:tc>
        <w:tc>
          <w:tcPr>
            <w:tcW w:w="8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to 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119,227</w:t>
            </w:r>
          </w:p>
        </w:tc>
        <w:tc>
          <w:tcPr>
            <w:tcW w:w="140" w:type="dxa"/>
            <w:vAlign w:val="bottom"/>
            <w:tcBorders>
              <w:right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141,771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Other selling, general and administrative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139,673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(loss)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(13,413)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(7,061)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for the above periods are presented below:</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9"/>
              </w:rPr>
              <w:t>Three Months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Three Months</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r>
      <w:tr>
        <w:trPr>
          <w:trHeight w:val="216"/>
        </w:trPr>
        <w:tc>
          <w:tcPr>
            <w:tcW w:w="32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87"/>
              </w:rPr>
              <w:t>Ended September 30,</w:t>
            </w:r>
          </w:p>
        </w:tc>
        <w:tc>
          <w:tcPr>
            <w:tcW w:w="1360" w:type="dxa"/>
            <w:vAlign w:val="bottom"/>
          </w:tcPr>
          <w:p>
            <w:pPr>
              <w:jc w:val="center"/>
              <w:spacing w:after="0"/>
              <w:rPr>
                <w:sz w:val="20"/>
                <w:szCs w:val="20"/>
                <w:color w:val="auto"/>
              </w:rPr>
            </w:pPr>
            <w:r>
              <w:rPr>
                <w:rFonts w:ascii="Arial" w:cs="Arial" w:eastAsia="Arial" w:hAnsi="Arial"/>
                <w:sz w:val="18"/>
                <w:szCs w:val="18"/>
                <w:color w:val="auto"/>
              </w:rPr>
              <w:t>of</w:t>
            </w:r>
          </w:p>
        </w:tc>
        <w:tc>
          <w:tcPr>
            <w:tcW w:w="178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Ended September 30,</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of</w:t>
            </w: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61,332</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10,697</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8,413</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72,508</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56,393</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Wire transfer and money order fees of $61.3 million for the three months ended September 30, 2018 increased by $13.7 million from $47.6 million for the three months ended September 30, 2017. This increase of $13.7 million was due to a 28% increase in transaction volume compared to the third quarter of 2017, largely due to the continued growth in our agent network, which has grown by 26% from September 2017 to September 2018.</w:t>
      </w:r>
    </w:p>
    <w:p>
      <w:pPr>
        <w:spacing w:after="0" w:line="19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Revenues from foreign exchange of $10.7 million for the three months ended September 30, 2018 increased by $2.3 million from $8.4 million for the three months ended September 30, 2017. This increase was primarily due to higher transaction volume achieved by growth in our agent network.</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1"/>
              </w:rPr>
              <w:t>Three Months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Three Months</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r>
      <w:tr>
        <w:trPr>
          <w:trHeight w:val="216"/>
        </w:trPr>
        <w:tc>
          <w:tcPr>
            <w:tcW w:w="32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7"/>
              </w:rPr>
              <w:t>Ended September 30,</w:t>
            </w:r>
          </w:p>
        </w:tc>
        <w:tc>
          <w:tcPr>
            <w:tcW w:w="1360" w:type="dxa"/>
            <w:vAlign w:val="bottom"/>
          </w:tcPr>
          <w:p>
            <w:pPr>
              <w:jc w:val="center"/>
              <w:spacing w:after="0"/>
              <w:rPr>
                <w:sz w:val="20"/>
                <w:szCs w:val="20"/>
                <w:color w:val="auto"/>
              </w:rPr>
            </w:pPr>
            <w:r>
              <w:rPr>
                <w:rFonts w:ascii="Arial" w:cs="Arial" w:eastAsia="Arial" w:hAnsi="Arial"/>
                <w:sz w:val="18"/>
                <w:szCs w:val="18"/>
                <w:color w:val="auto"/>
              </w:rPr>
              <w:t>of</w:t>
            </w:r>
          </w:p>
        </w:tc>
        <w:tc>
          <w:tcPr>
            <w:tcW w:w="178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Ended September 30,</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of</w:t>
            </w: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Service charges from agents and banks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10,959</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3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Other selling, general and administrative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6,305</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16"/>
        </w:trPr>
        <w:tc>
          <w:tcPr>
            <w:tcW w:w="32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74,918</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52,546</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$48.3 million, or 67% of revenues,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$37.8 million, or 67% of revenues, for the three months ended September 30, 2017. The increase of $10.5 million was primarily due to the increase in transaction volume.</w:t>
      </w:r>
    </w:p>
    <w:p>
      <w:pPr>
        <w:spacing w:after="0" w:line="2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Salaries and benefits </w:t>
      </w:r>
      <w:r>
        <w:rPr>
          <w:rFonts w:ascii="Arial" w:cs="Arial" w:eastAsia="Arial" w:hAnsi="Arial"/>
          <w:sz w:val="16"/>
          <w:szCs w:val="16"/>
          <w:color w:val="auto"/>
        </w:rPr>
        <w:t>— Salaries and benefits were $11.0 million for the three months ended September 30, 2018, an increase of $5.0 million from $6.0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2017. The increase of $5.0 million primarily consisted of $4.2 million in share-based compensation related to the accelerated vesting of incentive units and the vesting of new options and restricted stock units that were granted in the third quarter of 2018 all in connection with the Merger, $0.4 million in salaries and benefits largely in management and compliance areas associated with our transition to a publicly-traded company, $0.3 million related to additional headcount to support the continued growth of the business and $0.1 million in severance expense.</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$5.2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increased by $1.0 million from $4.2 million for the three months ended September 30, 2017. The increase includes $0.6 million of professional fees associated with the registration common stock underlying outstanding warrants and $0.4 million in accounting, legal and investor relation fees associated with our transition to a publicly-traded company.</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Transaction costs </w:t>
      </w:r>
      <w:r>
        <w:rPr>
          <w:rFonts w:ascii="Arial" w:cs="Arial" w:eastAsia="Arial" w:hAnsi="Arial"/>
          <w:sz w:val="18"/>
          <w:szCs w:val="18"/>
          <w:color w:val="auto"/>
        </w:rPr>
        <w:t>— Transaction costs of $6.3 million for the three months ended September 30, 2018 include $1.8 million in employee bonuses,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terminate our management fee agreement, $1.5 million change in control fee to our lender, and $1.4 million in legal and other professional fees all directly related to the Merger.</w:t>
      </w:r>
    </w:p>
    <w:p>
      <w:pPr>
        <w:spacing w:after="0" w:line="2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$4.1 million for the three months ended September 30, 2018 decreased by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$4.5 million for the three months ended September 30, 2017. This decrease is due to $0.8 million less amortization related to the trade name, developed technology and agent relationships during the third quarter of 2018 as these intangibles are being amortized on an accelerated basis, which will decline over time. This decrease was partially offset by an increase in depreciation of $0.4 million associated primarily with additional computer equipment to support our growing business and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$3.4 million for the three months ended September 30, 2018, a decrease of $1.2 million from $4.6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2017. The decrease is due to a $1.7 million prepayment penalty associated with the refinancing on August 23, 2017 recognized in interest expense during the three months ended September 30, 2017, partially offset by an increase in interest expense of $0.5 million during the three months ended September 30, 2018 relating to a higher principal balance outstanding for the respective period in 2018 compared to the same period in 2017 as a result of the August 2017 refinancing.</w:t>
      </w:r>
    </w:p>
    <w:p>
      <w:pPr>
        <w:spacing w:after="0" w:line="2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 Income tax provision was $7.6 million for the three months ended September 30, 2018, a change of $7.8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an income tax benefit of $0.2 million for the three months ended September 30, 2017. The change in the income tax provision included a $0.4 million increase to tax expense related to taxable income attributable for both federal and state taxes in the three months ended September 30, 2018 period and a $7.3 million increase to tax expense associated with non-deductible expenses, primarily share-based compensation expense and transaction costs, net of the impact from the lower U.S. federal corporate tax rate in 2018 as a result of the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had a net loss of $13.4 million for the three months ended September 30, 2018 compared to a net loss of $0.6 million for the three months ended September 30, 2017 due primarily to the same factors discussed above.</w:t>
      </w:r>
    </w:p>
    <w:p>
      <w:pPr>
        <w:sectPr>
          <w:pgSz w:w="11900" w:h="16838" w:orient="portrait"/>
          <w:cols w:equalWidth="0" w:num="1">
            <w:col w:w="11420"/>
          </w:cols>
          <w:pgMar w:left="240" w:top="121"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Adjusted EBITDA is defined as net income (loss) before depreciation and amortization, interest expense, income taxes, and also adjusted to add back certain charges and expenses, such as transaction costs and non-cash compensation costs, as these charges and expenses are not considered a part of our core business operations and are not an indicator of ongoing, future company performance.</w:t>
      </w:r>
    </w:p>
    <w:p>
      <w:pPr>
        <w:spacing w:after="0" w:line="2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 Some of these limitations include the following:</w:t>
      </w:r>
    </w:p>
    <w:p>
      <w:pPr>
        <w:spacing w:after="0" w:line="193" w:lineRule="exact"/>
        <w:rPr>
          <w:sz w:val="20"/>
          <w:szCs w:val="20"/>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amounts necessary to service interest or principal payments on our senior secured credit facility;</w:t>
      </w:r>
    </w:p>
    <w:p>
      <w:pPr>
        <w:spacing w:after="0" w:line="197"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and because the payment of taxes is part of our operations, tax expense is a necessary element of our costs and ability to operate;</w:t>
      </w:r>
    </w:p>
    <w:p>
      <w:pPr>
        <w:spacing w:after="0" w:line="19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employee compensation;</w:t>
      </w:r>
    </w:p>
    <w:p>
      <w:pPr>
        <w:spacing w:after="0" w:line="25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compensate for these limitations by relying primarily on our GAAP results and using Adjusted EBITDA only as supplemental information.</w:t>
      </w:r>
    </w:p>
    <w:p>
      <w:pPr>
        <w:spacing w:after="0" w:line="26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Adjusted EBITDA for the three months ended September 30, 2018 was $13.4 million, representing an increase of $4.5 million, or 51%, from $8.9 million for the three months ended September 30, 2017. The increase in Adjusted EBITDA was primarily due to the increase in revenues of $16.1 million less the increase in service charges from agents and banks of $10.5 million as well as increases in other operating expenses to support the growth in our business.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reconciliation of Adjusted EBITDA to net loss, our closest GAAP measure.</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6"/>
          </w:tcPr>
          <w:p>
            <w:pPr>
              <w:jc w:val="right"/>
              <w:ind w:right="340"/>
              <w:spacing w:after="0"/>
              <w:rPr>
                <w:sz w:val="20"/>
                <w:szCs w:val="20"/>
                <w:color w:val="auto"/>
              </w:rPr>
            </w:pPr>
            <w:r>
              <w:rPr>
                <w:rFonts w:ascii="Arial" w:cs="Arial" w:eastAsia="Arial" w:hAnsi="Arial"/>
                <w:sz w:val="18"/>
                <w:szCs w:val="18"/>
                <w:color w:val="auto"/>
                <w:w w:val="90"/>
              </w:rPr>
              <w:t>Three Months Ended September 30,</w:t>
            </w:r>
          </w:p>
        </w:tc>
      </w:tr>
      <w:tr>
        <w:trPr>
          <w:trHeight w:val="237"/>
        </w:trPr>
        <w:tc>
          <w:tcPr>
            <w:tcW w:w="4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(13,413)</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(574)</w:t>
            </w:r>
          </w:p>
        </w:tc>
      </w:t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for: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23"/>
        </w:trPr>
        <w:tc>
          <w:tcPr>
            <w:tcW w:w="48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8,400</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Transaction costs (a)</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units plan (b)</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Share-based compensation, 2018 Plan (c)</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related to registering stock underlying warrants (d)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Management fee (e)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employee severance (f)</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820" w:type="dxa"/>
            <w:vAlign w:val="bottom"/>
          </w:tcPr>
          <w:p>
            <w:pPr>
              <w:ind w:left="160"/>
              <w:spacing w:after="0"/>
              <w:rPr>
                <w:sz w:val="20"/>
                <w:szCs w:val="20"/>
                <w:color w:val="auto"/>
              </w:rPr>
            </w:pPr>
            <w:r>
              <w:rPr>
                <w:rFonts w:ascii="Arial" w:cs="Arial" w:eastAsia="Arial" w:hAnsi="Arial"/>
                <w:sz w:val="18"/>
                <w:szCs w:val="18"/>
                <w:color w:val="auto"/>
              </w:rPr>
              <w:t>Other charges and expenses (g)</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13,444</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direct costs related to the Merger for the three months ended September 30, 2018, which are expensed as incurred and included as “transaction costs” in our condensed consolidated statements of operations and comprehensive loss. These costs include $1.8 million in employee bonuses, $1.6 million to terminate our management fee agreement, $1.5 million change in control fee to our lenders, and $1.4 million in legal, consulting, accounting, advisory fees all directly related to the Merger.</w:t>
      </w:r>
    </w:p>
    <w:p>
      <w:pPr>
        <w:sectPr>
          <w:pgSz w:w="11900" w:h="16838" w:orient="portrait"/>
          <w:cols w:equalWidth="0" w:num="1">
            <w:col w:w="11420"/>
          </w:cols>
          <w:pgMar w:left="240" w:top="121" w:right="239" w:bottom="916"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16"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September 30, 2018 and 2017 included expense regarding these incentive units, which became fully vested and were paid out upon the Closing Date of the Merger. As a result, employees no longer hold profits interests following the Merger.</w:t>
      </w:r>
    </w:p>
    <w:p>
      <w:pPr>
        <w:ind w:left="340" w:right="20" w:hanging="332"/>
        <w:spacing w:after="0" w:line="265"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$0.4 million of expense related to these equity instruments during the three months ended September 30, 2018.</w:t>
      </w:r>
    </w:p>
    <w:p>
      <w:pPr>
        <w:ind w:left="340" w:right="2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three months ended September 30, 2018 for professional fees in connection with the registration of common stock underlying outstanding warrants.</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$0.1 million of severance costs related to departmental changes.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Both the three months ended September 30, 2018 and 2017 includes loss on disposal of fixed assets and foreign currency (gains) or losses.</w:t>
      </w:r>
    </w:p>
    <w:p>
      <w:pPr>
        <w:spacing w:after="0" w:line="24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Nine Months Ended September 30, 2018 Compared to Successor Period from February 1, 2017 to September 30, 2017 (“2017 Q3 Successor Period”) and Predecessor Period from January 1, 2017 to January 31, 2017 (“2017 Predecessor Period”) defined as the “2017 Q3 Combined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for the above periods are presented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5"/>
              </w:rPr>
              <w:t>Predecessor</w:t>
            </w:r>
          </w:p>
        </w:tc>
        <w:tc>
          <w:tcPr>
            <w:tcW w:w="13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right"/>
              <w:ind w:right="10"/>
              <w:spacing w:after="0"/>
              <w:rPr>
                <w:sz w:val="20"/>
                <w:szCs w:val="20"/>
                <w:color w:val="auto"/>
              </w:rPr>
            </w:pPr>
            <w:r>
              <w:rPr>
                <w:rFonts w:ascii="Arial" w:cs="Arial" w:eastAsia="Arial" w:hAnsi="Arial"/>
                <w:sz w:val="18"/>
                <w:szCs w:val="18"/>
                <w:color w:val="auto"/>
              </w:rPr>
              <w:t>Successor Company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3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4"/>
              </w:rPr>
              <w:t>Period from</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2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Nine Months</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February 1, 2017</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8"/>
              </w:rPr>
              <w:t>January 1, 2017</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color w:val="auto"/>
                <w:w w:val="97"/>
              </w:rPr>
              <w:t>Ended September 30,</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to September 30,</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to January 31,</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rPr>
              <w:t>of</w:t>
            </w: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20" w:type="dxa"/>
            <w:vAlign w:val="bottom"/>
            <w:tcBorders>
              <w:right w:val="single" w:sz="8" w:color="auto"/>
            </w:tcBorders>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6"/>
              </w:rPr>
              <w:t>Revenues</w:t>
            </w: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Wire transfer and</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order fees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168,554</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119,227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29,013</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21,690</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2,450</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198,844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141,771</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14,426</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Wire transfer and money order fees of $168.6 million for the nine months ended September 30, 2018 increased by $37.5 million from $131.1 million for the 2017 Q3 Combined Period, which included $119.2 million for the 2017 Q3 Successor Period and $11.9 million for the 2017 Predecessor Period. This increase of $37.5 million was due to a 30% increase in transaction volume, largely due to the continued growth in our agent network, which has grown by 25% from September 2017 to September 2018.</w:t>
      </w: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Revenues from foreign exchange of $29.0 million for the nine months ended September 30, 2018 increased by $4.9 million from $24.1 million for the 2017 Q3 Combined Period, which included $21.7 million for the 2017 Q3 Successor Period and $2.4 million for the 2017 Predecessor Period. This increase included a favorable impact from the higher transaction volumes of $6.7 million, partially offset by reduced foreign exchange income earned per wire totaling $1.8 million.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5"/>
              </w:rPr>
              <w:t>Predecessor</w:t>
            </w:r>
          </w:p>
        </w:tc>
        <w:tc>
          <w:tcPr>
            <w:tcW w:w="1320" w:type="dxa"/>
            <w:vAlign w:val="bottom"/>
          </w:tcPr>
          <w:p>
            <w:pPr>
              <w:spacing w:after="0"/>
              <w:rPr>
                <w:sz w:val="17"/>
                <w:szCs w:val="17"/>
                <w:color w:val="auto"/>
              </w:rPr>
            </w:pPr>
          </w:p>
        </w:tc>
      </w:tr>
      <w:tr>
        <w:trPr>
          <w:trHeight w:val="237"/>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3"/>
          </w:tcPr>
          <w:p>
            <w:pPr>
              <w:jc w:val="right"/>
              <w:ind w:right="110"/>
              <w:spacing w:after="0"/>
              <w:rPr>
                <w:sz w:val="20"/>
                <w:szCs w:val="20"/>
                <w:color w:val="auto"/>
              </w:rPr>
            </w:pPr>
            <w:r>
              <w:rPr>
                <w:rFonts w:ascii="Arial" w:cs="Arial" w:eastAsia="Arial" w:hAnsi="Arial"/>
                <w:sz w:val="18"/>
                <w:szCs w:val="18"/>
                <w:color w:val="auto"/>
              </w:rPr>
              <w:t>Successor Company</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Company</w:t>
            </w:r>
          </w:p>
        </w:tc>
        <w:tc>
          <w:tcPr>
            <w:tcW w:w="1320" w:type="dxa"/>
            <w:vAlign w:val="bottom"/>
          </w:tcPr>
          <w:p>
            <w:pPr>
              <w:spacing w:after="0"/>
              <w:rPr>
                <w:sz w:val="20"/>
                <w:szCs w:val="20"/>
                <w:color w:val="auto"/>
              </w:rPr>
            </w:pPr>
          </w:p>
        </w:tc>
      </w:tr>
      <w:tr>
        <w:trPr>
          <w:trHeight w:val="202"/>
        </w:trPr>
        <w:tc>
          <w:tcPr>
            <w:tcW w:w="29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Period from</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Period from</w:t>
            </w:r>
          </w:p>
        </w:tc>
        <w:tc>
          <w:tcPr>
            <w:tcW w:w="14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Nine Months</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7"/>
              </w:rPr>
              <w:t>%</w:t>
            </w:r>
          </w:p>
        </w:tc>
        <w:tc>
          <w:tcPr>
            <w:tcW w:w="1420" w:type="dxa"/>
            <w:vAlign w:val="bottom"/>
            <w:gridSpan w:val="3"/>
          </w:tcPr>
          <w:p>
            <w:pPr>
              <w:spacing w:after="0"/>
              <w:rPr>
                <w:sz w:val="20"/>
                <w:szCs w:val="20"/>
                <w:color w:val="auto"/>
              </w:rPr>
            </w:pPr>
            <w:r>
              <w:rPr>
                <w:rFonts w:ascii="Arial" w:cs="Arial" w:eastAsia="Arial" w:hAnsi="Arial"/>
                <w:sz w:val="18"/>
                <w:szCs w:val="18"/>
                <w:color w:val="auto"/>
              </w:rPr>
              <w:t>February 1, 2017</w:t>
            </w: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9"/>
              </w:rPr>
              <w:t>January 1, 2017</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9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of</w:t>
            </w:r>
          </w:p>
        </w:tc>
        <w:tc>
          <w:tcPr>
            <w:tcW w:w="1420" w:type="dxa"/>
            <w:vAlign w:val="bottom"/>
            <w:gridSpan w:val="3"/>
          </w:tcPr>
          <w:p>
            <w:pPr>
              <w:spacing w:after="0"/>
              <w:rPr>
                <w:sz w:val="20"/>
                <w:szCs w:val="20"/>
                <w:color w:val="auto"/>
              </w:rPr>
            </w:pPr>
            <w:r>
              <w:rPr>
                <w:rFonts w:ascii="Arial" w:cs="Arial" w:eastAsia="Arial" w:hAnsi="Arial"/>
                <w:sz w:val="18"/>
                <w:szCs w:val="18"/>
                <w:color w:val="auto"/>
              </w:rPr>
              <w:t>to September 30,</w:t>
            </w: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rPr>
              <w:t>of</w:t>
            </w:r>
          </w:p>
        </w:tc>
        <w:tc>
          <w:tcPr>
            <w:tcW w:w="12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to January 31,</w:t>
            </w:r>
          </w:p>
        </w:tc>
        <w:tc>
          <w:tcPr>
            <w:tcW w:w="1320" w:type="dxa"/>
            <w:vAlign w:val="bottom"/>
          </w:tcPr>
          <w:p>
            <w:pPr>
              <w:jc w:val="center"/>
              <w:spacing w:after="0"/>
              <w:rPr>
                <w:sz w:val="20"/>
                <w:szCs w:val="20"/>
                <w:color w:val="auto"/>
              </w:rPr>
            </w:pPr>
            <w:r>
              <w:rPr>
                <w:rFonts w:ascii="Arial" w:cs="Arial" w:eastAsia="Arial" w:hAnsi="Arial"/>
                <w:sz w:val="18"/>
                <w:szCs w:val="18"/>
                <w:color w:val="auto"/>
              </w:rPr>
              <w:t>of</w:t>
            </w:r>
          </w:p>
        </w:tc>
      </w:tr>
      <w:tr>
        <w:trPr>
          <w:trHeight w:val="237"/>
        </w:trPr>
        <w:tc>
          <w:tcPr>
            <w:tcW w:w="2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140" w:type="dxa"/>
            <w:vAlign w:val="bottom"/>
            <w:tcBorders>
              <w:right w:val="single" w:sz="8" w:color="auto"/>
            </w:tcBorders>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86"/>
              </w:rPr>
              <w:t>Revenues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202"/>
        </w:trPr>
        <w:tc>
          <w:tcPr>
            <w:tcW w:w="2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Service charges from agents and</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2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banks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132,565</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94,608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24,633</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16,395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4,530</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2"/>
        </w:trPr>
        <w:tc>
          <w:tcPr>
            <w:tcW w:w="2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selling, general and</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10,319</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6,213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3,917</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9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r>
        <w:trPr>
          <w:trHeight w:val="216"/>
        </w:trPr>
        <w:tc>
          <w:tcPr>
            <w:tcW w:w="29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192,657</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139,673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19,333</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
        </w:trPr>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$132.6 million, or 67% of revenues,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$104.0 million, or 67% of revenues, for the 2017 Q3 Combined Period, which included $94.6 million for the 2017 Q3 Successor Period and $9.4 million for the 2017 Predecessor Period. The increase of $28.5 million was due to a 30% increase in transaction volume compared to the 2017 Q3 Combined Period, largely due to the continued growth in our agent network, which has grown by 25% from September 2017 to September 2018.</w:t>
      </w:r>
    </w:p>
    <w:p>
      <w:pPr>
        <w:spacing w:after="0" w:line="215"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Salaries and benefits </w:t>
      </w:r>
      <w:r>
        <w:rPr>
          <w:rFonts w:ascii="Arial" w:cs="Arial" w:eastAsia="Arial" w:hAnsi="Arial"/>
          <w:sz w:val="16"/>
          <w:szCs w:val="16"/>
          <w:color w:val="auto"/>
        </w:rPr>
        <w:t>— Salaries and benefits were $24.6 million for the nine months ended September 30, 2018, an increase of $3.7 million from $20.9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2017 Q3 Combined Period, which included $16.4 million for the 2017 Q3 Successor Period and $4.5 million for the 2017 Predecessor Period. The increase of $3.7 million primarily consisted of $4.2 million in share-based compensation related to the accelerated vesting of incentive units and the vesting of new options and restricted stock units that were granted in the third quarter of 2018 all in connection with the Merger, $0.7 million in commissions and bonuses due to our favorable operating results, $0.4 million in salaries and benefits largely in management and compliance areas associated with our transition to a publicly-traded company, $0.3 million in severance expenses, and the remaining increase relates to additional headcount to support the continued growth of the business. These increases were partially offset by a decrease of $2.9 million of expense related to the accelerated vesting of all stock options and restricted stock grants in connection with the Stella Point acquisition in the 2017 Predecessor Period that did not reoccur in 2018.</w:t>
      </w:r>
    </w:p>
    <w:p>
      <w:pPr>
        <w:spacing w:after="0" w:line="19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$13.4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increased by $1.9 million from $11.5 million for the 2017 Q3 Combined Period, which included $10.4 million for the 2017 Q3 Successor Period and $1.1 million for the 2017 Predecessor Period. The increase was primarily due to an increase in professional fees of $1.5 million, which included $ 0.6 million associated with registration of common stock underlying outstanding warrants, $0.2 million in legal fees and settlement expense associated with a Telephone Consumer Protection Act (“TCPA”) lawsuit and additional expenses to support our transition to a publicly-traded company. The remaining increase of $0.4 million largely related to our growing agent network, with increases in computer network maintenance costs, data communications expenses and related expenses.</w:t>
      </w:r>
    </w:p>
    <w:p>
      <w:pPr>
        <w:spacing w:after="0" w:line="2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Transaction costs </w:t>
      </w:r>
      <w:r>
        <w:rPr>
          <w:rFonts w:ascii="Arial" w:cs="Arial" w:eastAsia="Arial" w:hAnsi="Arial"/>
          <w:sz w:val="16"/>
          <w:szCs w:val="16"/>
          <w:color w:val="auto"/>
        </w:rPr>
        <w:t>— Transaction costs of $10.3 million for the nine months ended September 30, 2018 include costs related to the Merger,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employee bonuses, termination of management fee agreement, change in control fee to our lender and legal and other professional fees, while costs of $10.1 million for the 2017 Q3 Combined Period, which included $6.2 million for the 2017 Q3 Successor Period and $3.9 million for the 2017 Predecessor Period, related to the Stella Point acquisition consisting primarily of employee bonuses and legal and other professional fees.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$11.8 million for the nine months ended September 30, 2018 decreased by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$12.4 million for the 2017 Q3 Combined Period, which included $12.0 million for the 2017 Q3 Successor Period and $0.4 million for the 2017 Predecessor Period. Depreciation and amortization expense is not comparable between the Successor and Predecessor periods due to the new basis established for the assets and liabilities of the Successor company as of February 1,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$10.1 million for the nine months ended September 30, 2018 an increase of $1.4 million from $8.7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Q3 Combined Period, which included $8.1 million for the 2017 Q3 Successor Period and $0.6 million for the 2017 Predecessor Period. This increase was primarily due to the increase in the principal balance of debt outstanding for the respective period in 2018 compared to the same period in 2017 as a result of the August 2017 refinancing, partially offset by a prepayment penalty associated with the August 2017 refinancing of $1.7 million that was recognized in interest expense in the 2017 Q3 Combined Period.</w:t>
      </w:r>
    </w:p>
    <w:p>
      <w:pPr>
        <w:spacing w:after="0" w:line="2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 Income tax provision was $8.2 million for the nine months ended September 30, 2018, a change of $9.3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an income tax benefit of $1.1 million for the 2017 Q3 Combined Period, which included a tax provision of $1.1 million for the 2017 Q3 Successor Period and a tax benefit of $2.2 million for the 2017 Predecessor Period. The change of $9.3 million in income taxes included a $4.9 million increase to tax expense related to more taxable income incurred for both federal and state taxes in the nine months September 30, 2018 period and a $4.4 million increase to tax expense associated with non-deductible expenses, primarily share-based compensation expense and transaction costs, net of the impact from the lower U.S. federal corporate tax rate in 2018 as a result of the Act.</w:t>
      </w:r>
    </w:p>
    <w:p>
      <w:pPr>
        <w:sectPr>
          <w:pgSz w:w="11900" w:h="16838" w:orient="portrait"/>
          <w:cols w:equalWidth="0" w:num="1">
            <w:col w:w="11420"/>
          </w:cols>
          <w:pgMar w:left="240" w:top="121" w:right="239" w:bottom="403"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403"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a net loss of $12.1 million for the nine months ended September 30, 2018 compared to a net loss of $10.4 million for the 2017 Q3 Combined Period, which included $7.1 million for the 2017 Q3 Successor Period and $3.3 million for the 2017 Predecessor Period. The increase in net loss is due to the same factors discussed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for the nine months ended September 30, 2018 was $35.6 million, representing an increase of $10.8 million, or 44%, from $24.8 million for the 2017 Q3 Combined Period, which included $22.5 million for the 2017 Q3 Successor Period and $2.3 million for the 2017 Predecessor Period. The increase in Adjusted EBITDA was primarily due to the increase in revenues of $42.6 million less the increase in service charges from agents and banks of $28.5 million as well as increases in other operating expenses to support the growth in our business.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reconciliation of Adjusted EBITDA to net loss, our closest GAAP measure.</w:t>
      </w:r>
    </w:p>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Predecessor</w:t>
            </w:r>
          </w:p>
        </w:tc>
      </w:tr>
      <w:tr>
        <w:trPr>
          <w:trHeight w:val="237"/>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Borders>
              <w:right w:val="single" w:sz="8" w:color="auto"/>
            </w:tcBorders>
            <w:gridSpan w:val="5"/>
          </w:tcPr>
          <w:p>
            <w:pPr>
              <w:jc w:val="right"/>
              <w:ind w:right="880"/>
              <w:spacing w:after="0"/>
              <w:rPr>
                <w:sz w:val="20"/>
                <w:szCs w:val="20"/>
                <w:color w:val="auto"/>
              </w:rPr>
            </w:pPr>
            <w:r>
              <w:rPr>
                <w:rFonts w:ascii="Arial" w:cs="Arial" w:eastAsia="Arial" w:hAnsi="Arial"/>
                <w:sz w:val="18"/>
                <w:szCs w:val="18"/>
                <w:color w:val="auto"/>
              </w:rPr>
              <w:t>Successor Company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r>
      <w:tr>
        <w:trPr>
          <w:trHeight w:val="202"/>
        </w:trPr>
        <w:tc>
          <w:tcPr>
            <w:tcW w:w="5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4"/>
              </w:rPr>
              <w:t>Period from</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4"/>
              </w:rPr>
              <w:t>Period from</w:t>
            </w:r>
          </w:p>
        </w:tc>
        <w:tc>
          <w:tcPr>
            <w:tcW w:w="120" w:type="dxa"/>
            <w:vAlign w:val="bottom"/>
          </w:tcPr>
          <w:p>
            <w:pPr>
              <w:spacing w:after="0"/>
              <w:rPr>
                <w:sz w:val="17"/>
                <w:szCs w:val="17"/>
                <w:color w:val="auto"/>
              </w:rPr>
            </w:pPr>
          </w:p>
        </w:tc>
      </w:t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Nine Months</w:t>
            </w:r>
          </w:p>
        </w:tc>
        <w:tc>
          <w:tcPr>
            <w:tcW w:w="13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February 1, 2017</w:t>
            </w:r>
          </w:p>
        </w:tc>
        <w:tc>
          <w:tcPr>
            <w:tcW w:w="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January 1, 2017</w:t>
            </w:r>
          </w:p>
        </w:tc>
      </w:tr>
      <w:tr>
        <w:trPr>
          <w:trHeight w:val="216"/>
        </w:trPr>
        <w:tc>
          <w:tcPr>
            <w:tcW w:w="57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7"/>
              </w:rPr>
              <w:t>Ended September 30,</w:t>
            </w:r>
          </w:p>
        </w:tc>
        <w:tc>
          <w:tcPr>
            <w:tcW w:w="13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to September 30,</w:t>
            </w:r>
          </w:p>
        </w:tc>
        <w:tc>
          <w:tcPr>
            <w:tcW w:w="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to January 31,</w:t>
            </w:r>
          </w:p>
        </w:tc>
      </w:tr>
      <w:tr>
        <w:trPr>
          <w:trHeight w:val="237"/>
        </w:trPr>
        <w:tc>
          <w:tcPr>
            <w:tcW w:w="5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right w:val="single" w:sz="8" w:color="auto"/>
            </w:tcBorders>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(12,109)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(3,318)</w:t>
            </w:r>
          </w:p>
        </w:tc>
      </w:t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for:</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8,107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w:t>
            </w:r>
          </w:p>
        </w:tc>
      </w:tr>
      <w:tr>
        <w:trPr>
          <w:trHeight w:val="223"/>
        </w:trPr>
        <w:tc>
          <w:tcPr>
            <w:tcW w:w="5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(4,525)</w:t>
            </w: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Transaction costs (a)</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3,917</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units plan (b)</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Change in control adjustment for stock options (c)</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2,813</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2018 Plan (d)</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Costs related to registering stock underlying warrants (e)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Transition expenses (f)</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Management fee (g)</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TCPA settlement (h)</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Other employee severance (i)</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charges and expenses (j)</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r>
      <w:tr>
        <w:trPr>
          <w:trHeight w:val="27"/>
        </w:trPr>
        <w:tc>
          <w:tcPr>
            <w:tcW w:w="5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35,613</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22,529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2,309</w:t>
            </w:r>
          </w:p>
        </w:tc>
      </w:tr>
      <w:tr>
        <w:trPr>
          <w:trHeight w:val="21"/>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direct costs related to the Merger and Stella Point acquisition, which are expensed as incurred and included as “transaction costs” in our condensed consolidated statements of operations and comprehensive loss. The nine months ended September 30, 2018 includes $10.3 million related to the Merger. Costs related to the Stella Point acquisition amounts to $6.2 million for the 2017 Q3 Successor Period and $3.9 million for the 2017 Predecessor Period. These costs consist primarily of legal, consulting, accounting, advisory fees and certain incentive bonuses directly related to the above transactions.</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Successor Periods included expense regarding these incentive units, which became fully vested and where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$2.8 million related to stock options issued by the Predecessor company, which vested upon the Stella Point acquisition.</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$0.4 million of expense related to these equity instruments during the nine months ended September 30, 2018.</w:t>
      </w: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nine months ended September 30, 2018 for professional fees in connection with the registration of common stock underlying outstanding warrants.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recruiting fees and severance costs related to managerial changes in connection with becoming a publicly-traded company.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payments for the settlement of a lawsuit related to the TCPA, which includes a $0.1 million settlement payment and $0.1 million in related legal expenses.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$0.1 million of severance costs related to departmental changes.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or losses. The nine months ended September 30, 2018 also includes a one-time adjustment related to the Company’s loyalty programs of $0.2 million, while the 2017 Predecessor Period also includes amortization of restricted stock awards.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consider liquidity in terms of cash flows from operations and their sufficiency to fund our operating and investing activities. To meet our payment service obligations at all times we must have sufficient highly liquid assets and be able to move funds on a timely basis.</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2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expect to continue to finance our liquidity requirements through internally generated funds and supplemented with borrowings under our revolving credit facility. We believe that our projected cash flows generated from operations, together with borrowings under our revolving credit facility are sufficient to fund our principal debt payments, interest expense, our working capital needs and our expected capital expenditures for the next twelve months.</w:t>
      </w:r>
    </w:p>
    <w:p>
      <w:pPr>
        <w:spacing w:after="0" w:line="17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August 23, 2017, we refinanced our then-existing credit facility with a new Senior Secured Credit Facility, which consists of (i) a five-year $20.0 million senior secured revolving credit facility (“Revolving Facility”), scheduled to mature on August 23, 2022 and (ii) a five-year $97.0 million senior secured term loan facility (“Term Loan”), scheduled to mature on August 23, 2022. Interest on the Term Loan and Revolving Facility is determined by reference to either LIBOR or a “base rate”, in each case plus an applicable margin of 9% per annum for LIBOR loans or 8% per annum for base rate loans.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19, 2017, the Senior Secured Credit Facility was amended to allow for the Merger, as the facility contained a restrictive covenant related to the change of control of the Company. We were required to pay $1.5 million in fees to our lenders, which was contingent on the closing of the Merger. This expense is included in transaction costs in the condensed consolidated statements of operations and comprehensive loss for the three and nine months ended September 30, 2018 and was paid from the Merger proceeds at the Closing Date.</w:t>
      </w:r>
    </w:p>
    <w:p>
      <w:pPr>
        <w:spacing w:after="0" w:line="2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2018, and December 31, 2017, we were in compliance with the covenants contained in the credit agreement governing our Senior Secured Credit Facility.</w:t>
      </w:r>
    </w:p>
    <w:p>
      <w:pPr>
        <w:spacing w:after="0" w:line="1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we had total indebtedness of $112.2 million, including $92.2 million of borrowings under the Term Loan facility and $20.0 million in borrowings under the Revolving Facility and excluding debt origination costs of $3.6 million. There were no additional borrowings available under these facilities as of September 30, 2018.</w:t>
      </w:r>
    </w:p>
    <w:p>
      <w:pPr>
        <w:spacing w:after="0" w:line="2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November 7, 2018, the Company entered into a new financing agreement (the “Credit Agreement”) with, among others, certain of its domestic subsidiaries as borrowers, certain other domestic subsidiaries and a group of banking institutions. The Credit Agreement provides for a $35 million revolving credit facility, a $90 million term loan facility and an up to $30 million incremental facility. The Credit Agreement also provides for the issuance of letters of credit, which would reduce availability under the revolving credit facility. The proceeds of the loans were used to repay existing indebtedness, for working capital purposes and to pay fees and expenses in connection with the transaction. The maturity date of the Credit Agreement is November 7, 2023.</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amount of the term loan facility must be repaid in consecutive quarterly installments of 5% in year 1, 7.5% in years 2 and 3, 10% in years 4 and 5, in each case on the last day of each quarter, commencing in March 2019 with a final payment at maturity. The loans under the Credit Agreement may be prepaid at any time without payment or penalty.</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also contains financial covenants which require the Company to maintain a quarterly minimum fixed charge coverage ratio of 1.25:1.00 and a quarterly maximum consolidated leverage ratio of 3.25x. The fixed charge coverage ratio is generally defined in the Credit Agreement as the ratio of (i) consolidated EBITDA to (ii) scheduled principal payments of indebtedness.</w:t>
      </w:r>
    </w:p>
    <w:p>
      <w:pPr>
        <w:spacing w:after="0" w:line="2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substantially all of the assets of the loan parties, subject to certain exclusions and limitations.</w:t>
      </w:r>
    </w:p>
    <w:p>
      <w:pPr>
        <w:spacing w:after="0" w:line="19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Upon execution of the Credit Agreement, the Company incurred a prepayment penalty of approximately $2.0 million, which will be recognized as interest expense in the fourth quarter 2018 in the condensed consolidated statements of operations and comprehensive loss. In addition, the Company wrote off approximately $3.7 million of debt origination costs related to the Senior Secured Credit Facility as interest expense during the fourth quarter of 2018.</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Predecessor</w:t>
            </w:r>
          </w:p>
        </w:tc>
      </w:tr>
      <w:tr>
        <w:trPr>
          <w:trHeight w:val="237"/>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Borders>
              <w:right w:val="single" w:sz="8" w:color="auto"/>
            </w:tcBorders>
            <w:gridSpan w:val="5"/>
          </w:tcPr>
          <w:p>
            <w:pPr>
              <w:jc w:val="right"/>
              <w:ind w:right="1000"/>
              <w:spacing w:after="0"/>
              <w:rPr>
                <w:sz w:val="20"/>
                <w:szCs w:val="20"/>
                <w:color w:val="auto"/>
              </w:rPr>
            </w:pPr>
            <w:r>
              <w:rPr>
                <w:rFonts w:ascii="Arial" w:cs="Arial" w:eastAsia="Arial" w:hAnsi="Arial"/>
                <w:sz w:val="18"/>
                <w:szCs w:val="18"/>
                <w:color w:val="auto"/>
              </w:rPr>
              <w:t>Successor Company</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Company</w:t>
            </w:r>
          </w:p>
        </w:tc>
      </w:tr>
      <w:tr>
        <w:trPr>
          <w:trHeight w:val="202"/>
        </w:trPr>
        <w:tc>
          <w:tcPr>
            <w:tcW w:w="4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4"/>
              </w:rPr>
              <w:t>Period from</w:t>
            </w:r>
          </w:p>
        </w:tc>
        <w:tc>
          <w:tcPr>
            <w:tcW w:w="18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Period from</w:t>
            </w:r>
          </w:p>
        </w:tc>
        <w:tc>
          <w:tcPr>
            <w:tcW w:w="100" w:type="dxa"/>
            <w:vAlign w:val="bottom"/>
          </w:tcPr>
          <w:p>
            <w:pPr>
              <w:spacing w:after="0"/>
              <w:rPr>
                <w:sz w:val="17"/>
                <w:szCs w:val="17"/>
                <w:color w:val="auto"/>
              </w:rPr>
            </w:pPr>
          </w:p>
        </w:tc>
      </w:tr>
      <w:tr>
        <w:trPr>
          <w:trHeight w:val="216"/>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Nine Months</w:t>
            </w:r>
          </w:p>
        </w:tc>
        <w:tc>
          <w:tcPr>
            <w:tcW w:w="150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February 1, 2017</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January 1, 2017</w:t>
            </w:r>
          </w:p>
        </w:tc>
      </w:tr>
      <w:tr>
        <w:trPr>
          <w:trHeight w:val="216"/>
        </w:trPr>
        <w:tc>
          <w:tcPr>
            <w:tcW w:w="4480" w:type="dxa"/>
            <w:vAlign w:val="bottom"/>
          </w:tcPr>
          <w:p>
            <w:pPr>
              <w:spacing w:after="0"/>
              <w:rPr>
                <w:sz w:val="18"/>
                <w:szCs w:val="18"/>
                <w:color w:val="auto"/>
              </w:rPr>
            </w:pPr>
          </w:p>
        </w:tc>
        <w:tc>
          <w:tcPr>
            <w:tcW w:w="178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Ended September 30,</w:t>
            </w:r>
          </w:p>
        </w:tc>
        <w:tc>
          <w:tcPr>
            <w:tcW w:w="150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to September 30,</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 January 31,</w:t>
            </w:r>
          </w:p>
        </w:tc>
      </w:tr>
      <w:tr>
        <w:trPr>
          <w:trHeight w:val="237"/>
        </w:trPr>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8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Statement of Cash Flows Data:</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(3,575)</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restricted cash</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38,240</w:t>
            </w:r>
          </w:p>
        </w:tc>
      </w:tr>
      <w:tr>
        <w:trPr>
          <w:trHeight w:val="27"/>
        </w:trPr>
        <w:tc>
          <w:tcPr>
            <w:tcW w:w="4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restricted cash, end of the period</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83,130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44,497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44,628</w:t>
            </w:r>
          </w:p>
        </w:tc>
      </w:tr>
      <w:tr>
        <w:trPr>
          <w:trHeight w:val="21"/>
        </w:trPr>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Net cash provided by operating activities was $30.6 million for the nine months ended September 30, 2018, an increase of $32.7 million from net cash used of $2.2 million in the 2017 Q3 Combined Period, which included net cash used of $10.8 million for the 2017 Q3 Successor Period and net cash provided of $8.7 million for the 2017 Predecessor Period. The increase of $32.7 million in 2018 was impacted by non-recurring costs related to the Stella Point acquisition, which were paid during the 2017 Q3 Successor Period. The majority of the transaction costs associated with the Merger were paid at the Closing Date from the cash available in the FinTech trust, and therefore did not impact the operating cash flows for the nine months ended September 30, 2018. Additionally, operating cash flows in the nine months ended September 30, 2018 were positively impacted by the further growth of the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investing activities was $3.6 million for the nine months ended September 30, 2018, a decrease of $0.6 million from cash used of $4.2 million for the 2017 Q3 Combined Period, consisting of $4.0 million for the 2017 Q3 Successor Period and $0.2 million for the 2017 Predecessor Period. This decrease in cash used was primarily due to $0.9 million of net cash that was used as part of the funding for the Stella Point acquisition in the 2017 Q3 Successor Period that did not reoccur in 2018, partially offset by higher purchases of property and equipment during the nine months ended September 30,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Net cash used in financing activities was $3.6 million for the nine months ended September 30, 2018, which related to the quarterly payments due on the Term Loan, as well as proceeds and payments related to the Merger. Net cash provided by financing activities was $12.3 million for the 2017 Q3 Combined Period, which included cash provided of $14.3 million in the 2017 Q3 Successor Period and net cash used of $2.0 million in the 2017 Predecessor Period. Net cash provided by financing activities for the 2017 Q3 Combined Period consisted of $114.0 million in borrowings under our debt facilities, net of $77.0 million for repayment of debt, $4.7 million in debt origination cost payments and common dividend distributions of $20.0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September 30, 2018, our contractual obligations over the next several periods were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Less than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More than</w:t>
            </w:r>
          </w:p>
        </w:tc>
      </w:tr>
      <w:tr>
        <w:trPr>
          <w:trHeight w:val="241"/>
        </w:trPr>
        <w:tc>
          <w:tcPr>
            <w:tcW w:w="2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3 to 5 years</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Debt, principal payments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Interest payments</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Non-cancelable operating</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7"/>
        </w:trPr>
        <w:tc>
          <w:tcPr>
            <w:tcW w:w="2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161,002</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43,167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97,770</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1,630</w:t>
            </w:r>
          </w:p>
        </w:tc>
      </w:tr>
      <w:tr>
        <w:trPr>
          <w:trHeight w:val="21"/>
        </w:trPr>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above table reflects the principal and interest of the revolving credit facility and term loan that will be paid through the maturity of the debt using the rates in effect on September 30, 2018, assumes no voluntary prepayments of principal and does not reflect the new Credit Agreement that was entered into on November 7, 2018.</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Non-cancelable operating leases include various office leases, including our office headquarter lease, which was renegotiated in April 2018 resulting in a term extension through November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are not a party to any off-balance sheet arrangements, including guarantee contracts, retained or contingent interests, certain derivative instruments and variable interest entities that either have, or are reasonably likely to have, a current or future material effect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Based on these criteria, management has identified the following critical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Revenues for wire transfer and money order fees are recognized at the time the transaction is processed. These fees are recognized on a gross basis equal to the full amount of the fee charged to the customer as we are the primary obligor and have latitude in establishing price. Foreign exchange revenue, which represents the difference between the exchange rate set by us and the rate realized, is recognized upon the disbursement of U.S. dollars to the foreign bank. Other income primarily represents revenues for technology services provided to the independent network of agents who utilize our technology in processing transactions. Revenue for these transactions are recorded when persuasive evidence of an arrangement exists, delivery has occurred, or services have been rendered and collection is reasonably assured.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Accounts receivable are recorded upon initiation of the wire transfer and are typically due to us within five days. We maintain an allowance for doubtful accounts for estimated losses resulting from the inability of our sending agents to make required payments. When preparing these estimates, we consider a number of factors, including the aging of a sending agent’s account, creditworthiness of specific sending agents, historical trends and other information. We review our allowance for doubtful accounts policy periodically, reflecting current risks and changes in industry conditions and when necessary, will increase our allowance for doubtful accounts and recognize a provision for bad debt expense, included in other selling, general and administrative expenses in the consolidated statements of operations and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Goodwill and other intangible assets result primarily from business combination acquisitions, including the Stella Point acquisition. Other intangible assets include trade name, agent relationships, developed technology and other intangibles, all with finite lives. Upon the acquisition, the purchase price is first allocated to identifiable assets and liabilities, including the trade name and other intangibles, with any remaining purchase price recorded as goodwill.</w:t>
      </w:r>
    </w:p>
    <w:p>
      <w:pPr>
        <w:spacing w:after="0" w:line="17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Goodwill is not amortized. Rather, impairment tests are conducted on an annual basis, at the beginning of the fourth quarter, or more frequently if indicators of impairment are present. A qualitative assessment of goodwill was performed in 2017 subsequent to the Stella Point acquisition on February 1, 2017. Qualitative assessment includes consideration of the economic, industry and market conditions in addition to our overall financial performance and the performance of these assets. Based on the results of assessment, no indicators of impairment were noted. Accordingly, no further impairment testing was completed, and no impairment charges related to goodwill were recognized during any of the Successor Periods.</w:t>
      </w:r>
    </w:p>
    <w:p>
      <w:pPr>
        <w:spacing w:after="0" w:line="2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trade name, agent relationships and developed technology are currently amortized utilizing an accelerated method over their estimated useful lives. Other intangible assets are amortized straight-line over a useful life of 10 years. We review for impairment indicators of finite-lived intangibles and other long-lived assets whenever events or changes in circumstances indicate that the carrying amount of an asset may not be recoverable.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income taxes in accordance with generally accepted accounting principles which require,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ectPr>
          <w:pgSz w:w="11900" w:h="16838" w:orient="portrait"/>
          <w:cols w:equalWidth="0" w:num="1">
            <w:col w:w="11420"/>
          </w:cols>
          <w:pgMar w:left="240" w:top="122"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required by the uncertain tax position guidance, we recognize the financial statement benefit of a position only after determining that the relevant tax authority would more likely than not sustain the positions following an audit. For tax positions meeting the more likely-than-not threshold, the amount recognized in the financial statements is the largest benefit that has a greater than 50 percent likelihood of being realized upon ultimate settlement with the relevant tax authority. We are subject to income taxes in the U.S. federal jurisdiction and various state jurisdictions. Tax regulations within each jurisdiction are subject to the interpretation of the related tax laws and regulations and require significant judgment to apply. With few exceptions, we are no longer subject to U.S. federal or state and local income tax examinations by tax authorities for the years before 2013. We apply the uncertain tax position guidance to all tax positions for which the statute of limitations remains open. Our policy is to classify interest accrued as interest expense and penalties as operating expenses. We do not have any material uncertain tax positions.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foreign subsidiaries are subject to taxes by local tax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 to Note 1 of our condensed consolidated financial statements included in this filing for further information on Accounting Pronouncements.</w:t>
      </w: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manage foreign currency risk through the structure of the business and an active risk management process. We currently settle with our payers in Latin America by entering into short duration foreign currency forward contracts with foreign currency providers (“counterparties”). The foreign currency exposure on our derivative instruments is limited by the fact that all transactions are settled within five days after they are initiated. However, foreign currency fluctuations may negatively impact our average exchange gain per transaction.</w:t>
      </w:r>
    </w:p>
    <w:p>
      <w:pPr>
        <w:spacing w:after="0" w:line="2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exposed to changes in currency rates as a result of our investments in foreign operations and revenues generated in currencies other than U.S. dollar. Revenues and profits generated by international operations will increase or decrease because of changes in foreign currency exchange rates. This foreign currency risk is related to our operations in Mexico and Guatemala. Revenues from these operations represent less than 3% of our consolidated revenues for the nine months ended September 30, 2018 and the 2017 Q3 Combined Period. Therefore, a 10% increase or decrease in these currency rates against the U.S. Dollar would result in a minimal change to our overall operating results.</w:t>
      </w:r>
    </w:p>
    <w:p>
      <w:pPr>
        <w:spacing w:after="0" w:line="2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spot exchange rates as of September 30, 2018 and December 31, 2017 were 19.65 and 19.72 for the Mexico Peso/Dollar and 7.70 and 7.35 for the Guatemala Quetzal/Dollar, respectively. The average exchange rates for the nine months ended September 30, 2018 were 19.03 for the Mexico Peso/Dollar and 7.41 for the Guatemala Quetzal/Dollar. Long-term sustained devaluation of the Mexican peso or Guatemalan Quetzal as compared to the U.S. dollar could negatively affect our margins.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Term Loan bears interest at a variable rate based on LIBOR plus a fixed margin. As of September 30, 2018, we had $92.2 million in outstanding borrowings under the Term Loan. A hypothetical 1% increase or decrease in the interest rate on our indebtedness as of September 30, 2018 would have increased or decreased cash interest expense on our term loan by approximately $0.9 million per annum.</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Revolving Facility bears interest at a variable rate based on the highest of LIBOR, base commercial lending rate of the collateral agent and federal funds rate, plus a fixed margin. As of September 30, 2018, we had $20 million in outstanding borrowings under our Revolving Facility. A hypothetical 1% increase or decrease in the interest rate on our indebtedness as of September 30, 2018 would have increased or decreased cash interest expense on our Revolving Facility by approximately $0.2 million per annum.</w:t>
      </w: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Term Loan and the Revolving Facility were refinanced on November 7, 2018. The above discussion does not reflect the new Credit Agreement that was entered into on November 7, 2018.</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maintain certain cash balances in various U.S. banks, which at times, may exceed federally insured limits. We have not incurred any losses on these accounts. In addition, we maintain various bank accounts in Mexico and Guatemala,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also exposed to credit risk related to receivable balances from sending agents. We perform a credit review before each agent signing and conduct ongoing analyses of agents and certain other parties we transact with directly. As of September 30, 2018, we also had $1.3 million outstanding of notes receivable from sending agents. Most of the notes are collateralized by personal guarantees from the sending agents and by assets from their businesses.</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expense associated with bad debts were approximately $0.7 million for the nine months ended September 30, 2018 (0.4% of total revenues) and $0.9 million for the 2017 Q3 Combined Period (0.6% of total revenues).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our disclosure controls and procedures as of September 30, 2018. In 2017, we identified two material weaknesses relating to amortization of intangible assets and deferred tax utilization analysis. Since the identification of the two material weaknesses, we restated our 2016 financial statements to correct the errors and have determined that the two material weaknesses are non-recurring. As a result of the restatement of the 2016 financial statements and the non-recurring nature of the material weaknesses, as of September 30, 2018, management has concluded that the two material weaknesses in internal control over financial reporting and reported in the Current Report on Form 8-K filed on August 1, 2018 have been remediated. Based upon their evaluation, our Chief Executive Officer and Chief Financial Officer concluded that, as of September 30, 2018, our disclosure controls and procedures were effective at a reasonable level of assurance.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color w:val="auto"/>
        </w:rPr>
        <w:t>–</w:t>
      </w:r>
      <w:r>
        <w:rPr>
          <w:rFonts w:ascii="Arial" w:cs="Arial" w:eastAsia="Arial" w:hAnsi="Arial"/>
          <w:sz w:val="18"/>
          <w:szCs w:val="18"/>
          <w:b w:val="1"/>
          <w:bCs w:val="1"/>
          <w:color w:val="auto"/>
        </w:rPr>
        <w:t xml:space="preserve">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jc w:val="both"/>
        <w:ind w:right="40" w:firstLine="810"/>
        <w:spacing w:after="0" w:line="264" w:lineRule="auto"/>
        <w:rPr>
          <w:sz w:val="20"/>
          <w:szCs w:val="20"/>
          <w:color w:val="auto"/>
        </w:rPr>
      </w:pPr>
      <w:r>
        <w:rPr>
          <w:rFonts w:ascii="Arial" w:cs="Arial" w:eastAsia="Arial" w:hAnsi="Arial"/>
          <w:sz w:val="18"/>
          <w:szCs w:val="18"/>
          <w:color w:val="auto"/>
        </w:rPr>
        <w:t>Reference is made to Note 11–Commitments and Contingencies in the Notes to the Unaudited Condensed Consolidated Financial Statements of International Money Express, Inc. contained elsewhere in this Quarterly Report on Form 10–Q for information regarding certain litigation to which we are a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the prospectus, dated October 25, 2018, filed pursuant to Rule 424(b)(3), relating to our issuance of common stock underlying outstanding warrants which is accessible on the SEC’s website at www.sec.gov.</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In connection with the Merger, on the Closing Date we redeemed 4,938,232 shares of our common stock at a redemption price of $10.086957 per share pursuant to the terms of our amended and restated certificate of incorporation, resulting in a total payment to redeeming stockholders of approximately $49.8 million.</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0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40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85"/>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Pr>
          <w:p>
            <w:pPr>
              <w:ind w:left="140"/>
              <w:spacing w:after="0"/>
              <w:rPr>
                <w:sz w:val="20"/>
                <w:szCs w:val="20"/>
                <w:color w:val="auto"/>
              </w:rPr>
            </w:pPr>
            <w:r>
              <w:rPr>
                <w:rFonts w:ascii="Arial" w:cs="Arial" w:eastAsia="Arial" w:hAnsi="Arial"/>
                <w:sz w:val="18"/>
                <w:szCs w:val="18"/>
                <w:b w:val="1"/>
                <w:bCs w:val="1"/>
                <w:color w:val="auto"/>
              </w:rPr>
              <w:t>Document</w:t>
            </w:r>
          </w:p>
        </w:tc>
      </w:tr>
      <w:tr>
        <w:trPr>
          <w:trHeight w:val="392"/>
        </w:trPr>
        <w:tc>
          <w:tcPr>
            <w:tcW w:w="320" w:type="dxa"/>
            <w:vAlign w:val="bottom"/>
            <w:gridSpan w:val="2"/>
          </w:tcPr>
          <w:p>
            <w:pPr>
              <w:spacing w:after="0"/>
              <w:rPr>
                <w:rFonts w:ascii="Arial" w:cs="Arial" w:eastAsia="Arial" w:hAnsi="Arial"/>
                <w:sz w:val="18"/>
                <w:szCs w:val="18"/>
                <w:color w:val="0000EE"/>
              </w:rPr>
            </w:pPr>
            <w:hyperlink r:id="rId7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Second Amended and Restated Certificate of Incorporation of the Company, dated July 26, 2018 (incorporated by reference to Exhibit 3.1 to</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the Registrant’s Registration Statement on Form S-1 filed on September 28, 2018 (File No. 333-226948)).</w:t>
            </w:r>
          </w:p>
        </w:tc>
      </w:tr>
      <w:tr>
        <w:trPr>
          <w:trHeight w:val="392"/>
        </w:trPr>
        <w:tc>
          <w:tcPr>
            <w:tcW w:w="320" w:type="dxa"/>
            <w:vAlign w:val="bottom"/>
            <w:gridSpan w:val="2"/>
          </w:tcPr>
          <w:p>
            <w:pPr>
              <w:spacing w:after="0"/>
              <w:rPr>
                <w:rFonts w:ascii="Arial" w:cs="Arial" w:eastAsia="Arial" w:hAnsi="Arial"/>
                <w:sz w:val="18"/>
                <w:szCs w:val="18"/>
                <w:color w:val="0000EE"/>
              </w:rPr>
            </w:pPr>
            <w:hyperlink r:id="rId7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Second Amended and Restated Bylaws of the Company, effective as of July 26, 2018 (incorporated by reference to Exhibit 3.2 to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Registrant’s Registration Statement on Form S-1 filed on September 28, 2018 (File No. 333-226948)).</w:t>
            </w:r>
          </w:p>
        </w:tc>
      </w:tr>
      <w:tr>
        <w:trPr>
          <w:trHeight w:val="392"/>
        </w:trPr>
        <w:tc>
          <w:tcPr>
            <w:tcW w:w="320" w:type="dxa"/>
            <w:vAlign w:val="bottom"/>
            <w:gridSpan w:val="2"/>
          </w:tcPr>
          <w:p>
            <w:pPr>
              <w:spacing w:after="0"/>
              <w:rPr>
                <w:rFonts w:ascii="Arial" w:cs="Arial" w:eastAsia="Arial" w:hAnsi="Arial"/>
                <w:sz w:val="18"/>
                <w:szCs w:val="18"/>
                <w:color w:val="0000EE"/>
              </w:rPr>
            </w:pPr>
            <w:hyperlink r:id="rId73">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Shareholders Agreement, dated July 26, 2018, between the Company and the stockholders of the Company signatory thereto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7"/>
              </w:rPr>
              <w:t>reference to Exhibit 4.3 to the Registrant’s Registration Statement on Form S-1 filed on September 28, 2018 (File No. 333-226948)).</w:t>
            </w:r>
          </w:p>
        </w:tc>
      </w:tr>
      <w:tr>
        <w:trPr>
          <w:trHeight w:val="39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7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Registration Rights Agreement, dated July 26, 2018, by and among FinTech Acquisition Corp. II, SPC Investors, Minority Investors and</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Additional Investors (incorporated by reference to Exhibit 10.2 to the Registrant’s Registration Statement on Form S-1 filed on September 28,</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2018 (File No. 333-226948)).</w:t>
            </w:r>
          </w:p>
        </w:tc>
      </w:tr>
      <w:tr>
        <w:trPr>
          <w:trHeight w:val="39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7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International Money Express, Inc. 2018 Omnibus Equity Compensation Plan (incorporated by reference to Exhibit 10.3(a) to the Registrant’s</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Registration Statement on Form S-1 filed on September 28, 2018 (File No. 333-226948)).</w:t>
            </w:r>
          </w:p>
        </w:tc>
      </w:tr>
      <w:tr>
        <w:trPr>
          <w:trHeight w:val="39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w:t>
            </w: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w:t>
            </w: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18 U.S.C. § 1350.</w:t>
            </w: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60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18 U.S.C. § 1350.</w:t>
            </w:r>
          </w:p>
        </w:tc>
      </w:tr>
    </w:tbl>
    <w:p>
      <w:pPr>
        <w:spacing w:after="0" w:line="25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Lisy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Tony Lauro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1697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1697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Robert Lisy, President and Chief Executive Officer of International Money Express, Inc. (the “Company”), certify, pursuant to 18 U.S.C. Section 1350, that, to my knowledge:</w:t>
      </w:r>
    </w:p>
    <w:p>
      <w:pPr>
        <w:spacing w:after="0" w:line="197" w:lineRule="exact"/>
        <w:rPr>
          <w:sz w:val="20"/>
          <w:szCs w:val="20"/>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right="380" w:firstLine="8"/>
        <w:spacing w:after="0" w:line="51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2018</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Robert Lisy</w:t>
      </w:r>
    </w:p>
    <w:p>
      <w:pPr>
        <w:spacing w:after="0" w:line="36"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1697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97" w:lineRule="exact"/>
        <w:rPr>
          <w:sz w:val="20"/>
          <w:szCs w:val="20"/>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right="380" w:firstLine="8"/>
        <w:spacing w:after="0" w:line="51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2018</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Tony Lauro II</w:t>
      </w:r>
    </w:p>
    <w:p>
      <w:pPr>
        <w:spacing w:after="0" w:line="36"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1697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o"/>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Roman"/>
      <w:start w:val="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71" Type="http://schemas.openxmlformats.org/officeDocument/2006/relationships/hyperlink" Target="http://www.sec.gov/Archives/edgar/data/1683695/000114036118039596/ex3_1.htm" TargetMode="External"/><Relationship Id="rId72" Type="http://schemas.openxmlformats.org/officeDocument/2006/relationships/hyperlink" Target="http://www.sec.gov/Archives/edgar/data/1683695/000114036118039596/ex3_2.htm" TargetMode="External"/><Relationship Id="rId73" Type="http://schemas.openxmlformats.org/officeDocument/2006/relationships/hyperlink" Target="http://www.sec.gov/Archives/edgar/data/1683695/000114036118039596/ex4_3.htm" TargetMode="External"/><Relationship Id="rId74" Type="http://schemas.openxmlformats.org/officeDocument/2006/relationships/hyperlink" Target="http://www.sec.gov/Archives/edgar/data/1683695/000114036118039596/ex10_2.htm" TargetMode="External"/><Relationship Id="rId75" Type="http://schemas.openxmlformats.org/officeDocument/2006/relationships/hyperlink" Target="http://www.sec.gov/Archives/edgar/data/1683695/000114036118039596/ex10_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2019-12-28T17:40:23Z</dcterms:created>
  <dcterms:modified xsi:type="dcterms:W3CDTF">2019-12-28T17:40:23Z</dcterms:modified>
</cp:coreProperties>
</file>