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59"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b w:val="1"/>
                <w:bCs w:val="1"/>
                <w:color w:val="auto"/>
                <w:w w:val="89"/>
              </w:rPr>
              <w:t>Commission File No. 001-37986</w:t>
            </w:r>
          </w:p>
        </w:tc>
        <w:tc>
          <w:tcPr>
            <w:tcW w:w="0" w:type="dxa"/>
            <w:vAlign w:val="bottom"/>
          </w:tcPr>
          <w:p>
            <w:pPr>
              <w:spacing w:after="0"/>
              <w:rPr>
                <w:sz w:val="1"/>
                <w:szCs w:val="1"/>
                <w:color w:val="auto"/>
              </w:rPr>
            </w:pPr>
          </w:p>
        </w:tc>
      </w:tr>
      <w:tr>
        <w:trPr>
          <w:trHeight w:val="396"/>
        </w:trPr>
        <w:tc>
          <w:tcPr>
            <w:tcW w:w="11240" w:type="dxa"/>
            <w:vAlign w:val="bottom"/>
            <w:gridSpan w:val="8"/>
          </w:tcPr>
          <w:p>
            <w:pPr>
              <w:jc w:val="center"/>
              <w:spacing w:after="0"/>
              <w:rPr>
                <w:sz w:val="20"/>
                <w:szCs w:val="20"/>
                <w:color w:val="auto"/>
              </w:rPr>
            </w:pPr>
            <w:r>
              <w:rPr>
                <w:rFonts w:ascii="Arial" w:cs="Arial" w:eastAsia="Arial" w:hAnsi="Arial"/>
                <w:sz w:val="29"/>
                <w:szCs w:val="29"/>
                <w:b w:val="1"/>
                <w:bCs w:val="1"/>
                <w:color w:val="auto"/>
              </w:rPr>
              <w:t>INTERNATIONAL MONEY EXPRESS, INC.</w:t>
            </w:r>
          </w:p>
        </w:tc>
        <w:tc>
          <w:tcPr>
            <w:tcW w:w="0" w:type="dxa"/>
            <w:vAlign w:val="bottom"/>
          </w:tcPr>
          <w:p>
            <w:pPr>
              <w:spacing w:after="0"/>
              <w:rPr>
                <w:sz w:val="1"/>
                <w:szCs w:val="1"/>
                <w:color w:val="auto"/>
              </w:rPr>
            </w:pPr>
          </w:p>
        </w:tc>
      </w:tr>
      <w:tr>
        <w:trPr>
          <w:trHeight w:val="29"/>
        </w:trPr>
        <w:tc>
          <w:tcPr>
            <w:tcW w:w="33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1"/>
                <w:szCs w:val="21"/>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99"/>
        </w:trPr>
        <w:tc>
          <w:tcPr>
            <w:tcW w:w="3380" w:type="dxa"/>
            <w:vAlign w:val="bottom"/>
          </w:tcPr>
          <w:p>
            <w:pPr>
              <w:jc w:val="center"/>
              <w:ind w:left="1943"/>
              <w:spacing w:after="0"/>
              <w:rPr>
                <w:sz w:val="20"/>
                <w:szCs w:val="20"/>
                <w:color w:val="auto"/>
              </w:rPr>
            </w:pPr>
            <w:r>
              <w:rPr>
                <w:rFonts w:ascii="Arial" w:cs="Arial" w:eastAsia="Arial" w:hAnsi="Arial"/>
                <w:sz w:val="18"/>
                <w:szCs w:val="18"/>
                <w:b w:val="1"/>
                <w:bCs w:val="1"/>
                <w:color w:val="auto"/>
                <w:w w:val="93"/>
              </w:rPr>
              <w:t>Delaware</w:t>
            </w: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60" w:type="dxa"/>
            <w:vAlign w:val="bottom"/>
            <w:gridSpan w:val="3"/>
          </w:tcPr>
          <w:p>
            <w:pPr>
              <w:jc w:val="right"/>
              <w:ind w:right="2190"/>
              <w:spacing w:after="0"/>
              <w:rPr>
                <w:sz w:val="20"/>
                <w:szCs w:val="20"/>
                <w:color w:val="auto"/>
              </w:rPr>
            </w:pPr>
            <w:r>
              <w:rPr>
                <w:rFonts w:ascii="Arial" w:cs="Arial" w:eastAsia="Arial" w:hAnsi="Arial"/>
                <w:sz w:val="18"/>
                <w:szCs w:val="18"/>
                <w:b w:val="1"/>
                <w:bCs w:val="1"/>
                <w:color w:val="auto"/>
              </w:rPr>
              <w:t>47-4219082</w:t>
            </w:r>
          </w:p>
        </w:tc>
        <w:tc>
          <w:tcPr>
            <w:tcW w:w="0" w:type="dxa"/>
            <w:vAlign w:val="bottom"/>
          </w:tcPr>
          <w:p>
            <w:pPr>
              <w:spacing w:after="0"/>
              <w:rPr>
                <w:sz w:val="1"/>
                <w:szCs w:val="1"/>
                <w:color w:val="auto"/>
              </w:rPr>
            </w:pPr>
          </w:p>
        </w:tc>
      </w:tr>
      <w:tr>
        <w:trPr>
          <w:trHeight w:val="34"/>
        </w:trPr>
        <w:tc>
          <w:tcPr>
            <w:tcW w:w="540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80" w:type="dxa"/>
            <w:vAlign w:val="bottom"/>
            <w:gridSpan w:val="5"/>
          </w:tcPr>
          <w:p>
            <w:pPr>
              <w:jc w:val="center"/>
              <w:ind w:right="12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56"/>
        </w:trPr>
        <w:tc>
          <w:tcPr>
            <w:tcW w:w="668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w w:val="90"/>
              </w:rPr>
              <w:t>9480 South Dixie Highway</w:t>
            </w:r>
          </w:p>
        </w:tc>
        <w:tc>
          <w:tcPr>
            <w:tcW w:w="4560" w:type="dxa"/>
            <w:vAlign w:val="bottom"/>
            <w:gridSpan w:val="3"/>
            <w:vMerge w:val="restart"/>
          </w:tcPr>
          <w:p>
            <w:pPr>
              <w:jc w:val="right"/>
              <w:ind w:right="2390"/>
              <w:spacing w:after="0"/>
              <w:rPr>
                <w:sz w:val="20"/>
                <w:szCs w:val="20"/>
                <w:color w:val="auto"/>
              </w:rPr>
            </w:pPr>
            <w:r>
              <w:rPr>
                <w:rFonts w:ascii="Arial" w:cs="Arial" w:eastAsia="Arial" w:hAnsi="Arial"/>
                <w:sz w:val="18"/>
                <w:szCs w:val="18"/>
                <w:b w:val="1"/>
                <w:bCs w:val="1"/>
                <w:color w:val="auto"/>
              </w:rPr>
              <w:t>33156</w:t>
            </w: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tcPr>
          <w:p>
            <w:pPr>
              <w:jc w:val="center"/>
              <w:ind w:left="1943"/>
              <w:spacing w:after="0"/>
              <w:rPr>
                <w:sz w:val="20"/>
                <w:szCs w:val="20"/>
                <w:color w:val="auto"/>
              </w:rPr>
            </w:pPr>
            <w:r>
              <w:rPr>
                <w:rFonts w:ascii="Arial" w:cs="Arial" w:eastAsia="Arial" w:hAnsi="Arial"/>
                <w:sz w:val="18"/>
                <w:szCs w:val="18"/>
                <w:b w:val="1"/>
                <w:bCs w:val="1"/>
                <w:color w:val="auto"/>
                <w:w w:val="97"/>
              </w:rPr>
              <w:t>Miami, Florida</w:t>
            </w:r>
          </w:p>
        </w:tc>
        <w:tc>
          <w:tcPr>
            <w:tcW w:w="20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60" w:type="dxa"/>
            <w:vAlign w:val="bottom"/>
          </w:tcPr>
          <w:p>
            <w:pPr>
              <w:ind w:left="360"/>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350"/>
        </w:trPr>
        <w:tc>
          <w:tcPr>
            <w:tcW w:w="3380" w:type="dxa"/>
            <w:vAlign w:val="bottom"/>
          </w:tcPr>
          <w:p>
            <w:pPr>
              <w:spacing w:after="0"/>
              <w:rPr>
                <w:sz w:val="24"/>
                <w:szCs w:val="24"/>
                <w:color w:val="auto"/>
              </w:rPr>
            </w:pPr>
          </w:p>
        </w:tc>
        <w:tc>
          <w:tcPr>
            <w:tcW w:w="3300" w:type="dxa"/>
            <w:vAlign w:val="bottom"/>
            <w:gridSpan w:val="4"/>
          </w:tcPr>
          <w:p>
            <w:pPr>
              <w:jc w:val="center"/>
              <w:ind w:left="1090"/>
              <w:spacing w:after="0"/>
              <w:rPr>
                <w:sz w:val="20"/>
                <w:szCs w:val="20"/>
                <w:color w:val="auto"/>
              </w:rPr>
            </w:pPr>
            <w:r>
              <w:rPr>
                <w:rFonts w:ascii="Arial" w:cs="Arial" w:eastAsia="Arial" w:hAnsi="Arial"/>
                <w:sz w:val="18"/>
                <w:szCs w:val="18"/>
                <w:b w:val="1"/>
                <w:bCs w:val="1"/>
                <w:color w:val="auto"/>
                <w:w w:val="90"/>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8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7860" w:type="dxa"/>
            <w:vAlign w:val="bottom"/>
            <w:gridSpan w:val="7"/>
          </w:tcPr>
          <w:p>
            <w:pPr>
              <w:jc w:val="center"/>
              <w:ind w:right="3290"/>
              <w:spacing w:after="0"/>
              <w:rPr>
                <w:sz w:val="20"/>
                <w:szCs w:val="20"/>
                <w:color w:val="auto"/>
              </w:rPr>
            </w:pPr>
            <w:r>
              <w:rPr>
                <w:rFonts w:ascii="Arial" w:cs="Arial" w:eastAsia="Arial" w:hAnsi="Arial"/>
                <w:sz w:val="18"/>
                <w:szCs w:val="18"/>
                <w:color w:val="auto"/>
                <w:w w:val="89"/>
              </w:rPr>
              <w:t>(Registrant’s telephone number, including area code)</w:t>
            </w:r>
          </w:p>
        </w:tc>
        <w:tc>
          <w:tcPr>
            <w:tcW w:w="0" w:type="dxa"/>
            <w:vAlign w:val="bottom"/>
          </w:tcPr>
          <w:p>
            <w:pPr>
              <w:spacing w:after="0"/>
              <w:rPr>
                <w:sz w:val="1"/>
                <w:szCs w:val="1"/>
                <w:color w:val="auto"/>
              </w:rPr>
            </w:pPr>
          </w:p>
        </w:tc>
      </w:tr>
      <w:tr>
        <w:trPr>
          <w:trHeight w:val="635"/>
        </w:trPr>
        <w:tc>
          <w:tcPr>
            <w:tcW w:w="3380" w:type="dxa"/>
            <w:vAlign w:val="bottom"/>
          </w:tcPr>
          <w:p>
            <w:pPr>
              <w:spacing w:after="0"/>
              <w:rPr>
                <w:sz w:val="24"/>
                <w:szCs w:val="24"/>
                <w:color w:val="auto"/>
              </w:rPr>
            </w:pPr>
          </w:p>
        </w:tc>
        <w:tc>
          <w:tcPr>
            <w:tcW w:w="7860" w:type="dxa"/>
            <w:vAlign w:val="bottom"/>
            <w:gridSpan w:val="7"/>
          </w:tcPr>
          <w:p>
            <w:pPr>
              <w:jc w:val="center"/>
              <w:ind w:right="327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70"/>
        </w:trPr>
        <w:tc>
          <w:tcPr>
            <w:tcW w:w="3380" w:type="dxa"/>
            <w:vAlign w:val="bottom"/>
          </w:tcPr>
          <w:p>
            <w:pPr>
              <w:jc w:val="center"/>
              <w:ind w:left="463"/>
              <w:spacing w:after="0"/>
              <w:rPr>
                <w:sz w:val="20"/>
                <w:szCs w:val="20"/>
                <w:color w:val="auto"/>
              </w:rPr>
            </w:pPr>
            <w:r>
              <w:rPr>
                <w:rFonts w:ascii="Arial" w:cs="Arial" w:eastAsia="Arial" w:hAnsi="Arial"/>
                <w:sz w:val="18"/>
                <w:szCs w:val="18"/>
                <w:b w:val="1"/>
                <w:bCs w:val="1"/>
                <w:color w:val="auto"/>
                <w:w w:val="86"/>
              </w:rPr>
              <w:t>Title of each class</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1"/>
              </w:rPr>
              <w:t>Trading Symbol(s)</w:t>
            </w:r>
          </w:p>
        </w:tc>
        <w:tc>
          <w:tcPr>
            <w:tcW w:w="240" w:type="dxa"/>
            <w:vAlign w:val="bottom"/>
          </w:tcPr>
          <w:p>
            <w:pPr>
              <w:spacing w:after="0"/>
              <w:rPr>
                <w:sz w:val="23"/>
                <w:szCs w:val="23"/>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270"/>
        </w:trPr>
        <w:tc>
          <w:tcPr>
            <w:tcW w:w="3380" w:type="dxa"/>
            <w:vAlign w:val="bottom"/>
          </w:tcPr>
          <w:p>
            <w:pPr>
              <w:jc w:val="center"/>
              <w:ind w:left="443"/>
              <w:spacing w:after="0"/>
              <w:rPr>
                <w:sz w:val="20"/>
                <w:szCs w:val="20"/>
                <w:color w:val="auto"/>
              </w:rPr>
            </w:pPr>
            <w:r>
              <w:rPr>
                <w:rFonts w:ascii="Arial" w:cs="Arial" w:eastAsia="Arial" w:hAnsi="Arial"/>
                <w:sz w:val="18"/>
                <w:szCs w:val="18"/>
                <w:color w:val="auto"/>
                <w:w w:val="91"/>
              </w:rPr>
              <w:t>Common stock ($0.0001 par value)</w:t>
            </w:r>
          </w:p>
        </w:tc>
        <w:tc>
          <w:tcPr>
            <w:tcW w:w="3300" w:type="dxa"/>
            <w:vAlign w:val="bottom"/>
            <w:gridSpan w:val="4"/>
          </w:tcPr>
          <w:p>
            <w:pPr>
              <w:jc w:val="center"/>
              <w:ind w:left="330"/>
              <w:spacing w:after="0"/>
              <w:rPr>
                <w:sz w:val="20"/>
                <w:szCs w:val="20"/>
                <w:color w:val="auto"/>
              </w:rPr>
            </w:pPr>
            <w:r>
              <w:rPr>
                <w:rFonts w:ascii="Arial" w:cs="Arial" w:eastAsia="Arial" w:hAnsi="Arial"/>
                <w:sz w:val="18"/>
                <w:szCs w:val="18"/>
                <w:color w:val="auto"/>
              </w:rPr>
              <w:t>IMXI</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60" w:type="dxa"/>
            <w:vAlign w:val="bottom"/>
          </w:tcPr>
          <w:p>
            <w:pPr>
              <w:ind w:left="280"/>
              <w:spacing w:after="0"/>
              <w:rPr>
                <w:sz w:val="20"/>
                <w:szCs w:val="20"/>
                <w:color w:val="auto"/>
              </w:rPr>
            </w:pPr>
            <w:r>
              <w:rPr>
                <w:rFonts w:ascii="Arial" w:cs="Arial" w:eastAsia="Arial" w:hAnsi="Arial"/>
                <w:sz w:val="18"/>
                <w:szCs w:val="18"/>
                <w:color w:val="auto"/>
              </w:rPr>
              <w:t>Nasdaq Capital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1320" w:type="dxa"/>
        <w:tblCellMar>
          <w:top w:w="0" w:type="dxa"/>
          <w:left w:w="0" w:type="dxa"/>
          <w:bottom w:w="0" w:type="dxa"/>
          <w:right w:w="0" w:type="dxa"/>
        </w:tblCellMar>
      </w:tblPr>
      <w:tr>
        <w:trPr>
          <w:trHeight w:val="283"/>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rPr>
              <w:t>Large accelerated filer</w:t>
            </w: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rPr>
              <w:t>Accelerated filer</w:t>
            </w:r>
          </w:p>
        </w:tc>
      </w:tr>
      <w:tr>
        <w:trPr>
          <w:trHeight w:val="378"/>
        </w:trPr>
        <w:tc>
          <w:tcPr>
            <w:tcW w:w="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340"/>
              <w:spacing w:after="0"/>
              <w:rPr>
                <w:sz w:val="20"/>
                <w:szCs w:val="20"/>
                <w:color w:val="auto"/>
              </w:rPr>
            </w:pPr>
            <w:r>
              <w:rPr>
                <w:rFonts w:ascii="Arial" w:cs="Arial" w:eastAsia="Arial" w:hAnsi="Arial"/>
                <w:sz w:val="18"/>
                <w:szCs w:val="18"/>
                <w:color w:val="auto"/>
              </w:rPr>
              <w:t>Non-accelerated filer</w:t>
            </w: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w w:val="91"/>
              </w:rPr>
              <w:t>Smaller reporting company</w:t>
            </w:r>
          </w:p>
        </w:tc>
      </w:tr>
      <w:tr>
        <w:trPr>
          <w:trHeight w:val="378"/>
        </w:trPr>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8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340"/>
              <w:spacing w:after="0"/>
              <w:rPr>
                <w:sz w:val="20"/>
                <w:szCs w:val="20"/>
                <w:color w:val="auto"/>
              </w:rPr>
            </w:pPr>
            <w:r>
              <w:rPr>
                <w:rFonts w:ascii="Arial" w:cs="Arial" w:eastAsia="Arial" w:hAnsi="Arial"/>
                <w:sz w:val="18"/>
                <w:szCs w:val="18"/>
                <w:color w:val="auto"/>
                <w:w w:val="91"/>
              </w:rPr>
              <w:t>Emerging growth company</w:t>
            </w:r>
          </w:p>
        </w:tc>
      </w:tr>
    </w:tbl>
    <w:p>
      <w:pPr>
        <w:spacing w:after="0" w:line="31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30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As of April 27, 2022, there were 38,442,585 shares of the registrant’s common stock, $0.0001 par value per share, outstanding.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874" w:gutter="0" w:footer="0" w:header="0"/>
        </w:sectPr>
      </w:pPr>
    </w:p>
    <w:bookmarkStart w:id="1" w:name="page2"/>
    <w:bookmarkEnd w:id="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ind w:left="6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80" w:type="dxa"/>
            <w:vAlign w:val="bottom"/>
            <w:gridSpan w:val="22"/>
            <w:shd w:val="clear" w:color="auto" w:fill="CCEEFF"/>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SPECIAL NOTE REGARDING FORWARD-LOOKING STATEMENTS</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20" w:type="dxa"/>
            <w:vAlign w:val="bottom"/>
            <w:tcBorders>
              <w:top w:val="single" w:sz="8" w:color="0000FF"/>
            </w:tcBorders>
            <w:gridSpan w:val="2"/>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80" w:type="dxa"/>
            <w:vAlign w:val="bottom"/>
            <w:gridSpan w:val="22"/>
            <w:shd w:val="clear" w:color="auto" w:fill="CCEEFF"/>
          </w:tcPr>
          <w:p>
            <w:pPr>
              <w:spacing w:after="0"/>
              <w:rPr>
                <w:sz w:val="20"/>
                <w:szCs w:val="20"/>
                <w:color w:val="auto"/>
              </w:rPr>
            </w:pPr>
            <w:r>
              <w:rPr>
                <w:rFonts w:ascii="Arial" w:cs="Arial" w:eastAsia="Arial" w:hAnsi="Arial"/>
                <w:sz w:val="18"/>
                <w:szCs w:val="18"/>
                <w:b w:val="1"/>
                <w:bCs w:val="1"/>
                <w:color w:val="auto"/>
              </w:rPr>
              <w:t>PART 1 - FINANCIAL INFORMATION</w:t>
            </w:r>
          </w:p>
        </w:tc>
        <w:tc>
          <w:tcPr>
            <w:tcW w:w="10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w w:val="94"/>
              </w:rPr>
            </w:pPr>
            <w:hyperlink w:anchor="page4">
              <w:r>
                <w:rPr>
                  <w:rFonts w:ascii="Arial" w:cs="Arial" w:eastAsia="Arial" w:hAnsi="Arial"/>
                  <w:sz w:val="18"/>
                  <w:szCs w:val="18"/>
                  <w:color w:val="0000FF"/>
                  <w:w w:val="94"/>
                </w:rPr>
                <w:t>Condensed Consolidated Balance Sheets as of March 31, 2022 and December 31, 2021</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Months</w:t>
              </w:r>
            </w:hyperlink>
          </w:p>
        </w:tc>
        <w:tc>
          <w:tcPr>
            <w:tcW w:w="6660" w:type="dxa"/>
            <w:vAlign w:val="bottom"/>
            <w:gridSpan w:val="20"/>
            <w:shd w:val="clear" w:color="auto" w:fill="CCEEFF"/>
          </w:tcPr>
          <w:p>
            <w:pPr>
              <w:spacing w:after="0" w:line="189" w:lineRule="exact"/>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Consolidated Statements of Income and Comprehensive Income for the Three</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vMerge w:val="continue"/>
            <w:shd w:val="clear" w:color="auto" w:fill="CCEEFF"/>
          </w:tcPr>
          <w:p>
            <w:pPr>
              <w:spacing w:after="0"/>
              <w:rPr>
                <w:sz w:val="15"/>
                <w:szCs w:val="15"/>
                <w:color w:val="auto"/>
              </w:rPr>
            </w:pPr>
          </w:p>
        </w:tc>
        <w:tc>
          <w:tcPr>
            <w:tcW w:w="646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Ended March 31, 2022 and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vMerge w:val="continue"/>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Months</w:t>
              </w:r>
            </w:hyperlink>
          </w:p>
        </w:tc>
        <w:tc>
          <w:tcPr>
            <w:tcW w:w="6660" w:type="dxa"/>
            <w:vAlign w:val="bottom"/>
            <w:gridSpan w:val="20"/>
            <w:shd w:val="clear" w:color="auto" w:fill="CCEEFF"/>
          </w:tcPr>
          <w:p>
            <w:pPr>
              <w:spacing w:after="0" w:line="189" w:lineRule="exact"/>
              <w:rPr>
                <w:rFonts w:ascii="Arial" w:cs="Arial" w:eastAsia="Arial" w:hAnsi="Arial"/>
                <w:sz w:val="18"/>
                <w:szCs w:val="18"/>
                <w:color w:val="0000FF"/>
                <w:w w:val="96"/>
              </w:rPr>
            </w:pPr>
            <w:hyperlink w:anchor="page5">
              <w:r>
                <w:rPr>
                  <w:rFonts w:ascii="Arial" w:cs="Arial" w:eastAsia="Arial" w:hAnsi="Arial"/>
                  <w:sz w:val="18"/>
                  <w:szCs w:val="18"/>
                  <w:color w:val="0000FF"/>
                  <w:w w:val="96"/>
                </w:rPr>
                <w:t>Condensed Consolidated Statements of Changes in Stockholders’ Equity for the Three</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vMerge w:val="continue"/>
            <w:shd w:val="clear" w:color="auto" w:fill="CCEEFF"/>
          </w:tcPr>
          <w:p>
            <w:pPr>
              <w:spacing w:after="0"/>
              <w:rPr>
                <w:sz w:val="15"/>
                <w:szCs w:val="15"/>
                <w:color w:val="auto"/>
              </w:rPr>
            </w:pPr>
          </w:p>
        </w:tc>
        <w:tc>
          <w:tcPr>
            <w:tcW w:w="624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Ended March 31, 2022 and 2021</w:t>
              </w:r>
            </w:hyperlink>
          </w:p>
        </w:tc>
        <w:tc>
          <w:tcPr>
            <w:tcW w:w="240" w:type="dxa"/>
            <w:vAlign w:val="bottom"/>
            <w:tcBorders>
              <w:top w:val="single" w:sz="8" w:color="CCEEFF"/>
            </w:tcBorders>
            <w:gridSpan w:val="3"/>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vMerge w:val="continue"/>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spacing w:after="0"/>
              <w:rPr>
                <w:rFonts w:ascii="Arial" w:cs="Arial" w:eastAsia="Arial" w:hAnsi="Arial"/>
                <w:sz w:val="18"/>
                <w:szCs w:val="18"/>
                <w:color w:val="0000FF"/>
                <w:w w:val="82"/>
              </w:rPr>
            </w:pPr>
            <w:hyperlink w:anchor="page6">
              <w:r>
                <w:rPr>
                  <w:rFonts w:ascii="Arial" w:cs="Arial" w:eastAsia="Arial" w:hAnsi="Arial"/>
                  <w:sz w:val="18"/>
                  <w:szCs w:val="18"/>
                  <w:color w:val="0000FF"/>
                  <w:w w:val="82"/>
                </w:rPr>
                <w:t>2022 and</w:t>
              </w:r>
            </w:hyperlink>
          </w:p>
        </w:tc>
        <w:tc>
          <w:tcPr>
            <w:tcW w:w="6660" w:type="dxa"/>
            <w:vAlign w:val="bottom"/>
            <w:gridSpan w:val="20"/>
            <w:shd w:val="clear" w:color="auto" w:fill="CCEEFF"/>
          </w:tcPr>
          <w:p>
            <w:pPr>
              <w:spacing w:after="0" w:line="189" w:lineRule="exact"/>
              <w:rPr>
                <w:rFonts w:ascii="Arial" w:cs="Arial" w:eastAsia="Arial" w:hAnsi="Arial"/>
                <w:sz w:val="18"/>
                <w:szCs w:val="18"/>
                <w:color w:val="0000FF"/>
                <w:w w:val="90"/>
              </w:rPr>
            </w:pPr>
            <w:hyperlink w:anchor="page6">
              <w:r>
                <w:rPr>
                  <w:rFonts w:ascii="Arial" w:cs="Arial" w:eastAsia="Arial" w:hAnsi="Arial"/>
                  <w:sz w:val="18"/>
                  <w:szCs w:val="18"/>
                  <w:color w:val="0000FF"/>
                  <w:w w:val="90"/>
                </w:rPr>
                <w:t>Condensed Consolidated Statements of Cash Flows for the Three Months Ended March 31,</w:t>
              </w:r>
            </w:hyperlink>
          </w:p>
        </w:tc>
        <w:tc>
          <w:tcPr>
            <w:tcW w:w="1060" w:type="dxa"/>
            <w:vAlign w:val="bottom"/>
            <w:vMerge w:val="restart"/>
            <w:shd w:val="clear" w:color="auto" w:fill="CCEEFF"/>
          </w:tcPr>
          <w:p>
            <w:pPr>
              <w:jc w:val="center"/>
              <w:ind w:left="5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vMerge w:val="continue"/>
            <w:shd w:val="clear" w:color="auto" w:fill="CCEEFF"/>
          </w:tcPr>
          <w:p>
            <w:pPr>
              <w:spacing w:after="0"/>
              <w:rPr>
                <w:sz w:val="15"/>
                <w:szCs w:val="15"/>
                <w:color w:val="auto"/>
              </w:rPr>
            </w:pPr>
          </w:p>
        </w:tc>
        <w:tc>
          <w:tcPr>
            <w:tcW w:w="600" w:type="dxa"/>
            <w:vAlign w:val="bottom"/>
            <w:tcBorders>
              <w:top w:val="single" w:sz="8" w:color="0000FF"/>
            </w:tcBorders>
            <w:gridSpan w:val="3"/>
            <w:shd w:val="clear" w:color="auto" w:fill="CCEEFF"/>
          </w:tcPr>
          <w:p>
            <w:pPr>
              <w:ind w:left="60"/>
              <w:spacing w:after="0" w:line="156" w:lineRule="exact"/>
              <w:rPr>
                <w:rFonts w:ascii="Arial" w:cs="Arial" w:eastAsia="Arial" w:hAnsi="Arial"/>
                <w:sz w:val="18"/>
                <w:szCs w:val="18"/>
                <w:color w:val="0000FF"/>
              </w:rPr>
            </w:pPr>
            <w:hyperlink w:anchor="page6">
              <w:r>
                <w:rPr>
                  <w:rFonts w:ascii="Arial" w:cs="Arial" w:eastAsia="Arial" w:hAnsi="Arial"/>
                  <w:sz w:val="18"/>
                  <w:szCs w:val="18"/>
                  <w:color w:val="0000FF"/>
                </w:rPr>
                <w:t>2021</w:t>
              </w:r>
            </w:hyperlink>
          </w:p>
        </w:tc>
        <w:tc>
          <w:tcPr>
            <w:tcW w:w="32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40" w:type="dxa"/>
            <w:vAlign w:val="bottom"/>
            <w:tcBorders>
              <w:top w:val="single" w:sz="8" w:color="0000FF"/>
            </w:tcBorders>
            <w:shd w:val="clear" w:color="auto" w:fill="CCEEFF"/>
          </w:tcPr>
          <w:p>
            <w:pPr>
              <w:spacing w:after="0"/>
              <w:rPr>
                <w:sz w:val="15"/>
                <w:szCs w:val="15"/>
                <w:color w:val="auto"/>
              </w:rPr>
            </w:pPr>
          </w:p>
        </w:tc>
        <w:tc>
          <w:tcPr>
            <w:tcW w:w="560" w:type="dxa"/>
            <w:vAlign w:val="bottom"/>
            <w:tcBorders>
              <w:top w:val="single" w:sz="8" w:color="0000FF"/>
            </w:tcBorders>
            <w:gridSpan w:val="2"/>
            <w:shd w:val="clear" w:color="auto" w:fill="CCEEFF"/>
          </w:tcPr>
          <w:p>
            <w:pPr>
              <w:spacing w:after="0"/>
              <w:rPr>
                <w:sz w:val="15"/>
                <w:szCs w:val="15"/>
                <w:color w:val="auto"/>
              </w:rPr>
            </w:pPr>
          </w:p>
        </w:tc>
        <w:tc>
          <w:tcPr>
            <w:tcW w:w="1660" w:type="dxa"/>
            <w:vAlign w:val="bottom"/>
            <w:tcBorders>
              <w:top w:val="single" w:sz="8" w:color="0000FF"/>
            </w:tcBorders>
            <w:gridSpan w:val="2"/>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120" w:type="dxa"/>
            <w:vAlign w:val="bottom"/>
            <w:tcBorders>
              <w:top w:val="single" w:sz="8" w:color="0000FF"/>
            </w:tcBorders>
            <w:gridSpan w:val="5"/>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vMerge w:val="continue"/>
            <w:shd w:val="clear" w:color="auto" w:fill="CCEEFF"/>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1060" w:type="dxa"/>
            <w:vAlign w:val="bottom"/>
            <w:shd w:val="clear" w:color="auto" w:fill="CCEEFF"/>
          </w:tcPr>
          <w:p>
            <w:pPr>
              <w:jc w:val="center"/>
              <w:ind w:left="57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4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w w:val="93"/>
              </w:rPr>
            </w:pPr>
            <w:hyperlink w:anchor="page21">
              <w:r>
                <w:rPr>
                  <w:rFonts w:ascii="Arial" w:cs="Arial" w:eastAsia="Arial" w:hAnsi="Arial"/>
                  <w:sz w:val="18"/>
                  <w:szCs w:val="18"/>
                  <w:color w:val="0000FF"/>
                  <w:w w:val="93"/>
                </w:rPr>
                <w:t>Management’s Discussion and Analysis of Financial Condition and Results of Operations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0000FF"/>
            </w:tcBorders>
            <w:shd w:val="clear" w:color="auto" w:fill="CCEEFF"/>
          </w:tcPr>
          <w:p>
            <w:pPr>
              <w:spacing w:after="0"/>
              <w:rPr>
                <w:sz w:val="17"/>
                <w:szCs w:val="17"/>
                <w:color w:val="auto"/>
              </w:rPr>
            </w:pPr>
          </w:p>
        </w:tc>
        <w:tc>
          <w:tcPr>
            <w:tcW w:w="160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Quantitative and Qualitative Disclosures about Market Risk</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80" w:type="dxa"/>
            <w:vAlign w:val="bottom"/>
            <w:gridSpan w:val="22"/>
            <w:shd w:val="clear" w:color="auto" w:fill="CCEEFF"/>
          </w:tcPr>
          <w:p>
            <w:pPr>
              <w:spacing w:after="0"/>
              <w:rPr>
                <w:sz w:val="20"/>
                <w:szCs w:val="20"/>
                <w:color w:val="auto"/>
              </w:rPr>
            </w:pPr>
            <w:r>
              <w:rPr>
                <w:rFonts w:ascii="Arial" w:cs="Arial" w:eastAsia="Arial" w:hAnsi="Arial"/>
                <w:sz w:val="18"/>
                <w:szCs w:val="18"/>
                <w:b w:val="1"/>
                <w:bCs w:val="1"/>
                <w:color w:val="auto"/>
              </w:rPr>
              <w:t>PART II - OTHER INFORMATION</w:t>
            </w:r>
          </w:p>
        </w:tc>
        <w:tc>
          <w:tcPr>
            <w:tcW w:w="106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1060" w:type="dxa"/>
            <w:vAlign w:val="bottom"/>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1A.</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jc w:val="center"/>
              <w:ind w:left="550"/>
              <w:spacing w:after="0" w:line="196"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Unregistered Sales of Equity Securities and Use of Proceeds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5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 w:type="dxa"/>
            <w:vAlign w:val="bottom"/>
            <w:tcBorders>
              <w:top w:val="single" w:sz="8" w:color="0000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Mine Safety Disclosures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40" w:type="dxa"/>
            <w:vAlign w:val="bottom"/>
            <w:tcBorders>
              <w:top w:val="single" w:sz="8" w:color="0000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Item</w:t>
            </w:r>
          </w:p>
        </w:tc>
        <w:tc>
          <w:tcPr>
            <w:tcW w:w="640" w:type="dxa"/>
            <w:vAlign w:val="bottom"/>
            <w:shd w:val="clear" w:color="auto" w:fill="CCEEFF"/>
          </w:tcPr>
          <w:p>
            <w:pPr>
              <w:spacing w:after="0"/>
              <w:rPr>
                <w:sz w:val="16"/>
                <w:szCs w:val="16"/>
                <w:color w:val="auto"/>
              </w:rPr>
            </w:pPr>
          </w:p>
        </w:tc>
        <w:tc>
          <w:tcPr>
            <w:tcW w:w="6660" w:type="dxa"/>
            <w:vAlign w:val="bottom"/>
            <w:gridSpan w:val="20"/>
            <w:shd w:val="clear" w:color="auto" w:fill="CCEEFF"/>
          </w:tcPr>
          <w:p>
            <w:pPr>
              <w:spacing w:after="0" w:line="189" w:lineRule="exact"/>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1060" w:type="dxa"/>
            <w:vAlign w:val="bottom"/>
            <w:vMerge w:val="restart"/>
            <w:shd w:val="clear" w:color="auto" w:fill="CCEEFF"/>
          </w:tcPr>
          <w:p>
            <w:pPr>
              <w:jc w:val="center"/>
              <w:ind w:left="55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60" w:type="dxa"/>
            <w:vAlign w:val="bottom"/>
            <w:tcBorders>
              <w:top w:val="single" w:sz="8" w:color="CCEEFF"/>
            </w:tcBorders>
            <w:vMerge w:val="continue"/>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vMerge w:val="continue"/>
            <w:shd w:val="clear" w:color="auto" w:fill="CCEEFF"/>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80" w:type="dxa"/>
            <w:vAlign w:val="bottom"/>
            <w:gridSpan w:val="22"/>
            <w:shd w:val="clear" w:color="auto" w:fill="CCEEFF"/>
          </w:tcPr>
          <w:p>
            <w:pPr>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SIGNATURES</w:t>
              </w:r>
            </w:hyperlink>
          </w:p>
        </w:tc>
        <w:tc>
          <w:tcPr>
            <w:tcW w:w="1060" w:type="dxa"/>
            <w:vAlign w:val="bottom"/>
            <w:shd w:val="clear" w:color="auto" w:fill="CCEEFF"/>
          </w:tcPr>
          <w:p>
            <w:pPr>
              <w:jc w:val="center"/>
              <w:ind w:left="550"/>
              <w:spacing w:after="0" w:line="189" w:lineRule="exact"/>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9"/>
        </w:trPr>
        <w:tc>
          <w:tcPr>
            <w:tcW w:w="660" w:type="dxa"/>
            <w:vAlign w:val="bottom"/>
            <w:tcBorders>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54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58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60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060" w:type="dxa"/>
            <w:vAlign w:val="bottom"/>
            <w:tcBorders>
              <w:top w:val="single" w:sz="8" w:color="CCEEFF"/>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for the business of the Company.</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expected or implied by such forward-looking statements and could materially adversely affect our business, financial condition, results of operation, cash flows and liquidity. Factors that could cause or contribute to such differences include, but are not limited to, the following:</w:t>
      </w:r>
    </w:p>
    <w:p>
      <w:pPr>
        <w:spacing w:after="0" w:line="19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980" w:right="400" w:hanging="324"/>
        <w:spacing w:after="0" w:line="250"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successfully execute, manage and integrate key acquisitions and mergers, including the acquisition of Envios de Valores La Nacional Corp. and LAN Holdings, Corp.;</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public health conditions, responses thereto and the economic and market effects thereof;</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76" w:val="left"/>
        </w:tabs>
        <w:numPr>
          <w:ilvl w:val="1"/>
          <w:numId w:val="3"/>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favorable agent relationships;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bank failures, sustained financial illiquidity, or financial institution illiquidity;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technology or competitors, such as digital platforms;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data centers and phone apps;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confidence in our brand and in consumer money transfers generally;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regulatory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international political factors, political stability, tariffs, border taxes or restrictions on remittances or transfers;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currency restrictions and volatility in countries in which we operate or plan to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consumer fraud and other risks relating to the authenticity of customers’ orders;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protect intellectual property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recruit and retain key personnel; and</w:t>
      </w:r>
    </w:p>
    <w:p>
      <w:pPr>
        <w:spacing w:after="0" w:line="9" w:lineRule="exact"/>
        <w:rPr>
          <w:rFonts w:ascii="Arial" w:cs="Arial" w:eastAsia="Arial" w:hAnsi="Arial"/>
          <w:sz w:val="18"/>
          <w:szCs w:val="18"/>
          <w:color w:val="auto"/>
        </w:rPr>
      </w:pPr>
    </w:p>
    <w:p>
      <w:pPr>
        <w:ind w:left="660" w:right="160" w:hanging="328"/>
        <w:spacing w:after="0" w:line="255"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sections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thousands, except for share data)</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March 31, 2022</w:t>
            </w:r>
          </w:p>
        </w:tc>
        <w:tc>
          <w:tcPr>
            <w:tcW w:w="76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r>
        <w:trPr>
          <w:trHeight w:val="230"/>
        </w:trPr>
        <w:tc>
          <w:tcPr>
            <w:tcW w:w="5120" w:type="dxa"/>
            <w:vAlign w:val="bottom"/>
          </w:tcPr>
          <w:p>
            <w:pPr>
              <w:ind w:left="2560"/>
              <w:spacing w:after="0"/>
              <w:rPr>
                <w:sz w:val="20"/>
                <w:szCs w:val="20"/>
                <w:color w:val="auto"/>
              </w:rPr>
            </w:pPr>
            <w:r>
              <w:rPr>
                <w:rFonts w:ascii="Arial" w:cs="Arial" w:eastAsia="Arial" w:hAnsi="Arial"/>
                <w:sz w:val="18"/>
                <w:szCs w:val="18"/>
                <w:color w:val="auto"/>
              </w:rPr>
              <w:t>ASSETS</w:t>
            </w:r>
          </w:p>
        </w:tc>
        <w:tc>
          <w:tcPr>
            <w:tcW w:w="8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assets:</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780"/>
              <w:spacing w:after="0"/>
              <w:rPr>
                <w:sz w:val="20"/>
                <w:szCs w:val="20"/>
                <w:color w:val="auto"/>
              </w:rPr>
            </w:pPr>
            <w:r>
              <w:rPr>
                <w:rFonts w:ascii="Arial" w:cs="Arial" w:eastAsia="Arial" w:hAnsi="Arial"/>
                <w:sz w:val="18"/>
                <w:szCs w:val="18"/>
                <w:color w:val="auto"/>
              </w:rPr>
              <w:t>Cash</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157,237</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132,474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receivable, net</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67,317</w:t>
            </w:r>
          </w:p>
        </w:tc>
        <w:tc>
          <w:tcPr>
            <w:tcW w:w="0" w:type="dxa"/>
            <w:vAlign w:val="bottom"/>
          </w:tcPr>
          <w:p>
            <w:pPr>
              <w:spacing w:after="0"/>
              <w:rPr>
                <w:sz w:val="1"/>
                <w:szCs w:val="1"/>
                <w:color w:val="auto"/>
              </w:rPr>
            </w:pPr>
          </w:p>
        </w:tc>
      </w:tr>
      <w:tr>
        <w:trPr>
          <w:trHeight w:val="229"/>
        </w:trPr>
        <w:tc>
          <w:tcPr>
            <w:tcW w:w="5120" w:type="dxa"/>
            <w:vAlign w:val="bottom"/>
          </w:tcPr>
          <w:p>
            <w:pPr>
              <w:ind w:left="780"/>
              <w:spacing w:after="0"/>
              <w:rPr>
                <w:sz w:val="20"/>
                <w:szCs w:val="20"/>
                <w:color w:val="auto"/>
              </w:rPr>
            </w:pPr>
            <w:r>
              <w:rPr>
                <w:rFonts w:ascii="Arial" w:cs="Arial" w:eastAsia="Arial" w:hAnsi="Arial"/>
                <w:sz w:val="18"/>
                <w:szCs w:val="18"/>
                <w:color w:val="auto"/>
              </w:rPr>
              <w:t>Prepaid wires, net</w:t>
            </w:r>
          </w:p>
        </w:tc>
        <w:tc>
          <w:tcPr>
            <w:tcW w:w="8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15,264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56,766</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6"/>
        </w:trPr>
        <w:tc>
          <w:tcPr>
            <w:tcW w:w="5120" w:type="dxa"/>
            <w:vAlign w:val="bottom"/>
          </w:tcPr>
          <w:p>
            <w:pPr>
              <w:ind w:left="980"/>
              <w:spacing w:after="0"/>
              <w:rPr>
                <w:sz w:val="20"/>
                <w:szCs w:val="20"/>
                <w:color w:val="auto"/>
              </w:rPr>
            </w:pPr>
            <w:r>
              <w:rPr>
                <w:rFonts w:ascii="Arial" w:cs="Arial" w:eastAsia="Arial" w:hAnsi="Arial"/>
                <w:sz w:val="18"/>
                <w:szCs w:val="18"/>
                <w:color w:val="auto"/>
              </w:rPr>
              <w:t>Total current assets</w:t>
            </w:r>
          </w:p>
        </w:tc>
        <w:tc>
          <w:tcPr>
            <w:tcW w:w="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265,220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263,545</w:t>
            </w:r>
          </w:p>
        </w:tc>
        <w:tc>
          <w:tcPr>
            <w:tcW w:w="0" w:type="dxa"/>
            <w:vAlign w:val="bottom"/>
          </w:tcPr>
          <w:p>
            <w:pPr>
              <w:spacing w:after="0"/>
              <w:rPr>
                <w:sz w:val="1"/>
                <w:szCs w:val="1"/>
                <w:color w:val="auto"/>
              </w:rPr>
            </w:pPr>
          </w:p>
        </w:tc>
      </w:tr>
      <w:tr>
        <w:trPr>
          <w:trHeight w:val="270"/>
        </w:trPr>
        <w:tc>
          <w:tcPr>
            <w:tcW w:w="5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660"/>
              <w:spacing w:after="0"/>
              <w:rPr>
                <w:sz w:val="20"/>
                <w:szCs w:val="20"/>
                <w:color w:val="auto"/>
              </w:rPr>
            </w:pPr>
            <w:r>
              <w:rPr>
                <w:rFonts w:ascii="Arial" w:cs="Arial" w:eastAsia="Arial" w:hAnsi="Arial"/>
                <w:sz w:val="18"/>
                <w:szCs w:val="18"/>
                <w:color w:val="auto"/>
              </w:rPr>
              <w:t>Property and equipment, net</w:t>
            </w:r>
          </w:p>
        </w:tc>
        <w:tc>
          <w:tcPr>
            <w:tcW w:w="8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20,918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17,905</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Goodwill</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30"/>
        </w:trPr>
        <w:tc>
          <w:tcPr>
            <w:tcW w:w="5120" w:type="dxa"/>
            <w:vAlign w:val="bottom"/>
          </w:tcPr>
          <w:p>
            <w:pPr>
              <w:ind w:left="660"/>
              <w:spacing w:after="0"/>
              <w:rPr>
                <w:sz w:val="20"/>
                <w:szCs w:val="20"/>
                <w:color w:val="auto"/>
              </w:rPr>
            </w:pPr>
            <w:r>
              <w:rPr>
                <w:rFonts w:ascii="Arial" w:cs="Arial" w:eastAsia="Arial" w:hAnsi="Arial"/>
                <w:sz w:val="18"/>
                <w:szCs w:val="18"/>
                <w:color w:val="auto"/>
              </w:rPr>
              <w:t>Intangible assets, net</w:t>
            </w:r>
          </w:p>
        </w:tc>
        <w:tc>
          <w:tcPr>
            <w:tcW w:w="8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14,390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15,392</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8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30"/>
        </w:trPr>
        <w:tc>
          <w:tcPr>
            <w:tcW w:w="5120" w:type="dxa"/>
            <w:vAlign w:val="bottom"/>
          </w:tcPr>
          <w:p>
            <w:pPr>
              <w:ind w:left="980"/>
              <w:spacing w:after="0"/>
              <w:rPr>
                <w:sz w:val="20"/>
                <w:szCs w:val="20"/>
                <w:color w:val="auto"/>
              </w:rPr>
            </w:pPr>
            <w:r>
              <w:rPr>
                <w:rFonts w:ascii="Arial" w:cs="Arial" w:eastAsia="Arial" w:hAnsi="Arial"/>
                <w:sz w:val="18"/>
                <w:szCs w:val="18"/>
                <w:color w:val="auto"/>
              </w:rPr>
              <w:t>Total assets</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349,688</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340,536</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1020"/>
              <w:spacing w:after="0"/>
              <w:rPr>
                <w:sz w:val="20"/>
                <w:szCs w:val="20"/>
                <w:color w:val="auto"/>
              </w:rPr>
            </w:pPr>
            <w:r>
              <w:rPr>
                <w:rFonts w:ascii="Arial" w:cs="Arial" w:eastAsia="Arial" w:hAnsi="Arial"/>
                <w:sz w:val="18"/>
                <w:szCs w:val="18"/>
                <w:color w:val="auto"/>
              </w:rPr>
              <w:t>LIABILITIES AND STOCKHOLDERS’ EQUITY</w:t>
            </w:r>
          </w:p>
        </w:tc>
        <w:tc>
          <w:tcPr>
            <w:tcW w:w="8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780"/>
              <w:spacing w:after="0"/>
              <w:rPr>
                <w:sz w:val="20"/>
                <w:szCs w:val="20"/>
                <w:color w:val="auto"/>
              </w:rPr>
            </w:pPr>
            <w:r>
              <w:rPr>
                <w:rFonts w:ascii="Arial" w:cs="Arial" w:eastAsia="Arial" w:hAnsi="Arial"/>
                <w:sz w:val="18"/>
                <w:szCs w:val="18"/>
                <w:color w:val="auto"/>
              </w:rPr>
              <w:t>Current portion of long-term debt, net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3,882</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23,151</w:t>
            </w:r>
          </w:p>
        </w:tc>
        <w:tc>
          <w:tcPr>
            <w:tcW w:w="0" w:type="dxa"/>
            <w:vAlign w:val="bottom"/>
          </w:tcPr>
          <w:p>
            <w:pPr>
              <w:spacing w:after="0"/>
              <w:rPr>
                <w:sz w:val="1"/>
                <w:szCs w:val="1"/>
                <w:color w:val="auto"/>
              </w:rPr>
            </w:pPr>
          </w:p>
        </w:tc>
      </w:tr>
      <w:tr>
        <w:trPr>
          <w:trHeight w:val="230"/>
        </w:trPr>
        <w:tc>
          <w:tcPr>
            <w:tcW w:w="5120" w:type="dxa"/>
            <w:vAlign w:val="bottom"/>
          </w:tcPr>
          <w:p>
            <w:pPr>
              <w:ind w:left="780"/>
              <w:spacing w:after="0"/>
              <w:rPr>
                <w:sz w:val="20"/>
                <w:szCs w:val="20"/>
                <w:color w:val="auto"/>
              </w:rPr>
            </w:pPr>
            <w:r>
              <w:rPr>
                <w:rFonts w:ascii="Arial" w:cs="Arial" w:eastAsia="Arial" w:hAnsi="Arial"/>
                <w:sz w:val="18"/>
                <w:szCs w:val="18"/>
                <w:color w:val="auto"/>
              </w:rPr>
              <w:t>Wire transfers and money orders payable, net</w:t>
            </w:r>
          </w:p>
        </w:tc>
        <w:tc>
          <w:tcPr>
            <w:tcW w:w="8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59,694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56,066</w:t>
            </w: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Accrued and other liabilities</w:t>
            </w:r>
          </w:p>
        </w:tc>
        <w:tc>
          <w:tcPr>
            <w:tcW w:w="8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33,760</w:t>
            </w:r>
          </w:p>
        </w:tc>
        <w:tc>
          <w:tcPr>
            <w:tcW w:w="0" w:type="dxa"/>
            <w:vAlign w:val="bottom"/>
          </w:tcPr>
          <w:p>
            <w:pPr>
              <w:spacing w:after="0"/>
              <w:rPr>
                <w:sz w:val="1"/>
                <w:szCs w:val="1"/>
                <w:color w:val="auto"/>
              </w:rPr>
            </w:pPr>
          </w:p>
        </w:tc>
      </w:tr>
      <w:tr>
        <w:trPr>
          <w:trHeight w:val="216"/>
        </w:trPr>
        <w:tc>
          <w:tcPr>
            <w:tcW w:w="5120" w:type="dxa"/>
            <w:vAlign w:val="bottom"/>
          </w:tcPr>
          <w:p>
            <w:pPr>
              <w:ind w:left="980"/>
              <w:spacing w:after="0"/>
              <w:rPr>
                <w:sz w:val="20"/>
                <w:szCs w:val="20"/>
                <w:color w:val="auto"/>
              </w:rPr>
            </w:pPr>
            <w:r>
              <w:rPr>
                <w:rFonts w:ascii="Arial" w:cs="Arial" w:eastAsia="Arial" w:hAnsi="Arial"/>
                <w:sz w:val="18"/>
                <w:szCs w:val="18"/>
                <w:color w:val="auto"/>
              </w:rPr>
              <w:t>Total current liabilities</w:t>
            </w:r>
          </w:p>
        </w:tc>
        <w:tc>
          <w:tcPr>
            <w:tcW w:w="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113,732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116,859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Long-term liabilities:</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780"/>
              <w:spacing w:after="0"/>
              <w:rPr>
                <w:sz w:val="20"/>
                <w:szCs w:val="20"/>
                <w:color w:val="auto"/>
              </w:rPr>
            </w:pPr>
            <w:r>
              <w:rPr>
                <w:rFonts w:ascii="Arial" w:cs="Arial" w:eastAsia="Arial" w:hAnsi="Arial"/>
                <w:sz w:val="18"/>
                <w:szCs w:val="18"/>
                <w:color w:val="auto"/>
              </w:rPr>
              <w:t>Debt, net</w:t>
            </w:r>
          </w:p>
        </w:tc>
        <w:tc>
          <w:tcPr>
            <w:tcW w:w="8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78,240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79,211</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Lease liabilities, net</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Deferred tax liability, net</w:t>
            </w:r>
          </w:p>
        </w:tc>
        <w:tc>
          <w:tcPr>
            <w:tcW w:w="8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980"/>
              <w:spacing w:after="0"/>
              <w:rPr>
                <w:sz w:val="20"/>
                <w:szCs w:val="20"/>
                <w:color w:val="auto"/>
              </w:rPr>
            </w:pPr>
            <w:r>
              <w:rPr>
                <w:rFonts w:ascii="Arial" w:cs="Arial" w:eastAsia="Arial" w:hAnsi="Arial"/>
                <w:sz w:val="18"/>
                <w:szCs w:val="18"/>
                <w:color w:val="auto"/>
              </w:rPr>
              <w:t>Total long-term liabilities</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80,637</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Commitments and contingencies, see Note 15</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Stockholders’ equity:</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140"/>
              <w:spacing w:after="0" w:line="176" w:lineRule="exact"/>
              <w:rPr>
                <w:sz w:val="20"/>
                <w:szCs w:val="20"/>
                <w:color w:val="auto"/>
              </w:rPr>
            </w:pPr>
            <w:r>
              <w:rPr>
                <w:rFonts w:ascii="Arial" w:cs="Arial" w:eastAsia="Arial" w:hAnsi="Arial"/>
                <w:sz w:val="18"/>
                <w:szCs w:val="18"/>
                <w:color w:val="auto"/>
                <w:w w:val="93"/>
              </w:rPr>
              <w:t>Common stock $0.0001 par value; 230,000,000 shares authorized,</w:t>
            </w:r>
          </w:p>
        </w:tc>
        <w:tc>
          <w:tcPr>
            <w:tcW w:w="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300"/>
              <w:spacing w:after="0" w:line="176" w:lineRule="exact"/>
              <w:rPr>
                <w:sz w:val="20"/>
                <w:szCs w:val="20"/>
                <w:color w:val="auto"/>
              </w:rPr>
            </w:pPr>
            <w:r>
              <w:rPr>
                <w:rFonts w:ascii="Arial" w:cs="Arial" w:eastAsia="Arial" w:hAnsi="Arial"/>
                <w:sz w:val="18"/>
                <w:szCs w:val="18"/>
                <w:color w:val="auto"/>
              </w:rPr>
              <w:t>38,885,736 and 38,820,222 shares issued and</w:t>
            </w:r>
          </w:p>
        </w:tc>
        <w:tc>
          <w:tcPr>
            <w:tcW w:w="8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120" w:type="dxa"/>
            <w:vAlign w:val="bottom"/>
          </w:tcPr>
          <w:p>
            <w:pPr>
              <w:ind w:left="280"/>
              <w:spacing w:after="0" w:line="176" w:lineRule="exact"/>
              <w:rPr>
                <w:sz w:val="20"/>
                <w:szCs w:val="20"/>
                <w:color w:val="auto"/>
              </w:rPr>
            </w:pPr>
            <w:r>
              <w:rPr>
                <w:rFonts w:ascii="Arial" w:cs="Arial" w:eastAsia="Arial" w:hAnsi="Arial"/>
                <w:sz w:val="18"/>
                <w:szCs w:val="18"/>
                <w:color w:val="auto"/>
                <w:w w:val="95"/>
              </w:rPr>
              <w:t>38,319,826 and 38,478,700 shares outstanding as of March 31,</w:t>
            </w:r>
          </w:p>
        </w:tc>
        <w:tc>
          <w:tcPr>
            <w:tcW w:w="8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120" w:type="dxa"/>
            <w:vAlign w:val="bottom"/>
          </w:tcPr>
          <w:p>
            <w:pPr>
              <w:ind w:left="300"/>
              <w:spacing w:after="0"/>
              <w:rPr>
                <w:sz w:val="20"/>
                <w:szCs w:val="20"/>
                <w:color w:val="auto"/>
              </w:rPr>
            </w:pPr>
            <w:r>
              <w:rPr>
                <w:rFonts w:ascii="Arial" w:cs="Arial" w:eastAsia="Arial" w:hAnsi="Arial"/>
                <w:sz w:val="18"/>
                <w:szCs w:val="18"/>
                <w:color w:val="auto"/>
              </w:rPr>
              <w:t>2022 and December 31, 2021, respectively.</w:t>
            </w:r>
          </w:p>
        </w:tc>
        <w:tc>
          <w:tcPr>
            <w:tcW w:w="840" w:type="dxa"/>
            <w:vAlign w:val="bottom"/>
          </w:tcPr>
          <w:p>
            <w:pPr>
              <w:spacing w:after="0"/>
              <w:rPr>
                <w:sz w:val="19"/>
                <w:szCs w:val="19"/>
                <w:color w:val="auto"/>
              </w:rPr>
            </w:pPr>
          </w:p>
        </w:tc>
        <w:tc>
          <w:tcPr>
            <w:tcW w:w="1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Additional paid-in capital</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68,431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0" w:type="dxa"/>
            <w:vAlign w:val="bottom"/>
          </w:tcPr>
          <w:p>
            <w:pPr>
              <w:spacing w:after="0"/>
              <w:rPr>
                <w:sz w:val="1"/>
                <w:szCs w:val="1"/>
                <w:color w:val="auto"/>
              </w:rPr>
            </w:pPr>
          </w:p>
        </w:tc>
      </w:tr>
      <w:tr>
        <w:trPr>
          <w:trHeight w:val="230"/>
        </w:trPr>
        <w:tc>
          <w:tcPr>
            <w:tcW w:w="5120" w:type="dxa"/>
            <w:vAlign w:val="bottom"/>
          </w:tcPr>
          <w:p>
            <w:pPr>
              <w:ind w:left="780"/>
              <w:spacing w:after="0"/>
              <w:rPr>
                <w:sz w:val="20"/>
                <w:szCs w:val="20"/>
                <w:color w:val="auto"/>
              </w:rPr>
            </w:pPr>
            <w:r>
              <w:rPr>
                <w:rFonts w:ascii="Arial" w:cs="Arial" w:eastAsia="Arial" w:hAnsi="Arial"/>
                <w:sz w:val="18"/>
                <w:szCs w:val="18"/>
                <w:color w:val="auto"/>
              </w:rPr>
              <w:t>Retained earnings</w:t>
            </w:r>
          </w:p>
        </w:tc>
        <w:tc>
          <w:tcPr>
            <w:tcW w:w="8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93,457</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81,803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Accumulated other comprehensive income (loss)</w:t>
            </w:r>
          </w:p>
        </w:tc>
        <w:tc>
          <w:tcPr>
            <w:tcW w:w="8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75"/>
        </w:trPr>
        <w:tc>
          <w:tcPr>
            <w:tcW w:w="5120" w:type="dxa"/>
            <w:vAlign w:val="bottom"/>
          </w:tcPr>
          <w:p>
            <w:pPr>
              <w:ind w:left="780"/>
              <w:spacing w:after="0" w:line="176" w:lineRule="exact"/>
              <w:rPr>
                <w:sz w:val="20"/>
                <w:szCs w:val="20"/>
                <w:color w:val="auto"/>
              </w:rPr>
            </w:pPr>
            <w:r>
              <w:rPr>
                <w:rFonts w:ascii="Arial" w:cs="Arial" w:eastAsia="Arial" w:hAnsi="Arial"/>
                <w:sz w:val="18"/>
                <w:szCs w:val="18"/>
                <w:color w:val="auto"/>
                <w:w w:val="93"/>
              </w:rPr>
              <w:t>Treasury stock, at cost; 565,910 and 341,522 shares as of</w:t>
            </w:r>
          </w:p>
        </w:tc>
        <w:tc>
          <w:tcPr>
            <w:tcW w:w="84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(9,194)</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(5,566)</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March 31, 2022 and December 31, 2021, respectively.</w:t>
            </w:r>
          </w:p>
        </w:tc>
        <w:tc>
          <w:tcPr>
            <w:tcW w:w="8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stockholders’ equity</w:t>
            </w:r>
          </w:p>
        </w:tc>
        <w:tc>
          <w:tcPr>
            <w:tcW w:w="84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152,734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143,040</w:t>
            </w:r>
          </w:p>
        </w:tc>
        <w:tc>
          <w:tcPr>
            <w:tcW w:w="0" w:type="dxa"/>
            <w:vAlign w:val="bottom"/>
          </w:tcPr>
          <w:p>
            <w:pPr>
              <w:spacing w:after="0"/>
              <w:rPr>
                <w:sz w:val="1"/>
                <w:szCs w:val="1"/>
                <w:color w:val="auto"/>
              </w:rPr>
            </w:pPr>
          </w:p>
        </w:tc>
      </w:tr>
      <w:tr>
        <w:trPr>
          <w:trHeight w:val="230"/>
        </w:trPr>
        <w:tc>
          <w:tcPr>
            <w:tcW w:w="5120" w:type="dxa"/>
            <w:vAlign w:val="bottom"/>
          </w:tcPr>
          <w:p>
            <w:pPr>
              <w:ind w:left="980"/>
              <w:spacing w:after="0"/>
              <w:rPr>
                <w:sz w:val="20"/>
                <w:szCs w:val="20"/>
                <w:color w:val="auto"/>
              </w:rPr>
            </w:pPr>
            <w:r>
              <w:rPr>
                <w:rFonts w:ascii="Arial" w:cs="Arial" w:eastAsia="Arial" w:hAnsi="Arial"/>
                <w:sz w:val="18"/>
                <w:szCs w:val="18"/>
                <w:color w:val="auto"/>
              </w:rPr>
              <w:t>Total liabilities and stockholders’ equity</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349,688</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340,536</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0560"/>
          </w:cols>
          <w:pgMar w:left="320" w:top="125" w:right="1019" w:bottom="1440" w:gutter="0" w:footer="0" w:header="0"/>
        </w:sectPr>
      </w:pP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type w:val="continuous"/>
        </w:sectPr>
      </w:pPr>
    </w:p>
    <w:bookmarkStart w:id="4" w:name="page5"/>
    <w:bookmarkEnd w:id="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color w:val="auto"/>
              </w:rPr>
              <w:t>Three Months Ended March 31,</w:t>
            </w:r>
          </w:p>
        </w:tc>
      </w:tr>
      <w:tr>
        <w:trPr>
          <w:trHeight w:val="237"/>
        </w:trPr>
        <w:tc>
          <w:tcPr>
            <w:tcW w:w="51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r>
      <w:tr>
        <w:trPr>
          <w:trHeight w:val="216"/>
        </w:trPr>
        <w:tc>
          <w:tcPr>
            <w:tcW w:w="5180" w:type="dxa"/>
            <w:vAlign w:val="bottom"/>
          </w:tcPr>
          <w:p>
            <w:pPr>
              <w:ind w:left="660"/>
              <w:spacing w:after="0"/>
              <w:rPr>
                <w:sz w:val="20"/>
                <w:szCs w:val="20"/>
                <w:color w:val="auto"/>
              </w:rPr>
            </w:pPr>
            <w:r>
              <w:rPr>
                <w:rFonts w:ascii="Arial" w:cs="Arial" w:eastAsia="Arial" w:hAnsi="Arial"/>
                <w:sz w:val="18"/>
                <w:szCs w:val="18"/>
                <w:color w:val="auto"/>
              </w:rPr>
              <w:t>Revenues:</w:t>
            </w:r>
          </w:p>
        </w:tc>
        <w:tc>
          <w:tcPr>
            <w:tcW w:w="1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51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Wire transfer and money order fees, net</w:t>
            </w:r>
          </w:p>
        </w:tc>
        <w:tc>
          <w:tcPr>
            <w:tcW w:w="1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80,912</w:t>
            </w:r>
          </w:p>
        </w:tc>
      </w:tr>
      <w:tr>
        <w:trPr>
          <w:trHeight w:val="230"/>
        </w:trPr>
        <w:tc>
          <w:tcPr>
            <w:tcW w:w="5180" w:type="dxa"/>
            <w:vAlign w:val="bottom"/>
          </w:tcPr>
          <w:p>
            <w:pPr>
              <w:ind w:left="780"/>
              <w:spacing w:after="0"/>
              <w:rPr>
                <w:sz w:val="20"/>
                <w:szCs w:val="20"/>
                <w:color w:val="auto"/>
              </w:rPr>
            </w:pPr>
            <w:r>
              <w:rPr>
                <w:rFonts w:ascii="Arial" w:cs="Arial" w:eastAsia="Arial" w:hAnsi="Arial"/>
                <w:sz w:val="18"/>
                <w:szCs w:val="18"/>
                <w:color w:val="auto"/>
              </w:rPr>
              <w:t>Foreign exchange gain, net</w:t>
            </w:r>
          </w:p>
        </w:tc>
        <w:tc>
          <w:tcPr>
            <w:tcW w:w="10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13,049</w:t>
            </w:r>
          </w:p>
        </w:tc>
      </w:tr>
      <w:tr>
        <w:trPr>
          <w:trHeight w:val="236"/>
        </w:trPr>
        <w:tc>
          <w:tcPr>
            <w:tcW w:w="51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Other income</w:t>
            </w:r>
          </w:p>
        </w:tc>
        <w:tc>
          <w:tcPr>
            <w:tcW w:w="10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37"/>
        </w:trPr>
        <w:tc>
          <w:tcPr>
            <w:tcW w:w="5180" w:type="dxa"/>
            <w:vAlign w:val="bottom"/>
            <w:tcBorders>
              <w:bottom w:val="single" w:sz="8" w:color="CCEEFF"/>
            </w:tcBorders>
          </w:tcPr>
          <w:p>
            <w:pPr>
              <w:ind w:left="98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114,666</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94,577</w:t>
            </w:r>
          </w:p>
        </w:tc>
      </w:tr>
      <w:tr>
        <w:trPr>
          <w:trHeight w:val="243"/>
        </w:trPr>
        <w:tc>
          <w:tcPr>
            <w:tcW w:w="5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29"/>
        </w:trPr>
        <w:tc>
          <w:tcPr>
            <w:tcW w:w="5180" w:type="dxa"/>
            <w:vAlign w:val="bottom"/>
          </w:tcPr>
          <w:p>
            <w:pPr>
              <w:ind w:left="66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1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Service charges from agents and banks</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63,372</w:t>
            </w:r>
          </w:p>
        </w:tc>
      </w:tr>
      <w:tr>
        <w:trPr>
          <w:trHeight w:val="230"/>
        </w:trPr>
        <w:tc>
          <w:tcPr>
            <w:tcW w:w="5180" w:type="dxa"/>
            <w:vAlign w:val="bottom"/>
          </w:tcPr>
          <w:p>
            <w:pPr>
              <w:ind w:left="780"/>
              <w:spacing w:after="0"/>
              <w:rPr>
                <w:sz w:val="20"/>
                <w:szCs w:val="20"/>
                <w:color w:val="auto"/>
              </w:rPr>
            </w:pPr>
            <w:r>
              <w:rPr>
                <w:rFonts w:ascii="Arial" w:cs="Arial" w:eastAsia="Arial" w:hAnsi="Arial"/>
                <w:sz w:val="18"/>
                <w:szCs w:val="18"/>
                <w:color w:val="auto"/>
              </w:rPr>
              <w:t>Salaries and benefits</w:t>
            </w:r>
          </w:p>
        </w:tc>
        <w:tc>
          <w:tcPr>
            <w:tcW w:w="10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9,875</w:t>
            </w:r>
          </w:p>
        </w:tc>
      </w:tr>
      <w:tr>
        <w:trPr>
          <w:trHeight w:val="229"/>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r>
      <w:tr>
        <w:trPr>
          <w:trHeight w:val="237"/>
        </w:trPr>
        <w:tc>
          <w:tcPr>
            <w:tcW w:w="518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r>
      <w:tr>
        <w:trPr>
          <w:trHeight w:val="237"/>
        </w:trPr>
        <w:tc>
          <w:tcPr>
            <w:tcW w:w="51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81,087</w:t>
            </w:r>
          </w:p>
        </w:tc>
      </w:tr>
      <w:tr>
        <w:trPr>
          <w:trHeight w:val="243"/>
        </w:trPr>
        <w:tc>
          <w:tcPr>
            <w:tcW w:w="5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5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w:t>
            </w:r>
          </w:p>
        </w:tc>
      </w:tr>
      <w:tr>
        <w:trPr>
          <w:trHeight w:val="257"/>
        </w:trPr>
        <w:tc>
          <w:tcPr>
            <w:tcW w:w="5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6"/>
        </w:trPr>
        <w:tc>
          <w:tcPr>
            <w:tcW w:w="5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Interest expense</w:t>
            </w:r>
          </w:p>
        </w:tc>
        <w:tc>
          <w:tcPr>
            <w:tcW w:w="10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43"/>
        </w:trPr>
        <w:tc>
          <w:tcPr>
            <w:tcW w:w="5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51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Income before income taxes</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12,151</w:t>
            </w:r>
          </w:p>
        </w:tc>
      </w:tr>
      <w:tr>
        <w:trPr>
          <w:trHeight w:val="257"/>
        </w:trPr>
        <w:tc>
          <w:tcPr>
            <w:tcW w:w="5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7"/>
        </w:trPr>
        <w:tc>
          <w:tcPr>
            <w:tcW w:w="5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Income tax provision</w:t>
            </w:r>
          </w:p>
        </w:tc>
        <w:tc>
          <w:tcPr>
            <w:tcW w:w="10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r>
      <w:tr>
        <w:trPr>
          <w:trHeight w:val="243"/>
        </w:trPr>
        <w:tc>
          <w:tcPr>
            <w:tcW w:w="5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9"/>
        </w:trPr>
        <w:tc>
          <w:tcPr>
            <w:tcW w:w="51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r>
      <w:tr>
        <w:trPr>
          <w:trHeight w:val="257"/>
        </w:trPr>
        <w:tc>
          <w:tcPr>
            <w:tcW w:w="5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37"/>
        </w:trPr>
        <w:tc>
          <w:tcPr>
            <w:tcW w:w="5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comprehensive income (loss)</w:t>
            </w:r>
          </w:p>
        </w:tc>
        <w:tc>
          <w:tcPr>
            <w:tcW w:w="10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5"/>
        </w:trPr>
        <w:tc>
          <w:tcPr>
            <w:tcW w:w="51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Comprehensive income</w:t>
            </w:r>
          </w:p>
        </w:tc>
        <w:tc>
          <w:tcPr>
            <w:tcW w:w="1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51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Earnings per common share:</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180" w:type="dxa"/>
            <w:vAlign w:val="bottom"/>
          </w:tcPr>
          <w:p>
            <w:pPr>
              <w:ind w:left="980"/>
              <w:spacing w:after="0"/>
              <w:rPr>
                <w:sz w:val="20"/>
                <w:szCs w:val="20"/>
                <w:color w:val="auto"/>
              </w:rPr>
            </w:pPr>
            <w:r>
              <w:rPr>
                <w:rFonts w:ascii="Arial" w:cs="Arial" w:eastAsia="Arial" w:hAnsi="Arial"/>
                <w:sz w:val="18"/>
                <w:szCs w:val="18"/>
                <w:color w:val="auto"/>
              </w:rPr>
              <w:t>Basic and diluted</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57"/>
        </w:trPr>
        <w:tc>
          <w:tcPr>
            <w:tcW w:w="5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0"/>
        </w:trPr>
        <w:tc>
          <w:tcPr>
            <w:tcW w:w="5180" w:type="dxa"/>
            <w:vAlign w:val="bottom"/>
          </w:tcPr>
          <w:p>
            <w:pPr>
              <w:ind w:left="660"/>
              <w:spacing w:after="0"/>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1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38,362,014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38,239,130</w:t>
            </w:r>
          </w:p>
        </w:tc>
      </w:tr>
      <w:tr>
        <w:trPr>
          <w:trHeight w:val="230"/>
        </w:trPr>
        <w:tc>
          <w:tcPr>
            <w:tcW w:w="5180" w:type="dxa"/>
            <w:vAlign w:val="bottom"/>
          </w:tcPr>
          <w:p>
            <w:pPr>
              <w:ind w:left="980"/>
              <w:spacing w:after="0"/>
              <w:rPr>
                <w:sz w:val="20"/>
                <w:szCs w:val="20"/>
                <w:color w:val="auto"/>
              </w:rPr>
            </w:pPr>
            <w:r>
              <w:rPr>
                <w:rFonts w:ascii="Arial" w:cs="Arial" w:eastAsia="Arial" w:hAnsi="Arial"/>
                <w:sz w:val="18"/>
                <w:szCs w:val="18"/>
                <w:color w:val="auto"/>
              </w:rPr>
              <w:t>Diluted</w:t>
            </w:r>
          </w:p>
        </w:tc>
        <w:tc>
          <w:tcPr>
            <w:tcW w:w="10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39,077,665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38,846,906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 unaudited)</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14"/>
          </w:tcPr>
          <w:p>
            <w:pPr>
              <w:ind w:left="700"/>
              <w:spacing w:after="0"/>
              <w:rPr>
                <w:sz w:val="20"/>
                <w:szCs w:val="20"/>
                <w:color w:val="auto"/>
              </w:rPr>
            </w:pPr>
            <w:r>
              <w:rPr>
                <w:rFonts w:ascii="Arial" w:cs="Arial" w:eastAsia="Arial" w:hAnsi="Arial"/>
                <w:sz w:val="14"/>
                <w:szCs w:val="14"/>
                <w:b w:val="1"/>
                <w:bCs w:val="1"/>
                <w:color w:val="auto"/>
                <w:w w:val="99"/>
              </w:rPr>
              <w:t>Three Months Ended March 31, 2022</w:t>
            </w: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gridSpan w:val="7"/>
          </w:tcPr>
          <w:p>
            <w:pPr>
              <w:ind w:left="52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98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3"/>
            <w:vMerge w:val="restart"/>
          </w:tcPr>
          <w:p>
            <w:pPr>
              <w:spacing w:after="0" w:line="135" w:lineRule="exact"/>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2"/>
                <w:szCs w:val="2"/>
                <w:color w:val="auto"/>
              </w:rPr>
            </w:pPr>
          </w:p>
        </w:tc>
        <w:tc>
          <w:tcPr>
            <w:tcW w:w="740" w:type="dxa"/>
            <w:vAlign w:val="bottom"/>
            <w:vMerge w:val="restart"/>
          </w:tcPr>
          <w:p>
            <w:pPr>
              <w:jc w:val="right"/>
              <w:ind w:right="213"/>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81"/>
        </w:trPr>
        <w:tc>
          <w:tcPr>
            <w:tcW w:w="198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100"/>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9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vMerge w:val="continue"/>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204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December 31,</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38,820,222</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(341,522)</w:t>
            </w: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(5,566)</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66,875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81,803</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143,040</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200" w:type="dxa"/>
            <w:vAlign w:val="bottom"/>
            <w:gridSpan w:val="3"/>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11,654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Issuance of common stock:</w:t>
            </w: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140"/>
              <w:spacing w:after="0"/>
              <w:rPr>
                <w:sz w:val="20"/>
                <w:szCs w:val="20"/>
                <w:color w:val="auto"/>
              </w:rPr>
            </w:pPr>
            <w:r>
              <w:rPr>
                <w:rFonts w:ascii="Arial" w:cs="Arial" w:eastAsia="Arial" w:hAnsi="Arial"/>
                <w:sz w:val="18"/>
                <w:szCs w:val="18"/>
                <w:color w:val="auto"/>
                <w:w w:val="94"/>
              </w:rPr>
              <w:t>Exercise of stock options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43,725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Restricted stock units and</w:t>
            </w: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awards, net of shares</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20,787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withheld for taxes</w:t>
            </w:r>
          </w:p>
        </w:tc>
        <w:tc>
          <w:tcPr>
            <w:tcW w:w="10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Fully vested shares</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Share-based compensation</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0" w:type="dxa"/>
            <w:vAlign w:val="bottom"/>
          </w:tcPr>
          <w:p>
            <w:pPr>
              <w:spacing w:after="0"/>
              <w:rPr>
                <w:sz w:val="1"/>
                <w:szCs w:val="1"/>
                <w:color w:val="auto"/>
              </w:rPr>
            </w:pPr>
          </w:p>
        </w:tc>
      </w:tr>
      <w:tr>
        <w:trPr>
          <w:trHeight w:val="176"/>
        </w:trPr>
        <w:tc>
          <w:tcPr>
            <w:tcW w:w="20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10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currency translation, net</w:t>
            </w:r>
          </w:p>
        </w:tc>
        <w:tc>
          <w:tcPr>
            <w:tcW w:w="10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Acquisition of treasury</w:t>
            </w:r>
          </w:p>
        </w:tc>
        <w:tc>
          <w:tcPr>
            <w:tcW w:w="10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(224,388)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0" w:type="dxa"/>
            <w:vAlign w:val="bottom"/>
          </w:tcPr>
          <w:p>
            <w:pPr>
              <w:spacing w:after="0"/>
              <w:rPr>
                <w:sz w:val="1"/>
                <w:szCs w:val="1"/>
                <w:color w:val="auto"/>
              </w:rPr>
            </w:pPr>
          </w:p>
        </w:tc>
      </w:tr>
      <w:tr>
        <w:trPr>
          <w:trHeight w:val="23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at cost</w:t>
            </w:r>
          </w:p>
        </w:tc>
        <w:tc>
          <w:tcPr>
            <w:tcW w:w="102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4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w w:val="99"/>
              </w:rPr>
              <w:t>Balance, March 31, 2022</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38,885,736</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(565,910)</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(9,194)</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68,431</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93,457</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152,734</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19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6"/>
          </w:tcPr>
          <w:p>
            <w:pPr>
              <w:jc w:val="center"/>
              <w:ind w:right="200"/>
              <w:spacing w:after="0"/>
              <w:rPr>
                <w:sz w:val="20"/>
                <w:szCs w:val="20"/>
                <w:color w:val="auto"/>
              </w:rPr>
            </w:pPr>
            <w:r>
              <w:rPr>
                <w:rFonts w:ascii="Arial" w:cs="Arial" w:eastAsia="Arial" w:hAnsi="Arial"/>
                <w:sz w:val="14"/>
                <w:szCs w:val="14"/>
                <w:b w:val="1"/>
                <w:bCs w:val="1"/>
                <w:color w:val="auto"/>
                <w:w w:val="95"/>
              </w:rPr>
              <w:t>Three Months Ended March 31, 2021</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60" w:type="dxa"/>
            <w:vAlign w:val="bottom"/>
            <w:gridSpan w:val="7"/>
          </w:tcPr>
          <w:p>
            <w:pPr>
              <w:ind w:left="460"/>
              <w:spacing w:after="0" w:line="149" w:lineRule="exact"/>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9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restart"/>
          </w:tcPr>
          <w:p>
            <w:pPr>
              <w:jc w:val="right"/>
              <w:ind w:right="160"/>
              <w:spacing w:after="0" w:line="135" w:lineRule="exact"/>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4"/>
                <w:szCs w:val="4"/>
                <w:color w:val="auto"/>
              </w:rPr>
            </w:pPr>
          </w:p>
        </w:tc>
        <w:tc>
          <w:tcPr>
            <w:tcW w:w="86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vMerge w:val="restart"/>
          </w:tcPr>
          <w:p>
            <w:pPr>
              <w:jc w:val="right"/>
              <w:spacing w:after="0" w:line="13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7"/>
        </w:trPr>
        <w:tc>
          <w:tcPr>
            <w:tcW w:w="19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60" w:type="dxa"/>
            <w:vAlign w:val="bottom"/>
            <w:vMerge w:val="restart"/>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980" w:type="dxa"/>
            <w:vAlign w:val="bottom"/>
            <w:gridSpan w:val="4"/>
          </w:tcPr>
          <w:p>
            <w:pPr>
              <w:ind w:left="40"/>
              <w:spacing w:after="0" w:line="135" w:lineRule="exact"/>
              <w:rPr>
                <w:sz w:val="20"/>
                <w:szCs w:val="20"/>
                <w:color w:val="auto"/>
              </w:rPr>
            </w:pPr>
            <w:r>
              <w:rPr>
                <w:rFonts w:ascii="Arial" w:cs="Arial" w:eastAsia="Arial" w:hAnsi="Arial"/>
                <w:sz w:val="14"/>
                <w:szCs w:val="14"/>
                <w:b w:val="1"/>
                <w:bCs w:val="1"/>
                <w:color w:val="auto"/>
                <w:w w:val="87"/>
              </w:rPr>
              <w:t>Comprehensive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5"/>
          </w:tcPr>
          <w:p>
            <w:pPr>
              <w:ind w:left="60"/>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98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CCEEFF"/>
            </w:tcBorders>
            <w:vMerge w:val="continue"/>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Equity</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December 31,</w:t>
            </w:r>
          </w:p>
        </w:tc>
        <w:tc>
          <w:tcPr>
            <w:tcW w:w="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38,217,125</w:t>
            </w:r>
          </w:p>
        </w:tc>
        <w:tc>
          <w:tcPr>
            <w:tcW w:w="60" w:type="dxa"/>
            <w:vAlign w:val="bottom"/>
            <w:shd w:val="clear" w:color="auto" w:fill="CCEEFF"/>
          </w:tcPr>
          <w:p>
            <w:pPr>
              <w:spacing w:after="0"/>
              <w:rPr>
                <w:sz w:val="14"/>
                <w:szCs w:val="14"/>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4"/>
                <w:szCs w:val="14"/>
                <w:color w:val="auto"/>
              </w:rPr>
            </w:pPr>
          </w:p>
        </w:tc>
        <w:tc>
          <w:tcPr>
            <w:tcW w:w="1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59,310</w:t>
            </w:r>
          </w:p>
        </w:tc>
        <w:tc>
          <w:tcPr>
            <w:tcW w:w="20" w:type="dxa"/>
            <w:vAlign w:val="bottom"/>
            <w:shd w:val="clear" w:color="auto" w:fill="CCEEFF"/>
          </w:tcPr>
          <w:p>
            <w:pPr>
              <w:spacing w:after="0"/>
              <w:rPr>
                <w:sz w:val="14"/>
                <w:szCs w:val="14"/>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3"/>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3"/>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00" w:type="dxa"/>
            <w:vAlign w:val="bottom"/>
            <w:gridSpan w:val="4"/>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gridSpan w:val="4"/>
            <w:vMerge w:val="continue"/>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ind w:left="6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8,977</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common</w:t>
            </w: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Exercise of stock</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144,632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1,434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gridSpan w:val="3"/>
            <w:vMerge w:val="restart"/>
          </w:tcPr>
          <w:p>
            <w:pPr>
              <w:ind w:left="6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8"/>
                <w:szCs w:val="18"/>
                <w:color w:val="auto"/>
              </w:rPr>
              <w:t>1,434</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140"/>
              <w:spacing w:after="0"/>
              <w:rPr>
                <w:sz w:val="20"/>
                <w:szCs w:val="20"/>
                <w:color w:val="auto"/>
              </w:rPr>
            </w:pPr>
            <w:r>
              <w:rPr>
                <w:rFonts w:ascii="Arial" w:cs="Arial" w:eastAsia="Arial" w:hAnsi="Arial"/>
                <w:sz w:val="18"/>
                <w:szCs w:val="18"/>
                <w:color w:val="auto"/>
              </w:rPr>
              <w:t>options</w:t>
            </w: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vMerge w:val="continue"/>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Restricted stock units</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awards</w:t>
            </w:r>
          </w:p>
        </w:tc>
        <w:tc>
          <w:tcPr>
            <w:tcW w:w="96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color w:val="auto"/>
                <w:w w:val="90"/>
              </w:rPr>
              <w:t>Share-based compensation</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3"/>
          </w:tcPr>
          <w:p>
            <w:pPr>
              <w:ind w:left="66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896</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Adjustment from foreign</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vMerge w:val="restart"/>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restart"/>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currency translation, net</w:t>
            </w:r>
          </w:p>
        </w:tc>
        <w:tc>
          <w:tcPr>
            <w:tcW w:w="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vMerge w:val="continue"/>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CCEEFF"/>
            </w:tcBorders>
            <w:vMerge w:val="continue"/>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Borders>
              <w:bottom w:val="single" w:sz="8" w:color="CCEEFF"/>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gridSpan w:val="4"/>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gridSpan w:val="3"/>
            <w:vMerge w:val="continue"/>
            <w:shd w:val="clear" w:color="auto" w:fill="CCEEFF"/>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40" w:type="dxa"/>
            <w:vAlign w:val="bottom"/>
            <w:gridSpan w:val="2"/>
          </w:tcPr>
          <w:p>
            <w:pPr>
              <w:ind w:left="20"/>
              <w:spacing w:after="0"/>
              <w:rPr>
                <w:sz w:val="20"/>
                <w:szCs w:val="20"/>
                <w:color w:val="auto"/>
              </w:rPr>
            </w:pPr>
            <w:r>
              <w:rPr>
                <w:rFonts w:ascii="Arial" w:cs="Arial" w:eastAsia="Arial" w:hAnsi="Arial"/>
                <w:sz w:val="18"/>
                <w:szCs w:val="18"/>
                <w:color w:val="auto"/>
                <w:w w:val="99"/>
              </w:rPr>
              <w:t>Balance, March 31, 2021</w:t>
            </w:r>
          </w:p>
        </w:tc>
        <w:tc>
          <w:tcPr>
            <w:tcW w:w="960" w:type="dxa"/>
            <w:vAlign w:val="bottom"/>
          </w:tcPr>
          <w:p>
            <w:pPr>
              <w:jc w:val="right"/>
              <w:spacing w:after="0"/>
              <w:rPr>
                <w:sz w:val="20"/>
                <w:szCs w:val="20"/>
                <w:color w:val="auto"/>
              </w:rPr>
            </w:pPr>
            <w:r>
              <w:rPr>
                <w:rFonts w:ascii="Arial" w:cs="Arial" w:eastAsia="Arial" w:hAnsi="Arial"/>
                <w:sz w:val="18"/>
                <w:szCs w:val="18"/>
                <w:color w:val="auto"/>
              </w:rPr>
              <w:t>38,362,788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61,640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43,937</w:t>
            </w:r>
          </w:p>
        </w:tc>
        <w:tc>
          <w:tcPr>
            <w:tcW w:w="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105,564</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000" w:right="2240"/>
        <w:spacing w:after="0" w:line="266"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(in thousands, unaudited)</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40" w:type="dxa"/>
            <w:vAlign w:val="bottom"/>
          </w:tcPr>
          <w:p>
            <w:pPr>
              <w:spacing w:after="0"/>
              <w:rPr>
                <w:sz w:val="20"/>
                <w:szCs w:val="20"/>
                <w:color w:val="auto"/>
              </w:rPr>
            </w:pPr>
          </w:p>
        </w:tc>
        <w:tc>
          <w:tcPr>
            <w:tcW w:w="41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color w:val="auto"/>
              </w:rPr>
              <w:t>Three Months Ended March 31,</w:t>
            </w:r>
          </w:p>
        </w:tc>
        <w:tc>
          <w:tcPr>
            <w:tcW w:w="660" w:type="dxa"/>
            <w:vAlign w:val="bottom"/>
            <w:tcBorders>
              <w:bottom w:val="single" w:sz="8" w:color="auto"/>
            </w:tcBorders>
          </w:tcPr>
          <w:p>
            <w:pPr>
              <w:spacing w:after="0"/>
              <w:rPr>
                <w:sz w:val="20"/>
                <w:szCs w:val="20"/>
                <w:color w:val="auto"/>
              </w:rPr>
            </w:pPr>
          </w:p>
        </w:tc>
      </w:tr>
      <w:tr>
        <w:trPr>
          <w:trHeight w:val="237"/>
        </w:trPr>
        <w:tc>
          <w:tcPr>
            <w:tcW w:w="514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tcPr>
          <w:p>
            <w:pPr>
              <w:spacing w:after="0"/>
              <w:rPr>
                <w:sz w:val="20"/>
                <w:szCs w:val="20"/>
                <w:color w:val="auto"/>
              </w:rPr>
            </w:pPr>
          </w:p>
        </w:tc>
      </w:tr>
      <w:tr>
        <w:trPr>
          <w:trHeight w:val="216"/>
        </w:trPr>
        <w:tc>
          <w:tcPr>
            <w:tcW w:w="5140" w:type="dxa"/>
            <w:vAlign w:val="bottom"/>
          </w:tcPr>
          <w:p>
            <w:pPr>
              <w:ind w:left="660"/>
              <w:spacing w:after="0"/>
              <w:rPr>
                <w:sz w:val="20"/>
                <w:szCs w:val="20"/>
                <w:color w:val="auto"/>
              </w:rPr>
            </w:pPr>
            <w:r>
              <w:rPr>
                <w:rFonts w:ascii="Arial" w:cs="Arial" w:eastAsia="Arial" w:hAnsi="Arial"/>
                <w:sz w:val="18"/>
                <w:szCs w:val="18"/>
                <w:color w:val="auto"/>
              </w:rPr>
              <w:t>Cash flows from operating activities:</w:t>
            </w: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5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income</w:t>
            </w:r>
          </w:p>
        </w:tc>
        <w:tc>
          <w:tcPr>
            <w:tcW w:w="168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8,977</w:t>
            </w:r>
          </w:p>
        </w:tc>
      </w:tr>
      <w:tr>
        <w:trPr>
          <w:trHeight w:val="176"/>
        </w:trPr>
        <w:tc>
          <w:tcPr>
            <w:tcW w:w="5140" w:type="dxa"/>
            <w:vAlign w:val="bottom"/>
          </w:tcPr>
          <w:p>
            <w:pPr>
              <w:ind w:left="140"/>
              <w:spacing w:after="0" w:line="176" w:lineRule="exact"/>
              <w:rPr>
                <w:sz w:val="20"/>
                <w:szCs w:val="20"/>
                <w:color w:val="auto"/>
              </w:rPr>
            </w:pPr>
            <w:r>
              <w:rPr>
                <w:rFonts w:ascii="Arial" w:cs="Arial" w:eastAsia="Arial" w:hAnsi="Arial"/>
                <w:sz w:val="18"/>
                <w:szCs w:val="18"/>
                <w:color w:val="auto"/>
                <w:w w:val="93"/>
              </w:rPr>
              <w:t>Adjustments to reconcile net income to net cash provided by (used</w:t>
            </w:r>
          </w:p>
        </w:tc>
        <w:tc>
          <w:tcPr>
            <w:tcW w:w="1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29"/>
        </w:trPr>
        <w:tc>
          <w:tcPr>
            <w:tcW w:w="5140" w:type="dxa"/>
            <w:vAlign w:val="bottom"/>
          </w:tcPr>
          <w:p>
            <w:pPr>
              <w:ind w:left="300"/>
              <w:spacing w:after="0"/>
              <w:rPr>
                <w:sz w:val="20"/>
                <w:szCs w:val="20"/>
                <w:color w:val="auto"/>
              </w:rPr>
            </w:pPr>
            <w:r>
              <w:rPr>
                <w:rFonts w:ascii="Arial" w:cs="Arial" w:eastAsia="Arial" w:hAnsi="Arial"/>
                <w:sz w:val="18"/>
                <w:szCs w:val="18"/>
                <w:color w:val="auto"/>
              </w:rPr>
              <w:t>in) operating activities:</w:t>
            </w: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5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w:t>
            </w:r>
          </w:p>
        </w:tc>
      </w:tr>
      <w:tr>
        <w:trPr>
          <w:trHeight w:val="229"/>
        </w:trPr>
        <w:tc>
          <w:tcPr>
            <w:tcW w:w="5140" w:type="dxa"/>
            <w:vAlign w:val="bottom"/>
          </w:tcPr>
          <w:p>
            <w:pPr>
              <w:ind w:left="980"/>
              <w:spacing w:after="0"/>
              <w:rPr>
                <w:sz w:val="20"/>
                <w:szCs w:val="20"/>
                <w:color w:val="auto"/>
              </w:rPr>
            </w:pPr>
            <w:r>
              <w:rPr>
                <w:rFonts w:ascii="Arial" w:cs="Arial" w:eastAsia="Arial" w:hAnsi="Arial"/>
                <w:sz w:val="18"/>
                <w:szCs w:val="18"/>
                <w:color w:val="auto"/>
              </w:rPr>
              <w:t>Share-based compensation</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5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Provision for credit losses</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5140" w:type="dxa"/>
            <w:vAlign w:val="bottom"/>
          </w:tcPr>
          <w:p>
            <w:pPr>
              <w:ind w:left="980"/>
              <w:spacing w:after="0"/>
              <w:rPr>
                <w:sz w:val="20"/>
                <w:szCs w:val="20"/>
                <w:color w:val="auto"/>
              </w:rPr>
            </w:pPr>
            <w:r>
              <w:rPr>
                <w:rFonts w:ascii="Arial" w:cs="Arial" w:eastAsia="Arial" w:hAnsi="Arial"/>
                <w:sz w:val="18"/>
                <w:szCs w:val="18"/>
                <w:color w:val="auto"/>
              </w:rPr>
              <w:t>Debt origination costs amortization</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5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Deferred income tax provision (benefit), net</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5140" w:type="dxa"/>
            <w:vAlign w:val="bottom"/>
          </w:tcPr>
          <w:p>
            <w:pPr>
              <w:ind w:left="980"/>
              <w:spacing w:after="0"/>
              <w:rPr>
                <w:sz w:val="20"/>
                <w:szCs w:val="20"/>
                <w:color w:val="auto"/>
              </w:rPr>
            </w:pPr>
            <w:r>
              <w:rPr>
                <w:rFonts w:ascii="Arial" w:cs="Arial" w:eastAsia="Arial" w:hAnsi="Arial"/>
                <w:sz w:val="18"/>
                <w:szCs w:val="18"/>
                <w:color w:val="auto"/>
              </w:rPr>
              <w:t>Non-cash lease expense</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1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Loss on disposal of property and equipment</w:t>
            </w:r>
          </w:p>
        </w:tc>
        <w:tc>
          <w:tcPr>
            <w:tcW w:w="16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7"/>
        </w:trPr>
        <w:tc>
          <w:tcPr>
            <w:tcW w:w="5140" w:type="dxa"/>
            <w:vAlign w:val="bottom"/>
          </w:tcPr>
          <w:p>
            <w:pPr>
              <w:ind w:left="1320"/>
              <w:spacing w:after="0"/>
              <w:rPr>
                <w:sz w:val="20"/>
                <w:szCs w:val="20"/>
                <w:color w:val="auto"/>
              </w:rPr>
            </w:pPr>
            <w:r>
              <w:rPr>
                <w:rFonts w:ascii="Arial" w:cs="Arial" w:eastAsia="Arial" w:hAnsi="Arial"/>
                <w:sz w:val="18"/>
                <w:szCs w:val="18"/>
                <w:color w:val="auto"/>
              </w:rPr>
              <w:t>Total adjustments</w:t>
            </w:r>
          </w:p>
        </w:tc>
        <w:tc>
          <w:tcPr>
            <w:tcW w:w="1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4,805</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3,514</w:t>
            </w:r>
          </w:p>
        </w:tc>
      </w:tr>
      <w:tr>
        <w:trPr>
          <w:trHeight w:val="229"/>
        </w:trPr>
        <w:tc>
          <w:tcPr>
            <w:tcW w:w="51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Changes in operating assets and liabilities:</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5140" w:type="dxa"/>
            <w:vAlign w:val="bottom"/>
          </w:tcPr>
          <w:p>
            <w:pPr>
              <w:ind w:left="1100"/>
              <w:spacing w:after="0"/>
              <w:rPr>
                <w:sz w:val="20"/>
                <w:szCs w:val="20"/>
                <w:color w:val="auto"/>
              </w:rPr>
            </w:pPr>
            <w:r>
              <w:rPr>
                <w:rFonts w:ascii="Arial" w:cs="Arial" w:eastAsia="Arial" w:hAnsi="Arial"/>
                <w:sz w:val="18"/>
                <w:szCs w:val="18"/>
                <w:color w:val="auto"/>
              </w:rPr>
              <w:t>Accounts receivable, net</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(19,546)</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(11,938)</w:t>
            </w:r>
          </w:p>
        </w:tc>
      </w:tr>
      <w:tr>
        <w:trPr>
          <w:trHeight w:val="230"/>
        </w:trPr>
        <w:tc>
          <w:tcPr>
            <w:tcW w:w="51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Prepaid wires, net</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(36,163)</w:t>
            </w:r>
          </w:p>
        </w:tc>
      </w:tr>
      <w:tr>
        <w:trPr>
          <w:trHeight w:val="229"/>
        </w:trPr>
        <w:tc>
          <w:tcPr>
            <w:tcW w:w="5140" w:type="dxa"/>
            <w:vAlign w:val="bottom"/>
          </w:tcPr>
          <w:p>
            <w:pPr>
              <w:ind w:left="1100"/>
              <w:spacing w:after="0"/>
              <w:rPr>
                <w:sz w:val="20"/>
                <w:szCs w:val="20"/>
                <w:color w:val="auto"/>
              </w:rPr>
            </w:pPr>
            <w:r>
              <w:rPr>
                <w:rFonts w:ascii="Arial" w:cs="Arial" w:eastAsia="Arial" w:hAnsi="Arial"/>
                <w:sz w:val="18"/>
                <w:szCs w:val="18"/>
                <w:color w:val="auto"/>
              </w:rPr>
              <w:t>Prepaid expenses and other assets</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51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Wire transfers and money orders payable, net</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29"/>
        </w:trPr>
        <w:tc>
          <w:tcPr>
            <w:tcW w:w="5140" w:type="dxa"/>
            <w:vAlign w:val="bottom"/>
          </w:tcPr>
          <w:p>
            <w:pPr>
              <w:ind w:left="1100"/>
              <w:spacing w:after="0"/>
              <w:rPr>
                <w:sz w:val="20"/>
                <w:szCs w:val="20"/>
                <w:color w:val="auto"/>
              </w:rPr>
            </w:pPr>
            <w:r>
              <w:rPr>
                <w:rFonts w:ascii="Arial" w:cs="Arial" w:eastAsia="Arial" w:hAnsi="Arial"/>
                <w:sz w:val="18"/>
                <w:szCs w:val="18"/>
                <w:color w:val="auto"/>
              </w:rPr>
              <w:t>Lease liabilities</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Accounts payable and accrued and other liabilities</w:t>
            </w:r>
          </w:p>
        </w:tc>
        <w:tc>
          <w:tcPr>
            <w:tcW w:w="16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r>
      <w:tr>
        <w:trPr>
          <w:trHeight w:val="236"/>
        </w:trPr>
        <w:tc>
          <w:tcPr>
            <w:tcW w:w="51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(used in) operating activities</w:t>
            </w:r>
          </w:p>
        </w:tc>
        <w:tc>
          <w:tcPr>
            <w:tcW w:w="1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33,284</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(32,406)</w:t>
            </w:r>
          </w:p>
        </w:tc>
      </w:tr>
      <w:tr>
        <w:trPr>
          <w:trHeight w:val="148"/>
        </w:trPr>
        <w:tc>
          <w:tcPr>
            <w:tcW w:w="51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0"/>
        </w:trPr>
        <w:tc>
          <w:tcPr>
            <w:tcW w:w="5140" w:type="dxa"/>
            <w:vAlign w:val="bottom"/>
          </w:tcPr>
          <w:p>
            <w:pPr>
              <w:ind w:left="660"/>
              <w:spacing w:after="0"/>
              <w:rPr>
                <w:sz w:val="20"/>
                <w:szCs w:val="20"/>
                <w:color w:val="auto"/>
              </w:rPr>
            </w:pPr>
            <w:r>
              <w:rPr>
                <w:rFonts w:ascii="Arial" w:cs="Arial" w:eastAsia="Arial" w:hAnsi="Arial"/>
                <w:sz w:val="18"/>
                <w:szCs w:val="18"/>
                <w:color w:val="auto"/>
              </w:rPr>
              <w:t>Cash flows from investing activities:</w:t>
            </w: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50"/>
        </w:trPr>
        <w:tc>
          <w:tcPr>
            <w:tcW w:w="5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Purchases of property and equipment</w:t>
            </w:r>
          </w:p>
        </w:tc>
        <w:tc>
          <w:tcPr>
            <w:tcW w:w="16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r>
      <w:tr>
        <w:trPr>
          <w:trHeight w:val="216"/>
        </w:trPr>
        <w:tc>
          <w:tcPr>
            <w:tcW w:w="5140" w:type="dxa"/>
            <w:vAlign w:val="bottom"/>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162"/>
        </w:trPr>
        <w:tc>
          <w:tcPr>
            <w:tcW w:w="51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30"/>
        </w:trPr>
        <w:tc>
          <w:tcPr>
            <w:tcW w:w="5140" w:type="dxa"/>
            <w:vAlign w:val="bottom"/>
          </w:tcPr>
          <w:p>
            <w:pPr>
              <w:ind w:left="660"/>
              <w:spacing w:after="0"/>
              <w:rPr>
                <w:sz w:val="20"/>
                <w:szCs w:val="20"/>
                <w:color w:val="auto"/>
              </w:rPr>
            </w:pPr>
            <w:r>
              <w:rPr>
                <w:rFonts w:ascii="Arial" w:cs="Arial" w:eastAsia="Arial" w:hAnsi="Arial"/>
                <w:sz w:val="18"/>
                <w:szCs w:val="18"/>
                <w:color w:val="auto"/>
              </w:rPr>
              <w:t>Cash flows from financing activities:</w:t>
            </w: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5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Repayments of term loan facility</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r>
      <w:tr>
        <w:trPr>
          <w:trHeight w:val="229"/>
        </w:trPr>
        <w:tc>
          <w:tcPr>
            <w:tcW w:w="5140" w:type="dxa"/>
            <w:vAlign w:val="bottom"/>
          </w:tcPr>
          <w:p>
            <w:pPr>
              <w:ind w:left="780"/>
              <w:spacing w:after="0"/>
              <w:rPr>
                <w:sz w:val="20"/>
                <w:szCs w:val="20"/>
                <w:color w:val="auto"/>
              </w:rPr>
            </w:pPr>
            <w:r>
              <w:rPr>
                <w:rFonts w:ascii="Arial" w:cs="Arial" w:eastAsia="Arial" w:hAnsi="Arial"/>
                <w:sz w:val="18"/>
                <w:szCs w:val="18"/>
                <w:color w:val="auto"/>
              </w:rPr>
              <w:t>Borrowings under revolving credit facility, net</w:t>
            </w:r>
          </w:p>
        </w:tc>
        <w:tc>
          <w:tcPr>
            <w:tcW w:w="16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5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Proceeds from exercise of stock options</w:t>
            </w:r>
          </w:p>
        </w:tc>
        <w:tc>
          <w:tcPr>
            <w:tcW w:w="16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r>
      <w:tr>
        <w:trPr>
          <w:trHeight w:val="230"/>
        </w:trPr>
        <w:tc>
          <w:tcPr>
            <w:tcW w:w="5140" w:type="dxa"/>
            <w:vAlign w:val="bottom"/>
          </w:tcPr>
          <w:p>
            <w:pPr>
              <w:ind w:left="780"/>
              <w:spacing w:after="0"/>
              <w:rPr>
                <w:sz w:val="20"/>
                <w:szCs w:val="20"/>
                <w:color w:val="auto"/>
              </w:rPr>
            </w:pPr>
            <w:r>
              <w:rPr>
                <w:rFonts w:ascii="Arial" w:cs="Arial" w:eastAsia="Arial" w:hAnsi="Arial"/>
                <w:sz w:val="18"/>
                <w:szCs w:val="18"/>
                <w:color w:val="auto"/>
              </w:rPr>
              <w:t>Payments for stock awards</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Repurchases of common stock</w:t>
            </w:r>
          </w:p>
        </w:tc>
        <w:tc>
          <w:tcPr>
            <w:tcW w:w="16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1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provided by financing activities</w:t>
            </w:r>
          </w:p>
        </w:tc>
        <w:tc>
          <w:tcPr>
            <w:tcW w:w="1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14,519</w:t>
            </w:r>
          </w:p>
        </w:tc>
      </w:tr>
      <w:tr>
        <w:trPr>
          <w:trHeight w:val="148"/>
        </w:trPr>
        <w:tc>
          <w:tcPr>
            <w:tcW w:w="51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7"/>
        </w:trPr>
        <w:tc>
          <w:tcPr>
            <w:tcW w:w="51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Effect of exchange rate changes on cash</w:t>
            </w:r>
          </w:p>
        </w:tc>
        <w:tc>
          <w:tcPr>
            <w:tcW w:w="1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148"/>
        </w:trPr>
        <w:tc>
          <w:tcPr>
            <w:tcW w:w="51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0"/>
        </w:trPr>
        <w:tc>
          <w:tcPr>
            <w:tcW w:w="5140" w:type="dxa"/>
            <w:vAlign w:val="bottom"/>
          </w:tcPr>
          <w:p>
            <w:pPr>
              <w:ind w:left="660"/>
              <w:spacing w:after="0"/>
              <w:rPr>
                <w:sz w:val="20"/>
                <w:szCs w:val="20"/>
                <w:color w:val="auto"/>
              </w:rPr>
            </w:pPr>
            <w:r>
              <w:rPr>
                <w:rFonts w:ascii="Arial" w:cs="Arial" w:eastAsia="Arial" w:hAnsi="Arial"/>
                <w:sz w:val="18"/>
                <w:szCs w:val="18"/>
                <w:color w:val="auto"/>
              </w:rPr>
              <w:t>Net increase (decrease) in cash</w:t>
            </w:r>
          </w:p>
        </w:tc>
        <w:tc>
          <w:tcPr>
            <w:tcW w:w="16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24,763</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(19,820)</w:t>
            </w:r>
          </w:p>
        </w:tc>
      </w:tr>
      <w:tr>
        <w:trPr>
          <w:trHeight w:val="162"/>
        </w:trPr>
        <w:tc>
          <w:tcPr>
            <w:tcW w:w="51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36"/>
        </w:trPr>
        <w:tc>
          <w:tcPr>
            <w:tcW w:w="51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Cash, beginning of period</w:t>
            </w:r>
          </w:p>
        </w:tc>
        <w:tc>
          <w:tcPr>
            <w:tcW w:w="16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132,474</w:t>
            </w:r>
          </w:p>
        </w:tc>
        <w:tc>
          <w:tcPr>
            <w:tcW w:w="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w:t>
            </w:r>
          </w:p>
        </w:tc>
      </w:tr>
      <w:tr>
        <w:trPr>
          <w:trHeight w:val="149"/>
        </w:trPr>
        <w:tc>
          <w:tcPr>
            <w:tcW w:w="514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230"/>
        </w:trPr>
        <w:tc>
          <w:tcPr>
            <w:tcW w:w="5140" w:type="dxa"/>
            <w:vAlign w:val="bottom"/>
          </w:tcPr>
          <w:p>
            <w:pPr>
              <w:ind w:left="660"/>
              <w:spacing w:after="0"/>
              <w:rPr>
                <w:sz w:val="20"/>
                <w:szCs w:val="20"/>
                <w:color w:val="auto"/>
              </w:rPr>
            </w:pPr>
            <w:r>
              <w:rPr>
                <w:rFonts w:ascii="Arial" w:cs="Arial" w:eastAsia="Arial" w:hAnsi="Arial"/>
                <w:sz w:val="18"/>
                <w:szCs w:val="18"/>
                <w:color w:val="auto"/>
              </w:rPr>
              <w:t>Cash, end of period</w:t>
            </w:r>
          </w:p>
        </w:tc>
        <w:tc>
          <w:tcPr>
            <w:tcW w:w="16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157,237</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55,087</w:t>
            </w:r>
          </w:p>
        </w:tc>
      </w:tr>
      <w:tr>
        <w:trPr>
          <w:trHeight w:val="20"/>
        </w:trPr>
        <w:tc>
          <w:tcPr>
            <w:tcW w:w="5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5" w:right="101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37" w:lineRule="exact"/>
        <w:rPr>
          <w:sz w:val="20"/>
          <w:szCs w:val="20"/>
          <w:color w:val="auto"/>
        </w:rPr>
      </w:pPr>
    </w:p>
    <w:p>
      <w:pPr>
        <w:jc w:val="center"/>
        <w:ind w:left="1140" w:right="1460"/>
        <w:spacing w:after="0" w:line="275" w:lineRule="auto"/>
        <w:rPr>
          <w:sz w:val="20"/>
          <w:szCs w:val="20"/>
          <w:color w:val="auto"/>
        </w:rPr>
      </w:pPr>
      <w:r>
        <w:rPr>
          <w:rFonts w:ascii="Arial" w:cs="Arial" w:eastAsia="Arial" w:hAnsi="Arial"/>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3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5160" w:type="dxa"/>
            <w:vAlign w:val="bottom"/>
          </w:tcPr>
          <w:p>
            <w:pPr>
              <w:ind w:left="66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Cash paid for interest</w:t>
            </w:r>
          </w:p>
        </w:tc>
        <w:tc>
          <w:tcPr>
            <w:tcW w:w="10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7"/>
        </w:trPr>
        <w:tc>
          <w:tcPr>
            <w:tcW w:w="5160" w:type="dxa"/>
            <w:vAlign w:val="bottom"/>
          </w:tcPr>
          <w:p>
            <w:pPr>
              <w:ind w:left="780"/>
              <w:spacing w:after="0"/>
              <w:rPr>
                <w:sz w:val="20"/>
                <w:szCs w:val="20"/>
                <w:color w:val="auto"/>
              </w:rPr>
            </w:pPr>
            <w:r>
              <w:rPr>
                <w:rFonts w:ascii="Arial" w:cs="Arial" w:eastAsia="Arial" w:hAnsi="Arial"/>
                <w:sz w:val="18"/>
                <w:szCs w:val="18"/>
                <w:color w:val="auto"/>
              </w:rPr>
              <w:t>Cash paid for income taxes</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76"/>
        </w:trPr>
        <w:tc>
          <w:tcPr>
            <w:tcW w:w="51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8"/>
              </w:rPr>
              <w:t>Non-cash lease liabilities arising from obtaining right-of-</w:t>
            </w:r>
          </w:p>
        </w:tc>
        <w:tc>
          <w:tcPr>
            <w:tcW w:w="10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use assets</w:t>
            </w: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3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ind w:left="5520" w:right="2680" w:hanging="2834"/>
        <w:spacing w:after="0" w:line="260"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1 – BUSINESS AND ACCOUNTING POLICIES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36 Company-operated stores throughout the United States and Canada.</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March 2020, a global pandemic was declared by the World Health Organization related to the rapidly growing outbreak of a novel strain of coronavirus (“COVID-19”). Although the worst effects of the pandemic appear to have subsided in the United States, the pandemic has had and continues to have a significant effect on economic conditions in the United States, and continues to cause significant uncertainties in the U.S. and global economies, particularly as a result of new variants of COVID-19, which appear to be causing an increase in COVID-19 cases in certain places around the world. Public health officials and medical professionals have warned that COVID-19 resurgences may continue to occur due to a variety of factors, including the extent of economic activity, social interaction, vaccination rates and the emergence of potent variants. It is unclear if and when resurgences will occur or how long any resurgence will last, how severe it will be, and what safety measures governments and businesses will impose in response.</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extent to which the COVID-19 pandemic affects our business, operations and financial results depends, and will continue to depend, on numerous evolving factors that we may not be able to accurately predict.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or resurgence of the pandemic and the related extent of its severity, as well as its impact on the economic conditions, particularly the level of unemployment of our consumers, inflation (including changes in wages) and governmental efforts to restrain inflation, interest rate levels and foreign exchange volatility, all of which remain uncertain and cannot be predicted at this time. If the global response to contain and remedy the COVID-19 pandemic escalates further or is unsuccessful, or if governmental decisions to ease pandemic related restrictions are ineffective, premature or counterproductive, or if an escalation in the global response to contain the COVID-19 pandemic is required or is unsuccessful, the Company could experience a material adverse effect on its financial condition, results of operations and cash flows.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condensed consolidated financial statements of the Company include Intermex Holdings, Inc. (“Holdings”), its wholly-owned indirect subsidiary, Intermex Wire Transfer, LLC (“LLC”), Intermex Wire Transfers de Guatemala, S.A. (“Intermex Guatemala”) - 100% owned by LLC, Intermex Wire Transfer de Mexico, S.A. and Intermex Transfers de Mexico, S.A. (“Intermex Mexico”) - 98% owned by LLC and 2% directly owned by Holdings, Intermex Wire Transfer Corp. - 100% owned by LLC, Intermex Wire Transfer II, LLC - 100% owned by LLC and Canada International Transfers Corp. - 100% owned by LLC.</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condensed consolidated financial statements are prepared in accordance with accounting principles generally accepted in the United States (“GAAP”).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balances and transactions have been eliminated from the condensed consolidated financial statements.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2021.</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16, 2022, the Company entered into a definitive purchase agreement to acquire Envios de Valores La Nacional Corp. and LAN Holdings, Corp., which either directly or indirectly operate as money remittance companies in the United States, Canada and certain countries in Europe. The transaction is subject to customary regulatory approvals and is expected to close in the third quarter of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January 1, 2022, the Company adopted the new accounting guidance,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842”), which required the Company to record assets and liabilities on the balance sheet for lease-related rights and obligations and disclose key information about its leasing arrangements. The guidance requires that a lessee recognizes a liability to make lease payments (the lease liability) and a right-of-use (“ROU”) asset representing its right to use the underlying asset for the lease term on the balance sheet. Leases will be classified as financing or operating, with classification affecting the pattern of expense recognition in the condensed consolidated statements of income and comprehensive income. Refer to Note 6 for additional information on the adoption of this standard and related disclosures.</w:t>
      </w:r>
    </w:p>
    <w:p>
      <w:pPr>
        <w:spacing w:after="0" w:line="3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required to adopt the new guidance on December 31, 2022. The Company is currently evaluating the impact this guidance will have on the condensed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2 –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revenues from contracts with customers for the three months ended March 31, 2022 and 2021,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6"/>
              </w:rPr>
              <w:t>Three Months Ended March 31,</w:t>
            </w:r>
          </w:p>
        </w:tc>
      </w:tr>
      <w:tr>
        <w:trPr>
          <w:trHeight w:val="236"/>
        </w:trPr>
        <w:tc>
          <w:tcPr>
            <w:tcW w:w="7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81,216</w:t>
            </w:r>
          </w:p>
        </w:tc>
      </w:tr>
      <w:tr>
        <w:trPr>
          <w:trHeight w:val="236"/>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Discounts and promotions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 and money order fees,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80,912</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13,049</w:t>
            </w:r>
          </w:p>
        </w:tc>
      </w:tr>
      <w:tr>
        <w:trPr>
          <w:trHeight w:val="237"/>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94,577</w:t>
            </w:r>
          </w:p>
        </w:tc>
      </w:tr>
      <w:tr>
        <w:trPr>
          <w:trHeight w:val="21"/>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a foreign exchange rate that is more favorable to the customer. The customer benefits vary by country, and the earned points expire if the customer has not initiated and completed an eligible wire transfer transaction within the immediately preceding 180-day period. In addition, earned points will expire 30 days after the end of the program. Because the loyalty program benefits represent a future performance obligation, a portion of the initial consideration is recorded as deferred revenue loyalty program (see Note 8) and a corresponding loyalty program expense is recorded as contra revenue. Revenue from this performance obligation is recognized upon customers redeeming points or upon expiration of any points outstanding.</w:t>
      </w:r>
    </w:p>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also offers several other services, including money orders and check cashing through our sending agents, for which revenue is derived from a fee per transaction.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3 – ACCOUNTS RECEIVABLE AND AGENT ADVANCES RECEIVABLE, NET OF ALLOWANCE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represents outstanding balances from sending agents for pending wire transfers or money orders from consumers. The outstanding balance of accounts receivable, net of allowance for credit losses, consists of the following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0"/>
                <w:szCs w:val="20"/>
                <w:color w:val="auto"/>
              </w:rPr>
            </w:pPr>
          </w:p>
        </w:tc>
        <w:tc>
          <w:tcPr>
            <w:tcW w:w="2980" w:type="dxa"/>
            <w:vAlign w:val="bottom"/>
            <w:gridSpan w:val="2"/>
          </w:tcPr>
          <w:p>
            <w:pPr>
              <w:ind w:left="4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229"/>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88,628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69,498</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4"/>
              </w:rPr>
              <w:t>(2,193)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4"/>
              </w:rPr>
              <w:t>(2,181)</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86,435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67,317</w:t>
            </w: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39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Agent Advances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agent advances receivable, net of allowance for credit losses, from sending agents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0"/>
                <w:szCs w:val="20"/>
                <w:color w:val="auto"/>
              </w:rPr>
            </w:pPr>
          </w:p>
        </w:tc>
        <w:tc>
          <w:tcPr>
            <w:tcW w:w="1620" w:type="dxa"/>
            <w:vAlign w:val="bottom"/>
          </w:tcPr>
          <w:p>
            <w:pPr>
              <w:ind w:left="40"/>
              <w:spacing w:after="0"/>
              <w:rPr>
                <w:sz w:val="20"/>
                <w:szCs w:val="20"/>
                <w:color w:val="auto"/>
              </w:rPr>
            </w:pPr>
            <w:r>
              <w:rPr>
                <w:rFonts w:ascii="Arial" w:cs="Arial" w:eastAsia="Arial" w:hAnsi="Arial"/>
                <w:sz w:val="18"/>
                <w:szCs w:val="18"/>
                <w:color w:val="auto"/>
                <w:w w:val="98"/>
              </w:rPr>
              <w:t>December 31, 2021</w:t>
            </w:r>
          </w:p>
        </w:tc>
      </w:tr>
      <w:tr>
        <w:trPr>
          <w:trHeight w:val="230"/>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Agent advances receivable, 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791</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(55)</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736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advances receivable, long-term</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656</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(13)</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643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net current portion of agent advances receivable is included in prepaid expenses and other current assets (see Note 4), and the net long-term portion is included in other assets in the condensed consolidated balance sheets. Agent advances receivable have interest rates ranging from 0% to 15.5% per annum. At March 31, 2022 and December 31, 2021, there were $1.9 million and $1.4 million, respectively, of agent advances receivable collateralized by personal guarantees from sending agents and assets from their businesses in case of a default by the agent.</w:t>
      </w:r>
    </w:p>
    <w:p>
      <w:pPr>
        <w:sectPr>
          <w:pgSz w:w="11900" w:h="16838" w:orient="portrait"/>
          <w:cols w:equalWidth="0" w:num="1">
            <w:col w:w="11240"/>
          </w:cols>
          <w:pgMar w:left="320" w:top="125"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maturities of agent advances receivable at March 31, 2022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62661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66180" cy="1543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1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661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66180" cy="16319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2 and 3 years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color w:val="auto"/>
                <w:w w:val="95"/>
              </w:rPr>
              <w:t>Unpaid Advance</w:t>
            </w:r>
          </w:p>
        </w:tc>
      </w:tr>
      <w:tr>
        <w:trPr>
          <w:trHeight w:val="237"/>
        </w:trPr>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Balance</w:t>
            </w:r>
          </w:p>
        </w:tc>
      </w:tr>
      <w:tr>
        <w:trPr>
          <w:trHeight w:val="229"/>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30"/>
        </w:trPr>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891</w:t>
            </w:r>
          </w:p>
        </w:tc>
      </w:tr>
      <w:tr>
        <w:trPr>
          <w:trHeight w:val="230"/>
        </w:trPr>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140</w:t>
            </w:r>
          </w:p>
        </w:tc>
      </w:tr>
    </w:tbl>
    <w:p>
      <w:pPr>
        <w:spacing w:after="0" w:line="26" w:lineRule="exact"/>
        <w:rPr>
          <w:sz w:val="20"/>
          <w:szCs w:val="20"/>
          <w:color w:val="auto"/>
        </w:rPr>
      </w:pPr>
    </w:p>
    <w:p>
      <w:pPr>
        <w:ind w:left="1280" w:hanging="1261"/>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1144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wp:posOffset>
            </wp:positionV>
            <wp:extent cx="11144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794" w:lineRule="exact"/>
        <w:rPr>
          <w:sz w:val="20"/>
          <w:szCs w:val="20"/>
          <w:color w:val="auto"/>
        </w:rPr>
      </w:pPr>
    </w:p>
    <w:p>
      <w:pPr>
        <w:sectPr>
          <w:pgSz w:w="11900" w:h="16838" w:orient="portrait"/>
          <w:cols w:equalWidth="0" w:num="2">
            <w:col w:w="7400" w:space="720"/>
            <w:col w:w="3120"/>
          </w:cols>
          <w:pgMar w:left="320" w:top="125"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credit losses related to accounts receivable and agent advances receivable are as follows (in thousands):</w:t>
      </w:r>
    </w:p>
    <w:p>
      <w:pPr>
        <w:spacing w:after="0" w:line="29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2022</w:t>
            </w: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2021</w:t>
            </w:r>
          </w:p>
        </w:tc>
      </w:tr>
      <w:tr>
        <w:trPr>
          <w:trHeight w:val="217"/>
        </w:trPr>
        <w:tc>
          <w:tcPr>
            <w:tcW w:w="62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2,042</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1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w:t>
            </w:r>
          </w:p>
        </w:tc>
      </w:tr>
      <w:tr>
        <w:trPr>
          <w:trHeight w:val="20"/>
        </w:trPr>
        <w:tc>
          <w:tcPr>
            <w:tcW w:w="6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0"/>
                <w:szCs w:val="20"/>
                <w:color w:val="auto"/>
              </w:rPr>
            </w:pPr>
          </w:p>
        </w:tc>
        <w:tc>
          <w:tcPr>
            <w:tcW w:w="3020" w:type="dxa"/>
            <w:vAlign w:val="bottom"/>
            <w:gridSpan w:val="2"/>
          </w:tcPr>
          <w:p>
            <w:pPr>
              <w:ind w:left="2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23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Agent advances receivable</w:t>
            </w:r>
          </w:p>
        </w:tc>
        <w:tc>
          <w:tcPr>
            <w:tcW w:w="23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2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9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rFonts w:ascii="Arial" w:cs="Arial" w:eastAsia="Arial" w:hAnsi="Arial"/>
                <w:sz w:val="18"/>
                <w:szCs w:val="18"/>
                <w:i w:val="1"/>
                <w:iCs w:val="1"/>
                <w:color w:val="0000FF"/>
              </w:rPr>
            </w:pPr>
            <w:hyperlink w:anchor="page1">
              <w:r>
                <w:rPr>
                  <w:rFonts w:ascii="Arial" w:cs="Arial" w:eastAsia="Arial" w:hAnsi="Arial"/>
                  <w:sz w:val="18"/>
                  <w:szCs w:val="18"/>
                  <w:i w:val="1"/>
                  <w:iCs w:val="1"/>
                  <w:color w:val="0000FF"/>
                </w:rPr>
                <w:t>Index</w:t>
              </w:r>
            </w:hyperlink>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6260" w:type="dxa"/>
            <w:vAlign w:val="bottom"/>
            <w:gridSpan w:val="2"/>
          </w:tcPr>
          <w:p>
            <w:pPr>
              <w:spacing w:after="0"/>
              <w:rPr>
                <w:sz w:val="20"/>
                <w:szCs w:val="20"/>
                <w:color w:val="auto"/>
              </w:rPr>
            </w:pPr>
            <w:r>
              <w:rPr>
                <w:rFonts w:ascii="Arial" w:cs="Arial" w:eastAsia="Arial" w:hAnsi="Arial"/>
                <w:sz w:val="18"/>
                <w:szCs w:val="18"/>
                <w:color w:val="auto"/>
              </w:rPr>
              <w:t>NOTE 4 – PREPAID EXPENSES AND OTHER ASSETS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gridSpan w:val="2"/>
          </w:tcPr>
          <w:p>
            <w:pPr>
              <w:spacing w:after="0"/>
              <w:rPr>
                <w:sz w:val="20"/>
                <w:szCs w:val="20"/>
                <w:color w:val="auto"/>
              </w:rPr>
            </w:pPr>
            <w:r>
              <w:rPr>
                <w:rFonts w:ascii="Arial" w:cs="Arial" w:eastAsia="Arial" w:hAnsi="Arial"/>
                <w:sz w:val="18"/>
                <w:szCs w:val="18"/>
                <w:color w:val="auto"/>
                <w:w w:val="92"/>
              </w:rPr>
              <w:t>Prepaid expenses and other current assets consisted of the following (in thousands):</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Prepaid fees and services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Agent advances receivable, net of allowance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Assets pending settlement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income taxes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Prepaid expenses and current assets - other</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54"/>
        </w:trPr>
        <w:tc>
          <w:tcPr>
            <w:tcW w:w="4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Other assets consisted of the following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line origination fees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2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Agent incentives advances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Agent advances receivable, net of allowance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Right-of-use assets,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Funds held by seized banking entities, net of allowance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54"/>
        </w:trPr>
        <w:tc>
          <w:tcPr>
            <w:tcW w:w="4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September 2021, local banking regulators in Mexico resolved to close and liquidate a local financial institution, citing a lack of compliance with minimum capital requirements. The Company has approximately $5.1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Consequently, the Company maintains a valuation allowance of approximately $2.0 million in connection with the balance of deposits held by the financial institution as a result of its closure.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 5 – GOODWILL AND INTANGIBLE ASSETS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Goodwill and the majority of intangible assets on the condensed consolidated balance sheets of the Company were recognized from a prior acquisition. Intangible assets on the condensed consolidated balance sheets of the Company consist of agent relationships, trade name, developed technology and other intangible assets. Agent relationships, trade name and developed technology are all amortized over 15 years using an accelerated method that correlates with the projected realization of the benefit. The agent relationships intangible represents the network of independent sending agents; trade name refers to the Intermex name, branded on all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 line basis over 10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months ended March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2880" w:type="dxa"/>
            <w:vAlign w:val="bottom"/>
            <w:gridSpan w:val="2"/>
          </w:tcPr>
          <w:p>
            <w:pPr>
              <w:ind w:left="160"/>
              <w:spacing w:after="0"/>
              <w:rPr>
                <w:sz w:val="20"/>
                <w:szCs w:val="20"/>
                <w:color w:val="auto"/>
              </w:rPr>
            </w:pPr>
            <w:r>
              <w:rPr>
                <w:rFonts w:ascii="Arial" w:cs="Arial" w:eastAsia="Arial" w:hAnsi="Arial"/>
                <w:sz w:val="18"/>
                <w:szCs w:val="18"/>
                <w:color w:val="auto"/>
              </w:rPr>
              <w:t>Intangibles</w:t>
            </w:r>
          </w:p>
        </w:tc>
        <w:tc>
          <w:tcPr>
            <w:tcW w:w="0" w:type="dxa"/>
            <w:vAlign w:val="bottom"/>
          </w:tcPr>
          <w:p>
            <w:pPr>
              <w:spacing w:after="0"/>
              <w:rPr>
                <w:sz w:val="1"/>
                <w:szCs w:val="1"/>
                <w:color w:val="auto"/>
              </w:rPr>
            </w:pPr>
          </w:p>
        </w:tc>
      </w:tr>
      <w:tr>
        <w:trPr>
          <w:trHeight w:val="22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22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15,392</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2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420" w:type="dxa"/>
            <w:vAlign w:val="bottom"/>
          </w:tcPr>
          <w:p>
            <w:pPr>
              <w:ind w:left="880"/>
              <w:spacing w:after="0"/>
              <w:rPr>
                <w:sz w:val="20"/>
                <w:szCs w:val="20"/>
                <w:color w:val="auto"/>
              </w:rPr>
            </w:pPr>
            <w:r>
              <w:rPr>
                <w:rFonts w:ascii="Arial" w:cs="Arial" w:eastAsia="Arial" w:hAnsi="Arial"/>
                <w:sz w:val="18"/>
                <w:szCs w:val="18"/>
                <w:color w:val="auto"/>
                <w:w w:val="91"/>
              </w:rPr>
              <w:t>(1,002)</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22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8"/>
              </w:rPr>
              <w:t>14,390</w:t>
            </w: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next five years and thereafter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r>
      <w:tr>
        <w:trPr>
          <w:trHeight w:val="23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w:t>
            </w:r>
          </w:p>
        </w:tc>
      </w:tr>
      <w:tr>
        <w:trPr>
          <w:trHeight w:val="255"/>
        </w:trPr>
        <w:tc>
          <w:tcPr>
            <w:tcW w:w="8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NOTE 6 – LEASES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conduct certain of our operations, the Company is a party to leases for office space, warehouses and Company-operated store locations. Our leases have remaining terms of up to 9.4 years, some of which include options to renew and extend the lease. We presently intend to exercise certain of the extension options available to us and for purposes of computing the right-of-use assets and lease liabilities required by ASC 842, we have incorporated the options to renew that are reasonably certain of exercise by us.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adopted ASC 842, including related amendments, effective January 1, 2022, using the modified retrospective approach and used the effective date as the date of initial application; therefore comparative periods were not adjusted. The Company determined that all of its leasing arrangements are classified as operating leases. The Company elected to apply the practical expedients to (i) not reassess its prior conclusions about lease identification, lease classification and initial direct costs and (ii) use hindsight in determining the lease term. In addition, the Company elected not to separate lease and non-lease components for all arrangements where the Company is a lessee. Adoption of the new standard resulted in the recording of additional right-of-use assets and lease liabilities of approximately $5.6 million as of January 1, 2022. The adoption of ASC 842 did not materially impact the Company’s consolidated net income and had no impact on cash flows. Additionally, there was no cumulative effect of adoption recognized on retained earnings in the condensed consolidated statement of changes in stockholders’ equity.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presentation of right-of-use assets and lease liabilities in the condensed consolidated balance sheet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Leases</w:t>
            </w: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Classification</w:t>
            </w:r>
          </w:p>
        </w:tc>
        <w:tc>
          <w:tcPr>
            <w:tcW w:w="196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March 31, 2022</w:t>
            </w:r>
          </w:p>
        </w:tc>
      </w:tr>
      <w:tr>
        <w:trPr>
          <w:trHeight w:val="216"/>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r>
      <w:tr>
        <w:trPr>
          <w:trHeight w:val="230"/>
        </w:trPr>
        <w:tc>
          <w:tcPr>
            <w:tcW w:w="3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4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Other assets</w:t>
            </w:r>
            <w:r>
              <w:rPr>
                <w:rFonts w:ascii="Arial" w:cs="Arial" w:eastAsia="Arial" w:hAnsi="Arial"/>
                <w:sz w:val="23"/>
                <w:szCs w:val="23"/>
                <w:color w:val="auto"/>
                <w:vertAlign w:val="superscript"/>
              </w:rPr>
              <w:t>(1)</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leased assets</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5,145</w:t>
            </w:r>
          </w:p>
        </w:tc>
      </w:tr>
      <w:tr>
        <w:trPr>
          <w:trHeight w:val="270"/>
        </w:trPr>
        <w:tc>
          <w:tcPr>
            <w:tcW w:w="3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r>
      <w:tr>
        <w:trPr>
          <w:trHeight w:val="230"/>
        </w:trPr>
        <w:tc>
          <w:tcPr>
            <w:tcW w:w="330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4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Operating</w:t>
            </w:r>
          </w:p>
        </w:tc>
        <w:tc>
          <w:tcPr>
            <w:tcW w:w="4600" w:type="dxa"/>
            <w:vAlign w:val="bottom"/>
            <w:gridSpan w:val="2"/>
          </w:tcPr>
          <w:p>
            <w:pPr>
              <w:ind w:left="20"/>
              <w:spacing w:after="0"/>
              <w:rPr>
                <w:sz w:val="20"/>
                <w:szCs w:val="20"/>
                <w:color w:val="auto"/>
              </w:rPr>
            </w:pPr>
            <w:r>
              <w:rPr>
                <w:rFonts w:ascii="Arial" w:cs="Arial" w:eastAsia="Arial" w:hAnsi="Arial"/>
                <w:sz w:val="18"/>
                <w:szCs w:val="18"/>
                <w:color w:val="auto"/>
              </w:rPr>
              <w:t>Accrued and other liabilities</w:t>
            </w:r>
          </w:p>
        </w:tc>
        <w:tc>
          <w:tcPr>
            <w:tcW w:w="1960" w:type="dxa"/>
            <w:vAlign w:val="bottom"/>
          </w:tcPr>
          <w:p>
            <w:pPr>
              <w:jc w:val="right"/>
              <w:spacing w:after="0"/>
              <w:rPr>
                <w:sz w:val="20"/>
                <w:szCs w:val="20"/>
                <w:color w:val="auto"/>
              </w:rPr>
            </w:pPr>
            <w:r>
              <w:rPr>
                <w:rFonts w:ascii="Arial" w:cs="Arial" w:eastAsia="Arial" w:hAnsi="Arial"/>
                <w:sz w:val="18"/>
                <w:szCs w:val="18"/>
                <w:color w:val="auto"/>
              </w:rPr>
              <w:t>1,534</w:t>
            </w:r>
          </w:p>
        </w:tc>
      </w:tr>
      <w:tr>
        <w:trPr>
          <w:trHeight w:val="230"/>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3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Operating</w:t>
            </w:r>
          </w:p>
        </w:tc>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liabilities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w:t>
            </w:r>
          </w:p>
        </w:tc>
      </w:tr>
      <w:tr>
        <w:trPr>
          <w:trHeight w:val="248"/>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4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right of-use assets are recorded net of accumulated amortization of $0.5 million as of March 31, 2022.</w:t>
      </w:r>
    </w:p>
    <w:p>
      <w:pPr>
        <w:spacing w:after="0" w:line="200" w:lineRule="exact"/>
        <w:rPr>
          <w:rFonts w:ascii="Arial" w:cs="Arial" w:eastAsia="Arial" w:hAnsi="Arial"/>
          <w:sz w:val="16"/>
          <w:szCs w:val="16"/>
          <w:color w:val="auto"/>
        </w:rPr>
      </w:pPr>
    </w:p>
    <w:p>
      <w:pPr>
        <w:spacing w:after="0" w:line="313" w:lineRule="exact"/>
        <w:rPr>
          <w:rFonts w:ascii="Arial" w:cs="Arial" w:eastAsia="Arial" w:hAnsi="Arial"/>
          <w:sz w:val="16"/>
          <w:szCs w:val="16"/>
          <w:color w:val="auto"/>
        </w:rPr>
      </w:pPr>
    </w:p>
    <w:p>
      <w:pPr>
        <w:ind w:left="5860"/>
        <w:spacing w:after="0"/>
        <w:rPr>
          <w:rFonts w:ascii="Arial" w:cs="Arial" w:eastAsia="Arial" w:hAnsi="Arial"/>
          <w:sz w:val="16"/>
          <w:szCs w:val="16"/>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the three months ended March 31, 2022, was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Three Months Ended</w:t>
            </w:r>
          </w:p>
        </w:tc>
      </w:tr>
      <w:tr>
        <w:trPr>
          <w:trHeight w:val="241"/>
        </w:trPr>
        <w:tc>
          <w:tcPr>
            <w:tcW w:w="3280" w:type="dxa"/>
            <w:vAlign w:val="bottom"/>
            <w:gridSpan w:val="2"/>
          </w:tcPr>
          <w:p>
            <w:pPr>
              <w:ind w:left="1180"/>
              <w:spacing w:after="0"/>
              <w:rPr>
                <w:sz w:val="20"/>
                <w:szCs w:val="20"/>
                <w:color w:val="auto"/>
              </w:rPr>
            </w:pPr>
            <w:r>
              <w:rPr>
                <w:rFonts w:ascii="Arial" w:cs="Arial" w:eastAsia="Arial" w:hAnsi="Arial"/>
                <w:sz w:val="18"/>
                <w:szCs w:val="18"/>
                <w:b w:val="1"/>
                <w:bCs w:val="1"/>
                <w:color w:val="auto"/>
              </w:rPr>
              <w:t>Lease Cost</w:t>
            </w:r>
          </w:p>
        </w:tc>
        <w:tc>
          <w:tcPr>
            <w:tcW w:w="4600" w:type="dxa"/>
            <w:vAlign w:val="bottom"/>
            <w:gridSpan w:val="2"/>
          </w:tcPr>
          <w:p>
            <w:pPr>
              <w:ind w:left="1720"/>
              <w:spacing w:after="0"/>
              <w:rPr>
                <w:sz w:val="20"/>
                <w:szCs w:val="20"/>
                <w:color w:val="auto"/>
              </w:rPr>
            </w:pPr>
            <w:r>
              <w:rPr>
                <w:rFonts w:ascii="Arial" w:cs="Arial" w:eastAsia="Arial" w:hAnsi="Arial"/>
                <w:sz w:val="18"/>
                <w:szCs w:val="18"/>
                <w:b w:val="1"/>
                <w:bCs w:val="1"/>
                <w:color w:val="auto"/>
              </w:rPr>
              <w:t>Classification</w:t>
            </w:r>
          </w:p>
        </w:tc>
        <w:tc>
          <w:tcPr>
            <w:tcW w:w="140" w:type="dxa"/>
            <w:vAlign w:val="bottom"/>
          </w:tcPr>
          <w:p>
            <w:pPr>
              <w:spacing w:after="0"/>
              <w:rPr>
                <w:sz w:val="20"/>
                <w:szCs w:val="20"/>
                <w:color w:val="auto"/>
              </w:rPr>
            </w:pPr>
          </w:p>
        </w:tc>
        <w:tc>
          <w:tcPr>
            <w:tcW w:w="18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March 31, 2022</w:t>
            </w:r>
          </w:p>
        </w:tc>
      </w:tr>
      <w:tr>
        <w:trPr>
          <w:trHeight w:val="229"/>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45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Other selling, general and administrative expenses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Rent expense for the three months ended March 31, 2021 was $0.6 million.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the Company’s weighted average remaining lease terms on its operating leases is 4.0 years and the Company’s weighted average discount rate is 2.59%, which is the Company’s incremental borrowing rate. The Company used its incremental borrowing rate for all leases, as none of the Company’s lease agreements provide a readily determinable implicit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Payments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Future minimum lease payments for assets under non-cancelable operating lease agreements with original terms of more than one year for the remainder of 2022 and thereafter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1,031</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7"/>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5,350</w:t>
            </w:r>
          </w:p>
        </w:tc>
      </w:tr>
      <w:tr>
        <w:trPr>
          <w:trHeight w:val="237"/>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55"/>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NOTE 7 – WIRE TRANSFERS AND MONEY ORDERS PAYABLE, NET</w:t>
            </w: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460" w:type="dxa"/>
            <w:vAlign w:val="bottom"/>
            <w:gridSpan w:val="2"/>
          </w:tcPr>
          <w:p>
            <w:pPr>
              <w:spacing w:after="0"/>
              <w:rPr>
                <w:sz w:val="20"/>
                <w:szCs w:val="20"/>
                <w:color w:val="auto"/>
              </w:rPr>
            </w:pPr>
            <w:r>
              <w:rPr>
                <w:rFonts w:ascii="Arial" w:cs="Arial" w:eastAsia="Arial" w:hAnsi="Arial"/>
                <w:sz w:val="18"/>
                <w:szCs w:val="18"/>
                <w:color w:val="auto"/>
                <w:w w:val="92"/>
              </w:rPr>
              <w:t>Wire transfers and money orders payable, net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06"/>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4"/>
                <w:szCs w:val="24"/>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2021</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20,744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17,505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16,895</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r>
      <w:tr>
        <w:trPr>
          <w:trHeight w:val="229"/>
        </w:trPr>
        <w:tc>
          <w:tcPr>
            <w:tcW w:w="6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56,066</w:t>
            </w:r>
          </w:p>
        </w:tc>
      </w:tr>
      <w:tr>
        <w:trPr>
          <w:trHeight w:val="21"/>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7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rFonts w:ascii="Arial" w:cs="Arial" w:eastAsia="Arial" w:hAnsi="Arial"/>
                <w:sz w:val="18"/>
                <w:szCs w:val="18"/>
                <w:i w:val="1"/>
                <w:iCs w:val="1"/>
                <w:color w:val="0000FF"/>
              </w:rPr>
            </w:pPr>
            <w:hyperlink w:anchor="page1">
              <w:r>
                <w:rPr>
                  <w:rFonts w:ascii="Arial" w:cs="Arial" w:eastAsia="Arial" w:hAnsi="Arial"/>
                  <w:sz w:val="18"/>
                  <w:szCs w:val="18"/>
                  <w:i w:val="1"/>
                  <w:iCs w:val="1"/>
                  <w:color w:val="0000FF"/>
                </w:rPr>
                <w:t>Index</w:t>
              </w:r>
            </w:hyperlink>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507"/>
        </w:trPr>
        <w:tc>
          <w:tcPr>
            <w:tcW w:w="6280" w:type="dxa"/>
            <w:vAlign w:val="bottom"/>
            <w:gridSpan w:val="2"/>
          </w:tcPr>
          <w:p>
            <w:pPr>
              <w:spacing w:after="0"/>
              <w:rPr>
                <w:sz w:val="20"/>
                <w:szCs w:val="20"/>
                <w:color w:val="auto"/>
              </w:rPr>
            </w:pPr>
            <w:r>
              <w:rPr>
                <w:rFonts w:ascii="Arial" w:cs="Arial" w:eastAsia="Arial" w:hAnsi="Arial"/>
                <w:sz w:val="18"/>
                <w:szCs w:val="18"/>
                <w:color w:val="auto"/>
              </w:rPr>
              <w:t>NOTE 8 – ACCRUED AND OTHER LIABILITIES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507"/>
        </w:trPr>
        <w:tc>
          <w:tcPr>
            <w:tcW w:w="4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100"/>
              <w:spacing w:after="0"/>
              <w:rPr>
                <w:sz w:val="20"/>
                <w:szCs w:val="20"/>
                <w:color w:val="auto"/>
              </w:rPr>
            </w:pPr>
            <w:r>
              <w:rPr>
                <w:rFonts w:ascii="Arial" w:cs="Arial" w:eastAsia="Arial" w:hAnsi="Arial"/>
                <w:sz w:val="18"/>
                <w:szCs w:val="18"/>
                <w:color w:val="auto"/>
              </w:rPr>
              <w:t>March 31, 2022</w:t>
            </w:r>
          </w:p>
        </w:tc>
        <w:tc>
          <w:tcPr>
            <w:tcW w:w="140" w:type="dxa"/>
            <w:vAlign w:val="bottom"/>
          </w:tcPr>
          <w:p>
            <w:pPr>
              <w:spacing w:after="0"/>
              <w:rPr>
                <w:sz w:val="24"/>
                <w:szCs w:val="24"/>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89"/>
              </w:rPr>
              <w:t>December 31, 2021</w:t>
            </w:r>
          </w:p>
        </w:tc>
      </w:tr>
      <w:tr>
        <w:trPr>
          <w:trHeight w:val="229"/>
        </w:trPr>
        <w:tc>
          <w:tcPr>
            <w:tcW w:w="6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r>
      <w:tr>
        <w:trPr>
          <w:trHeight w:val="230"/>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Accrued salaries and benefits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4,892</w:t>
            </w:r>
          </w:p>
        </w:tc>
      </w:tr>
      <w:tr>
        <w:trPr>
          <w:trHeight w:val="229"/>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bank charges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Accrued legal fees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other professional fees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Accrued taxes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4,908</w:t>
            </w:r>
          </w:p>
        </w:tc>
      </w:tr>
      <w:tr>
        <w:trPr>
          <w:trHeight w:val="230"/>
        </w:trPr>
        <w:tc>
          <w:tcPr>
            <w:tcW w:w="6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liabilities, current portion</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gridSpan w:val="2"/>
          </w:tcPr>
          <w:p>
            <w:pPr>
              <w:ind w:left="20"/>
              <w:spacing w:after="0"/>
              <w:rPr>
                <w:sz w:val="20"/>
                <w:szCs w:val="20"/>
                <w:color w:val="auto"/>
              </w:rPr>
            </w:pPr>
            <w:r>
              <w:rPr>
                <w:rFonts w:ascii="Arial" w:cs="Arial" w:eastAsia="Arial" w:hAnsi="Arial"/>
                <w:sz w:val="18"/>
                <w:szCs w:val="18"/>
                <w:color w:val="auto"/>
              </w:rPr>
              <w:t>Deferred revenue loyalty program</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37"/>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29"/>
        </w:trPr>
        <w:tc>
          <w:tcPr>
            <w:tcW w:w="40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33,760</w:t>
            </w:r>
          </w:p>
        </w:tc>
      </w:tr>
      <w:tr>
        <w:trPr>
          <w:trHeight w:val="21"/>
        </w:trPr>
        <w:tc>
          <w:tcPr>
            <w:tcW w:w="4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deferred revenue loyalty program liability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Revenue deferred during the period</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during the period</w:t>
            </w: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0"/>
              </w:rPr>
              <w:t>(447)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spacing w:after="0"/>
              <w:rPr>
                <w:sz w:val="20"/>
                <w:szCs w:val="20"/>
                <w:color w:val="auto"/>
              </w:rPr>
            </w:pPr>
            <w:r>
              <w:rPr>
                <w:rFonts w:ascii="Arial" w:cs="Arial" w:eastAsia="Arial" w:hAnsi="Arial"/>
                <w:sz w:val="18"/>
                <w:szCs w:val="18"/>
                <w:color w:val="auto"/>
              </w:rPr>
              <w:t>NOTE 9 – DEBT</w:t>
            </w: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6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Debt consisted of the following (in thousands):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auto"/>
              </w:rPr>
              <w:t>March 31, 2022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w w:val="98"/>
              </w:rPr>
              <w:t>December 31, 2021</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84,219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85,313</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ind w:left="980"/>
              <w:spacing w:after="0"/>
              <w:rPr>
                <w:sz w:val="20"/>
                <w:szCs w:val="20"/>
                <w:color w:val="auto"/>
              </w:rPr>
            </w:pPr>
            <w:r>
              <w:rPr>
                <w:rFonts w:ascii="Arial" w:cs="Arial" w:eastAsia="Arial" w:hAnsi="Arial"/>
                <w:sz w:val="18"/>
                <w:szCs w:val="18"/>
                <w:color w:val="auto"/>
              </w:rPr>
              <w:t>84,219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85,313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Current portion of long-term debt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4"/>
              </w:rPr>
              <w:t>(3,882)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left="930"/>
              <w:spacing w:after="0"/>
              <w:rPr>
                <w:sz w:val="20"/>
                <w:szCs w:val="20"/>
                <w:color w:val="auto"/>
              </w:rPr>
            </w:pPr>
            <w:r>
              <w:rPr>
                <w:rFonts w:ascii="Arial" w:cs="Arial" w:eastAsia="Arial" w:hAnsi="Arial"/>
                <w:sz w:val="18"/>
                <w:szCs w:val="18"/>
                <w:color w:val="auto"/>
                <w:w w:val="91"/>
              </w:rPr>
              <w:t>(3,882)</w:t>
            </w: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Debt origination costs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4"/>
              </w:rPr>
              <w:t>(2,097)</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left="930"/>
              <w:spacing w:after="0"/>
              <w:rPr>
                <w:sz w:val="20"/>
                <w:szCs w:val="20"/>
                <w:color w:val="auto"/>
              </w:rPr>
            </w:pPr>
            <w:r>
              <w:rPr>
                <w:rFonts w:ascii="Arial" w:cs="Arial" w:eastAsia="Arial" w:hAnsi="Arial"/>
                <w:sz w:val="18"/>
                <w:szCs w:val="18"/>
                <w:color w:val="auto"/>
                <w:w w:val="91"/>
              </w:rPr>
              <w:t>(2,220)</w:t>
            </w:r>
          </w:p>
        </w:tc>
        <w:tc>
          <w:tcPr>
            <w:tcW w:w="0" w:type="dxa"/>
            <w:vAlign w:val="bottom"/>
          </w:tcPr>
          <w:p>
            <w:pPr>
              <w:spacing w:after="0"/>
              <w:rPr>
                <w:sz w:val="1"/>
                <w:szCs w:val="1"/>
                <w:color w:val="auto"/>
              </w:rPr>
            </w:pPr>
          </w:p>
        </w:tc>
      </w:tr>
      <w:tr>
        <w:trPr>
          <w:trHeight w:val="255"/>
        </w:trPr>
        <w:tc>
          <w:tcPr>
            <w:tcW w:w="6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78,240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79,211</w:t>
            </w: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(1) Current portion of long-term debt is net of debt origination costs of approximately $0.5 million both at March 31, 2022 and December 31, 2021.</w:t>
      </w:r>
    </w:p>
    <w:p>
      <w:pPr>
        <w:spacing w:after="0" w:line="24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24, 2021, 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facility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refinancing was accounted for as a debt modification. The balance of the unamortized debt origination costs of $1.8 million under the Company’s previous credit agreement, the origination costs paid to the Loan Parties of $1.0 million in connection with the term loan facility of the A&amp;R Credit Agreement and debt origination costs paid to the Loan Parties and third-party costs of $1.8 million incurred in connection with the revolving credit facility of the A&amp;R Credit Agreement will be associated with the new arrangement, and therefore, they will be amortized over the remaining life of the A&amp;R Credit Agreement using the straight-line method, as it is not significantly different than the effective interest method. Debt origination costs paid to third parties related to a portion of the term loan facility in connection with the A&amp;R Credit Agreement were expensed as incurred during the second quarter of 2021.</w:t>
      </w:r>
    </w:p>
    <w:p>
      <w:pPr>
        <w:spacing w:after="0" w:line="27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unamortized portion of debt origination costs totaled approximately $4.0 million and $4.5 million at March 31, 2022 and December 31, 2021, respectively. Amortization of debt origination costs is included as a component of interest expense in the condensed consolidated statements of income and comprehensive income and amounted to approximately $0.3 million and $0.2 million for the three months ended March 31, 2022 and 2021, respectively.</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three months ended March 31, 2022 for the term loan facility and revolving credit facility were 3.26% and 0.72%, respectively.</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is payable (x)(i) generally on the last day of each interest period selected for LIBOR loans, but in any event, not less frequently than every three months, and (ii) on the last business day of each quarter for base rate loans and (y) at final maturity. 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A&amp;R Credit Agreement contains financial covenants that require the Company to maintain a quarterly minimum fixed charge coverage ratio of 1.25:1.00 and a quarterly maximum consolidated leverage ratio of 3.25:1.00.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10 – FAIR VALUE MEASUREMENTS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fair value in accordance with the provisions of FASB guidance,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non-financial assets measured at fair value on a nonrecurring basis include goodwill and intangible assets. All other financial assets and liabilities are carried at amortized cost.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balances are representative of their fair values as these balances are comprised of deposits available on demand. The carrying amounts of accounts receivable, prepaid wires, accounts payable and wire transfers and money orders payable are representative of their fair values because of the short turnover of these instruments.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liabilities include its revolving credit facility and term loan facility. The fair value of the term loan facility,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11 –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International Money Express, Inc. 2020 Omnibus Equity Compensation Plan (the “2020 Plan”) provides for the granting of stock-based incentive awards, including stock options, restricted stock units (“RSUs”), restricted stock awards (“RSAs”) and performance stock units (“PSUs”) to employees and independent directors of the Company. There are 3.7 million shares of the Company’s common stock approved for issuance under the 2020 Plan, which includes 0.4 million shares that were previously subject to awards granted under the International Money Express, Inc. 2018 Omnibus Equity Compensation Plan (the “2018 Plan” and together with the 2020 Plan, the “Plans”). Although awards remain outstanding under the 2018 Plan, which was terminated effective June 26, 2020, no additional awards may be granted under the 2018 Plan. As of March 31, 2022, 2.5 million shares remained available for future awards under the 2020 Plan.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value of each option grant is estimated on the grant date using the Black-Scholes option pricing model (“BSM”). The option pricing model requires the input of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annual installments beginning one year after the date of the grant. The Company recognized compensation expense for stock options of approximately $0.6 million for each of the three months ended March 31, 2022 and 2021, which are included in salaries and benefits in the condensed consolidated statements of income and comprehensive income. As of March 31, 2022, unrecognized compensation expense related to stock options of approximately $2.2 million is expected to be recognized over a weighted-average period of 1.3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the Plans during the three months ended March 31, 2022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8"/>
                <w:szCs w:val="18"/>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Weighted-</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1,898,687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(26,250)</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1,828,712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March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1,019,236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RSUs granted under the Plans to the Company’s employees generally vest in four equal annual installments beginning one year after the date of the grant, while RSUs issued to the Company’s independent directors vest on the one-year anniversary from the grant date. The Company recognized compensation expense for RSUs of approximately $0.4 million and $0.2 million for the three months ended March 31, 2022 and 2021, respectively, which are included in salaries and benefits in the condensed consolidated statements of income and</w:t>
      </w:r>
    </w:p>
    <w:p>
      <w:pPr>
        <w:spacing w:after="0" w:line="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income. As of March 31, 2022, unrecognized compensation expense related to RSUs of approximately $4.8 million is expected to be recognized over a weighted-average period of 2.2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activity during the three months ended March 31, 2022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15"/>
                <w:szCs w:val="15"/>
                <w:color w:val="auto"/>
              </w:rPr>
            </w:pPr>
          </w:p>
        </w:tc>
        <w:tc>
          <w:tcPr>
            <w:tcW w:w="1320" w:type="dxa"/>
            <w:vAlign w:val="bottom"/>
            <w:vMerge w:val="restart"/>
          </w:tcPr>
          <w:p>
            <w:pPr>
              <w:ind w:left="40"/>
              <w:spacing w:after="0"/>
              <w:rPr>
                <w:sz w:val="20"/>
                <w:szCs w:val="20"/>
                <w:color w:val="auto"/>
              </w:rPr>
            </w:pPr>
            <w:r>
              <w:rPr>
                <w:rFonts w:ascii="Arial" w:cs="Arial" w:eastAsia="Arial" w:hAnsi="Arial"/>
                <w:sz w:val="18"/>
                <w:szCs w:val="18"/>
                <w:color w:val="auto"/>
                <w:w w:val="92"/>
              </w:rPr>
              <w:t>Number of RSUs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2021</w:t>
            </w:r>
          </w:p>
        </w:tc>
        <w:tc>
          <w:tcPr>
            <w:tcW w:w="1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231,934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ind w:left="660"/>
              <w:spacing w:after="0"/>
              <w:rPr>
                <w:sz w:val="20"/>
                <w:szCs w:val="20"/>
                <w:color w:val="auto"/>
              </w:rPr>
            </w:pPr>
            <w:r>
              <w:rPr>
                <w:rFonts w:ascii="Arial" w:cs="Arial" w:eastAsia="Arial" w:hAnsi="Arial"/>
                <w:sz w:val="18"/>
                <w:szCs w:val="18"/>
                <w:color w:val="auto"/>
                <w:w w:val="98"/>
              </w:rPr>
              <w:t>162,519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2"/>
              </w:rPr>
              <w:t>(38,134)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2"/>
              </w:rPr>
              <w:t>(13,347)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March 31, 2022</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8"/>
              </w:rPr>
              <w:t>342,972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 Awards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Lead Independent Director and Chairs of the Committees of the Board of Directors are granted, in aggregate, $64.0 thousand in awards of fully vested shares of the Company’s common stock, payable on a quarterly basis at the end of each quarter in payment of fees earned in such capacities. During the three months ended March 31, 2022 and 2021, 1,002 and 1,031 fully vested shares, respectively, were granted to the Lead Independent Director and Chairs of the Committees of the Board of Directors resulting in compensation expense of $16.0 thousand for each period, recorded in the condensed consolidated statements of income and comprehensive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RSAs issued under the Plans to the Company’s employees generally vest in four equal annual installments beginning one year after the date of grant. The Company recognized compensation expense for RSAs granted of $109 thousand and $23 thousand for the three months ended March 31, 2022 and 2021, respectively, which are included in salaries and benefits in the condensed consolidated statements of income and comprehensive income. As of March 31, 2022, there was $2.4 million of unrecognized compensation expense related to RSAs, which is expected to be recognized over a weighted-average period of 2.3 years.</w:t>
      </w:r>
    </w:p>
    <w:p>
      <w:pPr>
        <w:spacing w:after="0" w:line="200" w:lineRule="exact"/>
        <w:rPr>
          <w:sz w:val="20"/>
          <w:szCs w:val="20"/>
          <w:color w:val="auto"/>
        </w:rPr>
      </w:pPr>
    </w:p>
    <w:p>
      <w:pPr>
        <w:spacing w:after="0" w:line="31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RSA activity during the three months ended March 31, 2022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3"/>
              </w:rPr>
              <w:t>Number of RSAs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93,400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March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159,562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Stock Units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PSUs granted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revenue parameters for a period of two years combined with a service period of three years. Compensation cost is recognized over the requisite service period when it is probable that the performance condition will be satisfied. The Company recognized compensation expense for PSUs of $234 thousand and $64 thousand for the three months ended March 31, 2022 and 2021, respectively, which are included in salaries and benefits in the condensed consolidated statements of income and comprehensive income. As of March 31, 2022, there was $4.3 million of unrecognized compensation expense related to PSUs, which is expected to be recognized over a weighted-average period of 2.4 years.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PSU activity during the three months ended March 31, 2022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Weighted-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5"/>
                <w:szCs w:val="15"/>
                <w:color w:val="auto"/>
              </w:rPr>
            </w:pPr>
          </w:p>
        </w:tc>
        <w:tc>
          <w:tcPr>
            <w:tcW w:w="1160" w:type="dxa"/>
            <w:vAlign w:val="bottom"/>
            <w:vMerge w:val="restart"/>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3"/>
              </w:rPr>
              <w:t>Number of PSUs</w:t>
            </w: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18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30"/>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December 31, 2021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131,224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(nonvested) at March 31,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302,724</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NOTE 12 – EQUITY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2021, the Company’s Board of Directors approved a stock repurchase program (the “Repurchase Program”) that authorizes the Company to purchase up to $40.0 million of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Under the terms of the A&amp;R Credit Agreement, the Company has restrictions that limit the maximum amount of repurchases to (i) $40.0 million in the aggregate (plus the Available Amount as defined in the A&amp;R Credit Agreement) and (ii) $10.0 million annually for shares held by any current or former officer, director, employee or consultant (or any spouses, ex-spouses or estates of the foregoing) of the Company or its subsidiaries.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purchases of treasury stock under the cost method. Any direct costs incurred to acquire treasury stock are considered stock issue costs and added to the cost of the treasury stock. During the three months ended March 31, 2022, the Company purchased 224,388 shares for an aggregate purchase price of $3.6 million. As of March 31, 2022, the remaining amount available for future share repurchases under the Repurchase Program was $30.8 million.</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13 –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is calculated by dividing net income for the period by the weighted average number of common shares outstanding for the period. In computing dilutive earnings per share, basic earnings per share is adjusted for the assumed issuance of all applicable potentially dilutive share-based awards, including common stock options, RSUs, RSAs and PSUs.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w w:val="92"/>
              </w:rPr>
              <w:t>Below are basic and diluted earnings per share for the periods indicated (in thousands, except for share data):</w:t>
            </w: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06"/>
        </w:trPr>
        <w:tc>
          <w:tcPr>
            <w:tcW w:w="8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w w:val="96"/>
              </w:rPr>
              <w:t>Three Months Ended March 31,</w:t>
            </w:r>
          </w:p>
        </w:tc>
      </w:tr>
      <w:tr>
        <w:trPr>
          <w:trHeight w:val="237"/>
        </w:trPr>
        <w:tc>
          <w:tcPr>
            <w:tcW w:w="8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r>
      <w:tr>
        <w:trPr>
          <w:trHeight w:val="257"/>
        </w:trPr>
        <w:tc>
          <w:tcPr>
            <w:tcW w:w="8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7"/>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for basic and diluted earnings per common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8,977</w:t>
            </w:r>
          </w:p>
        </w:tc>
      </w:tr>
      <w:tr>
        <w:trPr>
          <w:trHeight w:val="256"/>
        </w:trPr>
        <w:tc>
          <w:tcPr>
            <w:tcW w:w="8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38,362,014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38,239,130</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120" w:type="dxa"/>
            <w:vAlign w:val="bottom"/>
          </w:tcPr>
          <w:p>
            <w:pPr>
              <w:ind w:left="140"/>
              <w:spacing w:after="0"/>
              <w:rPr>
                <w:sz w:val="20"/>
                <w:szCs w:val="20"/>
                <w:color w:val="auto"/>
              </w:rPr>
            </w:pPr>
            <w:r>
              <w:rPr>
                <w:rFonts w:ascii="Arial" w:cs="Arial" w:eastAsia="Arial" w:hAnsi="Arial"/>
                <w:sz w:val="18"/>
                <w:szCs w:val="18"/>
                <w:color w:val="auto"/>
              </w:rPr>
              <w:t>RSUs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62,058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26,242</w:t>
            </w:r>
          </w:p>
        </w:tc>
      </w:tr>
      <w:tr>
        <w:trPr>
          <w:trHeight w:val="229"/>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549,941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573,770</w:t>
            </w:r>
          </w:p>
        </w:tc>
      </w:tr>
      <w:tr>
        <w:trPr>
          <w:trHeight w:val="230"/>
        </w:trPr>
        <w:tc>
          <w:tcPr>
            <w:tcW w:w="8120" w:type="dxa"/>
            <w:vAlign w:val="bottom"/>
          </w:tcPr>
          <w:p>
            <w:pPr>
              <w:ind w:left="140"/>
              <w:spacing w:after="0"/>
              <w:rPr>
                <w:sz w:val="20"/>
                <w:szCs w:val="20"/>
                <w:color w:val="auto"/>
              </w:rPr>
            </w:pPr>
            <w:r>
              <w:rPr>
                <w:rFonts w:ascii="Arial" w:cs="Arial" w:eastAsia="Arial" w:hAnsi="Arial"/>
                <w:sz w:val="18"/>
                <w:szCs w:val="18"/>
                <w:color w:val="auto"/>
              </w:rPr>
              <w:t>RSAs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25,935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2,574</w:t>
            </w:r>
          </w:p>
        </w:tc>
      </w:tr>
      <w:tr>
        <w:trPr>
          <w:trHeight w:val="249"/>
        </w:trPr>
        <w:tc>
          <w:tcPr>
            <w:tcW w:w="8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PSUs</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w:t>
            </w:r>
          </w:p>
        </w:tc>
      </w:tr>
      <w:tr>
        <w:trPr>
          <w:trHeight w:val="217"/>
        </w:trPr>
        <w:tc>
          <w:tcPr>
            <w:tcW w:w="812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39,077,665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38,846,906</w:t>
            </w:r>
          </w:p>
        </w:tc>
      </w:tr>
      <w:tr>
        <w:trPr>
          <w:trHeight w:val="257"/>
        </w:trPr>
        <w:tc>
          <w:tcPr>
            <w:tcW w:w="8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Earnings per common share – basic and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0.23</w:t>
            </w:r>
          </w:p>
        </w:tc>
      </w:tr>
    </w:tbl>
    <w:p>
      <w:pPr>
        <w:spacing w:after="0" w:line="3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March 31, 2022, there were 304.0 thousand stock options, 55.6 thousand RSUs, 33.2 thousand RSAs and 13.1 thousand PSUs excluded from the diluted earnings per share calculation because, under the treasury stock method, the inclusion of these would be anti-dilutive.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there were 0.6 million stock options excluded from the diluted earnings per share calculation because, under the treasury stock method, the inclusion of these would be anti-dilutive.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12, during the third quarter of 2022, the Company’s Board of Directors authorized the Repurchase Program, under which the Company repurchased 224,388 shares of treasury stock for $3.6 million in the three months ended March 31, 2022. The effect of these repurchases on the Company’s weighted average shares outstanding for the three months ended March 31, 2022 was a reduction of 135,259 shares due to the timing of the repurchases.</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reconciliation between the income tax provision at the U.S. statutory tax rate and the Company’s income tax provision on the condensed consolidated statements of income and comprehensive income is below (in thousands, except for tax rates):</w:t>
      </w:r>
    </w:p>
    <w:p>
      <w:pPr>
        <w:spacing w:after="0" w:line="222" w:lineRule="exact"/>
        <w:rPr>
          <w:sz w:val="20"/>
          <w:szCs w:val="20"/>
          <w:color w:val="auto"/>
        </w:rPr>
      </w:pPr>
    </w:p>
    <w:p>
      <w:pPr>
        <w:jc w:val="center"/>
        <w:ind w:left="7620"/>
        <w:spacing w:after="0"/>
        <w:rPr>
          <w:sz w:val="20"/>
          <w:szCs w:val="20"/>
          <w:color w:val="auto"/>
        </w:rPr>
      </w:pPr>
      <w:r>
        <w:rPr>
          <w:rFonts w:ascii="Arial" w:cs="Arial" w:eastAsia="Arial" w:hAnsi="Arial"/>
          <w:sz w:val="18"/>
          <w:szCs w:val="18"/>
          <w:color w:val="auto"/>
        </w:rPr>
        <w:t>Three Months Ended</w:t>
      </w:r>
    </w:p>
    <w:p>
      <w:pPr>
        <w:jc w:val="center"/>
        <w:ind w:left="762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80" w:type="dxa"/>
            <w:vAlign w:val="bottom"/>
            <w:tcBorders>
              <w:top w:val="single" w:sz="8" w:color="auto"/>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16,159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12,151</w:t>
            </w:r>
          </w:p>
        </w:tc>
      </w:tr>
      <w:tr>
        <w:trPr>
          <w:trHeight w:val="237"/>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statutory rate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2,552</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 tax expense, net of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8914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tax rates different from U.S.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8914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Non-deductible expenses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8914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tax provision</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984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678</w:t>
            </w:r>
          </w:p>
        </w:tc>
      </w:tr>
      <w:tr>
        <w:trPr>
          <w:trHeight w:val="229"/>
        </w:trPr>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29"/>
        </w:trPr>
        <w:tc>
          <w:tcPr>
            <w:tcW w:w="58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62</w:t>
            </w:r>
          </w:p>
        </w:tc>
      </w:tr>
      <w:tr>
        <w:trPr>
          <w:trHeight w:val="237"/>
        </w:trPr>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w:t>
            </w:r>
          </w:p>
        </w:tc>
      </w:tr>
      <w:tr>
        <w:trPr>
          <w:trHeight w:val="229"/>
        </w:trPr>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4,505</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3,174</w:t>
            </w: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80" w:space="720"/>
            <w:col w:w="3540"/>
          </w:cols>
          <w:pgMar w:left="320" w:top="125" w:right="339" w:bottom="1440" w:gutter="0" w:footer="0" w:header="0"/>
          <w:type w:val="continuous"/>
        </w:sectPr>
      </w:pP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2029 through 2041. After consideration of all evidence, both positive and negative, management has determined that no valuation allowance is required at March 31, 2022 on the Company’s U.S. federal or state deferred tax assets; however, a valuation allowance has been recorded as of March 31, 2022 on deferred tax assets associated with Canadian net operating loss carryforwards.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presented in the income tax reconciliation above, the tax provision recognized on the condensed consolidated statements of income and comprehensive income was impacted by state taxes, foreign tax rates applicable to the Company’s foreign subsidiaries that are higher or lower than the U.S. statutory rate, as well as, non-deductible officer compensation and share-based compensation tax benefits.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all 50 states in the United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applicable licensing laws, certain domestic subsidiaries of the Company are required to maintain minimum tangible net worth and liquid assets (eligible securities) to cover the amount outstanding of wire transfers and money orders payable. As of March 31, 2022, the Company’s subsidiaries were in compliance with these two requirements.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2021.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 leading omnichannel money remittance service company focused primarily on the United States of America (“United States” or “U.S.”) to Latin America and the Caribbean (“LAC”) corridor, which includes Mexico, Central and South America and the Caribbean. In recent years, we expanded our services to allow remittances to Africa and Asia from the United States and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consumers can send money to beneficiaries in 17 LAC countries, eight countries in Africa and two countries in Asia. Our services are accessible in person through over 100,000 independent sending and paying agents and 36 Company-operated stores, as well as online and via Internet-enabled mobile devices.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21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Money remittance services to LAC countries, mainly Mexico and Guatemala,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of our consumers who use our services may have access to traditional banking services, but prefer to use our services based on reliability, convenience and value. We generate money remittance revenue from fees paid by our consumers (i.e., the senders of funds), which we share with our sending agents in the originating country and our paying agents in the destination country. Remittances paid in local currencies that are not pegged to the U.S. dollar can also generate revenue if we are successful in our daily management of currency exchange spreads.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money remittance services enable consumers to send funds through our broad network of locations in the United States and Canada that are primarily operated by third-party businesses, as well as through our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For the three months ended March 31, 2022, we have grown our agent network by approximately 2.1%. For the three months ended March 31, 2022, principal amount sent increased by approximately 29.6% to $4.4 billion, as compared to the same period in 2021 and total remittances processed were approximately 10.0 million, representing an increase of approximately 19.7%, as compared to the same period in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had and continues to have a significant effect on economic conditions in the United States of America (“United States” or “U.S.”), as the efforts of federal, state, local and foreign governments to react to the public health crisis with mitigation measures have created and continue to cause significant uncertainties in the U.S. and global economy, particularly as new variants of COVID-19 appear to be causing an increase in COVID-19 cases in certain places around the world. The extent to which the COVID-19 pandemic affects our business, operations and financial results depends, and will continue to depend, on numerous evolving factors that we may not be able to accurately predict such as the reduction or reimposition by government and health authorities of restrictions and progress in and effectiveness of vaccination efforts in the United States or in the countries in which we operate and conduct business.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response to the pandemic, our top priority continues being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distancing programs, employee temperature monitoring, frequent testing and requiring use of certain personal protective equipment at our call centers in Mexico and Guatemala. As of March 31, 2022, all of our facilities are open and operating with adjustments to ensure compliance with social distancing and facial covering recommendations and requirements established by state and local regulations.</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operational challenges created by the pandemic, our business continues to function and, to date, our customer service has not been adversely affected in any material respect. Nevertheless, the COVID-19 pandemic continues to pose the risk that we or our employees, sending and paying agents, as well as consumers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w:t>
      </w:r>
    </w:p>
    <w:p>
      <w:pPr>
        <w:spacing w:after="0" w:line="21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Although certain measures that restrict the normal course of operations of businesses and consumers were still in place for the three months ended March 31, 2022, such measures did not have a material adverse effect on the Company’s financial condition, results of operations and cash flows for the three months ended March 31, 2022. Notwithstanding the foregoing, the Company’s business is dependent upon the willingness and ability of its</w:t>
      </w:r>
    </w:p>
    <w:p>
      <w:pPr>
        <w:sectPr>
          <w:pgSz w:w="11900" w:h="16838" w:orient="portrait"/>
          <w:cols w:equalWidth="0" w:num="1">
            <w:col w:w="11240"/>
          </w:cols>
          <w:pgMar w:left="320" w:top="125" w:right="339" w:bottom="0" w:gutter="0" w:footer="0" w:header="0"/>
        </w:sectPr>
      </w:pPr>
    </w:p>
    <w:bookmarkStart w:id="22" w:name="page23"/>
    <w:bookmarkEnd w:id="22"/>
    <w:p>
      <w:pPr>
        <w:jc w:val="both"/>
        <w:spacing w:after="0" w:line="290" w:lineRule="auto"/>
        <w:rPr>
          <w:sz w:val="20"/>
          <w:szCs w:val="20"/>
          <w:color w:val="auto"/>
        </w:rPr>
      </w:pPr>
      <w:r>
        <w:rPr>
          <w:rFonts w:ascii="Arial" w:cs="Arial" w:eastAsia="Arial" w:hAnsi="Arial"/>
          <w:sz w:val="16"/>
          <w:szCs w:val="16"/>
          <w:color w:val="auto"/>
        </w:rPr>
        <w:t>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subject to future developments, including the duration of the pandemic and the related extent of its severity, as well as its impact on the economic conditions, particularly the level of unemployment of our customers, inflation (including changes in wages) and governmental efforts to restrain inflation, interest rate levels and foreign exchange volatility, all of which remain uncertain and cannot be predicted at this time. If the global response to contain and remedy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La Nacional and LAN Holdings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March 16, 2022, the Company entered into a definitive purchase agreement to acquire Envios de Valores La Nacional Corp. (“La Nacional”) and LAN Holdings, Corp. (“LAN Holdings”), which either directly or indirectly operate as money remittance companies in the United States, Canada and certain countries in Europe. The transaction is subject to customary regulatory approvals and is expected to close in the third quarter of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97"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health conditions, including the COVID-19 pandemic, responses thereto and the economic and market effects thereof;</w:t>
      </w:r>
    </w:p>
    <w:p>
      <w:pPr>
        <w:spacing w:after="0" w:line="252" w:lineRule="exact"/>
        <w:rPr>
          <w:rFonts w:ascii="Arial" w:cs="Arial" w:eastAsia="Arial" w:hAnsi="Arial"/>
          <w:sz w:val="18"/>
          <w:szCs w:val="18"/>
          <w:color w:val="auto"/>
        </w:rPr>
      </w:pPr>
    </w:p>
    <w:p>
      <w:pPr>
        <w:ind w:left="900" w:right="300" w:hanging="244"/>
        <w:spacing w:after="0" w:line="277"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ability to successfully execute, manage and integrate key acquisitions and mergers, including the acquisition of La Nacional and LAN Holdings;</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52" w:lineRule="exact"/>
        <w:rPr>
          <w:rFonts w:ascii="Arial" w:cs="Arial" w:eastAsia="Arial" w:hAnsi="Arial"/>
          <w:sz w:val="18"/>
          <w:szCs w:val="18"/>
          <w:color w:val="auto"/>
        </w:rPr>
      </w:pPr>
    </w:p>
    <w:p>
      <w:pPr>
        <w:ind w:left="900" w:right="380" w:hanging="244"/>
        <w:spacing w:after="0" w:line="277" w:lineRule="auto"/>
        <w:tabs>
          <w:tab w:leader="none" w:pos="895"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favorable banking and agent relationships necessary to conduct our business;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including by introducing digital platforms;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data centers and phone apps;</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confidence in our brand and in consumer money transfers generally;</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regulatory requirements;</w:t>
      </w:r>
    </w:p>
    <w:p>
      <w:pPr>
        <w:spacing w:after="0" w:line="252" w:lineRule="exact"/>
        <w:rPr>
          <w:rFonts w:ascii="Arial" w:cs="Arial" w:eastAsia="Arial" w:hAnsi="Arial"/>
          <w:sz w:val="18"/>
          <w:szCs w:val="18"/>
          <w:color w:val="auto"/>
        </w:rPr>
      </w:pPr>
    </w:p>
    <w:p>
      <w:pPr>
        <w:ind w:left="900" w:right="20" w:hanging="244"/>
        <w:spacing w:after="0" w:line="277" w:lineRule="auto"/>
        <w:tabs>
          <w:tab w:leader="none" w:pos="8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political factors, political stability, tariffs, border taxes or restrictions on remittances or transfers of money out of the United States and Canada;</w:t>
      </w:r>
    </w:p>
    <w:p>
      <w:pPr>
        <w:spacing w:after="0" w:line="197"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restrictions and volatility in countries in which we operate or plan to operate;</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fraud and other risks relating to the authenticity of customers’ orders;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recruit and retain key personnel.</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Latin American political and economic conditions continue to exhibit instability, as evidenced by high unemployment rates in key markets, currency reserves, currency controls, restricted lending activity, weak currencies and low consumer confidence, some of which reflect the impact of the COVID-19 pandemic, among other factors. Specifically, continued political and economic unrest in Mexico, Guatemala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and future regulatory requirements will continue to result in changes to certain of our business practices and may result in increased costs.</w:t>
      </w:r>
    </w:p>
    <w:p>
      <w:pPr>
        <w:spacing w:after="0" w:line="222"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We maintain a compliance department, the responsibility of which is to monitor transactions, detect and report suspicious activity, maintain appropriate records and train our employees and agents. An independent third-party periodically reviews our policies and procedures and performs independent testing to assess the effectiveness of our anti-money laundering and Bank Secrecy Act compliance program. We also maintain a regulatory affairs and licensing department, under the direction of our Chief Operating Officer, whose responsibility is to manage regulatory affairs and licensing.</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technology and brand recognition.</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encountered and continue to expect to encounter increasing competition as new electronic platforms emerge that enable consumers to send and receive money through a variety of channels, but we do not expect adoption rates to be as significant in the near term for the consumer segment we serve.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consumer adoption.</w:t>
      </w:r>
    </w:p>
    <w:p>
      <w:pPr>
        <w:sectPr>
          <w:pgSz w:w="11900" w:h="16838" w:orient="portrait"/>
          <w:cols w:equalWidth="0" w:num="1">
            <w:col w:w="11240"/>
          </w:cols>
          <w:pgMar w:left="320" w:top="125" w:right="339" w:bottom="1440" w:gutter="0" w:footer="0" w:header="0"/>
        </w:sectPr>
      </w:pPr>
    </w:p>
    <w:p>
      <w:pPr>
        <w:spacing w:after="0" w:line="26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211" w:lineRule="exact"/>
        <w:rPr>
          <w:sz w:val="20"/>
          <w:szCs w:val="20"/>
          <w:color w:val="auto"/>
        </w:rPr>
      </w:pPr>
    </w:p>
    <w:p>
      <w:pPr>
        <w:ind w:left="500" w:right="20" w:hanging="249"/>
        <w:spacing w:after="0" w:line="277"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97" w:lineRule="exact"/>
        <w:rPr>
          <w:rFonts w:ascii="Arial" w:cs="Arial" w:eastAsia="Arial" w:hAnsi="Arial"/>
          <w:sz w:val="18"/>
          <w:szCs w:val="18"/>
          <w:color w:val="auto"/>
        </w:rPr>
      </w:pPr>
    </w:p>
    <w:p>
      <w:pPr>
        <w:ind w:left="480" w:hanging="229"/>
        <w:spacing w:after="0"/>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52" w:lineRule="exact"/>
        <w:rPr>
          <w:rFonts w:ascii="Arial" w:cs="Arial" w:eastAsia="Arial" w:hAnsi="Arial"/>
          <w:sz w:val="18"/>
          <w:szCs w:val="18"/>
          <w:color w:val="auto"/>
        </w:rPr>
      </w:pPr>
    </w:p>
    <w:p>
      <w:pPr>
        <w:jc w:val="both"/>
        <w:ind w:left="500" w:hanging="249"/>
        <w:spacing w:after="0" w:line="301" w:lineRule="auto"/>
        <w:tabs>
          <w:tab w:leader="none" w:pos="495"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exemption from compliance with any new requirements adopted by the Public Company Accounting Oversight Board requiring mandatory audit firm rotation or communication of Critical Audit Matters (“CAMs”) in the auditor’s report. A CAM is defined as any matter arising from the audit of the financial statements that was communicated or required to be communicated to the audit committee and that (1) relates to accounts or disclosures that are material to the financial statements; and (2) involves especially challenging, subjective, or complex auditor judgment.</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2021, the market value of our common stock that is held by non-affiliates approximated $488.5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Service charges primarily consist of agent commissions and bank fees. Service charges vary based on agent commission percentages and the amount of fees charged by the banks. Sending agents earn a commission on each transaction they process of approximately 50% of the transaction fee.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and Canada, is focused on supporting and growing our sending agent network. Share-based compensation is recognized as an expense on a straight-line basis over the requisite service period; unrecognized compensation expense related to stock options, restricted stock units (“RSUs”), restricted stock awards (“RSAs”) and performance stock units (“PSUs”) of approximately $13.7 million is expected to be recognized over a weighted-average period of 2.11 years.</w:t>
      </w:r>
    </w:p>
    <w:p>
      <w:pPr>
        <w:spacing w:after="0" w:line="200" w:lineRule="exact"/>
        <w:rPr>
          <w:sz w:val="20"/>
          <w:szCs w:val="20"/>
          <w:color w:val="auto"/>
        </w:rPr>
      </w:pP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 and administrative expenses primarily consist of fixed overhead expenses associated with our operations, such as information technology, telecommunications, rent, insurance, professional services, non-income taxes, facilities maintenance and other similar types of operating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provision for credit losses and expenses associated with increasing our network of agents. These expenses are expected to continue to increase at a slower pace than the increase in our revenues.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 and developed technology.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Interest expense consists primarily of interest associated with our debt, which consists of a term loan facility and a revolving credit facility. The effective average interest rates for the three months ended March 31, 2022 for the term loan facility and revolving credit facility, were 3.26% and 0.72%, respectively. Interest on the term loan and revolving credit facilities is determined by reference to either LIBOR (subject to replacement) or a “base rate”, in each case plus an applicable margin, under the A&amp;R Credit Agreement, of between 2.50% and 3.00% per annum for LIBOR loans and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income tax provision includes the expected benefit of all deferred tax assets, including our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is determined by subtracting operating and non-operating expenses from revenues.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 average number of common shares outstanding calculation.</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36 Company-operated stores throughout the United States and Canada. This is based on the objectives of the business and how our chief operating decision maker, the CEO and President, monitors operating performance and allocates resources.</w:t>
      </w: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w w:val="96"/>
              </w:rPr>
              <w:t>Three Months Ended March 31,</w:t>
            </w:r>
          </w:p>
        </w:tc>
      </w:tr>
      <w:tr>
        <w:trPr>
          <w:trHeight w:val="23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98,000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80,912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w:t>
            </w:r>
          </w:p>
        </w:tc>
      </w:tr>
      <w:tr>
        <w:trPr>
          <w:trHeight w:val="237"/>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r>
      <w:tr>
        <w:trPr>
          <w:trHeight w:val="229"/>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94,577</w:t>
            </w:r>
          </w:p>
        </w:tc>
      </w:tr>
      <w:tr>
        <w:trPr>
          <w:trHeight w:val="270"/>
        </w:trPr>
        <w:tc>
          <w:tcPr>
            <w:tcW w:w="6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76,993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63,372</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5,505</w:t>
            </w:r>
          </w:p>
        </w:tc>
      </w:tr>
      <w:tr>
        <w:trPr>
          <w:trHeight w:val="236"/>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r>
      <w:tr>
        <w:trPr>
          <w:trHeight w:val="237"/>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97,555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w:t>
            </w:r>
          </w:p>
        </w:tc>
      </w:tr>
      <w:tr>
        <w:trPr>
          <w:trHeight w:val="257"/>
        </w:trPr>
        <w:tc>
          <w:tcPr>
            <w:tcW w:w="6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13,490</w:t>
            </w:r>
          </w:p>
        </w:tc>
      </w:tr>
      <w:tr>
        <w:trPr>
          <w:trHeight w:val="270"/>
        </w:trPr>
        <w:tc>
          <w:tcPr>
            <w:tcW w:w="6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r>
      <w:tr>
        <w:trPr>
          <w:trHeight w:val="257"/>
        </w:trPr>
        <w:tc>
          <w:tcPr>
            <w:tcW w:w="6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12,151</w:t>
            </w:r>
          </w:p>
        </w:tc>
      </w:tr>
      <w:tr>
        <w:trPr>
          <w:trHeight w:val="270"/>
        </w:trPr>
        <w:tc>
          <w:tcPr>
            <w:tcW w:w="6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6"/>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r>
      <w:tr>
        <w:trPr>
          <w:trHeight w:val="257"/>
        </w:trPr>
        <w:tc>
          <w:tcPr>
            <w:tcW w:w="6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8,977</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Compared to Three Months Ended March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w w:val="91"/>
              </w:rPr>
              <w:t>Three Months Ended</w:t>
            </w:r>
          </w:p>
        </w:tc>
        <w:tc>
          <w:tcPr>
            <w:tcW w:w="1360" w:type="dxa"/>
            <w:vAlign w:val="bottom"/>
          </w:tcPr>
          <w:p>
            <w:pPr>
              <w:jc w:val="right"/>
              <w:ind w:right="430"/>
              <w:spacing w:after="0"/>
              <w:rPr>
                <w:sz w:val="20"/>
                <w:szCs w:val="20"/>
                <w:color w:val="auto"/>
              </w:rPr>
            </w:pPr>
            <w:r>
              <w:rPr>
                <w:rFonts w:ascii="Arial" w:cs="Arial" w:eastAsia="Arial" w:hAnsi="Arial"/>
                <w:sz w:val="18"/>
                <w:szCs w:val="18"/>
                <w:color w:val="auto"/>
              </w:rPr>
              <w:t>% of</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260" w:type="dxa"/>
            <w:vAlign w:val="bottom"/>
          </w:tcPr>
          <w:p>
            <w:pPr>
              <w:jc w:val="right"/>
              <w:ind w:right="310"/>
              <w:spacing w:after="0"/>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March 31, 2022</w:t>
            </w:r>
          </w:p>
        </w:tc>
        <w:tc>
          <w:tcPr>
            <w:tcW w:w="136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March 31, 2021</w:t>
            </w:r>
          </w:p>
        </w:tc>
        <w:tc>
          <w:tcPr>
            <w:tcW w:w="126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98,000</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85 %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80,912</w:t>
            </w:r>
          </w:p>
        </w:tc>
        <w:tc>
          <w:tcPr>
            <w:tcW w:w="126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36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1 %</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114,666</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100 %</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94,577</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Wire transfer and money order fees, net of $98.0 million for the three months ended March 31, 2022 increased by $17.1 million, or 21.1%, from $80.9 million for the three months ended March 31, 2021. The increase was primarily due to a 19.7% increase in transaction volume in the first quarter of 2022 compared to the first quarter of 2021, largely due to the continued growth in our agent network, which increased by 10.1% from March 2021 to March 2022.</w:t>
      </w: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foreign exchange gain, net of $15.7 million for the three months ended March 31, 2022 increased by $2.7 million, or 20.1%, from $13.0 million for the three months ended March 31, 2021. This increase was primarily due to higher transaction volume achieved by growth in our agent network and a higher average amount sent by our consumers, as well as, increased foreign exchange volatility in the Mexican peso during the quarter ended March 31,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3" w:lineRule="exact"/>
        <w:rPr>
          <w:sz w:val="20"/>
          <w:szCs w:val="20"/>
          <w:color w:val="auto"/>
        </w:rPr>
      </w:pPr>
    </w:p>
    <w:p>
      <w:pPr>
        <w:ind w:left="140" w:right="840"/>
        <w:spacing w:after="0" w:line="266" w:lineRule="auto"/>
        <w:rPr>
          <w:sz w:val="20"/>
          <w:szCs w:val="20"/>
          <w:color w:val="auto"/>
        </w:rPr>
      </w:pPr>
      <w:r>
        <w:rPr>
          <w:rFonts w:ascii="Arial" w:cs="Arial" w:eastAsia="Arial" w:hAnsi="Arial"/>
          <w:sz w:val="18"/>
          <w:szCs w:val="18"/>
          <w:color w:val="auto"/>
        </w:rPr>
        <w:t>Service charges from agents and banks Salaries and benefits</w:t>
      </w:r>
    </w:p>
    <w:p>
      <w:pPr>
        <w:ind w:left="140"/>
        <w:spacing w:after="0" w:line="296" w:lineRule="auto"/>
        <w:rPr>
          <w:sz w:val="20"/>
          <w:szCs w:val="20"/>
          <w:color w:val="auto"/>
        </w:rPr>
      </w:pPr>
      <w:r>
        <w:rPr>
          <w:rFonts w:ascii="Arial" w:cs="Arial" w:eastAsia="Arial" w:hAnsi="Arial"/>
          <w:sz w:val="18"/>
          <w:szCs w:val="18"/>
          <w:color w:val="auto"/>
        </w:rPr>
        <w:t>Other selling, general and administrative expenses Depreciation and amortization</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left="-63" w:right="80"/>
        <w:spacing w:after="0" w:line="224" w:lineRule="auto"/>
        <w:rPr>
          <w:sz w:val="20"/>
          <w:szCs w:val="20"/>
          <w:color w:val="auto"/>
        </w:rPr>
      </w:pPr>
      <w:r>
        <w:rPr>
          <w:rFonts w:ascii="Arial" w:cs="Arial" w:eastAsia="Arial" w:hAnsi="Arial"/>
          <w:sz w:val="18"/>
          <w:szCs w:val="18"/>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1270</wp:posOffset>
            </wp:positionV>
            <wp:extent cx="9855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5520" cy="17145"/>
                    </a:xfrm>
                    <a:prstGeom prst="rect">
                      <a:avLst/>
                    </a:prstGeom>
                    <a:noFill/>
                  </pic:spPr>
                </pic:pic>
              </a:graphicData>
            </a:graphic>
          </wp:anchor>
        </w:drawing>
      </w:r>
    </w:p>
    <w:p>
      <w:pPr>
        <w:spacing w:after="0" w:line="224" w:lineRule="exact"/>
        <w:rPr>
          <w:sz w:val="20"/>
          <w:szCs w:val="20"/>
          <w:color w:val="auto"/>
        </w:rPr>
      </w:pPr>
    </w:p>
    <w:p>
      <w:pPr>
        <w:ind w:left="964" w:hanging="964"/>
        <w:spacing w:after="0"/>
        <w:tabs>
          <w:tab w:leader="none" w:pos="964" w:val="left"/>
        </w:tabs>
        <w:numPr>
          <w:ilvl w:val="0"/>
          <w:numId w:val="9"/>
        </w:numPr>
        <w:rPr>
          <w:rFonts w:ascii="Arial" w:cs="Arial" w:eastAsia="Arial" w:hAnsi="Arial"/>
          <w:sz w:val="16"/>
          <w:szCs w:val="16"/>
          <w:color w:val="auto"/>
        </w:rPr>
      </w:pPr>
      <w:r>
        <w:rPr>
          <w:rFonts w:ascii="Arial" w:cs="Arial" w:eastAsia="Arial" w:hAnsi="Arial"/>
          <w:sz w:val="16"/>
          <w:szCs w:val="16"/>
          <w:color w:val="auto"/>
        </w:rPr>
        <w:t>76,993</w:t>
      </w:r>
    </w:p>
    <w:p>
      <w:pPr>
        <w:spacing w:after="0" w:line="46" w:lineRule="exact"/>
        <w:rPr>
          <w:rFonts w:ascii="Arial" w:cs="Arial" w:eastAsia="Arial" w:hAnsi="Arial"/>
          <w:sz w:val="16"/>
          <w:szCs w:val="16"/>
          <w:color w:val="auto"/>
        </w:rPr>
      </w:pPr>
    </w:p>
    <w:p>
      <w:pPr>
        <w:ind w:left="984"/>
        <w:spacing w:after="0"/>
        <w:rPr>
          <w:rFonts w:ascii="Arial" w:cs="Arial" w:eastAsia="Arial" w:hAnsi="Arial"/>
          <w:sz w:val="16"/>
          <w:szCs w:val="16"/>
          <w:color w:val="auto"/>
        </w:rPr>
      </w:pPr>
      <w:r>
        <w:rPr>
          <w:rFonts w:ascii="Arial" w:cs="Arial" w:eastAsia="Arial" w:hAnsi="Arial"/>
          <w:sz w:val="15"/>
          <w:szCs w:val="15"/>
          <w:color w:val="auto"/>
        </w:rPr>
        <w:t>11,310</w:t>
      </w:r>
    </w:p>
    <w:p>
      <w:pPr>
        <w:spacing w:after="0" w:line="57" w:lineRule="exact"/>
        <w:rPr>
          <w:rFonts w:ascii="Arial" w:cs="Arial" w:eastAsia="Arial" w:hAnsi="Arial"/>
          <w:sz w:val="16"/>
          <w:szCs w:val="16"/>
          <w:color w:val="auto"/>
        </w:rPr>
      </w:pPr>
    </w:p>
    <w:p>
      <w:pPr>
        <w:ind w:left="1064"/>
        <w:spacing w:after="0"/>
        <w:rPr>
          <w:rFonts w:ascii="Arial" w:cs="Arial" w:eastAsia="Arial" w:hAnsi="Arial"/>
          <w:sz w:val="16"/>
          <w:szCs w:val="16"/>
          <w:color w:val="auto"/>
        </w:rPr>
      </w:pPr>
      <w:r>
        <w:rPr>
          <w:rFonts w:ascii="Arial" w:cs="Arial" w:eastAsia="Arial" w:hAnsi="Arial"/>
          <w:sz w:val="15"/>
          <w:szCs w:val="15"/>
          <w:color w:val="auto"/>
        </w:rPr>
        <w:t>7,069</w:t>
      </w:r>
    </w:p>
    <w:p>
      <w:pPr>
        <w:spacing w:after="0" w:line="57" w:lineRule="exact"/>
        <w:rPr>
          <w:rFonts w:ascii="Arial" w:cs="Arial" w:eastAsia="Arial" w:hAnsi="Arial"/>
          <w:sz w:val="16"/>
          <w:szCs w:val="16"/>
          <w:color w:val="auto"/>
        </w:rPr>
      </w:pPr>
    </w:p>
    <w:p>
      <w:pPr>
        <w:ind w:left="1064"/>
        <w:spacing w:after="0"/>
        <w:rPr>
          <w:rFonts w:ascii="Arial" w:cs="Arial" w:eastAsia="Arial" w:hAnsi="Arial"/>
          <w:sz w:val="16"/>
          <w:szCs w:val="16"/>
          <w:color w:val="auto"/>
        </w:rPr>
      </w:pPr>
      <w:r>
        <w:rPr>
          <w:rFonts w:ascii="Arial" w:cs="Arial" w:eastAsia="Arial" w:hAnsi="Arial"/>
          <w:sz w:val="15"/>
          <w:szCs w:val="15"/>
          <w:color w:val="auto"/>
        </w:rPr>
        <w:t>2,183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-546100</wp:posOffset>
            </wp:positionV>
            <wp:extent cx="62407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40780" cy="14541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-254635</wp:posOffset>
            </wp:positionV>
            <wp:extent cx="624078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40780" cy="14541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36195</wp:posOffset>
            </wp:positionV>
            <wp:extent cx="624078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63" w:lineRule="exact"/>
        <w:rPr>
          <w:sz w:val="20"/>
          <w:szCs w:val="20"/>
          <w:color w:val="auto"/>
        </w:rPr>
      </w:pPr>
    </w:p>
    <w:p>
      <w:pPr>
        <w:ind w:left="964" w:hanging="964"/>
        <w:spacing w:after="0"/>
        <w:tabs>
          <w:tab w:leader="none" w:pos="964" w:val="left"/>
        </w:tabs>
        <w:numPr>
          <w:ilvl w:val="0"/>
          <w:numId w:val="10"/>
        </w:numPr>
        <w:rPr>
          <w:rFonts w:ascii="Arial" w:cs="Arial" w:eastAsia="Arial" w:hAnsi="Arial"/>
          <w:sz w:val="16"/>
          <w:szCs w:val="16"/>
          <w:color w:val="auto"/>
        </w:rPr>
      </w:pPr>
      <w:r>
        <w:rPr>
          <w:rFonts w:ascii="Arial" w:cs="Arial" w:eastAsia="Arial" w:hAnsi="Arial"/>
          <w:sz w:val="16"/>
          <w:szCs w:val="16"/>
          <w:color w:val="auto"/>
        </w:rPr>
        <w:t>97,555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9855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430"/>
              <w:spacing w:after="0"/>
              <w:rPr>
                <w:sz w:val="20"/>
                <w:szCs w:val="20"/>
                <w:color w:val="auto"/>
              </w:rPr>
            </w:pPr>
            <w:r>
              <w:rPr>
                <w:rFonts w:ascii="Arial" w:cs="Arial" w:eastAsia="Arial" w:hAnsi="Arial"/>
                <w:sz w:val="18"/>
                <w:szCs w:val="18"/>
                <w:color w:val="auto"/>
              </w:rPr>
              <w:t>% of</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w:t>
            </w:r>
          </w:p>
        </w:tc>
        <w:tc>
          <w:tcPr>
            <w:tcW w:w="1240" w:type="dxa"/>
            <w:vAlign w:val="bottom"/>
          </w:tcPr>
          <w:p>
            <w:pPr>
              <w:jc w:val="right"/>
              <w:ind w:right="290"/>
              <w:spacing w:after="0"/>
              <w:rPr>
                <w:sz w:val="20"/>
                <w:szCs w:val="20"/>
                <w:color w:val="auto"/>
              </w:rPr>
            </w:pPr>
            <w:r>
              <w:rPr>
                <w:rFonts w:ascii="Arial" w:cs="Arial" w:eastAsia="Arial" w:hAnsi="Arial"/>
                <w:sz w:val="18"/>
                <w:szCs w:val="18"/>
                <w:color w:val="auto"/>
              </w:rPr>
              <w:t>% of</w:t>
            </w:r>
          </w:p>
        </w:tc>
      </w:tr>
      <w:tr>
        <w:trPr>
          <w:trHeight w:val="223"/>
        </w:trPr>
        <w:tc>
          <w:tcPr>
            <w:tcW w:w="1040" w:type="dxa"/>
            <w:vAlign w:val="bottom"/>
          </w:tcPr>
          <w:p>
            <w:pPr>
              <w:jc w:val="right"/>
              <w:ind w:right="250"/>
              <w:spacing w:after="0"/>
              <w:rPr>
                <w:sz w:val="20"/>
                <w:szCs w:val="20"/>
                <w:color w:val="auto"/>
              </w:rPr>
            </w:pPr>
            <w:r>
              <w:rPr>
                <w:rFonts w:ascii="Arial" w:cs="Arial" w:eastAsia="Arial" w:hAnsi="Arial"/>
                <w:sz w:val="18"/>
                <w:szCs w:val="18"/>
                <w:color w:val="auto"/>
                <w:w w:val="83"/>
              </w:rPr>
              <w:t>Revenues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March 31, 2021</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Revenues</w:t>
            </w:r>
          </w:p>
        </w:tc>
      </w:tr>
      <w:tr>
        <w:trPr>
          <w:trHeight w:val="445"/>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67 %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63,372</w:t>
            </w:r>
          </w:p>
        </w:tc>
        <w:tc>
          <w:tcPr>
            <w:tcW w:w="1240" w:type="dxa"/>
            <w:vAlign w:val="bottom"/>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9,875</w:t>
            </w:r>
          </w:p>
        </w:tc>
        <w:tc>
          <w:tcPr>
            <w:tcW w:w="12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6 %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5,505</w:t>
            </w:r>
          </w:p>
        </w:tc>
        <w:tc>
          <w:tcPr>
            <w:tcW w:w="12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37"/>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2 %</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2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1040" w:type="dxa"/>
            <w:vAlign w:val="bottom"/>
          </w:tcPr>
          <w:p>
            <w:pPr>
              <w:jc w:val="right"/>
              <w:ind w:right="50"/>
              <w:spacing w:after="0"/>
              <w:rPr>
                <w:sz w:val="20"/>
                <w:szCs w:val="20"/>
                <w:color w:val="auto"/>
              </w:rPr>
            </w:pPr>
            <w:r>
              <w:rPr>
                <w:rFonts w:ascii="Arial" w:cs="Arial" w:eastAsia="Arial" w:hAnsi="Arial"/>
                <w:sz w:val="18"/>
                <w:szCs w:val="18"/>
                <w:color w:val="auto"/>
              </w:rPr>
              <w:t>85 %</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81,087</w:t>
            </w:r>
          </w:p>
        </w:tc>
        <w:tc>
          <w:tcPr>
            <w:tcW w:w="124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1"/>
        </w:trPr>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3780" w:space="336"/>
            <w:col w:w="1464" w:space="400"/>
            <w:col w:w="5260"/>
          </w:cols>
          <w:pgMar w:left="320" w:top="125" w:right="339" w:bottom="1440" w:gutter="0" w:footer="0" w:header="0"/>
          <w:type w:val="continuous"/>
        </w:sectPr>
      </w:pPr>
    </w:p>
    <w:p>
      <w:pPr>
        <w:spacing w:after="0" w:line="12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Service charges from agents and banks </w:t>
      </w:r>
      <w:r>
        <w:rPr>
          <w:rFonts w:ascii="Arial" w:cs="Arial" w:eastAsia="Arial" w:hAnsi="Arial"/>
          <w:sz w:val="18"/>
          <w:szCs w:val="18"/>
          <w:color w:val="auto"/>
        </w:rPr>
        <w:t>— Service charges from agents and banks were $77.0 million for the three months ended March 31, 2022</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$63.4 million for the three months ended March 31, 2021. The increase of $13.6 million, or 21.5%, was primarily due to the increase in transaction volume described above.</w:t>
      </w:r>
    </w:p>
    <w:p>
      <w:pPr>
        <w:spacing w:after="0" w:line="21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Salaries and benefits </w:t>
      </w:r>
      <w:r>
        <w:rPr>
          <w:rFonts w:ascii="Arial" w:cs="Arial" w:eastAsia="Arial" w:hAnsi="Arial"/>
          <w:sz w:val="16"/>
          <w:szCs w:val="16"/>
          <w:color w:val="auto"/>
        </w:rPr>
        <w:t>— Salaries and benefits of $11.3 million for the three months ended March 31, 2022 increased by $1.4 million, or 14.5%, from</w:t>
      </w:r>
      <w:r>
        <w:rPr>
          <w:rFonts w:ascii="Arial" w:cs="Arial" w:eastAsia="Arial" w:hAnsi="Arial"/>
          <w:sz w:val="16"/>
          <w:szCs w:val="16"/>
          <w:i w:val="1"/>
          <w:iCs w:val="1"/>
          <w:color w:val="auto"/>
        </w:rPr>
        <w:t xml:space="preserve"> </w:t>
      </w:r>
      <w:r>
        <w:rPr>
          <w:rFonts w:ascii="Arial" w:cs="Arial" w:eastAsia="Arial" w:hAnsi="Arial"/>
          <w:sz w:val="16"/>
          <w:szCs w:val="16"/>
          <w:color w:val="auto"/>
        </w:rPr>
        <w:t>$9.9 million for the three months ended March 31, 2021. The increase is primarily due to $1.5 million spent in talent acquisition and retention, as well as, increased wages and bonuses to recognize performance and to support the continued growth of our business and a $0.4 million increase in share-based compensation as a result of new awards granted throughout 2022, offset by a $0.5 million decrease in commission expense for our sales representatives.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selling, general and administrative expenses </w:t>
      </w:r>
      <w:r>
        <w:rPr>
          <w:rFonts w:ascii="Arial" w:cs="Arial" w:eastAsia="Arial" w:hAnsi="Arial"/>
          <w:sz w:val="18"/>
          <w:szCs w:val="18"/>
          <w:color w:val="auto"/>
        </w:rPr>
        <w:t>— Other selling, general and administrative expenses of $7.1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2022 increased by $1.6 million, or 28.4%, from $5.5 million for the three months ended March 31, 2021.</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was primarily the result of:</w:t>
      </w:r>
    </w:p>
    <w:p>
      <w:pPr>
        <w:spacing w:after="0" w:line="252" w:lineRule="exact"/>
        <w:rPr>
          <w:sz w:val="20"/>
          <w:szCs w:val="20"/>
          <w:color w:val="auto"/>
        </w:rPr>
      </w:pPr>
    </w:p>
    <w:p>
      <w:pPr>
        <w:ind w:left="740" w:hanging="246"/>
        <w:spacing w:after="0" w:line="258" w:lineRule="auto"/>
        <w:tabs>
          <w:tab w:leader="none" w:pos="7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$0.6 million - higher travel and other operating expenses to support our business growth, some of which expenses were reduced in the prior period due to the COVID-19 pandemic;</w:t>
      </w:r>
    </w:p>
    <w:p>
      <w:pPr>
        <w:spacing w:after="0" w:line="1" w:lineRule="exact"/>
        <w:rPr>
          <w:rFonts w:ascii="Arial" w:cs="Arial" w:eastAsia="Arial" w:hAnsi="Arial"/>
          <w:sz w:val="18"/>
          <w:szCs w:val="18"/>
          <w:color w:val="auto"/>
        </w:rPr>
      </w:pPr>
    </w:p>
    <w:p>
      <w:pPr>
        <w:ind w:left="740" w:hanging="246"/>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$0.7 million - higher IT related expenses incurred to sustain our business expansion and to improve our technology environment; and</w:t>
      </w:r>
    </w:p>
    <w:p>
      <w:pPr>
        <w:spacing w:after="0" w:line="20" w:lineRule="exact"/>
        <w:rPr>
          <w:rFonts w:ascii="Arial" w:cs="Arial" w:eastAsia="Arial" w:hAnsi="Arial"/>
          <w:sz w:val="17"/>
          <w:szCs w:val="17"/>
          <w:color w:val="auto"/>
        </w:rPr>
      </w:pPr>
    </w:p>
    <w:p>
      <w:pPr>
        <w:jc w:val="both"/>
        <w:ind w:left="740" w:hanging="246"/>
        <w:spacing w:after="0" w:line="255" w:lineRule="auto"/>
        <w:tabs>
          <w:tab w:leader="none" w:pos="7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 increase in provision for credit losses due to higher net write-offs of accounts receivable in the three months ended March 31, 2022 compared to the same period in 2021, primarily as a result of sending agents that were not able to pay in accordance with the original terms and are, accordingly, subject to our normal collection procedures.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increases were partially offset by:</w:t>
      </w:r>
    </w:p>
    <w:p>
      <w:pPr>
        <w:spacing w:after="0" w:line="252" w:lineRule="exact"/>
        <w:rPr>
          <w:sz w:val="20"/>
          <w:szCs w:val="20"/>
          <w:color w:val="auto"/>
        </w:rPr>
      </w:pPr>
    </w:p>
    <w:p>
      <w:pPr>
        <w:ind w:left="740" w:hanging="246"/>
        <w:spacing w:after="0" w:line="277" w:lineRule="auto"/>
        <w:tabs>
          <w:tab w:leader="none" w:pos="735"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$0.1 million - decrease in advertising and promotion expenses, which were higher in 2021 as we increased our marketing activities subsequent to the reopening of business and lifting of restrictions as a result of the COVID-19 pandemic;</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 Depreciation and amortization of $2.2 million for the three months ended March 31, 2022 decreased by $0.1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$2.3 million for the three months ended March 31, 2021. This decrease is mainly due to approximately $0.3 million less amortization related to our trade name, developed technology and agent relationships during the first quarter of 2022, as these intangibles are being amortized on an accelerated basis, which declines over time. This decrease was partially offset by an increase in depreciation associated primarily with additional computer equipment acquired to support our growing business and sending agent network.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of $1.0 million for the three months ended March 31, 2022 decreased by $0.3 million, or 28.9%, from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2021. The decrease was primarily due to lower market interest rates paid under the credit agreement (as described below) and lower drawings under our revolving credit facility.</w:t>
      </w:r>
    </w:p>
    <w:p>
      <w:pPr>
        <w:spacing w:after="0" w:line="2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Income tax provision </w:t>
      </w:r>
      <w:r>
        <w:rPr>
          <w:rFonts w:ascii="Arial" w:cs="Arial" w:eastAsia="Arial" w:hAnsi="Arial"/>
          <w:sz w:val="18"/>
          <w:szCs w:val="18"/>
          <w:color w:val="auto"/>
        </w:rPr>
        <w:t>— Income tax provision was $4.5 million for the three months ended March 31, 2022, which represents an increase of $1.3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an income tax provision of $3.2 million for the three months ended March 31, 2021. The increase in the income tax provision was mainly attributable to higher taxable income resulting from higher revenues from our growth.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reported net income of $11.7 million for the three months ended March 31, 2022 compared to net income of $9.0 million for the three months ended March 31, 2021, which resulted in an increase of $2.7 million, or 29.8%, due to the same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share-based compensation costs can be subject to volatility from changes in the market price per share of our common stock or variations in the value and number of shares granted, and amortization of intangible assets is subject to business acquisition activities, which vary from period to period.</w:t>
      </w:r>
    </w:p>
    <w:p>
      <w:pPr>
        <w:spacing w:after="0" w:line="21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52" w:lineRule="exact"/>
        <w:rPr>
          <w:sz w:val="20"/>
          <w:szCs w:val="20"/>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amounts necessary to service interest or principal payments on our debt;</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97" w:lineRule="exact"/>
        <w:rPr>
          <w:rFonts w:ascii="Arial" w:cs="Arial" w:eastAsia="Arial" w:hAnsi="Arial"/>
          <w:sz w:val="18"/>
          <w:szCs w:val="18"/>
          <w:color w:val="auto"/>
        </w:rPr>
      </w:pPr>
    </w:p>
    <w:p>
      <w:pPr>
        <w:ind w:left="740" w:hanging="246"/>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52" w:lineRule="exact"/>
        <w:rPr>
          <w:rFonts w:ascii="Arial" w:cs="Arial" w:eastAsia="Arial" w:hAnsi="Arial"/>
          <w:sz w:val="18"/>
          <w:szCs w:val="18"/>
          <w:color w:val="auto"/>
        </w:rPr>
      </w:pPr>
    </w:p>
    <w:p>
      <w:pPr>
        <w:ind w:left="740" w:hanging="246"/>
        <w:spacing w:after="0" w:line="277"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97" w:lineRule="exact"/>
        <w:rPr>
          <w:rFonts w:ascii="Arial" w:cs="Arial" w:eastAsia="Arial" w:hAnsi="Arial"/>
          <w:sz w:val="18"/>
          <w:szCs w:val="18"/>
          <w:color w:val="auto"/>
        </w:rPr>
      </w:pPr>
    </w:p>
    <w:p>
      <w:pPr>
        <w:ind w:left="740" w:right="20" w:hanging="246"/>
        <w:spacing w:after="0" w:line="277" w:lineRule="auto"/>
        <w:tabs>
          <w:tab w:leader="none" w:pos="7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of intangible assets resulting from business acquisition transactions, which will recur in future periods until these assets have been fully amortized, non-cash share-based compensation costs, litigation settlements and other items set forth in the table below, as these charges and expenses are not considered a part of our core business operations and are not an indicator of ongoing, future company performance.</w:t>
      </w:r>
    </w:p>
    <w:p>
      <w:pPr>
        <w:sectPr>
          <w:pgSz w:w="11900" w:h="16838" w:orient="portrait"/>
          <w:cols w:equalWidth="0" w:num="1">
            <w:col w:w="11240"/>
          </w:cols>
          <w:pgMar w:left="320" w:top="125" w:right="339" w:bottom="1440" w:gutter="0" w:footer="0" w:header="0"/>
        </w:sect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Net Income for the three months ended March 31, 2022 was $13.4 million, representing an increase of $2.8 million, or 25.7%, from Adjusted Net Income of $10.6 million for the three months ended March 31, 2021. The increase in Adjusted Net Income was primarily due to the increase in net income discussed above and the higher net effect of the adjusting items detailed in the table below.</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7"/>
              </w:rPr>
              <w:t>Three Months Ended March 31,</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per share data)</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8,977</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Other charges and expenses (b)</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 (c)</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37"/>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 benefit related to adjustments (d)</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r>
      <w:tr>
        <w:trPr>
          <w:trHeight w:val="254"/>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10,633</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29"/>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70"/>
        </w:trPr>
        <w:tc>
          <w:tcPr>
            <w:tcW w:w="6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38,362,014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38,239,130</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39,077,665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38,846,906</w:t>
            </w:r>
          </w:p>
        </w:tc>
      </w:tr>
    </w:tbl>
    <w:p>
      <w:pPr>
        <w:spacing w:after="0" w:line="323" w:lineRule="exact"/>
        <w:rPr>
          <w:sz w:val="20"/>
          <w:szCs w:val="20"/>
          <w:color w:val="auto"/>
        </w:rPr>
      </w:pPr>
    </w:p>
    <w:p>
      <w:pPr>
        <w:ind w:left="420" w:hanging="331"/>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and foreign currency (gains) losses.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business acquisition transactions.</w:t>
      </w:r>
    </w:p>
    <w:p>
      <w:pPr>
        <w:spacing w:after="0" w:line="9" w:lineRule="exact"/>
        <w:rPr>
          <w:rFonts w:ascii="Arial" w:cs="Arial" w:eastAsia="Arial" w:hAnsi="Arial"/>
          <w:sz w:val="18"/>
          <w:szCs w:val="18"/>
          <w:color w:val="auto"/>
        </w:rPr>
      </w:pPr>
    </w:p>
    <w:p>
      <w:pPr>
        <w:ind w:left="420" w:right="280" w:hanging="331"/>
        <w:spacing w:after="0" w:line="260" w:lineRule="auto"/>
        <w:tabs>
          <w:tab w:leader="none" w:pos="4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Adjusted Earnings per Share - Basic for the three months ended March 31, 2022 was $0.35, representing an increase of $0.07, or 25.0%, compared to $0.28 for the three months ended March 31, 2021.</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Adjusted Earnings per Share - Diluted for the three months ended March 31, 2022 was $0.34, representing an increase of $0.07, or 25.9%, compared to $0.27 for the three months ended March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GAAP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left="390"/>
              <w:spacing w:after="0"/>
              <w:rPr>
                <w:sz w:val="20"/>
                <w:szCs w:val="20"/>
                <w:color w:val="auto"/>
              </w:rPr>
            </w:pPr>
            <w:r>
              <w:rPr>
                <w:rFonts w:ascii="Arial" w:cs="Arial" w:eastAsia="Arial" w:hAnsi="Arial"/>
                <w:sz w:val="18"/>
                <w:szCs w:val="18"/>
                <w:color w:val="auto"/>
                <w:w w:val="90"/>
              </w:rPr>
              <w:t>Three Months Ended March 31,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6"/>
        </w:trPr>
        <w:tc>
          <w:tcPr>
            <w:tcW w:w="46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2021</w:t>
            </w:r>
          </w:p>
        </w:tc>
        <w:tc>
          <w:tcPr>
            <w:tcW w:w="1220" w:type="dxa"/>
            <w:vAlign w:val="bottom"/>
            <w:tcBorders>
              <w:bottom w:val="single" w:sz="8" w:color="auto"/>
            </w:tcBorders>
          </w:tcPr>
          <w:p>
            <w:pPr>
              <w:spacing w:after="0"/>
              <w:rPr>
                <w:sz w:val="20"/>
                <w:szCs w:val="20"/>
                <w:color w:val="auto"/>
              </w:rPr>
            </w:pPr>
          </w:p>
        </w:tc>
      </w:tr>
      <w:tr>
        <w:trPr>
          <w:trHeight w:val="230"/>
        </w:trPr>
        <w:tc>
          <w:tcPr>
            <w:tcW w:w="4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Basic</w:t>
            </w: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85"/>
              </w:rPr>
              <w:t>0.30</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91"/>
              </w:rPr>
              <w:t>0.30</w:t>
            </w:r>
          </w:p>
        </w:tc>
        <w:tc>
          <w:tcPr>
            <w:tcW w:w="100" w:type="dxa"/>
            <w:vAlign w:val="bottom"/>
          </w:tcPr>
          <w:p>
            <w:pPr>
              <w:spacing w:after="0"/>
              <w:rPr>
                <w:sz w:val="19"/>
                <w:szCs w:val="19"/>
                <w:color w:val="auto"/>
              </w:rPr>
            </w:pPr>
          </w:p>
        </w:tc>
        <w:tc>
          <w:tcPr>
            <w:tcW w:w="1220" w:type="dxa"/>
            <w:vAlign w:val="bottom"/>
          </w:tcPr>
          <w:p>
            <w:pPr>
              <w:jc w:val="center"/>
              <w:ind w:right="10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85"/>
              </w:rPr>
              <w:t>0.23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0.23</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0.03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0.03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Arial" w:cs="Arial" w:eastAsia="Arial" w:hAnsi="Arial"/>
                <w:sz w:val="18"/>
                <w:szCs w:val="18"/>
                <w:color w:val="auto"/>
                <w:w w:val="91"/>
              </w:rPr>
              <w:t>0.02</w:t>
            </w: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NM</w:t>
            </w:r>
          </w:p>
        </w:tc>
        <w:tc>
          <w:tcPr>
            <w:tcW w:w="12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9"/>
              </w:rPr>
              <w:t>NM</w:t>
            </w: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0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5"/>
              </w:rPr>
              <w:t>0.03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0.02</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0.03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Arial" w:cs="Arial" w:eastAsia="Arial" w:hAnsi="Arial"/>
                <w:sz w:val="18"/>
                <w:szCs w:val="18"/>
                <w:color w:val="auto"/>
                <w:w w:val="91"/>
              </w:rPr>
              <w:t>0.03</w:t>
            </w:r>
          </w:p>
        </w:tc>
      </w:tr>
      <w:tr>
        <w:trPr>
          <w:trHeight w:val="236"/>
        </w:trPr>
        <w:tc>
          <w:tcPr>
            <w:tcW w:w="4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(0.02)</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3"/>
              </w:rPr>
              <w:t>(0.01)</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0.35</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0.34</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ind w:right="1010"/>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0.28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b w:val="1"/>
                <w:bCs w:val="1"/>
                <w:color w:val="auto"/>
                <w:w w:val="91"/>
              </w:rPr>
              <w:t>0.27</w:t>
            </w: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NM - Per share amounts are not meaningful.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may contain slight summation differences due to rounding.</w:t>
      </w: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for the three months ended March 31, 2022 was $20.7 million, representing an increase of $3.9 million, or 23.0%, from $16.8 million for the three months ended March 31, 2021. The increase in Adjusted EBITDA was primarily due to the increase in net income discussed above and the higher net effect of the adjusting items detailed in the table below.</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6"/>
              </w:rPr>
              <w:t>Three Months Ended March 31,</w:t>
            </w:r>
          </w:p>
        </w:tc>
      </w:tr>
      <w:tr>
        <w:trPr>
          <w:trHeight w:val="236"/>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8,977</w:t>
            </w: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Adjusted for:</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3,174</w:t>
            </w:r>
          </w:p>
        </w:tc>
      </w:tr>
      <w:tr>
        <w:trPr>
          <w:trHeight w:val="249"/>
        </w:trPr>
        <w:tc>
          <w:tcPr>
            <w:tcW w:w="6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w:t>
            </w:r>
          </w:p>
        </w:tc>
      </w:tr>
      <w:tr>
        <w:trPr>
          <w:trHeight w:val="217"/>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15,825</w:t>
            </w:r>
          </w:p>
        </w:tc>
      </w:tr>
      <w:tr>
        <w:trPr>
          <w:trHeight w:val="230"/>
        </w:trPr>
        <w:tc>
          <w:tcPr>
            <w:tcW w:w="6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 (a)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36"/>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charges and expenses (b)</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16,838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420" w:hanging="331"/>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share-based compensation relating to equity awards granted to employees and independent directors of the Company.</w:t>
      </w:r>
    </w:p>
    <w:p>
      <w:pPr>
        <w:spacing w:after="0" w:line="23" w:lineRule="exact"/>
        <w:rPr>
          <w:rFonts w:ascii="Arial" w:cs="Arial" w:eastAsia="Arial" w:hAnsi="Arial"/>
          <w:sz w:val="18"/>
          <w:szCs w:val="18"/>
          <w:color w:val="auto"/>
        </w:rPr>
      </w:pPr>
    </w:p>
    <w:p>
      <w:pPr>
        <w:ind w:left="400" w:hanging="311"/>
        <w:spacing w:after="0"/>
        <w:tabs>
          <w:tab w:leader="none" w:pos="4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primarily loss on disposal of fixed assets and foreign currency (gains) losses.</w:t>
      </w:r>
    </w:p>
    <w:p>
      <w:pPr>
        <w:spacing w:after="0" w:line="200" w:lineRule="exact"/>
        <w:rPr>
          <w:sz w:val="20"/>
          <w:szCs w:val="20"/>
          <w:color w:val="auto"/>
        </w:rPr>
      </w:pPr>
    </w:p>
    <w:p>
      <w:pPr>
        <w:spacing w:after="0" w:line="30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liquidity in terms of our cash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funded and still expect to continue funding our liquidity requirements through internally generated funds, supplemented in the ordinary course, with borrowings under our revolving credit facility. We maintain a strong cash balance position and have access to committed funding sources, which we have used only on a limited and ordinary course basis during the three months ended March 31, 2022. Therefore, we believe that our current cash position, as well as projected cash flows generated from operations, together with borrowings under our revolving credit facility are sufficient to fund our principal and interest payments, lease expenses, our working capital needs, business acquisitions and our expected capital expenditures for at least the next twelve months.</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Amended and Restated Credit Agreement</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24, 2021, the Company and certain of its domestic subsidiaries as borrowers and the other guarantors from time to time party thereto (collectively, the “Loan Parties”) entered into an Amended and Restated Credit Agreement (the “A&amp;R Credit Agreement”) with a group of banking institutions. The A&amp;R Credit Agreement amended and restated in its entirety the Company’s previous credit agreement. The A&amp;R Credit Agreement provides for a $150.0 million revolving credit facility, an $87.5 million term loan facility and an uncommitted incremental facility, which may be utilized for additional revolving or term loans, of up to $70.0 million. The A&amp;R Credit Agreement also provides for the issuance of letters of credit, which would reduce availability under the revolving credit facility. The proceeds of the term loan were used to refinance the existing term loan under the Company’s previous credit agreement, and the revolving credit facility is available for working capital, general corporate purposes and to pay fees and expenses in connection with this transaction. The maturity date of the A&amp;R Credit Agreement is June 24, 2026.</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2022, we had total indebtedness of $84.2 million, consisting of borrowings under the term loan facility, excluding debt origination costs of $2.1 million. As of March 31, 2022 and 2021, there were no outstanding amounts drawn on the revolving credit facility. There were $220.0 million of additional borrowings available under these facilities as of March 31, 2022.</w:t>
      </w:r>
    </w:p>
    <w:p>
      <w:pPr>
        <w:spacing w:after="0" w:line="2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At the election of the Company, interest on the term loan facility and revolving credit facility under the A&amp;R Credit Agreement is determined by reference to either LIBOR (subject to replacement) or a “base rate”, in each case plus an applicable margin ranging between 2.50% and 3.00% per annum for LIBOR loans or between 1.50% and 2.00% per annum for base rate loans depending on the level of our consolidated leverage ratio, as calculated pursuant to the terms of the A&amp;R Credit Agreement. The Company is also required to pay a fee on the unused portion of the revolving credit facility equal to 0.35% per annum. The effective interest rates for the three months ended March 31, 2022 for the term loan facility and revolving credit facility were 3.26% and 0.72%, respectively. Interest is payable (x)(i) generally on the last day of each interest period selected for LIBOR loans, but in any event, not less frequently than every three months, and (ii) on the last business day of each quarter for base rate loans and (y) at final maturity. The A&amp;R Credit Agreement contains provisions for the replacement of the benchmark for interest rates in light of the cessation of the publication of LIBOR rates.</w:t>
      </w:r>
    </w:p>
    <w:p>
      <w:pPr>
        <w:spacing w:after="0" w:line="1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principal amount of the term loan facility under the A&amp;R Credit Agreement must be repaid in consecutive quarterly installments of 5.0% in years 1 and 2, 7.5% in year 3, and 10.0% in years 4 and 5, in each case on the last day of each quarter, commencing in September 2021 with a final balloon payment at maturity. The term loans under the A&amp;R Credit Agreement may be prepaid at any time without premium or penalty. Revolving loans may be borrowed, repaid and reborrowed from time to time in accordance with the terms and conditions of the A&amp;R Credit Agreement. The Company is also required to repay the loans upon receipt of net proceeds from certain casualty events, upon the disposition of certain property and upon incurrence of indebtedness not permitted by the A&amp;R Credit Agreement. In addition, the Company is required to make mandatory prepayments annually from excess cash flow if the Company’s consolidated leverage ratio (as calculated under the A&amp;R Credit Agreement) is greater than or equal to 3.0, and the remainder of any such excess cash flow is contributed to the available amount which may be used for a variety of purposes, including investments and distributions.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A&amp;R Credit Agreement contains financial covenants that require the Company to maintain a quarterly minimum fixed charge coverage ratio of 1.25:1.00 and a quarterly maximum consolidated leverage ratio of 3.25:1.00. As of March 31, 2022, we were in compliance with the covenants of the A&amp;R Credit Agreement. The A&amp;R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26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A&amp;R Credit Agreement generally restricts the payment of dividends or cash distributions by the Company with certain exceptions, including the following: i) to repurchase the Company’s common stock from current or former employees in an aggregate amount of up to $10.0 million per calendar year, and ii) other restricted payments in an aggregate amount not to exceed $40.0 million plus the Available Amount (as defined in the A&amp;R Credit Agreement).</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obligations under the A&amp;R Credit Agreement are guaranteed by the Company and certain domestic subsidiaries of the Company and secured by liens on substantially all of the assets of the Loan Parties, subject to certain exclusions and limitations.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 Indebtedness—We have a substantial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amount of indebtedness, which may limit our operating flexibility and could adversely affect our business, financial condition and results of operations.” </w:t>
      </w:r>
      <w:r>
        <w:rPr>
          <w:rFonts w:ascii="Arial" w:cs="Arial" w:eastAsia="Arial" w:hAnsi="Arial"/>
          <w:sz w:val="18"/>
          <w:szCs w:val="18"/>
          <w:color w:val="auto"/>
        </w:rPr>
        <w:t>included in our Annual Report on Form 10-K for the year ended December 31, 2021.</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Repurchase Program</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August 2021, the Company’s Board of Directors approved a stock repurchase program (the “Repurchase Program”) that authorizes the Company to purchase up to $40.0 million of outstanding shares of the Company’s common stock.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Under the terms of the A&amp;R Credit Agreement, the Company has restrictions that limit the maximum amount of repurchases to (i) $40.0 million in the aggregate (plus the Available Amount as defined in the A&amp;R Credit Agreement) and (ii) $10.0 million annually for shares held by any current or former officer, director, employee or consultant (or any spouses, ex-spouses or estates of the foregoing) of the Company or its subsidiaries.</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months ended March 31, 2022, the Company purchased 224,388 shares for an aggregate purchase price of $3.6 million. As of March 31, 2022, the remaining amount available for future share repurchases under the Repurchase Program was $30.8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Leases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We are party to operating leases for office space, warehouses and Company-operated store locations, which we use as part of our day-to-day operations. Operating lease expenses were $0.5 million for the three months ended March 31, 2022, which we expect to be consistent throughout the year. We have not entered into finance lease commitments. For additional information on operating lease obligations, refer to Note 6, </w:t>
      </w:r>
      <w:r>
        <w:rPr>
          <w:rFonts w:ascii="Arial" w:cs="Arial" w:eastAsia="Arial" w:hAnsi="Arial"/>
          <w:sz w:val="18"/>
          <w:szCs w:val="18"/>
          <w:i w:val="1"/>
          <w:iCs w:val="1"/>
          <w:color w:val="auto"/>
        </w:rPr>
        <w:t>Leases</w:t>
      </w:r>
      <w:r>
        <w:rPr>
          <w:rFonts w:ascii="Arial" w:cs="Arial" w:eastAsia="Arial" w:hAnsi="Arial"/>
          <w:sz w:val="18"/>
          <w:szCs w:val="18"/>
          <w:color w:val="auto"/>
        </w:rPr>
        <w:t>, to the Condensed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Statement of Cash Flows Data:</w:t>
      </w:r>
    </w:p>
    <w:p>
      <w:pPr>
        <w:spacing w:after="0" w:line="23" w:lineRule="exact"/>
        <w:rPr>
          <w:sz w:val="20"/>
          <w:szCs w:val="20"/>
          <w:color w:val="auto"/>
        </w:rPr>
      </w:pPr>
    </w:p>
    <w:p>
      <w:pPr>
        <w:ind w:left="20" w:right="1860"/>
        <w:spacing w:after="0" w:line="266" w:lineRule="auto"/>
        <w:rPr>
          <w:sz w:val="20"/>
          <w:szCs w:val="20"/>
          <w:color w:val="auto"/>
        </w:rPr>
      </w:pPr>
      <w:r>
        <w:rPr>
          <w:rFonts w:ascii="Arial" w:cs="Arial" w:eastAsia="Arial" w:hAnsi="Arial"/>
          <w:sz w:val="18"/>
          <w:szCs w:val="18"/>
          <w:color w:val="auto"/>
        </w:rPr>
        <w:t>Net cash provided by (used in) operating activities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97471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Net cash (used in)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97471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exchange rate changes on cash</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(decrease)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end of period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Three Months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r>
      <w:tr>
        <w:trPr>
          <w:trHeight w:val="445"/>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33,284</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(32,406)</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14,519</w:t>
            </w:r>
          </w:p>
        </w:tc>
      </w:tr>
      <w:tr>
        <w:trPr>
          <w:trHeight w:val="237"/>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(19,820)</w:t>
            </w:r>
          </w:p>
        </w:tc>
      </w:tr>
      <w:tr>
        <w:trPr>
          <w:trHeight w:val="492"/>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132,474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55,087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30" w:lineRule="exact"/>
        <w:rPr>
          <w:sz w:val="20"/>
          <w:szCs w:val="20"/>
          <w:color w:val="auto"/>
        </w:rPr>
      </w:pPr>
    </w:p>
    <w:p>
      <w:pPr>
        <w:sectPr>
          <w:pgSz w:w="11900" w:h="16838" w:orient="portrait"/>
          <w:cols w:equalWidth="0" w:num="2">
            <w:col w:w="5520" w:space="720"/>
            <w:col w:w="5000"/>
          </w:cols>
          <w:pgMar w:left="320" w:top="125" w:right="339" w:bottom="1440" w:gutter="0" w:footer="0" w:header="0"/>
          <w:type w:val="continuous"/>
        </w:sectPr>
      </w:pPr>
    </w:p>
    <w:p>
      <w:pPr>
        <w:spacing w:after="0" w:line="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cash provided by operating activities was $33.3 million for the three months ended March 31, 2022, an increase of $65.7 million from net cash used in operating activities of $32.4 million for the three months ended March 31, 2021. The increase is a result of a $61.7</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million change in working capital, which varies due to timing of transmittal orders and payments, as well as prefunding of payers and by additional cash generated by our operating results for the three months ended March 31, 2022, resulting from the further growth of the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was $4.3 million for the three months ended March 31, 2022, representing an increase of $2.4 million from net cash used in investing activities of $1.9 million for the three months ended March 31, 2021. This increase was primarily due to higher purchases of computer equipment during the three months ended March 31, 2022 as a result of the continued expansion of our business, as well as, upgrades of equipment used by our sending agent network.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$4.4 million for the three months ended March 31, 2022, which primarily consisted of a $1.1 million scheduled quarterly payment due on the term loan facility, $3.6 million used for repurchases of common stock and $0.3 million of payments for stock-based awards for shares withheld in connection with share-based compensation arrangements, offset by $0.6 million in proceeds from issuance of stock as a result of the exercise of stock options.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provided by financing activities was $14.5 million for the three months ended March 31, 2021, which primarily consisted of $15.0 million in a draw of our revolving credit facility in order to prefund our paying agents in preparation for wire activity during the Holy Week celebration in Latin America, and $1.4 million in proceeds from issuance of stock as a result of the exercise of options, offset by a $1.9 million scheduled quarterly payment due on the term loan facility.</w:t>
      </w: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Arial" w:cs="Arial" w:eastAsia="Arial" w:hAnsi="Arial"/>
          <w:sz w:val="18"/>
          <w:szCs w:val="18"/>
          <w:i w:val="1"/>
          <w:iCs w:val="1"/>
          <w:color w:val="auto"/>
        </w:rPr>
        <w:t>Management’s Discussion and Analysis of Financial Condition and Results of Operations - Critical Accounting Policies and Estimates</w:t>
      </w:r>
      <w:r>
        <w:rPr>
          <w:rFonts w:ascii="Arial" w:cs="Arial" w:eastAsia="Arial" w:hAnsi="Arial"/>
          <w:sz w:val="18"/>
          <w:szCs w:val="18"/>
          <w:color w:val="auto"/>
        </w:rPr>
        <w:t>” in our Annual Report on Form 10-K for the year ended December 31, 2021, for which there were no material changes during the three months ended March 31, 2022, included the following:</w:t>
      </w:r>
    </w:p>
    <w:p>
      <w:pPr>
        <w:spacing w:after="0" w:line="219" w:lineRule="exact"/>
        <w:rPr>
          <w:sz w:val="20"/>
          <w:szCs w:val="20"/>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Allowance for Credit Losses</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Goodwill and Intangible Assets</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Business and Accounting Policies</w:t>
      </w:r>
      <w:r>
        <w:rPr>
          <w:rFonts w:ascii="Arial" w:cs="Arial" w:eastAsia="Arial" w:hAnsi="Arial"/>
          <w:sz w:val="18"/>
          <w:szCs w:val="18"/>
          <w:color w:val="auto"/>
        </w:rPr>
        <w:t>, of the Condensed Consolidated Financial Statements for information on recent accounting pronouncements.</w:t>
      </w:r>
    </w:p>
    <w:p>
      <w:pPr>
        <w:spacing w:after="0" w:line="25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 The Company had open spot foreign exchange contracts for Mexico and Guatemala amounting to approximately $5.4 million and $48.6 million at March 31, 2022 and December 31, 2021, respectively.</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included in wire transfer and money orders payable, net in our condensed consolidated balance sheets as of March 31, 2022 and December 31, 2021, there are $17.6 million and $17.8 million, respectively, of wires payable denominated in foreign currencies, primarily Mexican pesos and Guatemalan quetzales.</w:t>
      </w:r>
    </w:p>
    <w:p>
      <w:pPr>
        <w:spacing w:after="0" w:line="21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Also, included in prepaid wires, net in our condensed consolidated balance sheets as of March 31, 2022 and December 31, 2021, there are $2.1 million and $39.7 million, respectively, of prepaid wires denominated in foreign currencies, primarily Mexican pesos and Guatemalan quetzales.</w:t>
      </w:r>
    </w:p>
    <w:p>
      <w:pPr>
        <w:spacing w:after="0" w:line="17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three months ended March 31, 2022. Therefore, a 10% increase or decrease in these currency rates against the U.S. Dollar would result in a de minimis change to our overall operating results.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spot and average exchange rates for Mexico, Guatemala and Canada currencies to U.S. dollar are as follows:</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2"/>
          </w:tcPr>
          <w:p>
            <w:pPr>
              <w:jc w:val="right"/>
              <w:ind w:right="830"/>
              <w:spacing w:after="0"/>
              <w:rPr>
                <w:sz w:val="20"/>
                <w:szCs w:val="20"/>
                <w:color w:val="auto"/>
              </w:rPr>
            </w:pPr>
            <w:r>
              <w:rPr>
                <w:rFonts w:ascii="Arial" w:cs="Arial" w:eastAsia="Arial" w:hAnsi="Arial"/>
                <w:sz w:val="18"/>
                <w:szCs w:val="18"/>
                <w:b w:val="1"/>
                <w:bCs w:val="1"/>
                <w:color w:val="auto"/>
                <w:w w:val="94"/>
              </w:rPr>
              <w:t>2022</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w w:val="94"/>
              </w:rPr>
              <w:t>2021</w:t>
            </w:r>
          </w:p>
        </w:tc>
      </w:tr>
      <w:tr>
        <w:trPr>
          <w:trHeight w:val="245"/>
        </w:trPr>
        <w:tc>
          <w:tcPr>
            <w:tcW w:w="3940" w:type="dxa"/>
            <w:vAlign w:val="bottom"/>
          </w:tcPr>
          <w:p>
            <w:pPr>
              <w:spacing w:after="0"/>
              <w:rPr>
                <w:sz w:val="21"/>
                <w:szCs w:val="21"/>
                <w:color w:val="auto"/>
              </w:rPr>
            </w:pPr>
          </w:p>
        </w:tc>
        <w:tc>
          <w:tcPr>
            <w:tcW w:w="1200" w:type="dxa"/>
            <w:vAlign w:val="bottom"/>
          </w:tcPr>
          <w:p>
            <w:pPr>
              <w:jc w:val="right"/>
              <w:ind w:right="9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20" w:type="dxa"/>
            <w:vAlign w:val="bottom"/>
          </w:tcPr>
          <w:p>
            <w:pPr>
              <w:spacing w:after="0"/>
              <w:rPr>
                <w:sz w:val="21"/>
                <w:szCs w:val="21"/>
                <w:color w:val="auto"/>
              </w:rPr>
            </w:pPr>
          </w:p>
        </w:tc>
        <w:tc>
          <w:tcPr>
            <w:tcW w:w="1460" w:type="dxa"/>
            <w:vAlign w:val="bottom"/>
            <w:gridSpan w:val="2"/>
          </w:tcPr>
          <w:p>
            <w:pPr>
              <w:ind w:left="380"/>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c>
          <w:tcPr>
            <w:tcW w:w="1200" w:type="dxa"/>
            <w:vAlign w:val="bottom"/>
          </w:tcPr>
          <w:p>
            <w:pPr>
              <w:jc w:val="right"/>
              <w:ind w:right="11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00" w:type="dxa"/>
            <w:vAlign w:val="bottom"/>
          </w:tcPr>
          <w:p>
            <w:pPr>
              <w:spacing w:after="0"/>
              <w:rPr>
                <w:sz w:val="21"/>
                <w:szCs w:val="21"/>
                <w:color w:val="auto"/>
              </w:rPr>
            </w:pPr>
          </w:p>
        </w:tc>
        <w:tc>
          <w:tcPr>
            <w:tcW w:w="1200" w:type="dxa"/>
            <w:vAlign w:val="bottom"/>
          </w:tcPr>
          <w:p>
            <w:pPr>
              <w:jc w:val="right"/>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r>
      <w:tr>
        <w:trPr>
          <w:trHeight w:val="230"/>
        </w:trPr>
        <w:tc>
          <w:tcPr>
            <w:tcW w:w="3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 dollar/Mexico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229"/>
        </w:trPr>
        <w:tc>
          <w:tcPr>
            <w:tcW w:w="3940" w:type="dxa"/>
            <w:vAlign w:val="bottom"/>
          </w:tcPr>
          <w:p>
            <w:pPr>
              <w:ind w:left="340"/>
              <w:spacing w:after="0"/>
              <w:rPr>
                <w:sz w:val="20"/>
                <w:szCs w:val="20"/>
                <w:color w:val="auto"/>
              </w:rPr>
            </w:pPr>
            <w:r>
              <w:rPr>
                <w:rFonts w:ascii="Arial" w:cs="Arial" w:eastAsia="Arial" w:hAnsi="Arial"/>
                <w:sz w:val="18"/>
                <w:szCs w:val="18"/>
                <w:color w:val="auto"/>
              </w:rPr>
              <w:t>U.S. dollar/Guatemala Quetzal</w:t>
            </w:r>
          </w:p>
        </w:tc>
        <w:tc>
          <w:tcPr>
            <w:tcW w:w="1200" w:type="dxa"/>
            <w:vAlign w:val="bottom"/>
          </w:tcPr>
          <w:p>
            <w:pPr>
              <w:jc w:val="right"/>
              <w:spacing w:after="0"/>
              <w:rPr>
                <w:sz w:val="20"/>
                <w:szCs w:val="20"/>
                <w:color w:val="auto"/>
              </w:rPr>
            </w:pPr>
            <w:r>
              <w:rPr>
                <w:rFonts w:ascii="Arial" w:cs="Arial" w:eastAsia="Arial" w:hAnsi="Arial"/>
                <w:sz w:val="18"/>
                <w:szCs w:val="18"/>
                <w:color w:val="auto"/>
              </w:rPr>
              <w:t>7.67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7.74</w:t>
            </w:r>
          </w:p>
        </w:tc>
      </w:tr>
      <w:tr>
        <w:trPr>
          <w:trHeight w:val="230"/>
        </w:trPr>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bl>
    <w:p>
      <w:pPr>
        <w:spacing w:after="0" w:line="46"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Spot exchange rates are as of March 31, 2022 and December 31, 2021.</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Average exchange rates are for the three months ended March 31, 2022 and 2021.</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sustained appreciation of the Mexican peso or Guatemalan quetzal as compared to the U.S. dollar could affect our profit margins.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Interest on the term loan facility and revolving credit facility under the A&amp;R Credit Agreement is determined by reference to either LIBOR (subject to replacement) or a “base rate”, in each case plus an applicable margin ranging between 2.50% and 3.00% per annum for LIBOR loans and between 1.50% and 2.00% per annum for base rate loans depending on the level of our consolidated leverage ratio.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 The A&amp;R Credit Agreement contains provisions for the replacement of the benchmark for interest rates in light of the cessation of the publication of LIBOR rates.</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2022, we had $84.2 million in outstanding borrowings under the term loan and revolving credit facility. A hypothetical 1% increase or decrease in the interest rate on our indebtedness as of March 31, 2022 would have increased or decreased cash interest expense on our term loan facility by approximately $0.8 million per annum.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certain cash balances in various U.S. banks, which at times, may exceed federally insured limits. We have not incurred any losses on these accounts. In addition, we maintain various bank accounts in Mexico, Guatemala and Canada, which are not insured. During the three months ended March 31, 2022, we have not incurred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March 31, 2022, we also had $1.9 million outstanding of agent advances receivable from sending agents. Most of the agent advances receivable are collateralized by personal guarantees from the sending agents and by assets from their businesses. Due to the COVID-19 pandemic as well as other factors, it is possible we could be adversely affected by credit losses, such as those related to our outstanding agent advances receivable from sending agents. At the date of this report, however, we are not aware of any significant exposure and we continue monitoring our credit risk.</w:t>
      </w:r>
    </w:p>
    <w:p>
      <w:pPr>
        <w:spacing w:after="0" w:line="2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provision for credit losses was approximately $0.4 million for the three months ended March 31, 2022 (0.4% of total revenues) and $0.2 million for the three months ended March 31, 2021 (0.2% of total revenues). The increase in our provision for credit losses in the three months ended March 31, 2022 is due to higher write-offs of accounts receivable in 2022 compared to 2021 primarily as a result of sending agents that were not able to pay in accordance with the original terms and are, accordingly, subject to our normal collection procedures.</w:t>
      </w: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required by Rules 13a-15(b) and 15d-15(b) under the Exchange Act, our Chief Executive Officer and President, and Chief Financial Officer, carried out an evaluation of the effectiveness of our disclosure controls and procedures as of March 31, 2022.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March 31, 2022.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 is made to Note 15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2021 (the “2021 Form 10-K”). Prospective investors are encouraged to consider the risks described in our 2021 Form 10-K, our Management’s Discussion and Analysis of Financial Condition and Results of Operations contained in this Quarterly Report on Form 10-Q and in our 2021 Form 10-K, and other information publicly disclosed or contained in documents we file with the Securities and Exchange Commission before purchasing our securities.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repurchases of our common stock during the quarter ended March 31,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23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Approximate Dollar Value of</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3"/>
              </w:rPr>
              <w:t>Average Price Paid</w:t>
            </w: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1"/>
              </w:rPr>
              <w:t>Shares that May Yet be</w:t>
            </w:r>
          </w:p>
        </w:tc>
        <w:tc>
          <w:tcPr>
            <w:tcW w:w="0" w:type="dxa"/>
            <w:vAlign w:val="bottom"/>
          </w:tcPr>
          <w:p>
            <w:pPr>
              <w:spacing w:after="0"/>
              <w:rPr>
                <w:sz w:val="1"/>
                <w:szCs w:val="1"/>
                <w:color w:val="auto"/>
              </w:rPr>
            </w:pPr>
          </w:p>
        </w:tc>
      </w:tr>
      <w:tr>
        <w:trPr>
          <w:trHeight w:val="175"/>
        </w:trPr>
        <w:tc>
          <w:tcPr>
            <w:tcW w:w="30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15"/>
                <w:szCs w:val="15"/>
                <w:color w:val="auto"/>
              </w:rPr>
            </w:pPr>
          </w:p>
        </w:tc>
        <w:tc>
          <w:tcPr>
            <w:tcW w:w="1700" w:type="dxa"/>
            <w:vAlign w:val="bottom"/>
            <w:gridSpan w:val="3"/>
            <w:vMerge w:val="continue"/>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4"/>
              </w:rPr>
              <w:t>Program</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37"/>
        </w:trPr>
        <w:tc>
          <w:tcPr>
            <w:tcW w:w="3020" w:type="dxa"/>
            <w:vAlign w:val="bottom"/>
            <w:gridSpan w:val="2"/>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 Share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Program</w:t>
            </w:r>
          </w:p>
        </w:tc>
        <w:tc>
          <w:tcPr>
            <w:tcW w:w="0" w:type="dxa"/>
            <w:vAlign w:val="bottom"/>
          </w:tcPr>
          <w:p>
            <w:pPr>
              <w:spacing w:after="0"/>
              <w:rPr>
                <w:sz w:val="1"/>
                <w:szCs w:val="1"/>
                <w:color w:val="auto"/>
              </w:rPr>
            </w:pPr>
          </w:p>
        </w:tc>
      </w:tr>
      <w:tr>
        <w:trPr>
          <w:trHeight w:val="230"/>
        </w:trPr>
        <w:tc>
          <w:tcPr>
            <w:tcW w:w="2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through January 31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32,934,358</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February 1 through February 28</w:t>
            </w:r>
          </w:p>
        </w:tc>
        <w:tc>
          <w:tcPr>
            <w:tcW w:w="1980" w:type="dxa"/>
            <w:vAlign w:val="bottom"/>
          </w:tcPr>
          <w:p>
            <w:pPr>
              <w:jc w:val="right"/>
              <w:spacing w:after="0"/>
              <w:rPr>
                <w:sz w:val="20"/>
                <w:szCs w:val="20"/>
                <w:color w:val="auto"/>
              </w:rPr>
            </w:pPr>
            <w:r>
              <w:rPr>
                <w:rFonts w:ascii="Arial" w:cs="Arial" w:eastAsia="Arial" w:hAnsi="Arial"/>
                <w:sz w:val="18"/>
                <w:szCs w:val="18"/>
                <w:color w:val="auto"/>
              </w:rPr>
              <w:t>89,949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89,739</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31,509,500</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1 through March 31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58,853</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30,805,733</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241,815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660" w:hanging="328"/>
        <w:spacing w:after="0" w:line="255" w:lineRule="auto"/>
        <w:tabs>
          <w:tab w:leader="none" w:pos="65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89,739 and 41,636 shares purchased in February and March 2022, respectively, under the Repurchase Program, and 210 and 17,217 shares withheld for income tax purposes, in February and March 2022, respectively, in connection with shares issued under compensation and benefit programs.</w:t>
      </w:r>
    </w:p>
    <w:p>
      <w:pPr>
        <w:spacing w:after="0" w:line="2" w:lineRule="exact"/>
        <w:rPr>
          <w:rFonts w:ascii="Arial" w:cs="Arial" w:eastAsia="Arial" w:hAnsi="Arial"/>
          <w:sz w:val="18"/>
          <w:szCs w:val="18"/>
          <w:color w:val="auto"/>
        </w:rPr>
      </w:pPr>
    </w:p>
    <w:p>
      <w:pPr>
        <w:jc w:val="both"/>
        <w:ind w:left="660" w:hanging="328"/>
        <w:spacing w:after="0" w:line="255"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August 18, 2021, the Company’s Board of Directors approved a stock repurchase program (the “Repurchase Program”) that authorizes the Company to purchase up to $40.0 million of outstanding shares of the Company’s common stock. The Repurchase Program does not have an expiration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2"/>
          </w:tcPr>
          <w:p>
            <w:pPr>
              <w:ind w:left="220"/>
              <w:spacing w:after="0"/>
              <w:rPr>
                <w:sz w:val="20"/>
                <w:szCs w:val="20"/>
                <w:color w:val="auto"/>
              </w:rPr>
            </w:pPr>
            <w:r>
              <w:rPr>
                <w:rFonts w:ascii="Arial" w:cs="Arial" w:eastAsia="Arial" w:hAnsi="Arial"/>
                <w:sz w:val="18"/>
                <w:szCs w:val="18"/>
                <w:b w:val="1"/>
                <w:bCs w:val="1"/>
                <w:color w:val="auto"/>
              </w:rPr>
              <w:t>Document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780" w:type="dxa"/>
            <w:vAlign w:val="bottom"/>
          </w:tcPr>
          <w:p>
            <w:pPr>
              <w:spacing w:after="0"/>
              <w:rPr>
                <w:sz w:val="22"/>
                <w:szCs w:val="22"/>
                <w:color w:val="auto"/>
              </w:rPr>
            </w:pPr>
          </w:p>
        </w:tc>
        <w:tc>
          <w:tcPr>
            <w:tcW w:w="8760" w:type="dxa"/>
            <w:vAlign w:val="bottom"/>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Executive Officer</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gridSpan w:val="2"/>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pursuant to Section 302 of the Sarbanes-Oxley Act - Chief Financial Officer</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gridSpan w:val="2"/>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Executive Officer pursuant to 18 U.S.C. § 1350.</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gridSpan w:val="2"/>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136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Certification of Chief Financial Officer pursuant to 18 U.S.C. § 1350.</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1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101.INS</w:t>
            </w:r>
          </w:p>
        </w:tc>
        <w:tc>
          <w:tcPr>
            <w:tcW w:w="8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w:t>
            </w: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100" w:type="dxa"/>
            <w:vAlign w:val="bottom"/>
            <w:gridSpan w:val="3"/>
            <w:vMerge w:val="continue"/>
            <w:shd w:val="clear" w:color="auto" w:fill="CCEEFF"/>
          </w:tcPr>
          <w:p>
            <w:pPr>
              <w:spacing w:after="0"/>
              <w:rPr>
                <w:sz w:val="11"/>
                <w:szCs w:val="11"/>
                <w:color w:val="auto"/>
              </w:rPr>
            </w:pPr>
          </w:p>
        </w:tc>
        <w:tc>
          <w:tcPr>
            <w:tcW w:w="8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XBRL tags are embedded within the Inline XBRL document.</w:t>
            </w: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760" w:type="dxa"/>
            <w:vAlign w:val="bottom"/>
            <w:vMerge w:val="continue"/>
            <w:shd w:val="clear" w:color="auto" w:fill="CCEEFF"/>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Schema</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Calculation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Definition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Label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136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Taxonomy Extension Presentation Linkbase</w:t>
            </w: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120" w:type="dxa"/>
            <w:vAlign w:val="bottom"/>
            <w:gridSpan w:val="4"/>
            <w:vMerge w:val="restart"/>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The cover page from the Company’s Quarterly Report on Form 10-Q for the quarter ended March 31, 2022, formatted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120" w:type="dxa"/>
            <w:vAlign w:val="bottom"/>
            <w:gridSpan w:val="4"/>
            <w:vMerge w:val="continue"/>
            <w:shd w:val="clear" w:color="auto" w:fill="CCEEFF"/>
          </w:tcPr>
          <w:p>
            <w:pPr>
              <w:spacing w:after="0"/>
              <w:rPr>
                <w:sz w:val="10"/>
                <w:szCs w:val="10"/>
                <w:color w:val="auto"/>
              </w:rPr>
            </w:pPr>
          </w:p>
        </w:tc>
        <w:tc>
          <w:tcPr>
            <w:tcW w:w="876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in Inline XBRL (included with the Exhibit 101 attachments).</w:t>
            </w: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760" w:type="dxa"/>
            <w:vAlign w:val="bottom"/>
            <w:vMerge w:val="continue"/>
            <w:shd w:val="clear" w:color="auto" w:fill="CCEEFF"/>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2"/>
        </w:trPr>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980" w:type="dxa"/>
            <w:vAlign w:val="bottom"/>
            <w:gridSpan w:val="4"/>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900" w:type="dxa"/>
            <w:vAlign w:val="bottom"/>
            <w:gridSpan w:val="3"/>
          </w:tcPr>
          <w:p>
            <w:pPr>
              <w:ind w:left="2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ind w:left="4740"/>
              <w:spacing w:after="0"/>
              <w:rPr>
                <w:sz w:val="20"/>
                <w:szCs w:val="20"/>
                <w:color w:val="auto"/>
              </w:rPr>
            </w:pPr>
            <w:r>
              <w:rPr>
                <w:rFonts w:ascii="Arial" w:cs="Arial" w:eastAsia="Arial" w:hAnsi="Arial"/>
                <w:sz w:val="18"/>
                <w:szCs w:val="18"/>
                <w:color w:val="auto"/>
              </w:rPr>
              <w:t>39</w:t>
            </w: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7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1">
        <w:r>
          <w:rPr>
            <w:rFonts w:ascii="Arial" w:cs="Arial" w:eastAsia="Arial" w:hAnsi="Arial"/>
            <w:sz w:val="18"/>
            <w:szCs w:val="18"/>
            <w:i w:val="1"/>
            <w:iCs w:val="1"/>
            <w:u w:val="single" w:color="auto"/>
            <w:color w:val="0000FF"/>
          </w:rPr>
          <w:t>Index</w:t>
        </w:r>
      </w:hyperlink>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Robert Lisy</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2360" w:val="left"/>
          <w:tab w:leader="none" w:pos="2780" w:val="left"/>
        </w:tabs>
        <w:rPr>
          <w:sz w:val="20"/>
          <w:szCs w:val="20"/>
          <w:color w:val="auto"/>
        </w:rPr>
      </w:pPr>
      <w:r>
        <w:rPr>
          <w:rFonts w:ascii="Arial" w:cs="Arial" w:eastAsia="Arial" w:hAnsi="Arial"/>
          <w:sz w:val="18"/>
          <w:szCs w:val="18"/>
          <w:color w:val="auto"/>
        </w:rPr>
        <w:t>Date: May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6314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Andras Bende</w:t>
      </w:r>
    </w:p>
    <w:p>
      <w:pPr>
        <w:spacing w:after="0" w:line="2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25" w:right="37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19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198" w:lineRule="exact"/>
        <w:rPr>
          <w:rFonts w:ascii="Arial" w:cs="Arial" w:eastAsia="Arial" w:hAnsi="Arial"/>
          <w:sz w:val="18"/>
          <w:szCs w:val="18"/>
          <w:color w:val="auto"/>
        </w:rPr>
      </w:pPr>
    </w:p>
    <w:p>
      <w:pPr>
        <w:jc w:val="both"/>
        <w:ind w:left="660" w:hanging="652"/>
        <w:spacing w:after="0" w:line="29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34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95" w:lineRule="auto"/>
        <w:tabs>
          <w:tab w:leader="none" w:pos="129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95"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644"/>
        <w:spacing w:after="0" w:line="377" w:lineRule="auto"/>
        <w:tabs>
          <w:tab w:leader="none" w:pos="129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95"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4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41" w:lineRule="auto"/>
        <w:tabs>
          <w:tab w:leader="none" w:pos="129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4, 2022</w:t>
      </w:r>
    </w:p>
    <w:p>
      <w:pPr>
        <w:spacing w:after="0" w:line="23" w:lineRule="exact"/>
        <w:rPr>
          <w:sz w:val="20"/>
          <w:szCs w:val="20"/>
          <w:color w:val="auto"/>
        </w:rPr>
      </w:pPr>
    </w:p>
    <w:tbl>
      <w:tblPr>
        <w:tblLayout w:type="fixed"/>
        <w:tblInd w:w="5460" w:type="dxa"/>
        <w:tblCellMar>
          <w:top w:w="0" w:type="dxa"/>
          <w:left w:w="0" w:type="dxa"/>
          <w:bottom w:w="0" w:type="dxa"/>
          <w:right w:w="0" w:type="dxa"/>
        </w:tblCellMar>
      </w:tblPr>
      <w:tr>
        <w:trPr>
          <w:trHeight w:val="236"/>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Lisy</w:t>
            </w:r>
          </w:p>
        </w:tc>
      </w:t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660" w:type="dxa"/>
            <w:vAlign w:val="bottom"/>
          </w:tcPr>
          <w:p>
            <w:pPr>
              <w:ind w:left="20"/>
              <w:spacing w:after="0"/>
              <w:rPr>
                <w:sz w:val="20"/>
                <w:szCs w:val="20"/>
                <w:color w:val="auto"/>
              </w:rPr>
            </w:pPr>
            <w:r>
              <w:rPr>
                <w:rFonts w:ascii="Arial" w:cs="Arial" w:eastAsia="Arial" w:hAnsi="Arial"/>
                <w:sz w:val="18"/>
                <w:szCs w:val="18"/>
                <w:color w:val="auto"/>
              </w:rPr>
              <w:t>Robert Lisy</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80" w:type="dxa"/>
            <w:vAlign w:val="bottom"/>
          </w:tcPr>
          <w:p>
            <w:pPr>
              <w:spacing w:after="0"/>
              <w:rPr>
                <w:sz w:val="20"/>
                <w:szCs w:val="20"/>
                <w:color w:val="auto"/>
              </w:rPr>
            </w:pPr>
          </w:p>
        </w:tc>
        <w:tc>
          <w:tcPr>
            <w:tcW w:w="36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20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Andras Bende, certify that:</w:t>
      </w:r>
    </w:p>
    <w:p>
      <w:pPr>
        <w:spacing w:after="0" w:line="19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International Money Express, Inc.;</w:t>
      </w:r>
    </w:p>
    <w:p>
      <w:pPr>
        <w:spacing w:after="0" w:line="198" w:lineRule="exact"/>
        <w:rPr>
          <w:rFonts w:ascii="Arial" w:cs="Arial" w:eastAsia="Arial" w:hAnsi="Arial"/>
          <w:sz w:val="18"/>
          <w:szCs w:val="18"/>
          <w:color w:val="auto"/>
        </w:rPr>
      </w:pPr>
    </w:p>
    <w:p>
      <w:pPr>
        <w:jc w:val="both"/>
        <w:ind w:left="660" w:hanging="652"/>
        <w:spacing w:after="0" w:line="29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652"/>
        <w:spacing w:after="0" w:line="34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9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644"/>
        <w:spacing w:after="0" w:line="295"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644"/>
        <w:spacing w:after="0" w:line="295"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644"/>
        <w:spacing w:after="0" w:line="377"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95"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652"/>
        <w:spacing w:after="0" w:line="34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644"/>
        <w:spacing w:after="0" w:line="341" w:lineRule="auto"/>
        <w:tabs>
          <w:tab w:leader="none" w:pos="129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4, 2022</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23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Andras Bende</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ind w:left="20"/>
              <w:spacing w:after="0"/>
              <w:rPr>
                <w:sz w:val="20"/>
                <w:szCs w:val="20"/>
                <w:color w:val="auto"/>
              </w:rPr>
            </w:pPr>
            <w:r>
              <w:rPr>
                <w:rFonts w:ascii="Arial" w:cs="Arial" w:eastAsia="Arial" w:hAnsi="Arial"/>
                <w:sz w:val="18"/>
                <w:szCs w:val="18"/>
                <w:color w:val="auto"/>
              </w:rPr>
              <w:t>Andras Bende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20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certify, pursuant to 18 U.S.C. Section 1350, that, to my knowledge:</w:t>
      </w:r>
    </w:p>
    <w:p>
      <w:pPr>
        <w:spacing w:after="0" w:line="171" w:lineRule="exact"/>
        <w:rPr>
          <w:sz w:val="20"/>
          <w:szCs w:val="20"/>
          <w:color w:val="auto"/>
        </w:rPr>
      </w:pPr>
    </w:p>
    <w:p>
      <w:pPr>
        <w:ind w:left="660" w:right="20" w:hanging="652"/>
        <w:spacing w:after="0" w:line="30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4, 2022</w:t>
      </w:r>
    </w:p>
    <w:p>
      <w:pPr>
        <w:spacing w:after="0" w:line="239" w:lineRule="exact"/>
        <w:rPr>
          <w:sz w:val="20"/>
          <w:szCs w:val="20"/>
          <w:color w:val="auto"/>
        </w:rPr>
      </w:pPr>
    </w:p>
    <w:tbl>
      <w:tblPr>
        <w:tblLayout w:type="fixed"/>
        <w:tblInd w:w="564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Lisy</w:t>
            </w:r>
          </w:p>
        </w:tc>
      </w:t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Robert Lisy</w:t>
            </w:r>
          </w:p>
        </w:tc>
      </w:tr>
      <w:tr>
        <w:trPr>
          <w:trHeight w:val="229"/>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20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I, Andras Bende, Chief Financial Officer of International Money Express, Inc. (the “Company”), certify, pursuant to 18 U.S.C. Section 1350, that, to my knowledge:</w:t>
      </w:r>
    </w:p>
    <w:p>
      <w:pPr>
        <w:spacing w:after="0" w:line="171" w:lineRule="exact"/>
        <w:rPr>
          <w:sz w:val="20"/>
          <w:szCs w:val="20"/>
          <w:color w:val="auto"/>
        </w:rPr>
      </w:pPr>
    </w:p>
    <w:p>
      <w:pPr>
        <w:ind w:left="660" w:right="20" w:hanging="652"/>
        <w:spacing w:after="0" w:line="30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2022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4, 2022</w:t>
      </w:r>
    </w:p>
    <w:p>
      <w:pPr>
        <w:spacing w:after="0" w:line="279" w:lineRule="exact"/>
        <w:rPr>
          <w:sz w:val="20"/>
          <w:szCs w:val="20"/>
          <w:color w:val="auto"/>
        </w:rPr>
      </w:pPr>
    </w:p>
    <w:tbl>
      <w:tblPr>
        <w:tblLayout w:type="fixed"/>
        <w:tblInd w:w="558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Andras Bende</w:t>
            </w:r>
          </w:p>
        </w:tc>
      </w:tr>
      <w:tr>
        <w:trPr>
          <w:trHeight w:val="229"/>
        </w:trPr>
        <w:tc>
          <w:tcPr>
            <w:tcW w:w="70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Andras Bende</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2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2022-05-04T15:17:08Z</dcterms:created>
  <dcterms:modified xsi:type="dcterms:W3CDTF">2022-05-04T15:17:08Z</dcterms:modified>
</cp:coreProperties>
</file>