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840" w:type="dxa"/>
            <w:vAlign w:val="bottom"/>
            <w:gridSpan w:val="3"/>
          </w:tcPr>
          <w:p>
            <w:pPr>
              <w:ind w:left="480"/>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45"/>
        </w:trPr>
        <w:tc>
          <w:tcPr>
            <w:tcW w:w="3420" w:type="dxa"/>
            <w:vAlign w:val="bottom"/>
          </w:tcPr>
          <w:p>
            <w:pPr>
              <w:spacing w:after="0"/>
              <w:rPr>
                <w:sz w:val="24"/>
                <w:szCs w:val="24"/>
                <w:color w:val="auto"/>
              </w:rPr>
            </w:pPr>
          </w:p>
        </w:tc>
        <w:tc>
          <w:tcPr>
            <w:tcW w:w="3700" w:type="dxa"/>
            <w:vAlign w:val="bottom"/>
            <w:gridSpan w:val="4"/>
          </w:tcPr>
          <w:p>
            <w:pPr>
              <w:jc w:val="center"/>
              <w:ind w:left="630"/>
              <w:spacing w:after="0"/>
              <w:rPr>
                <w:sz w:val="20"/>
                <w:szCs w:val="20"/>
                <w:color w:val="auto"/>
              </w:rPr>
            </w:pPr>
            <w:r>
              <w:rPr>
                <w:rFonts w:ascii="Arial" w:cs="Arial" w:eastAsia="Arial" w:hAnsi="Arial"/>
                <w:sz w:val="18"/>
                <w:szCs w:val="18"/>
                <w:b w:val="1"/>
                <w:bCs w:val="1"/>
                <w:color w:val="auto"/>
                <w:w w:val="89"/>
              </w:rPr>
              <w:t>Commission File No. 001-37986</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240" w:type="dxa"/>
            <w:vAlign w:val="bottom"/>
            <w:gridSpan w:val="6"/>
          </w:tcPr>
          <w:p>
            <w:pPr>
              <w:jc w:val="center"/>
              <w:spacing w:after="0"/>
              <w:rPr>
                <w:sz w:val="20"/>
                <w:szCs w:val="20"/>
                <w:color w:val="auto"/>
              </w:rPr>
            </w:pPr>
            <w:r>
              <w:rPr>
                <w:rFonts w:ascii="Arial" w:cs="Arial" w:eastAsia="Arial" w:hAnsi="Arial"/>
                <w:sz w:val="29"/>
                <w:szCs w:val="29"/>
                <w:b w:val="1"/>
                <w:bCs w:val="1"/>
                <w:color w:val="auto"/>
              </w:rPr>
              <w:t>INTERNATIONAL MONEY EXPRESS, INC.</w:t>
            </w:r>
          </w:p>
        </w:tc>
        <w:tc>
          <w:tcPr>
            <w:tcW w:w="0" w:type="dxa"/>
            <w:vAlign w:val="bottom"/>
          </w:tcPr>
          <w:p>
            <w:pPr>
              <w:spacing w:after="0"/>
              <w:rPr>
                <w:sz w:val="1"/>
                <w:szCs w:val="1"/>
                <w:color w:val="auto"/>
              </w:rPr>
            </w:pPr>
          </w:p>
        </w:tc>
      </w:tr>
      <w:tr>
        <w:trPr>
          <w:trHeight w:val="29"/>
        </w:trPr>
        <w:tc>
          <w:tcPr>
            <w:tcW w:w="3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7820" w:type="dxa"/>
            <w:vAlign w:val="bottom"/>
            <w:gridSpan w:val="5"/>
          </w:tcPr>
          <w:p>
            <w:pPr>
              <w:jc w:val="center"/>
              <w:ind w:right="333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99"/>
        </w:trPr>
        <w:tc>
          <w:tcPr>
            <w:tcW w:w="3420" w:type="dxa"/>
            <w:vAlign w:val="bottom"/>
          </w:tcPr>
          <w:p>
            <w:pPr>
              <w:jc w:val="center"/>
              <w:ind w:left="1903"/>
              <w:spacing w:after="0"/>
              <w:rPr>
                <w:sz w:val="20"/>
                <w:szCs w:val="20"/>
                <w:color w:val="auto"/>
              </w:rPr>
            </w:pPr>
            <w:r>
              <w:rPr>
                <w:rFonts w:ascii="Arial" w:cs="Arial" w:eastAsia="Arial" w:hAnsi="Arial"/>
                <w:sz w:val="18"/>
                <w:szCs w:val="18"/>
                <w:b w:val="1"/>
                <w:bCs w:val="1"/>
                <w:color w:val="auto"/>
                <w:w w:val="93"/>
              </w:rPr>
              <w:t>Delaware</w:t>
            </w: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jc w:val="right"/>
              <w:ind w:right="2190"/>
              <w:spacing w:after="0"/>
              <w:rPr>
                <w:sz w:val="20"/>
                <w:szCs w:val="20"/>
                <w:color w:val="auto"/>
              </w:rPr>
            </w:pPr>
            <w:r>
              <w:rPr>
                <w:rFonts w:ascii="Arial" w:cs="Arial" w:eastAsia="Arial" w:hAnsi="Arial"/>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20" w:type="dxa"/>
            <w:vAlign w:val="bottom"/>
            <w:gridSpan w:val="5"/>
          </w:tcPr>
          <w:p>
            <w:pPr>
              <w:jc w:val="center"/>
              <w:ind w:right="17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20" w:type="dxa"/>
            <w:vAlign w:val="bottom"/>
          </w:tcPr>
          <w:p>
            <w:pPr>
              <w:ind w:left="10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56"/>
        </w:trPr>
        <w:tc>
          <w:tcPr>
            <w:tcW w:w="7120" w:type="dxa"/>
            <w:vAlign w:val="bottom"/>
            <w:gridSpan w:val="5"/>
          </w:tcPr>
          <w:p>
            <w:pPr>
              <w:jc w:val="center"/>
              <w:ind w:right="1700"/>
              <w:spacing w:after="0"/>
              <w:rPr>
                <w:sz w:val="20"/>
                <w:szCs w:val="20"/>
                <w:color w:val="auto"/>
              </w:rPr>
            </w:pPr>
            <w:r>
              <w:rPr>
                <w:rFonts w:ascii="Arial" w:cs="Arial" w:eastAsia="Arial" w:hAnsi="Arial"/>
                <w:sz w:val="18"/>
                <w:szCs w:val="18"/>
                <w:b w:val="1"/>
                <w:bCs w:val="1"/>
                <w:color w:val="auto"/>
                <w:w w:val="90"/>
              </w:rPr>
              <w:t>9480 South Dixie Highway</w:t>
            </w:r>
          </w:p>
        </w:tc>
        <w:tc>
          <w:tcPr>
            <w:tcW w:w="4120" w:type="dxa"/>
            <w:vAlign w:val="bottom"/>
            <w:vMerge w:val="restart"/>
          </w:tcPr>
          <w:p>
            <w:pPr>
              <w:jc w:val="right"/>
              <w:ind w:right="2390"/>
              <w:spacing w:after="0"/>
              <w:rPr>
                <w:sz w:val="20"/>
                <w:szCs w:val="20"/>
                <w:color w:val="auto"/>
              </w:rPr>
            </w:pPr>
            <w:r>
              <w:rPr>
                <w:rFonts w:ascii="Arial" w:cs="Arial" w:eastAsia="Arial" w:hAnsi="Arial"/>
                <w:sz w:val="18"/>
                <w:szCs w:val="18"/>
                <w:b w:val="1"/>
                <w:bCs w:val="1"/>
                <w:color w:val="auto"/>
              </w:rPr>
              <w:t>33156</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auto"/>
            </w:tcBorders>
          </w:tcPr>
          <w:p>
            <w:pPr>
              <w:jc w:val="center"/>
              <w:ind w:left="1903"/>
              <w:spacing w:after="0"/>
              <w:rPr>
                <w:sz w:val="20"/>
                <w:szCs w:val="20"/>
                <w:color w:val="auto"/>
              </w:rPr>
            </w:pPr>
            <w:r>
              <w:rPr>
                <w:rFonts w:ascii="Arial" w:cs="Arial" w:eastAsia="Arial" w:hAnsi="Arial"/>
                <w:sz w:val="18"/>
                <w:szCs w:val="18"/>
                <w:b w:val="1"/>
                <w:bCs w:val="1"/>
                <w:color w:val="auto"/>
                <w:w w:val="97"/>
              </w:rPr>
              <w:t>Miami, Florida</w:t>
            </w:r>
          </w:p>
        </w:tc>
        <w:tc>
          <w:tcPr>
            <w:tcW w:w="19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4120" w:type="dxa"/>
            <w:vAlign w:val="bottom"/>
          </w:tcPr>
          <w:p>
            <w:pPr>
              <w:ind w:left="102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350"/>
        </w:trPr>
        <w:tc>
          <w:tcPr>
            <w:tcW w:w="3420" w:type="dxa"/>
            <w:vAlign w:val="bottom"/>
          </w:tcPr>
          <w:p>
            <w:pPr>
              <w:spacing w:after="0"/>
              <w:rPr>
                <w:sz w:val="24"/>
                <w:szCs w:val="24"/>
                <w:color w:val="auto"/>
              </w:rPr>
            </w:pPr>
          </w:p>
        </w:tc>
        <w:tc>
          <w:tcPr>
            <w:tcW w:w="284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0"/>
              </w:rPr>
              <w:t>(305) 671-8000</w:t>
            </w: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tcPr>
          <w:p>
            <w:pPr>
              <w:spacing w:after="0"/>
              <w:rPr>
                <w:sz w:val="21"/>
                <w:szCs w:val="21"/>
                <w:color w:val="auto"/>
              </w:rPr>
            </w:pPr>
          </w:p>
        </w:tc>
        <w:tc>
          <w:tcPr>
            <w:tcW w:w="78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7820" w:type="dxa"/>
            <w:vAlign w:val="bottom"/>
            <w:gridSpan w:val="5"/>
          </w:tcPr>
          <w:p>
            <w:pPr>
              <w:jc w:val="center"/>
              <w:ind w:right="333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635"/>
        </w:trPr>
        <w:tc>
          <w:tcPr>
            <w:tcW w:w="3420" w:type="dxa"/>
            <w:vAlign w:val="bottom"/>
          </w:tcPr>
          <w:p>
            <w:pPr>
              <w:spacing w:after="0"/>
              <w:rPr>
                <w:sz w:val="24"/>
                <w:szCs w:val="24"/>
                <w:color w:val="auto"/>
              </w:rPr>
            </w:pPr>
          </w:p>
        </w:tc>
        <w:tc>
          <w:tcPr>
            <w:tcW w:w="7820" w:type="dxa"/>
            <w:vAlign w:val="bottom"/>
            <w:gridSpan w:val="5"/>
          </w:tcPr>
          <w:p>
            <w:pPr>
              <w:jc w:val="center"/>
              <w:ind w:right="33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0"/>
        </w:trPr>
        <w:tc>
          <w:tcPr>
            <w:tcW w:w="3420" w:type="dxa"/>
            <w:vAlign w:val="bottom"/>
          </w:tcPr>
          <w:p>
            <w:pPr>
              <w:jc w:val="center"/>
              <w:ind w:left="423"/>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Trading Symbol(s)</w:t>
            </w:r>
          </w:p>
        </w:tc>
        <w:tc>
          <w:tcPr>
            <w:tcW w:w="4120" w:type="dxa"/>
            <w:vAlign w:val="bottom"/>
          </w:tcPr>
          <w:p>
            <w:pPr>
              <w:ind w:left="10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420" w:type="dxa"/>
            <w:vAlign w:val="bottom"/>
          </w:tcPr>
          <w:p>
            <w:pPr>
              <w:jc w:val="center"/>
              <w:ind w:left="403"/>
              <w:spacing w:after="0"/>
              <w:rPr>
                <w:sz w:val="20"/>
                <w:szCs w:val="20"/>
                <w:color w:val="auto"/>
              </w:rPr>
            </w:pPr>
            <w:r>
              <w:rPr>
                <w:rFonts w:ascii="Arial" w:cs="Arial" w:eastAsia="Arial" w:hAnsi="Arial"/>
                <w:sz w:val="18"/>
                <w:szCs w:val="18"/>
                <w:color w:val="auto"/>
                <w:w w:val="91"/>
              </w:rPr>
              <w:t>Common stock ($0.0001 par value)</w:t>
            </w:r>
          </w:p>
        </w:tc>
        <w:tc>
          <w:tcPr>
            <w:tcW w:w="3700" w:type="dxa"/>
            <w:vAlign w:val="bottom"/>
            <w:gridSpan w:val="4"/>
          </w:tcPr>
          <w:p>
            <w:pPr>
              <w:jc w:val="center"/>
              <w:ind w:right="60"/>
              <w:spacing w:after="0"/>
              <w:rPr>
                <w:sz w:val="20"/>
                <w:szCs w:val="20"/>
                <w:color w:val="auto"/>
              </w:rPr>
            </w:pPr>
            <w:r>
              <w:rPr>
                <w:rFonts w:ascii="Arial" w:cs="Arial" w:eastAsia="Arial" w:hAnsi="Arial"/>
                <w:sz w:val="18"/>
                <w:szCs w:val="18"/>
                <w:color w:val="auto"/>
              </w:rPr>
              <w:t>IMXI</w:t>
            </w:r>
          </w:p>
        </w:tc>
        <w:tc>
          <w:tcPr>
            <w:tcW w:w="4120" w:type="dxa"/>
            <w:vAlign w:val="bottom"/>
          </w:tcPr>
          <w:p>
            <w:pPr>
              <w:ind w:left="940"/>
              <w:spacing w:after="0"/>
              <w:rPr>
                <w:sz w:val="20"/>
                <w:szCs w:val="20"/>
                <w:color w:val="auto"/>
              </w:rPr>
            </w:pPr>
            <w:r>
              <w:rPr>
                <w:rFonts w:ascii="Arial" w:cs="Arial" w:eastAsia="Arial" w:hAnsi="Arial"/>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320" w:type="dxa"/>
        <w:tblCellMar>
          <w:top w:w="0" w:type="dxa"/>
          <w:left w:w="0" w:type="dxa"/>
          <w:bottom w:w="0" w:type="dxa"/>
          <w:right w:w="0" w:type="dxa"/>
        </w:tblCellMar>
      </w:tblPr>
      <w:tr>
        <w:trPr>
          <w:trHeight w:val="283"/>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rPr>
              <w:t>Accelerated filer</w:t>
            </w:r>
          </w:p>
        </w:tc>
      </w:tr>
      <w:tr>
        <w:trPr>
          <w:trHeight w:val="378"/>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Smaller reporting company</w:t>
            </w:r>
          </w:p>
        </w:tc>
      </w:tr>
      <w:tr>
        <w:trPr>
          <w:trHeight w:val="378"/>
        </w:trPr>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Emerging growth company</w:t>
            </w:r>
          </w:p>
        </w:tc>
      </w:tr>
    </w:tbl>
    <w:p>
      <w:pPr>
        <w:spacing w:after="0" w:line="317" w:lineRule="exact"/>
        <w:rPr>
          <w:sz w:val="24"/>
          <w:szCs w:val="24"/>
          <w:color w:val="auto"/>
        </w:rPr>
      </w:pPr>
    </w:p>
    <w:p>
      <w:pPr>
        <w:ind w:right="1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As of May 4, 2021, there were 39,143,088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914" w:gutter="0" w:footer="0" w:header="0"/>
        </w:sectPr>
      </w:pPr>
    </w:p>
    <w:p>
      <w:pPr>
        <w:spacing w:after="0" w:line="224" w:lineRule="exact"/>
        <w:rPr>
          <w:sz w:val="24"/>
          <w:szCs w:val="24"/>
          <w:color w:val="auto"/>
        </w:rPr>
      </w:pPr>
    </w:p>
    <w:p>
      <w:pPr>
        <w:ind w:left="59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914"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32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7680" w:type="dxa"/>
            <w:vAlign w:val="bottom"/>
            <w:gridSpan w:val="23"/>
            <w:shd w:val="clear" w:color="auto" w:fill="CCEEFF"/>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SPECIAL NOTE REGARDING FORWARD-LOOKING STATEMENTS</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2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19"/>
                <w:szCs w:val="19"/>
                <w:color w:val="auto"/>
              </w:rPr>
            </w:pPr>
          </w:p>
        </w:tc>
        <w:tc>
          <w:tcPr>
            <w:tcW w:w="7680" w:type="dxa"/>
            <w:vAlign w:val="bottom"/>
            <w:gridSpan w:val="23"/>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Balance Sheets as of March 31, 2021 and December 31, 2020</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2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26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and Comprehensive Income for the</w:t>
              </w:r>
            </w:hyperlink>
          </w:p>
        </w:tc>
        <w:tc>
          <w:tcPr>
            <w:tcW w:w="400" w:type="dxa"/>
            <w:vAlign w:val="bottom"/>
            <w:tcBorders>
              <w:bottom w:val="single" w:sz="8" w:color="CCEEFF"/>
            </w:tcBorders>
            <w:gridSpan w:val="4"/>
            <w:shd w:val="clear" w:color="auto" w:fill="CCEEFF"/>
          </w:tcPr>
          <w:p>
            <w:pPr>
              <w:spacing w:after="0"/>
              <w:rPr>
                <w:sz w:val="16"/>
                <w:szCs w:val="16"/>
                <w:color w:val="auto"/>
              </w:rPr>
            </w:pPr>
          </w:p>
        </w:tc>
        <w:tc>
          <w:tcPr>
            <w:tcW w:w="1060" w:type="dxa"/>
            <w:vAlign w:val="bottom"/>
            <w:tcBorders>
              <w:bottom w:val="single" w:sz="8" w:color="CCEEFF"/>
            </w:tcBorders>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900" w:type="dxa"/>
            <w:vAlign w:val="bottom"/>
            <w:gridSpan w:val="18"/>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Three Months Ended March 31, 2021 and 2020</w:t>
              </w:r>
            </w:hyperlink>
          </w:p>
        </w:tc>
        <w:tc>
          <w:tcPr>
            <w:tcW w:w="2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Months</w:t>
              </w:r>
            </w:hyperlink>
          </w:p>
        </w:tc>
        <w:tc>
          <w:tcPr>
            <w:tcW w:w="6660" w:type="dxa"/>
            <w:vAlign w:val="bottom"/>
            <w:gridSpan w:val="21"/>
            <w:shd w:val="clear" w:color="auto" w:fill="CCEEFF"/>
          </w:tcPr>
          <w:p>
            <w:pPr>
              <w:spacing w:after="0" w:line="189"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Condensed Consolidated Statements of Changes in Stockholders’ Equity for the Three</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176"/>
        </w:trPr>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vMerge w:val="continue"/>
            <w:shd w:val="clear" w:color="auto" w:fill="CCEEFF"/>
          </w:tcPr>
          <w:p>
            <w:pPr>
              <w:spacing w:after="0"/>
              <w:rPr>
                <w:sz w:val="15"/>
                <w:szCs w:val="15"/>
                <w:color w:val="auto"/>
              </w:rPr>
            </w:pPr>
          </w:p>
        </w:tc>
        <w:tc>
          <w:tcPr>
            <w:tcW w:w="624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Ended March 31, 2021 and 2020</w:t>
              </w:r>
            </w:hyperlink>
          </w:p>
        </w:tc>
        <w:tc>
          <w:tcPr>
            <w:tcW w:w="220" w:type="dxa"/>
            <w:vAlign w:val="bottom"/>
            <w:tcBorders>
              <w:top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spacing w:after="0"/>
              <w:rPr>
                <w:rFonts w:ascii="Arial" w:cs="Arial" w:eastAsia="Arial" w:hAnsi="Arial"/>
                <w:sz w:val="18"/>
                <w:szCs w:val="18"/>
                <w:color w:val="0000FF"/>
                <w:w w:val="82"/>
              </w:rPr>
            </w:pPr>
            <w:hyperlink w:anchor="page6">
              <w:r>
                <w:rPr>
                  <w:rFonts w:ascii="Arial" w:cs="Arial" w:eastAsia="Arial" w:hAnsi="Arial"/>
                  <w:sz w:val="18"/>
                  <w:szCs w:val="18"/>
                  <w:color w:val="0000FF"/>
                  <w:w w:val="82"/>
                </w:rPr>
                <w:t>2021 and</w:t>
              </w:r>
            </w:hyperlink>
          </w:p>
        </w:tc>
        <w:tc>
          <w:tcPr>
            <w:tcW w:w="6660" w:type="dxa"/>
            <w:vAlign w:val="bottom"/>
            <w:gridSpan w:val="21"/>
            <w:shd w:val="clear" w:color="auto" w:fill="CCEEFF"/>
          </w:tcPr>
          <w:p>
            <w:pPr>
              <w:spacing w:after="0" w:line="18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Cash Flows for the Three Months Ended March 31,</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176"/>
        </w:trPr>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vMerge w:val="continue"/>
            <w:shd w:val="clear" w:color="auto" w:fill="CCEEFF"/>
          </w:tcPr>
          <w:p>
            <w:pPr>
              <w:spacing w:after="0"/>
              <w:rPr>
                <w:sz w:val="15"/>
                <w:szCs w:val="15"/>
                <w:color w:val="auto"/>
              </w:rPr>
            </w:pPr>
          </w:p>
        </w:tc>
        <w:tc>
          <w:tcPr>
            <w:tcW w:w="600" w:type="dxa"/>
            <w:vAlign w:val="bottom"/>
            <w:tcBorders>
              <w:top w:val="single" w:sz="8" w:color="0000FF"/>
            </w:tcBorders>
            <w:gridSpan w:val="3"/>
            <w:shd w:val="clear" w:color="auto" w:fill="CCEEFF"/>
          </w:tcPr>
          <w:p>
            <w:pPr>
              <w:ind w:left="60"/>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2020</w:t>
              </w:r>
            </w:hyperlink>
          </w:p>
        </w:tc>
        <w:tc>
          <w:tcPr>
            <w:tcW w:w="32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560" w:type="dxa"/>
            <w:vAlign w:val="bottom"/>
            <w:tcBorders>
              <w:top w:val="single" w:sz="8" w:color="0000FF"/>
            </w:tcBorders>
            <w:gridSpan w:val="2"/>
            <w:shd w:val="clear" w:color="auto" w:fill="CCEEFF"/>
          </w:tcPr>
          <w:p>
            <w:pPr>
              <w:spacing w:after="0"/>
              <w:rPr>
                <w:sz w:val="15"/>
                <w:szCs w:val="15"/>
                <w:color w:val="auto"/>
              </w:rPr>
            </w:pPr>
          </w:p>
        </w:tc>
        <w:tc>
          <w:tcPr>
            <w:tcW w:w="1660" w:type="dxa"/>
            <w:vAlign w:val="bottom"/>
            <w:tcBorders>
              <w:top w:val="single" w:sz="8" w:color="0000FF"/>
            </w:tcBorders>
            <w:gridSpan w:val="3"/>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100" w:type="dxa"/>
            <w:vAlign w:val="bottom"/>
            <w:tcBorders>
              <w:top w:val="single" w:sz="8" w:color="0000FF"/>
            </w:tcBorders>
            <w:gridSpan w:val="5"/>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22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w w:val="93"/>
              </w:rPr>
            </w:pPr>
            <w:hyperlink w:anchor="page19">
              <w:r>
                <w:rPr>
                  <w:rFonts w:ascii="Arial" w:cs="Arial" w:eastAsia="Arial" w:hAnsi="Arial"/>
                  <w:sz w:val="18"/>
                  <w:szCs w:val="18"/>
                  <w:color w:val="0000FF"/>
                  <w:w w:val="93"/>
                </w:rPr>
                <w:t>Management’s Discussion and Analysis of Financial Condition and Results of Operations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20</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12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16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12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rPr>
                <w:sz w:val="19"/>
                <w:szCs w:val="19"/>
                <w:color w:val="auto"/>
              </w:rPr>
            </w:pPr>
          </w:p>
        </w:tc>
        <w:tc>
          <w:tcPr>
            <w:tcW w:w="7680" w:type="dxa"/>
            <w:vAlign w:val="bottom"/>
            <w:gridSpan w:val="23"/>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1A.</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center"/>
              <w:ind w:left="550"/>
              <w:spacing w:after="0" w:line="196"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12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7680" w:type="dxa"/>
            <w:vAlign w:val="bottom"/>
            <w:gridSpan w:val="23"/>
            <w:shd w:val="clear" w:color="auto" w:fill="CCEEFF"/>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1060" w:type="dxa"/>
            <w:vAlign w:val="bottom"/>
            <w:shd w:val="clear" w:color="auto" w:fill="CCEEFF"/>
          </w:tcPr>
          <w:p>
            <w:pPr>
              <w:jc w:val="center"/>
              <w:ind w:left="550"/>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Section 27A of the Securities Act of 1933, as amended, and Section 21E of the Securities Exchange Act of 1934, as amended, which reflect our current views with respect to certain events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These statements relate to expectations concerning matters that are not historical fact and may include the words or phrases such as “would,” “will,” “should,” “expects,” “believes,” “anticipates,” “continues,” “could,” “may,” “might,” “plans,” “possible,” “potential,” “predicts,” “projects,” “forecasts,” “intends,” “assumes,” “estimates,” “approximately,” “shall,” “our planning assumptions,” “future outlook” and similar expressions, but the absence of these words does not mean that a statement is not forward-looking. Except for historical information, matters discussed in this Form 10-Q are forward-looking statements. These forward-looking statements are based largely on information currently available to our management and on our current expectations, assumptions, plans, estimates, judgments and projections about our business and our industry, as well as macroeconomic conditions,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Some factors that could cause or contribute to such differences include, but are not limited to, the following:</w:t>
      </w:r>
    </w:p>
    <w:p>
      <w:pPr>
        <w:spacing w:after="0" w:line="1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markets volatility;</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right="52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the London Inter-bank Offered Rate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38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ind w:left="660" w:right="1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76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30"/>
        </w:trPr>
        <w:tc>
          <w:tcPr>
            <w:tcW w:w="5080" w:type="dxa"/>
            <w:vAlign w:val="bottom"/>
          </w:tcPr>
          <w:p>
            <w:pPr>
              <w:ind w:left="2600"/>
              <w:spacing w:after="0"/>
              <w:rPr>
                <w:sz w:val="20"/>
                <w:szCs w:val="20"/>
                <w:color w:val="auto"/>
              </w:rPr>
            </w:pPr>
            <w:r>
              <w:rPr>
                <w:rFonts w:ascii="Arial" w:cs="Arial" w:eastAsia="Arial" w:hAnsi="Arial"/>
                <w:sz w:val="14"/>
                <w:szCs w:val="14"/>
                <w:color w:val="auto"/>
              </w:rPr>
              <w:t>ASSETS</w:t>
            </w:r>
          </w:p>
        </w:tc>
        <w:tc>
          <w:tcPr>
            <w:tcW w:w="8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780"/>
              <w:spacing w:after="0"/>
              <w:rPr>
                <w:sz w:val="20"/>
                <w:szCs w:val="20"/>
                <w:color w:val="auto"/>
              </w:rPr>
            </w:pPr>
            <w:r>
              <w:rPr>
                <w:rFonts w:ascii="Arial" w:cs="Arial" w:eastAsia="Arial" w:hAnsi="Arial"/>
                <w:sz w:val="18"/>
                <w:szCs w:val="18"/>
                <w:color w:val="auto"/>
              </w:rPr>
              <w:t>Cash</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55,087</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74,907</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Accounts receivable, net of allowance of $1,580 and</w:t>
            </w:r>
          </w:p>
        </w:tc>
        <w:tc>
          <w:tcPr>
            <w:tcW w:w="8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66,789</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55,017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$1,503, respectively</w:t>
            </w:r>
          </w:p>
        </w:tc>
        <w:tc>
          <w:tcPr>
            <w:tcW w:w="8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Prepaid wires, net</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89,127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53,281</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7"/>
        </w:trPr>
        <w:tc>
          <w:tcPr>
            <w:tcW w:w="5080" w:type="dxa"/>
            <w:vAlign w:val="bottom"/>
          </w:tcPr>
          <w:p>
            <w:pPr>
              <w:ind w:left="98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214,591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186,726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Property and equipment, net</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13,831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13,021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29"/>
        </w:trPr>
        <w:tc>
          <w:tcPr>
            <w:tcW w:w="5080" w:type="dxa"/>
            <w:vAlign w:val="bottom"/>
          </w:tcPr>
          <w:p>
            <w:pPr>
              <w:ind w:left="660"/>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19,140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9"/>
        </w:trPr>
        <w:tc>
          <w:tcPr>
            <w:tcW w:w="5080" w:type="dxa"/>
            <w:vAlign w:val="bottom"/>
          </w:tcPr>
          <w:p>
            <w:pPr>
              <w:ind w:left="98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286,803</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020"/>
              <w:spacing w:after="0"/>
              <w:rPr>
                <w:sz w:val="20"/>
                <w:szCs w:val="20"/>
                <w:color w:val="auto"/>
              </w:rPr>
            </w:pPr>
            <w:r>
              <w:rPr>
                <w:rFonts w:ascii="Arial" w:cs="Arial" w:eastAsia="Arial" w:hAnsi="Arial"/>
                <w:sz w:val="18"/>
                <w:szCs w:val="18"/>
                <w:color w:val="auto"/>
              </w:rPr>
              <w:t>LIABILITIES AND STOCKHOLDERS’ EQUITY</w:t>
            </w: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780"/>
              <w:spacing w:after="0"/>
              <w:rPr>
                <w:sz w:val="20"/>
                <w:szCs w:val="20"/>
                <w:color w:val="auto"/>
              </w:rPr>
            </w:pPr>
            <w:r>
              <w:rPr>
                <w:rFonts w:ascii="Arial" w:cs="Arial" w:eastAsia="Arial" w:hAnsi="Arial"/>
                <w:sz w:val="18"/>
                <w:szCs w:val="18"/>
                <w:color w:val="auto"/>
              </w:rPr>
              <w:t>Current portion of long-term debt, net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7,682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Wire transfers and money orders payable, net</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41,967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41,746</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Accrued and other liabilities</w:t>
            </w:r>
          </w:p>
        </w:tc>
        <w:tc>
          <w:tcPr>
            <w:tcW w:w="8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16"/>
        </w:trPr>
        <w:tc>
          <w:tcPr>
            <w:tcW w:w="508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87,512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liabilities:</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Debt, net</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93,179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80,579</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Deferred tax liabilities, net</w:t>
            </w:r>
          </w:p>
        </w:tc>
        <w:tc>
          <w:tcPr>
            <w:tcW w:w="8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7"/>
        </w:trPr>
        <w:tc>
          <w:tcPr>
            <w:tcW w:w="5080" w:type="dxa"/>
            <w:vAlign w:val="bottom"/>
          </w:tcPr>
          <w:p>
            <w:pPr>
              <w:ind w:left="980"/>
              <w:spacing w:after="0"/>
              <w:rPr>
                <w:sz w:val="20"/>
                <w:szCs w:val="20"/>
                <w:color w:val="auto"/>
              </w:rPr>
            </w:pPr>
            <w:r>
              <w:rPr>
                <w:rFonts w:ascii="Arial" w:cs="Arial" w:eastAsia="Arial" w:hAnsi="Arial"/>
                <w:sz w:val="18"/>
                <w:szCs w:val="18"/>
                <w:color w:val="auto"/>
              </w:rPr>
              <w:t>Total long-term liabilities</w:t>
            </w:r>
          </w:p>
        </w:tc>
        <w:tc>
          <w:tcPr>
            <w:tcW w:w="8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93,727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81,271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Commitments and contingencies, see Note 13</w:t>
            </w: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Common stock $0.0001 par value; 230,000,000 shares authorized,</w:t>
            </w:r>
          </w:p>
        </w:tc>
        <w:tc>
          <w:tcPr>
            <w:tcW w:w="8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38,362,788 and 38,217,125 shares issued and outstanding as of</w:t>
            </w:r>
          </w:p>
        </w:tc>
        <w:tc>
          <w:tcPr>
            <w:tcW w:w="8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March 31, 2021 and December 31, 2020, respectively.</w:t>
            </w:r>
          </w:p>
        </w:tc>
        <w:tc>
          <w:tcPr>
            <w:tcW w:w="8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61,640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Retained earnings</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30"/>
        </w:trPr>
        <w:tc>
          <w:tcPr>
            <w:tcW w:w="5080" w:type="dxa"/>
            <w:vAlign w:val="bottom"/>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286,803</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17"/>
                <w:szCs w:val="17"/>
                <w:color w:val="auto"/>
              </w:rPr>
            </w:pPr>
          </w:p>
        </w:tc>
      </w:tr>
      <w:tr>
        <w:trPr>
          <w:trHeight w:val="237"/>
        </w:trPr>
        <w:tc>
          <w:tcPr>
            <w:tcW w:w="51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color w:val="auto"/>
              </w:rPr>
              <w:t>March 31,</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36"/>
        </w:trPr>
        <w:tc>
          <w:tcPr>
            <w:tcW w:w="51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16"/>
        </w:trPr>
        <w:tc>
          <w:tcPr>
            <w:tcW w:w="5160" w:type="dxa"/>
            <w:vAlign w:val="bottom"/>
          </w:tcPr>
          <w:p>
            <w:pPr>
              <w:ind w:left="660"/>
              <w:spacing w:after="0"/>
              <w:rPr>
                <w:sz w:val="20"/>
                <w:szCs w:val="20"/>
                <w:color w:val="auto"/>
              </w:rPr>
            </w:pPr>
            <w:r>
              <w:rPr>
                <w:rFonts w:ascii="Arial" w:cs="Arial" w:eastAsia="Arial" w:hAnsi="Arial"/>
                <w:sz w:val="18"/>
                <w:szCs w:val="18"/>
                <w:color w:val="auto"/>
              </w:rPr>
              <w:t>Revenues:</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Wire transfer and money order fees, net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67,095</w:t>
            </w:r>
          </w:p>
        </w:tc>
      </w:tr>
      <w:tr>
        <w:trPr>
          <w:trHeight w:val="229"/>
        </w:trPr>
        <w:tc>
          <w:tcPr>
            <w:tcW w:w="5160" w:type="dxa"/>
            <w:vAlign w:val="bottom"/>
          </w:tcPr>
          <w:p>
            <w:pPr>
              <w:ind w:left="780"/>
              <w:spacing w:after="0"/>
              <w:rPr>
                <w:sz w:val="20"/>
                <w:szCs w:val="20"/>
                <w:color w:val="auto"/>
              </w:rPr>
            </w:pPr>
            <w:r>
              <w:rPr>
                <w:rFonts w:ascii="Arial" w:cs="Arial" w:eastAsia="Arial" w:hAnsi="Arial"/>
                <w:sz w:val="18"/>
                <w:szCs w:val="18"/>
                <w:color w:val="auto"/>
              </w:rPr>
              <w:t>Foreign exchange gain, net</w:t>
            </w:r>
          </w:p>
        </w:tc>
        <w:tc>
          <w:tcPr>
            <w:tcW w:w="10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9,554</w:t>
            </w:r>
          </w:p>
        </w:tc>
      </w:tr>
      <w:tr>
        <w:trPr>
          <w:trHeight w:val="237"/>
        </w:trPr>
        <w:tc>
          <w:tcPr>
            <w:tcW w:w="5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 income</w:t>
            </w:r>
          </w:p>
        </w:tc>
        <w:tc>
          <w:tcPr>
            <w:tcW w:w="10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7"/>
        </w:trPr>
        <w:tc>
          <w:tcPr>
            <w:tcW w:w="516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94,577</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77,251</w:t>
            </w:r>
          </w:p>
        </w:tc>
      </w:tr>
      <w:tr>
        <w:trPr>
          <w:trHeight w:val="243"/>
        </w:trPr>
        <w:tc>
          <w:tcPr>
            <w:tcW w:w="5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5160" w:type="dxa"/>
            <w:vAlign w:val="bottom"/>
          </w:tcPr>
          <w:p>
            <w:pPr>
              <w:ind w:left="66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Service charges from agents and banks</w:t>
            </w: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52,227</w:t>
            </w:r>
          </w:p>
        </w:tc>
      </w:tr>
      <w:tr>
        <w:trPr>
          <w:trHeight w:val="230"/>
        </w:trPr>
        <w:tc>
          <w:tcPr>
            <w:tcW w:w="5160" w:type="dxa"/>
            <w:vAlign w:val="bottom"/>
          </w:tcPr>
          <w:p>
            <w:pPr>
              <w:ind w:left="780"/>
              <w:spacing w:after="0"/>
              <w:rPr>
                <w:sz w:val="20"/>
                <w:szCs w:val="20"/>
                <w:color w:val="auto"/>
              </w:rPr>
            </w:pPr>
            <w:r>
              <w:rPr>
                <w:rFonts w:ascii="Arial" w:cs="Arial" w:eastAsia="Arial" w:hAnsi="Arial"/>
                <w:sz w:val="18"/>
                <w:szCs w:val="18"/>
                <w:color w:val="auto"/>
              </w:rPr>
              <w:t>Salaries and benefits</w:t>
            </w:r>
          </w:p>
        </w:tc>
        <w:tc>
          <w:tcPr>
            <w:tcW w:w="10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7,359</w:t>
            </w: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r>
      <w:tr>
        <w:trPr>
          <w:trHeight w:val="237"/>
        </w:trPr>
        <w:tc>
          <w:tcPr>
            <w:tcW w:w="5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r>
      <w:tr>
        <w:trPr>
          <w:trHeight w:val="237"/>
        </w:trPr>
        <w:tc>
          <w:tcPr>
            <w:tcW w:w="5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67,613</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r>
      <w:tr>
        <w:trPr>
          <w:trHeight w:val="257"/>
        </w:trPr>
        <w:tc>
          <w:tcPr>
            <w:tcW w:w="5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7"/>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51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before income taxes</w:t>
            </w: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57"/>
        </w:trPr>
        <w:tc>
          <w:tcPr>
            <w:tcW w:w="5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6"/>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 provision</w:t>
            </w:r>
          </w:p>
        </w:tc>
        <w:tc>
          <w:tcPr>
            <w:tcW w:w="10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51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57"/>
        </w:trPr>
        <w:tc>
          <w:tcPr>
            <w:tcW w:w="5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6"/>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comprehensive loss</w:t>
            </w:r>
          </w:p>
        </w:tc>
        <w:tc>
          <w:tcPr>
            <w:tcW w:w="10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Earnings per common share:</w:t>
            </w: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60" w:type="dxa"/>
            <w:vAlign w:val="bottom"/>
          </w:tcPr>
          <w:p>
            <w:pPr>
              <w:ind w:left="980"/>
              <w:spacing w:after="0"/>
              <w:rPr>
                <w:sz w:val="20"/>
                <w:szCs w:val="20"/>
                <w:color w:val="auto"/>
              </w:rPr>
            </w:pPr>
            <w:r>
              <w:rPr>
                <w:rFonts w:ascii="Arial" w:cs="Arial" w:eastAsia="Arial" w:hAnsi="Arial"/>
                <w:sz w:val="18"/>
                <w:szCs w:val="18"/>
                <w:color w:val="auto"/>
              </w:rPr>
              <w:t>Basic and diluted</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56"/>
        </w:trPr>
        <w:tc>
          <w:tcPr>
            <w:tcW w:w="5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60" w:type="dxa"/>
            <w:vAlign w:val="bottom"/>
          </w:tcPr>
          <w:p>
            <w:pPr>
              <w:ind w:left="66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38,239,130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38,035,014</w:t>
            </w:r>
          </w:p>
        </w:tc>
      </w:tr>
      <w:tr>
        <w:trPr>
          <w:trHeight w:val="230"/>
        </w:trPr>
        <w:tc>
          <w:tcPr>
            <w:tcW w:w="5160" w:type="dxa"/>
            <w:vAlign w:val="bottom"/>
          </w:tcPr>
          <w:p>
            <w:pPr>
              <w:ind w:left="9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38,846,906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38,038,674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25" w:right="111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34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
                <w:szCs w:val="2"/>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Paid-in Capital</w:t>
            </w:r>
          </w:p>
        </w:tc>
        <w:tc>
          <w:tcPr>
            <w:tcW w:w="12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38,217,125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144,632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Fully vested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net</w:t>
            </w:r>
          </w:p>
        </w:tc>
        <w:tc>
          <w:tcPr>
            <w:tcW w:w="144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March 31,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38,362,788</w:t>
            </w:r>
          </w:p>
        </w:tc>
        <w:tc>
          <w:tcPr>
            <w:tcW w:w="8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61,640</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43,937</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105,564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340" w:type="dxa"/>
            <w:vAlign w:val="bottom"/>
            <w:gridSpan w:val="3"/>
          </w:tcPr>
          <w:p>
            <w:pPr>
              <w:jc w:val="right"/>
              <w:ind w:right="456"/>
              <w:spacing w:after="0" w:line="149"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88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1060" w:type="dxa"/>
            <w:vAlign w:val="bottom"/>
            <w:vMerge w:val="restart"/>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Paid-in Capital</w:t>
            </w:r>
          </w:p>
        </w:tc>
        <w:tc>
          <w:tcPr>
            <w:tcW w:w="12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7"/>
                <w:szCs w:val="17"/>
                <w:color w:val="auto"/>
              </w:rPr>
            </w:pPr>
          </w:p>
        </w:tc>
        <w:tc>
          <w:tcPr>
            <w:tcW w:w="106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38,034,389</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880" w:type="dxa"/>
            <w:vAlign w:val="bottom"/>
          </w:tcPr>
          <w:p>
            <w:pPr>
              <w:ind w:left="200"/>
              <w:spacing w:after="0"/>
              <w:rPr>
                <w:sz w:val="20"/>
                <w:szCs w:val="20"/>
                <w:color w:val="auto"/>
              </w:rPr>
            </w:pPr>
            <w:r>
              <w:rPr>
                <w:rFonts w:ascii="Arial" w:cs="Arial" w:eastAsia="Arial" w:hAnsi="Arial"/>
                <w:sz w:val="18"/>
                <w:szCs w:val="18"/>
                <w:color w:val="auto"/>
              </w:rPr>
              <w:t>translation, net</w:t>
            </w:r>
          </w:p>
        </w:tc>
        <w:tc>
          <w:tcPr>
            <w:tcW w:w="144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38,035,279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140" w:right="2100"/>
        <w:spacing w:after="0" w:line="266"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5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16"/>
        </w:trPr>
        <w:tc>
          <w:tcPr>
            <w:tcW w:w="5120" w:type="dxa"/>
            <w:vAlign w:val="bottom"/>
          </w:tcPr>
          <w:p>
            <w:pPr>
              <w:ind w:left="66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176"/>
        </w:trPr>
        <w:tc>
          <w:tcPr>
            <w:tcW w:w="5120" w:type="dxa"/>
            <w:vAlign w:val="bottom"/>
          </w:tcPr>
          <w:p>
            <w:pPr>
              <w:ind w:left="140"/>
              <w:spacing w:after="0" w:line="176" w:lineRule="exact"/>
              <w:rPr>
                <w:sz w:val="20"/>
                <w:szCs w:val="20"/>
                <w:color w:val="auto"/>
              </w:rPr>
            </w:pPr>
            <w:r>
              <w:rPr>
                <w:rFonts w:ascii="Arial" w:cs="Arial" w:eastAsia="Arial" w:hAnsi="Arial"/>
                <w:sz w:val="18"/>
                <w:szCs w:val="18"/>
                <w:color w:val="auto"/>
                <w:w w:val="93"/>
              </w:rPr>
              <w:t>Adjustments to reconcile net income to net cash (used in) provided</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5120" w:type="dxa"/>
            <w:vAlign w:val="bottom"/>
          </w:tcPr>
          <w:p>
            <w:pPr>
              <w:ind w:left="300"/>
              <w:spacing w:after="0"/>
              <w:rPr>
                <w:sz w:val="20"/>
                <w:szCs w:val="20"/>
                <w:color w:val="auto"/>
              </w:rPr>
            </w:pPr>
            <w:r>
              <w:rPr>
                <w:rFonts w:ascii="Arial" w:cs="Arial" w:eastAsia="Arial" w:hAnsi="Arial"/>
                <w:sz w:val="18"/>
                <w:szCs w:val="18"/>
                <w:color w:val="auto"/>
              </w:rPr>
              <w:t>by operating activities:</w:t>
            </w: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29"/>
        </w:trPr>
        <w:tc>
          <w:tcPr>
            <w:tcW w:w="5120" w:type="dxa"/>
            <w:vAlign w:val="bottom"/>
          </w:tcPr>
          <w:p>
            <w:pPr>
              <w:ind w:left="98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5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credit losses</w:t>
            </w: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5120" w:type="dxa"/>
            <w:vAlign w:val="bottom"/>
          </w:tcPr>
          <w:p>
            <w:pPr>
              <w:ind w:left="980"/>
              <w:spacing w:after="0"/>
              <w:rPr>
                <w:sz w:val="20"/>
                <w:szCs w:val="20"/>
                <w:color w:val="auto"/>
              </w:rPr>
            </w:pPr>
            <w:r>
              <w:rPr>
                <w:rFonts w:ascii="Arial" w:cs="Arial" w:eastAsia="Arial" w:hAnsi="Arial"/>
                <w:sz w:val="18"/>
                <w:szCs w:val="18"/>
                <w:color w:val="auto"/>
              </w:rPr>
              <w:t>Debt origination costs amortization</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5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income tax (benefit) provision, net</w:t>
            </w: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7"/>
        </w:trPr>
        <w:tc>
          <w:tcPr>
            <w:tcW w:w="51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Loss on disposal of property and equipment</w:t>
            </w: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51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adjustments</w:t>
            </w: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r>
      <w:tr>
        <w:trPr>
          <w:trHeight w:val="230"/>
        </w:trPr>
        <w:tc>
          <w:tcPr>
            <w:tcW w:w="5120" w:type="dxa"/>
            <w:vAlign w:val="bottom"/>
          </w:tcPr>
          <w:p>
            <w:pPr>
              <w:ind w:left="9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1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29"/>
        </w:trPr>
        <w:tc>
          <w:tcPr>
            <w:tcW w:w="5120" w:type="dxa"/>
            <w:vAlign w:val="bottom"/>
          </w:tcPr>
          <w:p>
            <w:pPr>
              <w:ind w:left="1100"/>
              <w:spacing w:after="0"/>
              <w:rPr>
                <w:sz w:val="20"/>
                <w:szCs w:val="20"/>
                <w:color w:val="auto"/>
              </w:rPr>
            </w:pPr>
            <w:r>
              <w:rPr>
                <w:rFonts w:ascii="Arial" w:cs="Arial" w:eastAsia="Arial" w:hAnsi="Arial"/>
                <w:sz w:val="18"/>
                <w:szCs w:val="18"/>
                <w:color w:val="auto"/>
              </w:rPr>
              <w:t>Prepaid wires, net</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(36,163)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9,271</w:t>
            </w:r>
          </w:p>
        </w:tc>
      </w:tr>
      <w:tr>
        <w:trPr>
          <w:trHeight w:val="230"/>
        </w:trPr>
        <w:tc>
          <w:tcPr>
            <w:tcW w:w="51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9"/>
        </w:trPr>
        <w:tc>
          <w:tcPr>
            <w:tcW w:w="5120" w:type="dxa"/>
            <w:vAlign w:val="bottom"/>
          </w:tcPr>
          <w:p>
            <w:pPr>
              <w:ind w:left="1100"/>
              <w:spacing w:after="0"/>
              <w:rPr>
                <w:sz w:val="20"/>
                <w:szCs w:val="20"/>
                <w:color w:val="auto"/>
              </w:rPr>
            </w:pPr>
            <w:r>
              <w:rPr>
                <w:rFonts w:ascii="Arial" w:cs="Arial" w:eastAsia="Arial" w:hAnsi="Arial"/>
                <w:sz w:val="18"/>
                <w:szCs w:val="18"/>
                <w:color w:val="auto"/>
              </w:rPr>
              <w:t>Wire transfers and money orders payable, net</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37"/>
        </w:trPr>
        <w:tc>
          <w:tcPr>
            <w:tcW w:w="51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Accounts payable and accrued and other liabilities</w:t>
            </w:r>
          </w:p>
        </w:tc>
        <w:tc>
          <w:tcPr>
            <w:tcW w:w="10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r>
      <w:tr>
        <w:trPr>
          <w:trHeight w:val="237"/>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(32,406)</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18,780</w:t>
            </w:r>
          </w:p>
        </w:tc>
      </w:tr>
      <w:tr>
        <w:trPr>
          <w:trHeight w:val="148"/>
        </w:trPr>
        <w:tc>
          <w:tcPr>
            <w:tcW w:w="5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30"/>
        </w:trPr>
        <w:tc>
          <w:tcPr>
            <w:tcW w:w="5120" w:type="dxa"/>
            <w:vAlign w:val="bottom"/>
          </w:tcPr>
          <w:p>
            <w:pPr>
              <w:ind w:left="66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9"/>
        </w:trPr>
        <w:tc>
          <w:tcPr>
            <w:tcW w:w="5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17"/>
        </w:trPr>
        <w:tc>
          <w:tcPr>
            <w:tcW w:w="512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162"/>
        </w:trPr>
        <w:tc>
          <w:tcPr>
            <w:tcW w:w="5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29"/>
        </w:trPr>
        <w:tc>
          <w:tcPr>
            <w:tcW w:w="5120" w:type="dxa"/>
            <w:vAlign w:val="bottom"/>
          </w:tcPr>
          <w:p>
            <w:pPr>
              <w:ind w:left="66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Repayments of term loan facility</w:t>
            </w: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r>
      <w:tr>
        <w:trPr>
          <w:trHeight w:val="230"/>
        </w:trPr>
        <w:tc>
          <w:tcPr>
            <w:tcW w:w="5120" w:type="dxa"/>
            <w:vAlign w:val="bottom"/>
          </w:tcPr>
          <w:p>
            <w:pPr>
              <w:ind w:left="780"/>
              <w:spacing w:after="0"/>
              <w:rPr>
                <w:sz w:val="20"/>
                <w:szCs w:val="20"/>
                <w:color w:val="auto"/>
              </w:rPr>
            </w:pPr>
            <w:r>
              <w:rPr>
                <w:rFonts w:ascii="Arial" w:cs="Arial" w:eastAsia="Arial" w:hAnsi="Arial"/>
                <w:sz w:val="18"/>
                <w:szCs w:val="18"/>
                <w:color w:val="auto"/>
              </w:rPr>
              <w:t>Borrowings under revolving credit facility, net</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Proceeds from exercise of options</w:t>
            </w:r>
          </w:p>
        </w:tc>
        <w:tc>
          <w:tcPr>
            <w:tcW w:w="10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r>
      <w:tr>
        <w:trPr>
          <w:trHeight w:val="148"/>
        </w:trPr>
        <w:tc>
          <w:tcPr>
            <w:tcW w:w="5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37"/>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Effect of exchange rate changes on cash</w:t>
            </w: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148"/>
        </w:trPr>
        <w:tc>
          <w:tcPr>
            <w:tcW w:w="5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30"/>
        </w:trPr>
        <w:tc>
          <w:tcPr>
            <w:tcW w:w="5120" w:type="dxa"/>
            <w:vAlign w:val="bottom"/>
          </w:tcPr>
          <w:p>
            <w:pPr>
              <w:ind w:left="660"/>
              <w:spacing w:after="0"/>
              <w:rPr>
                <w:sz w:val="20"/>
                <w:szCs w:val="20"/>
                <w:color w:val="auto"/>
              </w:rPr>
            </w:pPr>
            <w:r>
              <w:rPr>
                <w:rFonts w:ascii="Arial" w:cs="Arial" w:eastAsia="Arial" w:hAnsi="Arial"/>
                <w:sz w:val="18"/>
                <w:szCs w:val="18"/>
                <w:color w:val="auto"/>
              </w:rPr>
              <w:t>Net (decrease) increase in cash</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15,721</w:t>
            </w:r>
          </w:p>
        </w:tc>
      </w:tr>
      <w:tr>
        <w:trPr>
          <w:trHeight w:val="162"/>
        </w:trPr>
        <w:tc>
          <w:tcPr>
            <w:tcW w:w="5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6"/>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Cash, beginning of period</w:t>
            </w: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r>
      <w:tr>
        <w:trPr>
          <w:trHeight w:val="149"/>
        </w:trPr>
        <w:tc>
          <w:tcPr>
            <w:tcW w:w="5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30"/>
        </w:trPr>
        <w:tc>
          <w:tcPr>
            <w:tcW w:w="5120" w:type="dxa"/>
            <w:vAlign w:val="bottom"/>
          </w:tcPr>
          <w:p>
            <w:pPr>
              <w:ind w:left="660"/>
              <w:spacing w:after="0"/>
              <w:rPr>
                <w:sz w:val="20"/>
                <w:szCs w:val="20"/>
                <w:color w:val="auto"/>
              </w:rPr>
            </w:pPr>
            <w:r>
              <w:rPr>
                <w:rFonts w:ascii="Arial" w:cs="Arial" w:eastAsia="Arial" w:hAnsi="Arial"/>
                <w:sz w:val="18"/>
                <w:szCs w:val="18"/>
                <w:color w:val="auto"/>
              </w:rPr>
              <w:t>Cash, end of period</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101,838</w:t>
            </w: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140" w:right="146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5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16"/>
        </w:trPr>
        <w:tc>
          <w:tcPr>
            <w:tcW w:w="5160" w:type="dxa"/>
            <w:vAlign w:val="bottom"/>
          </w:tcPr>
          <w:p>
            <w:pPr>
              <w:ind w:left="6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36"/>
        </w:trPr>
        <w:tc>
          <w:tcPr>
            <w:tcW w:w="5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Cash paid for income taxes</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243"/>
        </w:trPr>
        <w:tc>
          <w:tcPr>
            <w:tcW w:w="5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5160" w:type="dxa"/>
            <w:vAlign w:val="bottom"/>
          </w:tcPr>
          <w:p>
            <w:pPr>
              <w:ind w:left="660"/>
              <w:spacing w:after="0"/>
              <w:rPr>
                <w:sz w:val="20"/>
                <w:szCs w:val="20"/>
                <w:color w:val="auto"/>
              </w:rPr>
            </w:pPr>
            <w:r>
              <w:rPr>
                <w:rFonts w:ascii="Arial" w:cs="Arial" w:eastAsia="Arial" w:hAnsi="Arial"/>
                <w:sz w:val="18"/>
                <w:szCs w:val="18"/>
                <w:b w:val="1"/>
                <w:bCs w:val="1"/>
                <w:color w:val="auto"/>
                <w:w w:val="93"/>
              </w:rPr>
              <w:t>Supplemental disclosure of non-cash financing activity:</w:t>
            </w: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2"/>
              </w:rPr>
              <w:t>Issuance of common stock for cashless exercise of options</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6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34 Company-operated stores throughout the United States and Canada.</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as the efforts of federal, state, local and foreign governments to react to the public health crisis with mitigation measures have created and continue to cause significant uncertainties in the U.S. and global economy. The extent to which the COVID-19 pandemic affects our business, operations and financial results depends, and will continue to depend, on numerous evolving factors that we may not be able to accurately predict.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financial statements of the Company include Intermex Holdings, Inc., its wholly-owned indirect subsidiary, Intermex Wire Transfer, LLC (“LLC”), Intermex Wire Transfers de Guatemala, S.A. (“Intermex Guatemala”) - 100% owned by LLC, Intermex Wire Transfer de Mexico, S.A. and Intermex Transfers de Mexico, S.A. (“Intermex Mexico”) - 98% owned by LLC, Intermex Wire Transfer Corp. - 100% owned by LLC, Intermex Wire Transfer II, LLC - 100% owned by LLC and Canada International Transfers Corp. - 100% owned by LLC.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financial statements are prepared in accordance with accounting principles generally accepted in the United States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condensed consolidated financial statements.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financial statements have been included. The results reported in these interim financial statements are not necessarily indicative of the results that may be reported for the entire year. Certain information and footnote disclosures required by GAAP have been condensed or omitted. These condensed consolidated financial statements should be read in conjunction with the consolidated financial statements and related notes thereto included in the Company’s Annual Report on Form 10-K for the year ended December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Financial Accounting Standards Board (“FASB”) issued amended guidance, </w:t>
      </w:r>
      <w:r>
        <w:rPr>
          <w:rFonts w:ascii="Arial" w:cs="Arial" w:eastAsia="Arial" w:hAnsi="Arial"/>
          <w:sz w:val="18"/>
          <w:szCs w:val="18"/>
          <w:i w:val="1"/>
          <w:iCs w:val="1"/>
          <w:color w:val="auto"/>
        </w:rPr>
        <w:t>Intangibles – 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The amended standard simplifies how an entity tests goodwill by eliminating Step 2 of the goodwill impairment test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an impairment charge. Instead, impairment will be recorded for the amount that the carrying amount of a reporting unit exceeds its fair value. This guidance was adopted by the Company on January 1, 2021. The adoption of this guidance did not have a material impact on the condensed consolidated financial statements.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The amended standard requires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by customers in cloud computing arrangements to be deferred and recognized over the term of the arrangement if those costs would be capitalized by the customers in a software licensing arrangement. This guidance was adopted by the Company on January 1, 2021. The adoption of this guidance did not have a material impact on the condensed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This guidance was adopted by the Company on January 1, 2021. The adoption of this guidance did not have a material impact on the condensed consolidated financial statements.</w:t>
      </w:r>
    </w:p>
    <w:p>
      <w:pPr>
        <w:spacing w:after="0" w:line="26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Leases (Topic 842)</w:t>
      </w:r>
      <w:r>
        <w:rPr>
          <w:rFonts w:ascii="Arial" w:cs="Arial" w:eastAsia="Arial" w:hAnsi="Arial"/>
          <w:sz w:val="17"/>
          <w:szCs w:val="17"/>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required to be adopted by the Company on January 1, 2022 using the modified retrospective approach. The Company is currently evaluating the impact this guidance will have on the condensed consolidated financial statements.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guidance on January 1, 2023. The Company is currently evaluating the impact this guidance will have on the condensed consolidated financial statements.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FASB issued guidance, </w:t>
      </w:r>
      <w:r>
        <w:rPr>
          <w:rFonts w:ascii="Arial" w:cs="Arial" w:eastAsia="Arial" w:hAnsi="Arial"/>
          <w:sz w:val="16"/>
          <w:szCs w:val="16"/>
          <w:i w:val="1"/>
          <w:iCs w:val="1"/>
          <w:color w:val="auto"/>
        </w:rPr>
        <w:t>Reference Rate Reform (Topic 848): Facilitation of the Effects of Reference Rate Reform on Financial Reporting</w:t>
      </w:r>
      <w:r>
        <w:rPr>
          <w:rFonts w:ascii="Arial" w:cs="Arial" w:eastAsia="Arial" w:hAnsi="Arial"/>
          <w:sz w:val="16"/>
          <w:szCs w:val="16"/>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This new guidance may be adopted by the Company no later than December 1, 2022, with early adoption permitted. The potential adoption of this guidance is not expected to have a material impact on the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revenues from contracts with customers for the three months ended March 31, 2021 and 2020,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4"/>
              </w:rPr>
              <w:t>Three Months Ended March 31,</w:t>
            </w:r>
          </w:p>
        </w:tc>
      </w:tr>
      <w:tr>
        <w:trPr>
          <w:trHeight w:val="237"/>
        </w:trPr>
        <w:tc>
          <w:tcPr>
            <w:tcW w:w="8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67,316</w:t>
            </w:r>
          </w:p>
        </w:tc>
      </w:tr>
      <w:tr>
        <w:trPr>
          <w:trHeight w:val="23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9,554</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77,251</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7) and a corresponding loyalty program expense is recorded as contra revenue. Revenue from this performance obligation is recognized upon customers redeeming points or upon expiration of any points outstanding.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3 – ACCOUNTS RECEIVABLE AND NOTES RECEIVABLE, NET OF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receivable represents outstanding balances from sending agents for pending wire transfers or money orders from our customers. The outstanding balance, net of allowance for credit losses,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7"/>
              </w:rPr>
              <w:t>December 31, 2020</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68,369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8"/>
              </w:rPr>
              <w:t>56,520</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4"/>
              </w:rPr>
              <w:t>(1,580)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1"/>
              </w:rPr>
              <w:t>(1,503)</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66,789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8"/>
              </w:rPr>
              <w:t>55,017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notes receivable, net of allowance for credit losses, from sending agents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7"/>
              </w:rPr>
              <w:t>December 31, 2020</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86"/>
              </w:rPr>
              <w:t>570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3"/>
              </w:rPr>
              <w:t>710</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90"/>
              </w:rPr>
              <w:t>(204)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0"/>
              </w:rPr>
              <w:t>(244)</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86"/>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3"/>
              </w:rPr>
              <w:t>466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long-term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6"/>
              </w:rPr>
              <w:t>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3"/>
              </w:rPr>
              <w:t>816</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90"/>
              </w:rPr>
              <w:t>(274)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0"/>
              </w:rPr>
              <w:t>(295)</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86"/>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3"/>
              </w:rPr>
              <w:t>521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net current portion is included in prepaid expenses and other current assets (see Note 4), and the net long-term portion is included in other assets in the condensed consolidated balance sheets. The notes have interest rates ranging from 0% to 16% per annum. At March 31, 2021 and December 31, 2020, there were $1.3 million and $1.5 million, respectively, of notes collateralized by personal guarantees from the sending agents and assets from their businesses in case of a default by the agent.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maturities of notes receivable at March 31, 2021 are as follows (in thousands):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8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7"/>
              </w:rPr>
              <w:t>Unpaid Principle</w:t>
            </w:r>
          </w:p>
        </w:tc>
      </w:tr>
      <w:tr>
        <w:trPr>
          <w:trHeight w:val="237"/>
        </w:trPr>
        <w:tc>
          <w:tcPr>
            <w:tcW w:w="8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Balance</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 1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Between 2 and 3 years</w:t>
            </w: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notes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540" w:type="dxa"/>
            <w:vAlign w:val="bottom"/>
            <w:tcBorders>
              <w:bottom w:val="single" w:sz="8" w:color="auto"/>
            </w:tcBorders>
          </w:tcPr>
          <w:p>
            <w:pPr>
              <w:spacing w:after="0"/>
              <w:rPr>
                <w:sz w:val="20"/>
                <w:szCs w:val="20"/>
                <w:color w:val="auto"/>
              </w:rPr>
            </w:pPr>
          </w:p>
        </w:tc>
      </w:tr>
      <w:tr>
        <w:trPr>
          <w:trHeight w:val="236"/>
        </w:trPr>
        <w:tc>
          <w:tcPr>
            <w:tcW w:w="6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 4 – PREPAID EXPENSES AND OTHER CURRENT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Prepaid fees and services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net of allowance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Assets pending settlement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INTANGIBLE ASSETS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Intangible assets on the condensed consolidated balance sheets of the Company consist of goodwill,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over the past 20 years. Other intangible assets primarily relate to the acquisition of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months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Intangibles</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20,430</w:t>
            </w: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91"/>
              </w:rPr>
              <w:t>(1,290)</w:t>
            </w:r>
          </w:p>
        </w:tc>
      </w:tr>
      <w:tr>
        <w:trPr>
          <w:trHeight w:val="255"/>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19,140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next five years and thereafter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2022</w:t>
            </w:r>
          </w:p>
        </w:tc>
        <w:tc>
          <w:tcPr>
            <w:tcW w:w="4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2024</w:t>
            </w:r>
          </w:p>
        </w:tc>
        <w:tc>
          <w:tcPr>
            <w:tcW w:w="4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9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2130"/>
              <w:spacing w:after="0"/>
              <w:rPr>
                <w:sz w:val="20"/>
                <w:szCs w:val="20"/>
                <w:color w:val="auto"/>
              </w:rPr>
            </w:pPr>
            <w:r>
              <w:rPr>
                <w:rFonts w:ascii="Arial" w:cs="Arial" w:eastAsia="Arial" w:hAnsi="Arial"/>
                <w:sz w:val="18"/>
                <w:szCs w:val="18"/>
                <w:color w:val="auto"/>
              </w:rPr>
              <w:t>12</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32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6 – WIRE TRANSFERS AND MONEY ORDERS PAYABLE,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Wire transfers and money orders payable, net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2020</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13,374</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w:t>
            </w:r>
          </w:p>
        </w:tc>
      </w:tr>
      <w:tr>
        <w:trPr>
          <w:trHeight w:val="229"/>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41,746</w:t>
            </w:r>
          </w:p>
        </w:tc>
      </w:tr>
      <w:tr>
        <w:trPr>
          <w:trHeight w:val="21"/>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Customer voided wires payable consist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NOTE 7 – ACCRUED AND OTHER LIABILITIES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6"/>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2,957</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bank charges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loyalty program</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55"/>
        </w:trPr>
        <w:tc>
          <w:tcPr>
            <w:tcW w:w="6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deferred revenue loyalty program liability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Revenue deferred during the period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during the period</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NOTE 8 – DEBT</w:t>
            </w: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Debt consisted of the following (in thousands):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facility</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89,383</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origination costs</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80,579</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Current portion of long-term debt is net of debt origination costs of approximately $0.6 million both at March 31, 2021 and December 31, 2020.</w:t>
      </w:r>
    </w:p>
    <w:p>
      <w:pPr>
        <w:sectPr>
          <w:pgSz w:w="11900" w:h="16838" w:orient="portrait"/>
          <w:cols w:equalWidth="0" w:num="1">
            <w:col w:w="11240"/>
          </w:cols>
          <w:pgMar w:left="320" w:top="125" w:right="339" w:bottom="1440" w:gutter="0" w:footer="0" w:header="0"/>
        </w:sectPr>
      </w:pP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certain of its domestic subsidiaries as borrowers (the “Loan Parties”) entered into a financing agreement (as amended, the “Credit Agreement”) with a group of banking institutions. The Credit Agreement provides for a $35 million revolving credit facility, a $90 million term loan facility and an up to $30 million incremental facility of which $12 million was utilized in 2019. The Credit Agreement also provides for the issuance of letters of credit, which would reduce availability under the revolving credit facility. The maturity date of the Credit Agreement is November 7, 2023.</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three months ended March 31, 2021 for the term loan facility and revolving credit facility were 5.32% and 0.96%,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5.0% in year 1, 7.5% in years 2 and 3, and 10.0% in years 4 and 5, in each case on the last day of each quarter, which commenced in March 2019 with a final balloon payment at maturity. The loans under the Credit Agreement may be prepaid at any time without premium or penalty.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covenants that require the Company to maintain a quarterly minimum fixed charge coverage ratio of 1.25:1.00 and a quarterly maximum consolidated leverage ratio of 3.25:1.00.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Credit Agreement establishes certain restrictions on payment of dividends or cash distributions other than for certain purposes, including the following: i) to pay cash dividends to the Company in an amount necessary to cover reasonable and customary corporate and operating expenses, ii) to purchase, redeem or otherwise acquire warrants, right or options on the Company’s common stock of an aggregate amount of up to $10 million plus the Available Amount (as defined in the Credit Agreement), iii) to repurchase the Company’s common stock from current or former employees in an aggregate amount of up to $5 million per calendar year, and iv) other restricted payments in an aggregate amount not to exceed $5 million plus the Available Amount.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restrictions described above, among others, substantially all of the Company’s subsidiaries’ net assets as of March 31, 2021 and December 31, 2020 are considered restricted net assets.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non-financial assets measured at fair value on a nonrecurring basis include goodwill and intangibles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items.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10 –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26, 2020, at the 2020 Annual Meeting of Stockholders, the Company’s stockholders approved the International Money Express, Inc. 2020 Omnibus Equity Compensation Plan (the “2020 Plan”), which provides for the granting of stock-based incentive awards, including stock options, restricted stock units (“RSUs”), restricted stock awards (“RSAs”) and performance stock units (“PSUs”) to employees and independent directors of the Company. There are 3.4 million shares of the Company’s common stock available for issuance under the 2020 Plan, including 0.4 million shares that were available for grant under the International Money Express, Inc. 2018 Omnibus Equity Compensation Plan (the “2018 Plan” and together with the 2020 Plan, the “Plans”). As of March 31, 2021, 2.9 million shares remained available for future awards under the 2020 Plan. The 2018 Plan was terminated effective June 26,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Plans have 10-year terms and vest in four equal annual installments beginning one year after the date of the grant. The Company recognized compensation expense for stock options of approximately $0.6 million for both the three months ended March 31, 2021 and 2020, which is included in salaries and benefits in the condensed consolidated statements of operations and comprehensive income. As of March 31, 2021, there were 2.5 million outstanding stock options and unrecognized compensation expense of $5.2 million is expected to be recognized over a weighted-average period of 1.7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Plans during the three months ended March 31,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8"/>
                <w:szCs w:val="18"/>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2,525,770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 and Share Awards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RSUs granted under the Plans to the Company’s employees generally vest in four equal annual installments beginning one year after the date of the grant, while RSUs issued to the Company’s independent directors vest on the one year anniversary from the grant date. The Company recognized compensation expense for RSUs of approximately $0.2 million and $0.1 million for the three months ended March 31, 2021 and 2020, respectively, which is included in salaries and benefits in the condensed consolidated statements of operations</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comprehensive income. As of March 31, 2021, unrecognized compensation expense of approximately $2.3 million is expected to be recognized over a weighted-average period of 2.3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during the three months ended March 31,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2"/>
              </w:rPr>
              <w:t>Number of RSUs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158,705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Nonvested at March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2020 Plan, effective October 1, 2020, 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During the three months ended March 31, 2021, 1,031 fully vested shares were granted to the Lead Independent Director and Chairs of the Committees of the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RSAs issued under the Plans to the Company’s employees vest in four equal annual installments beginning one year after the date of grant. The Company recognized compensation expense for RSAs granted of $23.1 thousand for the three months ended March 31, 2021, which is included in salaries and benefits in the condensed consolidated statement of operations and comprehensive income. No compensation expense was recognized for the three months ended March 31, 2020. As of March 31, 2021, there was $1.2 million of unrecognized compensation expense for the RSAs, which is expected to be recognized over a weighted-average period of 2.5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RSA activity during the three months ended March 31,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RSAs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88,215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PSUs granted to the Company’s employees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parameters for a period of two years combined with a service period of three years. Compensation cost is recognized over the requisite service period when it is probable that the performance condition will be satisfied. The Company recognized compensation expense for PSUs of $63.6 thousand for the three months ended March 31, 2021, which is included in salaries and benefits in the condensed consolidated statement of operations and comprehensive income. There was no compensation expense recognized for the</w:t>
      </w:r>
    </w:p>
    <w:p>
      <w:pPr>
        <w:spacing w:after="0" w:line="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three months ended March 31, 2020. As of March 31, 2021, there was $2.4 million of unrecognized compensation expense for the PSUs, which is expected to be recognized over a weighted-average period of 2.8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PSU activity during the three months ended March 31,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5"/>
                <w:szCs w:val="15"/>
                <w:color w:val="auto"/>
              </w:rPr>
            </w:pPr>
          </w:p>
        </w:tc>
        <w:tc>
          <w:tcPr>
            <w:tcW w:w="1160" w:type="dxa"/>
            <w:vAlign w:val="bottom"/>
            <w:vMerge w:val="restart"/>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PSUs</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18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171,500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11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per share for the periods indicated (in thousands, except for share data):</w:t>
      </w:r>
    </w:p>
    <w:p>
      <w:pPr>
        <w:spacing w:after="0" w:line="277"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Three Months Ended</w:t>
      </w:r>
    </w:p>
    <w:p>
      <w:pPr>
        <w:jc w:val="center"/>
        <w:ind w:left="480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57"/>
        </w:trPr>
        <w:tc>
          <w:tcPr>
            <w:tcW w:w="6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56"/>
        </w:trPr>
        <w:tc>
          <w:tcPr>
            <w:tcW w:w="6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38,239,130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38,035,014</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RSUs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3,477</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RSAs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38,846,906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38,038,674</w:t>
            </w:r>
          </w:p>
        </w:tc>
      </w:tr>
      <w:tr>
        <w:trPr>
          <w:trHeight w:val="257"/>
        </w:trPr>
        <w:tc>
          <w:tcPr>
            <w:tcW w:w="6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Earnings per common share – basic and 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and 2020, there were 0.6 million and 3.0 million options, respectively, excluded from the diluted earnings per share calculation because, under the treasury stock method, the inclusion of these would be anti-dilutive.</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12 – INCOME TAXES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operations and comprehensive income is below (in thousands, except for tax rates):</w:t>
      </w:r>
    </w:p>
    <w:p>
      <w:pPr>
        <w:spacing w:after="0" w:line="222"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Three Months Ended</w:t>
      </w:r>
    </w:p>
    <w:p>
      <w:pPr>
        <w:jc w:val="center"/>
        <w:ind w:left="460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12,151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7,768</w:t>
            </w:r>
          </w:p>
        </w:tc>
      </w:tr>
      <w:tr>
        <w:trPr>
          <w:trHeight w:val="23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1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1,631</w:t>
            </w:r>
          </w:p>
        </w:tc>
      </w:tr>
      <w:tr>
        <w:trPr>
          <w:trHeight w:val="257"/>
        </w:trPr>
        <w:tc>
          <w:tcPr>
            <w:tcW w:w="6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11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3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r>
      <w:tr>
        <w:trPr>
          <w:trHeight w:val="254"/>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tax provision</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2,080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operations and comprehensive income was affected by state taxes, non-deductible expenses, share-based compensation expenses and foreign tax rates applicable to the Company’s foreign subsidiaries that are higher or lower than the U.S. statutory rate.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2020, the United States enacted the Coronavirus Aid, Relief, and Economic Security (“CARES”) Act. The CARES Act is an emergency economic stimulus package that includes spending and tax breaks to strengthen the United States economy and fund a 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determined that the CARES Act did not have a material effect on its annual effective tax rate and the income tax provision for the three months ended on March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13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leases for office space, warehouses and Company-operated store locations. Rent expense under all operating leases, included in other selling, general and administrative expenses in the condensed consolidated statements of operations and comprehensive income, amounted to approximately $0.6 million and $0.5 million for the three months ended March 31, 2021 and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2021, future minimum rental payments required under operating leases for the remainder of 2021 and thereafter are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1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2024</w:t>
            </w:r>
          </w:p>
        </w:tc>
        <w:tc>
          <w:tcPr>
            <w:tcW w:w="4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5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18</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3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50 states in the United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March 31, 2021, the Company’s subsidiaries were in compliance with these two requirements.</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2020.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(“United States” or “U.S.”), as the efforts of federal, state, local and foreign governments to react to the public health crisis with mitigation measures have created and continue to cause significant uncertainties in the U.S. and global economy. The extent to which the COVID-19 pandemic affects our business, operations and financial results depends, and will continue to depend, on numerous evolving factors that we may not be able to accurately predict such as further government and health authorities restrictions and progress in and effectiveness of vaccination efforts in the United States or in the countries in which we operate and conduct business.</w:t>
      </w:r>
    </w:p>
    <w:p>
      <w:pPr>
        <w:spacing w:after="0" w:line="22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response to the pandemic, our top priority has been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and requiring use of certain personal protective equipment at our U.S. headquarters and call centers in Mexico and Guatemala. As of March 31, 2021, all of our facilities are open and operating with adjustments to ensure social distancing and facial covering requirements established by state and local regulations.</w:t>
      </w:r>
    </w:p>
    <w:p>
      <w:pPr>
        <w:spacing w:after="0" w:line="19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Notwithstanding the operational challenges created by these measures, our business continues to function and, to date, our customer service has not been adversely affected in any material respect. Despite these efforts,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certain measures that restrict the normal course of operations of businesses and consumers were still in place for the three months ended March 31, 2021, the Company and our sending agents are considered essential businesses under current governmental guidance and such measures did not have a material adverse effect on the Company’s financial condition, results of operations and cash flows for the three months ended March 31, 2021.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19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 quantification and discussion of these pandemic related effects, to the extent relevant and material, are included in the discussion of results of operations below.</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rapidly growing and leading money remittance services company focused primarily on the United States to Latin America and the Caribbean (“LAC”) corridor, which includes Mexico, Central and South America and the Caribbean. In recent years, we expanded our services to allow remittances to Africa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seven countries in Africa and two countries in Asia. Our services are accessible in person through over 100,000 independent sending and paying agents and 34 Company-operated stores, as well as online and via Internet-enabled mobile devices.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money remittance services enable our customers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Since January 2020 through March 31, 2021, we have grown our agent network by approximately 13%. For the three months ended March 31, 2021, principal amount sent increased by approximately 30% as compared to the same period in 2020 and total remittances processed were approximately 8.4 million, representing a 19% increase as compared to the same period in 2020.</w:t>
      </w:r>
    </w:p>
    <w:p>
      <w:pPr>
        <w:spacing w:after="0" w:line="2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non-bank financial institution in the United States, we are regulated by the Department of Treasury, the Internal Revenue Service, FinCEN, the Consumer Financial Protection Bureau,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and consumer disclosure and consumer protection laws, such as the California Consumer Privacy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97" w:lineRule="exact"/>
        <w:rPr>
          <w:sz w:val="20"/>
          <w:szCs w:val="20"/>
          <w:color w:val="auto"/>
        </w:rPr>
      </w:pPr>
    </w:p>
    <w:p>
      <w:pPr>
        <w:ind w:left="740" w:hanging="246"/>
        <w:spacing w:after="0" w:line="27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 volatility;</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of the jurisdictions in which we operate or plan to operate;</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 and</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Throughout 2020 and the first quarter of 2021, Latin American political and economic conditions have remained unstable, as evidenced by high unemployment rates in key markets, currency reserves, currency controls, restricted lending activity, weak currencies and low consumer confidence, some of which reflects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19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222"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Regulatory Affairs Officer, whose responsibility is to manage regulatory affairs and licensing.</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technology and brand recognition.</w:t>
      </w:r>
    </w:p>
    <w:p>
      <w:pPr>
        <w:sectPr>
          <w:pgSz w:w="11900" w:h="16838" w:orient="portrait"/>
          <w:cols w:equalWidth="0" w:num="1">
            <w:col w:w="11240"/>
          </w:cols>
          <w:pgMar w:left="320" w:top="125" w:right="339" w:bottom="1440" w:gutter="0" w:footer="0" w:header="0"/>
        </w:sectPr>
      </w:pPr>
    </w:p>
    <w:p>
      <w:pPr>
        <w:spacing w:after="0" w:line="1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which are experiencing customer adoption.</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11" w:lineRule="exact"/>
        <w:rPr>
          <w:sz w:val="20"/>
          <w:szCs w:val="20"/>
          <w:color w:val="auto"/>
        </w:rPr>
      </w:pPr>
    </w:p>
    <w:p>
      <w:pPr>
        <w:ind w:left="500" w:right="20" w:hanging="249"/>
        <w:spacing w:after="0" w:line="277"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480" w:hanging="229"/>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500" w:hanging="249"/>
        <w:spacing w:after="0" w:line="301"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exemption from compliance with any new requirements adopted by the Public Company Accounting Oversight Board requiring mandatory audit firm rotation or communication of Critical Audit Matters (“CAMs”) in the auditor’s report. A CAM is defined as any matter arising from the audit of the financial statements that was communicated or required to be communicated to the audit committee and that (1) relates to accounts or disclosures that are material to the financial statements; and (2) involves especially challenging, subjective, or complex auditor judgment.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2020, the market value of our common stock that is held by non-affiliates approximated $307.5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customer selects to send the transfer and the payer organization that facilitates the transaction.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w:t>
      </w: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technology, operations, finance and human resources. Our sales team, located throughout the United States and Canada, is focused on supporting and growing our sending agent network. Share-based compensation is recognized as an expense on a straight-line basis over the requisite service period; unrecognized compensation expense related to options, restricted stock units (“RSUs”), restricted stock awards (“RSAs”) and performance stock units (“PSUs”) of approximately $11.1 million is expected to be recognized over a weighted-average period of 2.1 years.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telecommunications, rent, insurance, professional services, non-income taxes, facilities maintenance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provision for credit losses and expenses associated with increasing our network of agents. These expenses are expected to continue to increase at a slower pace than our increase in revenues.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facility and a revolving credit facility. The effective interest rates for the three months ended March 31, 2021 for the term loan facility and revolving credit facility were 5.32% and 0.96%, respectively. Interest on the term loan and revolving credit facilities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2037. After consideration of all evidence, both positive and negative, management has determined that no valuation allowance is required at March 31, 2021 on the Company’s U.S. federal or state deferred tax assets; however, a valuation allowance of $0.2 million as of March 31, 2021 has been recorded on deferred tax assets associated with Canadian net operating loss carryforwards. Our income tax provision reflects the effects of state taxes, non-deductible expenses, share-based compensation expenses, and foreign tax rates applicable to the Company’s foreign subsidiaries that are higher or lower than the U.S. statutory rate.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restricted stock and performance stock units have vested, using the treasury stock method.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34 Company-operated stores throughout the United States and Canada. This is based on the objectives of the business and how our chief operating decision maker, the CEO and President, monitors operating performance and allocates resources.</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80,912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67,095</w:t>
            </w: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w:t>
            </w:r>
          </w:p>
        </w:tc>
      </w:tr>
      <w:tr>
        <w:trPr>
          <w:trHeight w:val="237"/>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29"/>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77,251</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52,227</w:t>
            </w: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7,359</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r>
      <w:tr>
        <w:trPr>
          <w:trHeight w:val="236"/>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67,613</w:t>
            </w:r>
          </w:p>
        </w:tc>
      </w:tr>
      <w:tr>
        <w:trPr>
          <w:trHeight w:val="270"/>
        </w:trPr>
        <w:tc>
          <w:tcPr>
            <w:tcW w:w="6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r>
      <w:tr>
        <w:trPr>
          <w:trHeight w:val="270"/>
        </w:trPr>
        <w:tc>
          <w:tcPr>
            <w:tcW w:w="6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57"/>
        </w:trPr>
        <w:tc>
          <w:tcPr>
            <w:tcW w:w="6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70"/>
        </w:trPr>
        <w:tc>
          <w:tcPr>
            <w:tcW w:w="6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56"/>
        </w:trPr>
        <w:tc>
          <w:tcPr>
            <w:tcW w:w="6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5"/>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March 31, 2021</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2020</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80,912</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85 %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67,095</w:t>
            </w:r>
          </w:p>
        </w:tc>
        <w:tc>
          <w:tcPr>
            <w:tcW w:w="126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3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94,577</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Wire transfer and money order fees, net of $80.9 million for the three months ended March 31, 2021 increased by $13.8 million from $67.1 million for the three months ended March 31, 2020. This increase of $13.8 million was primarily due to a 19% increase in transaction volume compared to the first quarter of 2020, largely due to the continued growth in our agent network, which increased by 13% from March 2020 to March 2021.</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Revenues from foreign exchange gain, net of $13.0 million for the three months ended March 31, 2021 increased by $3.4 million from $9.6 million for the three months ended March 31, 2020. This increase was primarily due to higher transaction volume achieved by growth in our agent network and a higher average amount sent by our customers as a result of increased foreign exchange volatility in the Mexican peso during the first quarter of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40" w:right="840"/>
        <w:spacing w:after="0" w:line="266" w:lineRule="auto"/>
        <w:rPr>
          <w:sz w:val="20"/>
          <w:szCs w:val="20"/>
          <w:color w:val="auto"/>
        </w:rPr>
      </w:pPr>
      <w:r>
        <w:rPr>
          <w:rFonts w:ascii="Arial" w:cs="Arial" w:eastAsia="Arial" w:hAnsi="Arial"/>
          <w:sz w:val="18"/>
          <w:szCs w:val="18"/>
          <w:color w:val="auto"/>
        </w:rPr>
        <w:t>Service charges from agents and banks Salaries and benefits</w:t>
      </w:r>
    </w:p>
    <w:p>
      <w:pPr>
        <w:ind w:left="140"/>
        <w:spacing w:after="0" w:line="296" w:lineRule="auto"/>
        <w:rPr>
          <w:sz w:val="20"/>
          <w:szCs w:val="20"/>
          <w:color w:val="auto"/>
        </w:rPr>
      </w:pPr>
      <w:r>
        <w:rPr>
          <w:rFonts w:ascii="Arial" w:cs="Arial" w:eastAsia="Arial" w:hAnsi="Arial"/>
          <w:sz w:val="18"/>
          <w:szCs w:val="18"/>
          <w:color w:val="auto"/>
        </w:rPr>
        <w:t>Other selling, general and administrative expenses Depreciation and amortization</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left="-63" w:right="80"/>
        <w:spacing w:after="0" w:line="224" w:lineRule="auto"/>
        <w:rPr>
          <w:sz w:val="20"/>
          <w:szCs w:val="20"/>
          <w:color w:val="auto"/>
        </w:rPr>
      </w:pPr>
      <w:r>
        <w:rPr>
          <w:rFonts w:ascii="Arial" w:cs="Arial" w:eastAsia="Arial" w:hAnsi="Arial"/>
          <w:sz w:val="18"/>
          <w:szCs w:val="18"/>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wp:posOffset>
            </wp:positionV>
            <wp:extent cx="9855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5520" cy="17145"/>
                    </a:xfrm>
                    <a:prstGeom prst="rect">
                      <a:avLst/>
                    </a:prstGeom>
                    <a:noFill/>
                  </pic:spPr>
                </pic:pic>
              </a:graphicData>
            </a:graphic>
          </wp:anchor>
        </w:drawing>
      </w:r>
    </w:p>
    <w:p>
      <w:pPr>
        <w:spacing w:after="0" w:line="224" w:lineRule="exact"/>
        <w:rPr>
          <w:sz w:val="20"/>
          <w:szCs w:val="20"/>
          <w:color w:val="auto"/>
        </w:rPr>
      </w:pPr>
    </w:p>
    <w:p>
      <w:pPr>
        <w:ind w:left="964" w:hanging="964"/>
        <w:spacing w:after="0"/>
        <w:tabs>
          <w:tab w:leader="none" w:pos="964" w:val="left"/>
        </w:tabs>
        <w:numPr>
          <w:ilvl w:val="0"/>
          <w:numId w:val="8"/>
        </w:numPr>
        <w:rPr>
          <w:rFonts w:ascii="Arial" w:cs="Arial" w:eastAsia="Arial" w:hAnsi="Arial"/>
          <w:sz w:val="16"/>
          <w:szCs w:val="16"/>
          <w:color w:val="auto"/>
        </w:rPr>
      </w:pPr>
      <w:r>
        <w:rPr>
          <w:rFonts w:ascii="Arial" w:cs="Arial" w:eastAsia="Arial" w:hAnsi="Arial"/>
          <w:sz w:val="16"/>
          <w:szCs w:val="16"/>
          <w:color w:val="auto"/>
        </w:rPr>
        <w:t>63,372</w:t>
      </w:r>
    </w:p>
    <w:p>
      <w:pPr>
        <w:spacing w:after="0" w:line="46" w:lineRule="exact"/>
        <w:rPr>
          <w:rFonts w:ascii="Arial" w:cs="Arial" w:eastAsia="Arial" w:hAnsi="Arial"/>
          <w:sz w:val="16"/>
          <w:szCs w:val="16"/>
          <w:color w:val="auto"/>
        </w:rPr>
      </w:pPr>
    </w:p>
    <w:p>
      <w:pPr>
        <w:ind w:left="1064"/>
        <w:spacing w:after="0"/>
        <w:rPr>
          <w:rFonts w:ascii="Arial" w:cs="Arial" w:eastAsia="Arial" w:hAnsi="Arial"/>
          <w:sz w:val="16"/>
          <w:szCs w:val="16"/>
          <w:color w:val="auto"/>
        </w:rPr>
      </w:pPr>
      <w:r>
        <w:rPr>
          <w:rFonts w:ascii="Arial" w:cs="Arial" w:eastAsia="Arial" w:hAnsi="Arial"/>
          <w:sz w:val="15"/>
          <w:szCs w:val="15"/>
          <w:color w:val="auto"/>
        </w:rPr>
        <w:t>9,875</w:t>
      </w:r>
    </w:p>
    <w:p>
      <w:pPr>
        <w:spacing w:after="0" w:line="57" w:lineRule="exact"/>
        <w:rPr>
          <w:rFonts w:ascii="Arial" w:cs="Arial" w:eastAsia="Arial" w:hAnsi="Arial"/>
          <w:sz w:val="16"/>
          <w:szCs w:val="16"/>
          <w:color w:val="auto"/>
        </w:rPr>
      </w:pPr>
    </w:p>
    <w:p>
      <w:pPr>
        <w:ind w:left="1064"/>
        <w:spacing w:after="0"/>
        <w:rPr>
          <w:rFonts w:ascii="Arial" w:cs="Arial" w:eastAsia="Arial" w:hAnsi="Arial"/>
          <w:sz w:val="16"/>
          <w:szCs w:val="16"/>
          <w:color w:val="auto"/>
        </w:rPr>
      </w:pPr>
      <w:r>
        <w:rPr>
          <w:rFonts w:ascii="Arial" w:cs="Arial" w:eastAsia="Arial" w:hAnsi="Arial"/>
          <w:sz w:val="15"/>
          <w:szCs w:val="15"/>
          <w:color w:val="auto"/>
        </w:rPr>
        <w:t>5,505</w:t>
      </w:r>
    </w:p>
    <w:p>
      <w:pPr>
        <w:spacing w:after="0" w:line="57" w:lineRule="exact"/>
        <w:rPr>
          <w:rFonts w:ascii="Arial" w:cs="Arial" w:eastAsia="Arial" w:hAnsi="Arial"/>
          <w:sz w:val="16"/>
          <w:szCs w:val="16"/>
          <w:color w:val="auto"/>
        </w:rPr>
      </w:pPr>
    </w:p>
    <w:p>
      <w:pPr>
        <w:ind w:left="1064"/>
        <w:spacing w:after="0"/>
        <w:rPr>
          <w:rFonts w:ascii="Arial" w:cs="Arial" w:eastAsia="Arial" w:hAnsi="Arial"/>
          <w:sz w:val="16"/>
          <w:szCs w:val="16"/>
          <w:color w:val="auto"/>
        </w:rPr>
      </w:pPr>
      <w:r>
        <w:rPr>
          <w:rFonts w:ascii="Arial" w:cs="Arial" w:eastAsia="Arial" w:hAnsi="Arial"/>
          <w:sz w:val="15"/>
          <w:szCs w:val="15"/>
          <w:color w:val="auto"/>
        </w:rPr>
        <w:t>2,335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-546100</wp:posOffset>
            </wp:positionV>
            <wp:extent cx="62407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0780" cy="14541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-254635</wp:posOffset>
            </wp:positionV>
            <wp:extent cx="62407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40780" cy="14541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36195</wp:posOffset>
            </wp:positionV>
            <wp:extent cx="62407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63" w:lineRule="exact"/>
        <w:rPr>
          <w:sz w:val="20"/>
          <w:szCs w:val="20"/>
          <w:color w:val="auto"/>
        </w:rPr>
      </w:pPr>
    </w:p>
    <w:p>
      <w:pPr>
        <w:ind w:left="964" w:hanging="964"/>
        <w:spacing w:after="0"/>
        <w:tabs>
          <w:tab w:leader="none" w:pos="964" w:val="left"/>
        </w:tabs>
        <w:numPr>
          <w:ilvl w:val="0"/>
          <w:numId w:val="9"/>
        </w:numPr>
        <w:rPr>
          <w:rFonts w:ascii="Arial" w:cs="Arial" w:eastAsia="Arial" w:hAnsi="Arial"/>
          <w:sz w:val="16"/>
          <w:szCs w:val="16"/>
          <w:color w:val="auto"/>
        </w:rPr>
      </w:pPr>
      <w:r>
        <w:rPr>
          <w:rFonts w:ascii="Arial" w:cs="Arial" w:eastAsia="Arial" w:hAnsi="Arial"/>
          <w:sz w:val="16"/>
          <w:szCs w:val="16"/>
          <w:color w:val="auto"/>
        </w:rPr>
        <w:t>81,087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9855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 of</w:t>
            </w:r>
          </w:p>
        </w:tc>
      </w:tr>
      <w:tr>
        <w:trPr>
          <w:trHeight w:val="223"/>
        </w:trPr>
        <w:tc>
          <w:tcPr>
            <w:tcW w:w="1040" w:type="dxa"/>
            <w:vAlign w:val="bottom"/>
          </w:tcPr>
          <w:p>
            <w:pPr>
              <w:jc w:val="right"/>
              <w:ind w:right="250"/>
              <w:spacing w:after="0"/>
              <w:rPr>
                <w:sz w:val="20"/>
                <w:szCs w:val="20"/>
                <w:color w:val="auto"/>
              </w:rPr>
            </w:pPr>
            <w:r>
              <w:rPr>
                <w:rFonts w:ascii="Arial" w:cs="Arial" w:eastAsia="Arial" w:hAnsi="Arial"/>
                <w:sz w:val="18"/>
                <w:szCs w:val="18"/>
                <w:color w:val="auto"/>
                <w:w w:val="83"/>
              </w:rPr>
              <w:t>Revenues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2020</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Revenues</w:t>
            </w:r>
          </w:p>
        </w:tc>
      </w:tr>
      <w:tr>
        <w:trPr>
          <w:trHeight w:val="445"/>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67 %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52,227</w:t>
            </w:r>
          </w:p>
        </w:tc>
        <w:tc>
          <w:tcPr>
            <w:tcW w:w="124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7,359</w:t>
            </w: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5,337</w:t>
            </w: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7"/>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86 %</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67,613</w:t>
            </w:r>
          </w:p>
        </w:tc>
        <w:tc>
          <w:tcPr>
            <w:tcW w:w="124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1"/>
        </w:trPr>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780" w:space="336"/>
            <w:col w:w="1464" w:space="400"/>
            <w:col w:w="5260"/>
          </w:cols>
          <w:pgMar w:left="320" w:top="125" w:right="339" w:bottom="1440" w:gutter="0" w:footer="0" w:header="0"/>
          <w:type w:val="continuous"/>
        </w:sectPr>
      </w:pP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$63.4 million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$52.2 million for the three months ended March 31, 2020. The increase of $11.2 million was primarily due to the increase in transaction volume described above.</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$9.9 million for the three months ended March 31, 2021 increased by $2.5 million from $7.4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2020. The increase of $2.5 million is primarily due to $1.6 million in increased wages to support the continued growth of our business, a $0.7 million increase in commission expense for our sales representatives and $0.2 million increase in share-based compensation as a result of new awards granted in March 2021.</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$5.5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increased by $0.2 million from $5.3 million for the three months ended March 31,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the result of:</w:t>
      </w:r>
    </w:p>
    <w:p>
      <w:pPr>
        <w:spacing w:after="0" w:line="252" w:lineRule="exact"/>
        <w:rPr>
          <w:sz w:val="20"/>
          <w:szCs w:val="20"/>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$0.4 million - increase in advertising and promotion expense due to a change in marketing strategy;</w:t>
      </w:r>
    </w:p>
    <w:p>
      <w:pPr>
        <w:spacing w:after="0" w:line="23" w:lineRule="exact"/>
        <w:rPr>
          <w:rFonts w:ascii="Arial" w:cs="Arial" w:eastAsia="Arial" w:hAnsi="Arial"/>
          <w:sz w:val="18"/>
          <w:szCs w:val="18"/>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 higher rent, property taxes and other operating expenses;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$0.1 million - higher IT related expenses incurred to sustain our business expansion.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jc w:val="both"/>
        <w:ind w:left="740" w:hanging="246"/>
        <w:spacing w:after="0" w:line="263" w:lineRule="auto"/>
        <w:tabs>
          <w:tab w:leader="none" w:pos="7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$0.6 million - reduction in provision for credit losses, as the three months ended March 31, 2020 include certain losses resulting from the deterioration of the creditworthiness of a small number of sending agents rather than the result of sending agents that were adversely affected by the COVID-19 pandemic.</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$2.3 million for the three months ended March 31, 2021 decreased by $0.4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$2.7 million for the three months ended March 31, 2020. This decrease is mainly due to $0.5 million less amortization related to our trade name, developed technology and agent relationships during the first quarter of 2021, as these intangibles are being amortized on an accelerated basis, which declines over time. This decrease was partially offset by an increase in depreciation of $0.1 million associated primarily with additional computer equipment to support our growing business and sending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$1.3 million for the three months ended March 31, 2021 decreased by $0.6 million from $1.9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The decrease was primarily due to a reduction in market interest rates paid under the Credit Agreement (as defined below) and lower drawings under the revolving credit facility.</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$3.2 million for the three months ended March 31, 2021, which represents an increase of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$2.1 million for the three months ended March 31, 2020. The increase in the income tax provision was mainly attributable to higher taxable income resulting from higher revenues.</w:t>
      </w:r>
    </w:p>
    <w:p>
      <w:pPr>
        <w:sectPr>
          <w:pgSz w:w="11900" w:h="16838" w:orient="portrait"/>
          <w:cols w:equalWidth="0" w:num="1">
            <w:col w:w="11240"/>
          </w:cols>
          <w:pgMar w:left="320" w:top="125" w:right="339" w:bottom="1440" w:gutter="0" w:footer="0" w:header="0"/>
          <w:type w:val="continuous"/>
        </w:sectPr>
      </w:pP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$9.0 million for the three months ended March 31, 2021 compared to net income of $5.7 million for the three months ended March 31, 2020, which resulted in an increase of $3.3 million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acquisition activity, which varies from period to period and amortization of intangibles expense is primarily related to the effects of push down accounting resulting from acquisitions.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amounts necessary to service interest or principal payments on our Credit Agreement;</w:t>
      </w:r>
    </w:p>
    <w:p>
      <w:pPr>
        <w:spacing w:after="0" w:line="275" w:lineRule="exact"/>
        <w:rPr>
          <w:rFonts w:ascii="Arial" w:cs="Arial" w:eastAsia="Arial" w:hAnsi="Arial"/>
          <w:sz w:val="16"/>
          <w:szCs w:val="16"/>
          <w:color w:val="auto"/>
        </w:rPr>
      </w:pPr>
    </w:p>
    <w:p>
      <w:pPr>
        <w:ind w:left="740" w:hanging="246"/>
        <w:spacing w:after="0" w:line="277"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push-down accounting, which will recur in future periods until these assets have been fully amortized, non-cash compensation costs, litigation settlements and other items set forth in the table below, as these charges and expenses are not considered a part of our core business operations and are not an indicator of ongoing, future company performance.</w:t>
      </w:r>
    </w:p>
    <w:p>
      <w:pPr>
        <w:spacing w:after="0" w:line="214"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Adjusted Net Income for the three months ended March 31, 2021 was $10.6 million, representing an increase of $3.0 million, or 40.0%, from Adjusted Net Income of $7.6 million for the three months ended March 31, 2020. The increase in Adjusted Net Income was</w:t>
      </w: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primarily due to the increase in revenues of $17.3 million, offset primarily by an increase in service charges from agents and banks of $11.2 million due to higher transaction volume.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7"/>
              </w:rPr>
              <w:t>Three Months Ended March 31,</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TCPA settlement (b)</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(e)</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7,596</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0"/>
        </w:trPr>
        <w:tc>
          <w:tcPr>
            <w:tcW w:w="6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38,239,130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38,035,014</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38,846,906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38,038,674</w:t>
            </w:r>
          </w:p>
        </w:tc>
      </w:tr>
    </w:tbl>
    <w:p>
      <w:pPr>
        <w:spacing w:after="0" w:line="322" w:lineRule="exact"/>
        <w:rPr>
          <w:sz w:val="20"/>
          <w:szCs w:val="20"/>
          <w:color w:val="auto"/>
        </w:rPr>
      </w:pPr>
    </w:p>
    <w:p>
      <w:pPr>
        <w:ind w:left="420" w:hanging="331"/>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pacing w:after="0" w:line="9" w:lineRule="exact"/>
        <w:rPr>
          <w:rFonts w:ascii="Arial" w:cs="Arial" w:eastAsia="Arial" w:hAnsi="Arial"/>
          <w:sz w:val="18"/>
          <w:szCs w:val="18"/>
          <w:color w:val="auto"/>
        </w:rPr>
      </w:pPr>
    </w:p>
    <w:p>
      <w:pPr>
        <w:ind w:left="400" w:hanging="311"/>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420" w:right="280" w:hanging="331"/>
        <w:spacing w:after="0" w:line="260" w:lineRule="auto"/>
        <w:tabs>
          <w:tab w:leader="none" w:pos="4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Adjusted Earnings per Share - Basic for the three months ended March 31, 2021 was $0.28, representing an increase of $0.08, or 40%, compared to $0.20 for the three months ended March 31, 2020.</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Earnings per Share - Diluted for the three months ended March 31, 2021 was $0.27, representing an increase of $0.07, or 35%, compared to $0.20 for the three months ended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46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30"/>
        </w:trPr>
        <w:tc>
          <w:tcPr>
            <w:tcW w:w="46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Basic and Diluted</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0.15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left="1030"/>
              <w:spacing w:after="0"/>
              <w:rPr>
                <w:sz w:val="20"/>
                <w:szCs w:val="20"/>
                <w:color w:val="auto"/>
              </w:rPr>
            </w:pPr>
            <w:r>
              <w:rPr>
                <w:rFonts w:ascii="Arial" w:cs="Arial" w:eastAsia="Arial" w:hAnsi="Arial"/>
                <w:sz w:val="18"/>
                <w:szCs w:val="18"/>
                <w:color w:val="auto"/>
                <w:w w:val="91"/>
              </w:rPr>
              <w:t>0.02</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NM</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1560" w:type="dxa"/>
            <w:vAlign w:val="bottom"/>
          </w:tcPr>
          <w:p>
            <w:pPr>
              <w:ind w:left="1260"/>
              <w:spacing w:after="0"/>
              <w:rPr>
                <w:sz w:val="20"/>
                <w:szCs w:val="20"/>
                <w:color w:val="auto"/>
              </w:rPr>
            </w:pPr>
            <w:r>
              <w:rPr>
                <w:rFonts w:ascii="Arial" w:cs="Arial" w:eastAsia="Arial" w:hAnsi="Arial"/>
                <w:sz w:val="18"/>
                <w:szCs w:val="18"/>
                <w:color w:val="auto"/>
                <w:w w:val="99"/>
              </w:rPr>
              <w:t>NM</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1"/>
              </w:rPr>
              <w:t>0.04</w:t>
            </w:r>
          </w:p>
        </w:tc>
      </w:tr>
      <w:tr>
        <w:trPr>
          <w:trHeight w:val="236"/>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3"/>
              </w:rPr>
              <w:t>(0.02)</w:t>
            </w:r>
          </w:p>
        </w:tc>
      </w:tr>
      <w:tr>
        <w:trPr>
          <w:trHeight w:val="25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b w:val="1"/>
                <w:bCs w:val="1"/>
                <w:color w:val="auto"/>
                <w:w w:val="91"/>
              </w:rPr>
              <w:t>0.20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Per share amounts are not meaningful.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for the three months ended March 31, 2021 was $16.8 million, representing an increase of $3.6 million, or 27.4%, from $13.2 million for the three months ended March 31, 2020. The increase in Adjusted EBITDA was primarily due to the increase in revenues of $17.3 million, offset primarily by an increase in service charges from agents and banks of $11.2 million due to an increase in transaction volume.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6"/>
              </w:rPr>
              <w:t>Three Months Ended March 31,</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12,328</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TCPA settlement (b)</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13,220</w:t>
            </w:r>
          </w:p>
        </w:tc>
      </w:tr>
      <w:tr>
        <w:trPr>
          <w:trHeight w:val="21"/>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hanging="331"/>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liquidity in terms of cash flows from operations and their sufficiency to fund business operations, including working capital needs, debt service, acquisitions, contractual obligations and other commitments. In particular, to meet our payment service obligations at all times, we must have sufficient highly liquid assets and be able to move funds on a timely basis.</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 to day operations, to pay interest and principal on our indebtedness, to fund working capital requirements and to make capital expenditures.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Notwithstanding the recent effects of the COVID-19 pandemic in the U.S. economy, we have funded and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and other factors, we maintain a strong cash balance position and have access to committed funding sources, which we have used only on a limited and ordinary course basis during the three months ended March 31, 2021.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w:t>
      </w:r>
    </w:p>
    <w:p>
      <w:pPr>
        <w:spacing w:after="0" w:line="2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and certain of its domestic subsidiaries as borrowers (the “Loan Parties”) entered into a financing agreement (as amended, the “Credit Agreement”) with a group of banking institutions. The Credit Agreement provides for a $35 million revolving credit facility, a $90 million term loan facility and an up to $30 million incremental facility of which $12 million was utilized during 2019. The Credit Agreement also provides for the issuance of letters of credit, which would reduce availability under the revolving credit facility. The maturity date of the Credit Agreement is November 7, 2023.</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we had total indebtedness of $102.5 million, consisting of $87.5 million of borrowings under the term loan facility, $15.0 million in borrowings under the revolving credit facility and excluding debt origination costs of $1.6 million. There were $38.0 million of additional borrowings available under these facilities as of March 31, 2021.</w:t>
      </w:r>
    </w:p>
    <w:p>
      <w:pPr>
        <w:sectPr>
          <w:pgSz w:w="11900" w:h="16838" w:orient="portrait"/>
          <w:cols w:equalWidth="0" w:num="1">
            <w:col w:w="11240"/>
          </w:cols>
          <w:pgMar w:left="320" w:top="125" w:right="339" w:bottom="1440" w:gutter="0" w:footer="0" w:header="0"/>
        </w:sectPr>
      </w:pPr>
    </w:p>
    <w:p>
      <w:pPr>
        <w:spacing w:after="0" w:line="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on the term loan and revolving credit facilities of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three months ended March 31, 2021 for the term loan facility and revolving credit facility were 5.32% and 0.96%, respectively.</w:t>
      </w:r>
    </w:p>
    <w:p>
      <w:pPr>
        <w:spacing w:after="0" w:line="21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 in year 1, 7.5% in years 2 and 3, and 10% in years 4 and 5, in each case on the last day of each quarter, which commenced in March 2019 with a final payment at maturity. The loans under the Credit Agreement may be prepaid at any time without payment or penalty.</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contains financial covenants that require the Company to maintain a quarterly minimum fixed charge coverage ratio of 1.25:1.00 and a quarterly maximum consolidated leverage ratio of 3.25:1.00. As of March 31, 2021 and December 31, 2020, we were in compliance with the covenants of the Credit Agreement.</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Credit Agreement establishes certain restrictions on payment of dividends or cash distributions other than for certain purposes, including the following: i) to pay cash dividends to the Company in an amount necessary to cover reasonable and customary corporate and operating expenses, ii) to purchase, redeem or otherwise acquire warrants, rights or options on the Company’s common stock of an aggregate amount of up to $10 million plus the Available Amount (as defined in the Credit Agreement), iii) to repurchase the Company’s common stock from current or former employees in an aggregate amount of up to $5 million per calendar year, and iv) other restricted payments in an aggregate amount not to exceed $5 million plus the Available Amount.</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restrictions described above, among others, substantially all of the Company’s net assets as of March 31, 2021 and December 31, 2020 are considered restricted net assets.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indebtedness, which may limit our operating flexibility and could adversely affect our business,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Annual Report on Form 10-K for the year ended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Cash Flows Data:</w:t>
      </w:r>
    </w:p>
    <w:p>
      <w:pPr>
        <w:spacing w:after="0" w:line="23" w:lineRule="exact"/>
        <w:rPr>
          <w:sz w:val="20"/>
          <w:szCs w:val="20"/>
          <w:color w:val="auto"/>
        </w:rPr>
      </w:pPr>
    </w:p>
    <w:p>
      <w:pPr>
        <w:ind w:left="20" w:right="1860"/>
        <w:spacing w:after="0" w:line="266" w:lineRule="auto"/>
        <w:rPr>
          <w:sz w:val="20"/>
          <w:szCs w:val="20"/>
          <w:color w:val="auto"/>
        </w:rPr>
      </w:pPr>
      <w:r>
        <w:rPr>
          <w:rFonts w:ascii="Arial" w:cs="Arial" w:eastAsia="Arial" w:hAnsi="Arial"/>
          <w:sz w:val="18"/>
          <w:szCs w:val="18"/>
          <w:color w:val="auto"/>
        </w:rPr>
        <w:t>Net cash (used in) provided by operating activities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97471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97471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exchange rate changes on cash</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end of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44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(32,406)</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18,780</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(1,915)</w:t>
            </w:r>
          </w:p>
        </w:tc>
      </w:tr>
      <w:tr>
        <w:trPr>
          <w:trHeight w:val="237"/>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15,721</w:t>
            </w:r>
          </w:p>
        </w:tc>
      </w:tr>
      <w:tr>
        <w:trPr>
          <w:trHeight w:val="492"/>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operating activities was $32.4 million for the three months ended March 31, 2021, a decrease of $51.2 million from net cash provided by operating activities of $18.8 million for the three months ended March 31, 2020. The decrease is a result of additional prefunding to our paying agents to fund wire activity during the Holy Week celebration in Latin America, offset by additional cash</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generated by our operating results for the three months ended March 31, 2021, which were positively impacted by the further growth of the business.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$1.9 million for the three months ended March 31, 2021, representing an increase of $1.0 million from net cash used in investing activities of $0.9 million for the three months ended March 31, 2020. This increase was due to higher purchases of property and equipment during the three months ended March 31, 2021 as a result of our business expansion.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was $14.5 million for the three months ended March 31, 2021, which primarily consisted of $15.0 million in a draw of our revolving credit facility in order to prefund our paying agents in preparation for wire activity during the Holy Week celebration in Latin America, and $1.4 million in proceeds from issuance of stock as a result of the exercise of options, offset by a $1.9 million scheduled quarterly payment due on the term loan facility.</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was $1.9 million for the three months ended March 31, 2020, which consisted of a scheduled quarterly payment due on the term loan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March 31, 2021, our contractual obligations over the next several periods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Less than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More than</w:t>
            </w:r>
          </w:p>
        </w:tc>
      </w:tr>
      <w:tr>
        <w:trPr>
          <w:trHeight w:val="23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3 to 5 years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5 years</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condensed consolidated balance sheet reflects $100.9 million of debt as of March 31, 2021, as the principal payment obligations of $102.5 million are gross of unamortized debt origination costs. The above table reflects the principal and interest of the revolving credit facility and term loan facility under the Credit Agreement that will be paid through the term of the debt using the rates in effect on March 31, 2021 and assuming no voluntary prepayments of principal.</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not a party to any material off-balance sheet arrangements, such as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w:t>
      </w:r>
      <w:r>
        <w:rPr>
          <w:rFonts w:ascii="Arial" w:cs="Arial" w:eastAsia="Arial" w:hAnsi="Arial"/>
          <w:sz w:val="16"/>
          <w:szCs w:val="16"/>
          <w:i w:val="1"/>
          <w:iCs w:val="1"/>
          <w:color w:val="auto"/>
        </w:rPr>
        <w:t>Management’s Discussion and Analysis of Financial Condition and Results of Operations - Critical Accounting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Estimates</w:t>
      </w:r>
      <w:r>
        <w:rPr>
          <w:rFonts w:ascii="Arial" w:cs="Arial" w:eastAsia="Arial" w:hAnsi="Arial"/>
          <w:sz w:val="16"/>
          <w:szCs w:val="16"/>
          <w:color w:val="auto"/>
        </w:rPr>
        <w:t>” in our Annual Report on Form 10-K for the year ended December 31, 2020, for which there were no material changes, included the following: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Revenue Recognition</w:t>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Accounts Receivable and Allowance for Credit Losses</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Note 1 of our unaudited condensed consolidated financial statements included in this filing for further information on recent accounting pronouncements.</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 and money orders payable, net in our condensed consolidated balance sheets as of March 31, 2021 and December 31, 2020, there are $3.3 million and $7.6 million, respectively, of wires payable denominated in foreign currencies, primarily Mexican pesos and Guatemalan quetzales.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Also, included in prepaid wires, net in our consolidated balance sheets as of March 31, 2021 and December 31, 2020, there are $84.7 million and $50.1 million, respectively, of prepaid wires denominated in foreign currencies, primarily Mexican pesos and Guatemalan quetzales.</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three months ended March 31, 2021. Therefore, a 10% increase or decrease in these currency rates against the U.S. dollar would result in a de minimis change to our overall operating results.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94"/>
              </w:rPr>
              <w:t>2020</w:t>
            </w:r>
          </w:p>
        </w:tc>
      </w:tr>
      <w:tr>
        <w:trPr>
          <w:trHeight w:val="245"/>
        </w:trPr>
        <w:tc>
          <w:tcPr>
            <w:tcW w:w="3940" w:type="dxa"/>
            <w:vAlign w:val="bottom"/>
          </w:tcPr>
          <w:p>
            <w:pPr>
              <w:spacing w:after="0"/>
              <w:rPr>
                <w:sz w:val="21"/>
                <w:szCs w:val="21"/>
                <w:color w:val="auto"/>
              </w:rPr>
            </w:pPr>
          </w:p>
        </w:tc>
        <w:tc>
          <w:tcPr>
            <w:tcW w:w="1200" w:type="dxa"/>
            <w:vAlign w:val="bottom"/>
          </w:tcPr>
          <w:p>
            <w:pPr>
              <w:jc w:val="right"/>
              <w:ind w:right="9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0" w:type="dxa"/>
            <w:vAlign w:val="bottom"/>
          </w:tcPr>
          <w:p>
            <w:pPr>
              <w:spacing w:after="0"/>
              <w:rPr>
                <w:sz w:val="21"/>
                <w:szCs w:val="21"/>
                <w:color w:val="auto"/>
              </w:rPr>
            </w:pPr>
          </w:p>
        </w:tc>
        <w:tc>
          <w:tcPr>
            <w:tcW w:w="1460" w:type="dxa"/>
            <w:vAlign w:val="bottom"/>
            <w:gridSpan w:val="2"/>
          </w:tcPr>
          <w:p>
            <w:pPr>
              <w:ind w:left="38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200" w:type="dxa"/>
            <w:vAlign w:val="bottom"/>
          </w:tcPr>
          <w:p>
            <w:pPr>
              <w:jc w:val="right"/>
              <w:ind w:right="11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1200" w:type="dxa"/>
            <w:vAlign w:val="bottom"/>
          </w:tcPr>
          <w:p>
            <w:pPr>
              <w:jc w:val="right"/>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r>
      <w:tr>
        <w:trPr>
          <w:trHeight w:val="230"/>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U.S. dollar/Guatemala Quetzal</w:t>
            </w:r>
          </w:p>
        </w:tc>
        <w:tc>
          <w:tcPr>
            <w:tcW w:w="1200" w:type="dxa"/>
            <w:vAlign w:val="bottom"/>
          </w:tcPr>
          <w:p>
            <w:pPr>
              <w:jc w:val="right"/>
              <w:spacing w:after="0"/>
              <w:rPr>
                <w:sz w:val="20"/>
                <w:szCs w:val="20"/>
                <w:color w:val="auto"/>
              </w:rPr>
            </w:pPr>
            <w:r>
              <w:rPr>
                <w:rFonts w:ascii="Arial" w:cs="Arial" w:eastAsia="Arial" w:hAnsi="Arial"/>
                <w:sz w:val="18"/>
                <w:szCs w:val="18"/>
                <w:color w:val="auto"/>
              </w:rPr>
              <w:t>7.70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bl>
    <w:p>
      <w:pPr>
        <w:spacing w:after="0" w:line="46"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March 31, 2021 and December 31, 2020.</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three months ended March 31, 2021 and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sustained appreciation of the Mexican peso or Guatemalan quetzal as compared to the U.S. dollar could affect our margins.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we had $102.5 million in outstanding borrowings under the term loan and revolving credit facility. A hypothetical 1% increase or decrease in the interest rate on our indebtedness as of March 31, 2021 would have increased or decreased cash interest expense on our term loan facility by approximately $0.9 million per annum.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insured. During the three months ended March 31, 2021, we have not incurred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March 31, 2021, we also had $1.3 million outstanding of notes receivable from sending agents. Most of the notes are collateralized by personal guarantees from the</w:t>
      </w:r>
    </w:p>
    <w:p>
      <w:pPr>
        <w:sectPr>
          <w:pgSz w:w="11900" w:h="16838" w:orient="portrait"/>
          <w:cols w:equalWidth="0" w:num="1">
            <w:col w:w="11240"/>
          </w:cols>
          <w:pgMar w:left="320" w:top="125" w:right="339" w:bottom="1440" w:gutter="0" w:footer="0" w:header="0"/>
        </w:sectPr>
      </w:pPr>
    </w:p>
    <w:p>
      <w:pPr>
        <w:spacing w:after="0" w:line="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sending agents and by assets from their businesses. Due to the COVID-19 pandemic, it is possible we could be adversely affected by credit losses, such as those related to our outstanding notes receivables from sending agents. At the date of this report, however, we are not aware of any significant exposure and are continuing to monitor our credit risk.</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credit losses was approximately $0.2 million for the three months ended March 31, 2021 (0.2% of total revenues) and $0.7 million for the three months ended March 31, 2020 (1% of total revenues). The decrease in our provision for credit losses in the three months ended March 31, 2021 is due to the 2020 provision including losses resulting from the deterioration of the creditworthiness of a small number of sending agents rather than the result of sending agents that were adversely affected by the COVID-19 pandemic.</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March 31, 2021.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March 31,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13 – Commitments and Contingencies in the Unaudited Condensed Consolidated Financial Statements of International Money Express, Inc. contained elsewhere in this Quarterly Report on Form 10–Q for information regarding certain legal proceedings to which we are a party, which information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2020 (the “2020 Form 10-K”). Prospective investors are encouraged to consider the risks described in our 2020 Form 10-K, our Management’s Discussion and Analysis of Financial Condition and Results of Operations contained in this Quarterly Report on Form 10-Q and in our 2020 Form 10-K, and other information publicly disclosed or contained in documents we file with the Securities and Exchange Commission before purchasing our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760" w:type="dxa"/>
            <w:vAlign w:val="bottom"/>
          </w:tcPr>
          <w:p>
            <w:pPr>
              <w:ind w:left="22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Amended and Restated Employment Agreement by and between Robert Lisy and Intermex Holdings, Inc., dated as of</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spacing w:after="0" w:line="190" w:lineRule="exact"/>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w w:val="93"/>
              </w:rPr>
              <w:t>January 5, 2021 (incorporated by reference to Exhibit 10.1 to the Registrant’s Current Report on Form 8-K filed on</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8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January 6, 2021).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31.</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Executive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Financial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Executive Officer pursuant to 18 U.S.C. § 1350.</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32.</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Financial Officer pursuant to 18 U.S.C. § 1350.</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1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The cover page from the Company’s Quarterly Report on Form 10-Q for the quarter ended March 31, 2021, formatted</w:t>
            </w:r>
          </w:p>
        </w:tc>
        <w:tc>
          <w:tcPr>
            <w:tcW w:w="0" w:type="dxa"/>
            <w:vAlign w:val="bottom"/>
          </w:tcPr>
          <w:p>
            <w:pPr>
              <w:spacing w:after="0"/>
              <w:rPr>
                <w:sz w:val="1"/>
                <w:szCs w:val="1"/>
                <w:color w:val="auto"/>
              </w:rPr>
            </w:pPr>
          </w:p>
        </w:tc>
      </w:tr>
      <w:tr>
        <w:trPr>
          <w:trHeight w:val="122"/>
        </w:trPr>
        <w:tc>
          <w:tcPr>
            <w:tcW w:w="1120" w:type="dxa"/>
            <w:vAlign w:val="bottom"/>
            <w:gridSpan w:val="3"/>
            <w:vMerge w:val="continue"/>
            <w:shd w:val="clear" w:color="auto" w:fill="CCEEFF"/>
          </w:tcPr>
          <w:p>
            <w:pPr>
              <w:spacing w:after="0"/>
              <w:rPr>
                <w:sz w:val="10"/>
                <w:szCs w:val="10"/>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in Inline XBRL (included with the Exhibit 101 attachments).</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80" w:right="5459" w:firstLine="9"/>
        <w:spacing w:after="0" w:line="258" w:lineRule="auto"/>
        <w:tabs>
          <w:tab w:leader="none" w:pos="3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83" w:lineRule="exact"/>
        <w:rPr>
          <w:sz w:val="20"/>
          <w:szCs w:val="20"/>
          <w:color w:val="auto"/>
        </w:rPr>
      </w:pPr>
    </w:p>
    <w:p>
      <w:pPr>
        <w:ind w:left="1320"/>
        <w:spacing w:after="0"/>
        <w:tabs>
          <w:tab w:leader="none" w:pos="4060" w:val="left"/>
          <w:tab w:leader="none" w:pos="50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14605</wp:posOffset>
            </wp:positionV>
            <wp:extent cx="31889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Robert Lisy</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1320"/>
        <w:spacing w:after="0"/>
        <w:tabs>
          <w:tab w:leader="none" w:pos="4060" w:val="left"/>
          <w:tab w:leader="none" w:pos="50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14605</wp:posOffset>
            </wp:positionV>
            <wp:extent cx="31889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Andras Bende</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25"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2021</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2021</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Andras Bende</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Andras Bende</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1" w:lineRule="exact"/>
        <w:rPr>
          <w:sz w:val="20"/>
          <w:szCs w:val="20"/>
          <w:color w:val="auto"/>
        </w:rPr>
      </w:pPr>
    </w:p>
    <w:p>
      <w:pPr>
        <w:ind w:left="660" w:right="20" w:hanging="652"/>
        <w:spacing w:after="0" w:line="30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2021</w:t>
      </w:r>
    </w:p>
    <w:p>
      <w:pPr>
        <w:spacing w:after="0" w:line="27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I, Andras Bende, Chief Financial Officer of International Money Express, Inc. (the “Company”), certify, pursuant to 18 U.S.C. Section 1350, that, to my knowledge:</w:t>
      </w:r>
    </w:p>
    <w:p>
      <w:pPr>
        <w:spacing w:after="0" w:line="171" w:lineRule="exact"/>
        <w:rPr>
          <w:sz w:val="20"/>
          <w:szCs w:val="20"/>
          <w:color w:val="auto"/>
        </w:rPr>
      </w:pPr>
    </w:p>
    <w:p>
      <w:pPr>
        <w:ind w:left="660" w:right="20" w:hanging="652"/>
        <w:spacing w:after="0" w:line="30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20" w:right="200" w:hanging="12"/>
        <w:spacing w:after="0" w:line="610"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2021</w:t>
      </w:r>
    </w:p>
    <w:p>
      <w:pPr>
        <w:spacing w:after="0" w:line="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Andras Bende</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0" Type="http://schemas.openxmlformats.org/officeDocument/2006/relationships/hyperlink" Target="http://www.sec.gov/Archives/edgar/data/1683695/000114036121000288/brhc1001865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2021-05-10T15:14:13Z</dcterms:created>
  <dcterms:modified xsi:type="dcterms:W3CDTF">2021-05-10T15:14:13Z</dcterms:modified>
</cp:coreProperties>
</file>