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120"/>
        <w:jc w:val="center"/>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 to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bl>
    <w:tbl>
      <w:tblPr>
        <w:tblW w:w="7706" w:type="dxa"/>
        <w:jc w:val="left"/>
        <w:tblInd w:w="0" w:type="dxa"/>
        <w:tblLayout w:type="fixed"/>
        <w:tblCellMar>
          <w:top w:w="28" w:type="dxa"/>
          <w:left w:w="28" w:type="dxa"/>
          <w:bottom w:w="28" w:type="dxa"/>
          <w:right w:w="28" w:type="dxa"/>
        </w:tblCellMar>
      </w:tblPr>
      <w:tblGrid>
        <w:gridCol w:w="1684"/>
        <w:gridCol w:w="1479"/>
        <w:gridCol w:w="1501"/>
        <w:gridCol w:w="109"/>
        <w:gridCol w:w="109"/>
        <w:gridCol w:w="109"/>
        <w:gridCol w:w="793"/>
        <w:gridCol w:w="793"/>
        <w:gridCol w:w="1129"/>
      </w:tblGrid>
      <w:tr>
        <w:trPr/>
        <w:tc>
          <w:tcPr>
            <w:tcW w:w="168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47-4219082</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9100 South Dadeland Blvd., Ste. 1100, 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33156</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tbl>
      <w:tblPr>
        <w:tblW w:w="3900" w:type="dxa"/>
        <w:jc w:val="left"/>
        <w:tblInd w:w="0" w:type="dxa"/>
        <w:tblLayout w:type="fixed"/>
        <w:tblCellMar>
          <w:top w:w="28" w:type="dxa"/>
          <w:left w:w="28" w:type="dxa"/>
          <w:bottom w:w="28" w:type="dxa"/>
          <w:right w:w="28" w:type="dxa"/>
        </w:tblCellMar>
      </w:tblPr>
      <w:tblGrid>
        <w:gridCol w:w="1246"/>
        <w:gridCol w:w="1097"/>
        <w:gridCol w:w="1557"/>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(305) 671-8000</w:t>
            </w:r>
          </w:p>
        </w:tc>
      </w:tr>
      <w:tr>
        <w:trPr/>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27" w:type="dxa"/>
        <w:jc w:val="center"/>
        <w:tblInd w:w="0" w:type="dxa"/>
        <w:tblLayout w:type="fixed"/>
        <w:tblCellMar>
          <w:top w:w="28" w:type="dxa"/>
          <w:left w:w="28" w:type="dxa"/>
          <w:bottom w:w="28" w:type="dxa"/>
          <w:right w:w="28" w:type="dxa"/>
        </w:tblCellMar>
      </w:tblPr>
      <w:tblGrid>
        <w:gridCol w:w="1078"/>
        <w:gridCol w:w="947"/>
        <w:gridCol w:w="959"/>
        <w:gridCol w:w="109"/>
        <w:gridCol w:w="109"/>
        <w:gridCol w:w="109"/>
        <w:gridCol w:w="554"/>
        <w:gridCol w:w="554"/>
        <w:gridCol w:w="556"/>
        <w:gridCol w:w="109"/>
        <w:gridCol w:w="109"/>
        <w:gridCol w:w="109"/>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IMXI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tbl>
      <w:tblPr>
        <w:tblW w:w="4740" w:type="dxa"/>
        <w:jc w:val="center"/>
        <w:tblInd w:w="0" w:type="dxa"/>
        <w:tblLayout w:type="fixed"/>
        <w:tblCellMar>
          <w:top w:w="28" w:type="dxa"/>
          <w:left w:w="28" w:type="dxa"/>
          <w:bottom w:w="28" w:type="dxa"/>
          <w:right w:w="28" w:type="dxa"/>
        </w:tblCellMar>
      </w:tblPr>
      <w:tblGrid>
        <w:gridCol w:w="1514"/>
        <w:gridCol w:w="1332"/>
        <w:gridCol w:w="189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tc>
      </w:tr>
      <w:tr>
        <w:trPr/>
        <w:tc>
          <w:tcPr>
            <w:tcW w:w="4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08"/>
        <w:gridCol w:w="608"/>
        <w:gridCol w:w="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240"/>
        <w:ind w:left="0" w:right="0" w:firstLine="72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June 28, 2024, the aggregate market value of the voting stock held by non-affiliates was $644,000,222 based on the closing sale price of $20.84 of the common stock as reported on the Nasdaq Capital Market.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As of February 24, 2025, 30,652,249 shares of the registrant</w:t>
      </w:r>
      <w:r>
        <w:rPr>
          <w:color w:val="000000"/>
        </w:rPr>
        <w:t>’</w:t>
      </w:r>
      <w:r>
        <w:rPr>
          <w:rFonts w:ascii="Times New Roman;sans-serif" w:hAnsi="Times New Roman;sans-serif"/>
          <w:b w:val="false"/>
          <w:color w:val="000000"/>
          <w:sz w:val="18"/>
        </w:rPr>
        <w:t>s common stock, par value $0.0001 per share, were outstanding. The registrant has no other class of common stock outstanding.</w:t>
      </w:r>
    </w:p>
    <w:p>
      <w:pPr>
        <w:pStyle w:val="TextBody"/>
        <w:bidi w:val="0"/>
        <w:spacing w:before="0" w:after="1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The definitive Proxy Statement to be delivered to shareholders in connection with the 2025 Annual Meeting of Shareholders is incorporated by reference into Part III of this Form 10-K to the extent stated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976"/>
        <w:gridCol w:w="858"/>
        <w:gridCol w:w="858"/>
        <w:gridCol w:w="2344"/>
        <w:gridCol w:w="2315"/>
        <w:gridCol w:w="2341"/>
        <w:gridCol w:w="149"/>
        <w:gridCol w:w="149"/>
        <w:gridCol w:w="215"/>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0">
              <w:r>
                <w:rPr>
                  <w:rStyle w:val="InternetLink"/>
                  <w:rFonts w:ascii="Times New Roman;sans-serif" w:hAnsi="Times New Roman;sans-serif"/>
                  <w:b/>
                  <w:strike w:val="false"/>
                  <w:dstrike w:val="false"/>
                  <w:color w:val="0000FF"/>
                  <w:sz w:val="18"/>
                  <w:u w:val="none"/>
                  <w:effect w:val="none"/>
                </w:rPr>
                <w:t>SPECIAL NOTE REGARDING FORWARD-LOOKING STATEMENTS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0">
              <w:r>
                <w:rPr>
                  <w:rStyle w:val="InternetLink"/>
                  <w:rFonts w:ascii="Times New Roman;sans-serif" w:hAnsi="Times New Roman;sans-serif"/>
                  <w:b w:val="false"/>
                  <w:strike w:val="false"/>
                  <w:dstrike w:val="false"/>
                  <w:color w:val="0000FF"/>
                  <w:sz w:val="18"/>
                  <w:u w:val="none"/>
                  <w:effect w:val="none"/>
                </w:rPr>
                <w:t>1</w:t>
              </w:r>
            </w:hyperlink>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3">
              <w:r>
                <w:rPr>
                  <w:rStyle w:val="InternetLink"/>
                  <w:rFonts w:ascii="Times New Roman;sans-serif" w:hAnsi="Times New Roman;sans-serif"/>
                  <w:b w:val="false"/>
                  <w:color w:val="0000FF"/>
                  <w:sz w:val="18"/>
                  <w:u w:val="single"/>
                </w:rPr>
                <w:t>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3">
              <w:r>
                <w:rPr>
                  <w:rStyle w:val="InternetLink"/>
                  <w:rFonts w:ascii="Times New Roman;sans-serif" w:hAnsi="Times New Roman;sans-serif"/>
                  <w:b w:val="false"/>
                  <w:strike w:val="false"/>
                  <w:dstrike w:val="false"/>
                  <w:color w:val="0000FF"/>
                  <w:sz w:val="18"/>
                  <w:u w:val="none"/>
                  <w:effect w:val="none"/>
                </w:rPr>
                <w:t>3</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6">
              <w:r>
                <w:rPr>
                  <w:rStyle w:val="InternetLink"/>
                  <w:rFonts w:ascii="Times New Roman;sans-serif" w:hAnsi="Times New Roman;sans-serif"/>
                  <w:b w:val="false"/>
                  <w:color w:val="0000FF"/>
                  <w:sz w:val="18"/>
                  <w:u w:val="single"/>
                </w:rPr>
                <w:t>Risk Factors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6">
              <w:r>
                <w:rPr>
                  <w:rStyle w:val="InternetLink"/>
                  <w:rFonts w:ascii="Times New Roman;sans-serif" w:hAnsi="Times New Roman;sans-serif"/>
                  <w:b w:val="false"/>
                  <w:strike w:val="false"/>
                  <w:dstrike w:val="false"/>
                  <w:color w:val="0000FF"/>
                  <w:sz w:val="18"/>
                  <w:u w:val="none"/>
                  <w:effect w:val="none"/>
                </w:rPr>
                <w:t>13</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9">
              <w:r>
                <w:rPr>
                  <w:rStyle w:val="InternetLink"/>
                  <w:rFonts w:ascii="Times New Roman;sans-serif" w:hAnsi="Times New Roman;sans-serif"/>
                  <w:b w:val="false"/>
                  <w:color w:val="0000FF"/>
                  <w:sz w:val="18"/>
                  <w:u w:val="single"/>
                </w:rPr>
                <w:t>Unresolved Staff Comments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9">
              <w:r>
                <w:rPr>
                  <w:rStyle w:val="InternetLink"/>
                  <w:rFonts w:ascii="Times New Roman;sans-serif" w:hAnsi="Times New Roman;sans-serif"/>
                  <w:b w:val="false"/>
                  <w:strike w:val="false"/>
                  <w:dstrike w:val="false"/>
                  <w:color w:val="0000FF"/>
                  <w:sz w:val="18"/>
                  <w:u w:val="none"/>
                  <w:effect w:val="none"/>
                </w:rPr>
                <w:t>26</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Item 1C.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22">
              <w:r>
                <w:rPr>
                  <w:rStyle w:val="InternetLink"/>
                  <w:rFonts w:ascii="Times New Roman;sans-serif" w:hAnsi="Times New Roman;sans-serif"/>
                  <w:b w:val="false"/>
                  <w:color w:val="0000FF"/>
                  <w:sz w:val="18"/>
                  <w:u w:val="single"/>
                </w:rPr>
                <w:t>Cybersecurity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22">
              <w:r>
                <w:rPr>
                  <w:rStyle w:val="InternetLink"/>
                  <w:rFonts w:ascii="Times New Roman;sans-serif" w:hAnsi="Times New Roman;sans-serif"/>
                  <w:b w:val="false"/>
                  <w:strike w:val="false"/>
                  <w:dstrike w:val="false"/>
                  <w:color w:val="0000FF"/>
                  <w:sz w:val="18"/>
                  <w:u w:val="none"/>
                  <w:effect w:val="none"/>
                </w:rPr>
                <w:t>26</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25">
              <w:r>
                <w:rPr>
                  <w:rStyle w:val="InternetLink"/>
                  <w:rFonts w:ascii="Times New Roman;sans-serif" w:hAnsi="Times New Roman;sans-serif"/>
                  <w:b w:val="false"/>
                  <w:color w:val="0000FF"/>
                  <w:sz w:val="18"/>
                  <w:u w:val="single"/>
                </w:rPr>
                <w:t>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25">
              <w:r>
                <w:rPr>
                  <w:rStyle w:val="InternetLink"/>
                  <w:rFonts w:ascii="Times New Roman;sans-serif" w:hAnsi="Times New Roman;sans-serif"/>
                  <w:b w:val="false"/>
                  <w:strike w:val="false"/>
                  <w:dstrike w:val="false"/>
                  <w:color w:val="0000FF"/>
                  <w:sz w:val="18"/>
                  <w:u w:val="none"/>
                  <w:effect w:val="none"/>
                </w:rPr>
                <w:t>27</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28">
              <w:r>
                <w:rPr>
                  <w:rStyle w:val="InternetLink"/>
                  <w:rFonts w:ascii="Times New Roman;sans-serif" w:hAnsi="Times New Roman;sans-serif"/>
                  <w:b w:val="false"/>
                  <w:color w:val="0000FF"/>
                  <w:sz w:val="18"/>
                  <w:u w:val="singl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28">
              <w:r>
                <w:rPr>
                  <w:rStyle w:val="InternetLink"/>
                  <w:rFonts w:ascii="Times New Roman;sans-serif" w:hAnsi="Times New Roman;sans-serif"/>
                  <w:b w:val="false"/>
                  <w:strike w:val="false"/>
                  <w:dstrike w:val="false"/>
                  <w:color w:val="0000FF"/>
                  <w:sz w:val="18"/>
                  <w:u w:val="none"/>
                  <w:effect w:val="none"/>
                </w:rPr>
                <w:t>28</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31">
              <w:r>
                <w:rPr>
                  <w:rStyle w:val="InternetLink"/>
                  <w:rFonts w:ascii="Times New Roman;sans-serif" w:hAnsi="Times New Roman;sans-serif"/>
                  <w:b w:val="false"/>
                  <w:color w:val="0000FF"/>
                  <w:sz w:val="18"/>
                  <w:u w:val="singl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31">
              <w:r>
                <w:rPr>
                  <w:rStyle w:val="InternetLink"/>
                  <w:rFonts w:ascii="Times New Roman;sans-serif" w:hAnsi="Times New Roman;sans-serif"/>
                  <w:b w:val="false"/>
                  <w:strike w:val="false"/>
                  <w:dstrike w:val="false"/>
                  <w:color w:val="0000FF"/>
                  <w:sz w:val="18"/>
                  <w:u w:val="none"/>
                  <w:effect w:val="none"/>
                </w:rPr>
                <w:t>28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37">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37">
              <w:r>
                <w:rPr>
                  <w:rStyle w:val="InternetLink"/>
                  <w:rFonts w:ascii="Times New Roman;sans-serif" w:hAnsi="Times New Roman;sans-serif"/>
                  <w:b w:val="false"/>
                  <w:strike w:val="false"/>
                  <w:dstrike w:val="false"/>
                  <w:color w:val="0000FF"/>
                  <w:sz w:val="18"/>
                  <w:u w:val="none"/>
                  <w:effect w:val="none"/>
                </w:rPr>
                <w:t>29</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40">
              <w:r>
                <w:rPr>
                  <w:rStyle w:val="InternetLink"/>
                  <w:rFonts w:ascii="Times New Roman;sans-serif" w:hAnsi="Times New Roman;sans-serif"/>
                  <w:b w:val="false"/>
                  <w:color w:val="0000FF"/>
                  <w:sz w:val="18"/>
                  <w:u w:val="single"/>
                </w:rPr>
                <w:t>[Reserved]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40">
              <w:r>
                <w:rPr>
                  <w:rStyle w:val="InternetLink"/>
                  <w:rFonts w:ascii="Times New Roman;sans-serif" w:hAnsi="Times New Roman;sans-serif"/>
                  <w:b w:val="false"/>
                  <w:strike w:val="false"/>
                  <w:dstrike w:val="false"/>
                  <w:color w:val="0000FF"/>
                  <w:sz w:val="18"/>
                  <w:u w:val="none"/>
                  <w:effect w:val="none"/>
                </w:rPr>
                <w:t>30</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43">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43">
              <w:r>
                <w:rPr>
                  <w:rStyle w:val="InternetLink"/>
                  <w:rFonts w:ascii="Times New Roman;sans-serif" w:hAnsi="Times New Roman;sans-serif"/>
                  <w:b w:val="false"/>
                  <w:strike w:val="false"/>
                  <w:dstrike w:val="false"/>
                  <w:color w:val="0000FF"/>
                  <w:sz w:val="18"/>
                  <w:u w:val="none"/>
                  <w:effect w:val="none"/>
                </w:rPr>
                <w:t>31</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7A.</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73">
              <w:r>
                <w:rPr>
                  <w:rStyle w:val="InternetLink"/>
                  <w:rFonts w:ascii="Times New Roman;sans-serif" w:hAnsi="Times New Roman;sans-serif"/>
                  <w:b w:val="false"/>
                  <w:color w:val="0000FF"/>
                  <w:sz w:val="18"/>
                  <w:u w:val="single"/>
                </w:rPr>
                <w:t>Quantitative and Qualitative Disclosures About Market Risk</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73">
              <w:r>
                <w:rPr>
                  <w:rStyle w:val="InternetLink"/>
                  <w:rFonts w:ascii="Times New Roman;sans-serif" w:hAnsi="Times New Roman;sans-serif"/>
                  <w:b w:val="false"/>
                  <w:strike w:val="false"/>
                  <w:dstrike w:val="false"/>
                  <w:color w:val="0000FF"/>
                  <w:sz w:val="18"/>
                  <w:u w:val="none"/>
                  <w:effect w:val="none"/>
                </w:rPr>
                <w:t>47</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8.</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76">
              <w:r>
                <w:rPr>
                  <w:rStyle w:val="InternetLink"/>
                  <w:rFonts w:ascii="Times New Roman;sans-serif" w:hAnsi="Times New Roman;sans-serif"/>
                  <w:b w:val="false"/>
                  <w:color w:val="0000FF"/>
                  <w:sz w:val="18"/>
                  <w:u w:val="single"/>
                </w:rPr>
                <w:t>Financial Statements and Supplementary Data</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76">
              <w:r>
                <w:rPr>
                  <w:rStyle w:val="InternetLink"/>
                  <w:rFonts w:ascii="Times New Roman;sans-serif" w:hAnsi="Times New Roman;sans-serif"/>
                  <w:b w:val="false"/>
                  <w:strike w:val="false"/>
                  <w:dstrike w:val="false"/>
                  <w:color w:val="0000FF"/>
                  <w:sz w:val="18"/>
                  <w:u w:val="none"/>
                  <w:effect w:val="none"/>
                </w:rPr>
                <w:t>1</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54">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54">
              <w:r>
                <w:rPr>
                  <w:rStyle w:val="InternetLink"/>
                  <w:rFonts w:ascii="Times New Roman;sans-serif" w:hAnsi="Times New Roman;sans-serif"/>
                  <w:b w:val="false"/>
                  <w:strike w:val="false"/>
                  <w:dstrike w:val="false"/>
                  <w:color w:val="0000FF"/>
                  <w:sz w:val="18"/>
                  <w:u w:val="none"/>
                  <w:effect w:val="none"/>
                </w:rPr>
                <w:t>74</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57">
              <w:r>
                <w:rPr>
                  <w:rStyle w:val="InternetLink"/>
                  <w:rFonts w:ascii="Times New Roman;sans-serif" w:hAnsi="Times New Roman;sans-serif"/>
                  <w:b w:val="false"/>
                  <w:color w:val="0000FF"/>
                  <w:sz w:val="18"/>
                  <w:u w:val="single"/>
                </w:rPr>
                <w:t>Controls and Procedures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57">
              <w:r>
                <w:rPr>
                  <w:rStyle w:val="InternetLink"/>
                  <w:rFonts w:ascii="Times New Roman;sans-serif" w:hAnsi="Times New Roman;sans-serif"/>
                  <w:b w:val="false"/>
                  <w:strike w:val="false"/>
                  <w:dstrike w:val="false"/>
                  <w:color w:val="0000FF"/>
                  <w:sz w:val="18"/>
                  <w:u w:val="none"/>
                  <w:effect w:val="none"/>
                </w:rPr>
                <w:t>74</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63">
              <w:r>
                <w:rPr>
                  <w:rStyle w:val="InternetLink"/>
                  <w:rFonts w:ascii="Times New Roman;sans-serif" w:hAnsi="Times New Roman;sans-serif"/>
                  <w:b w:val="false"/>
                  <w:color w:val="0000FF"/>
                  <w:sz w:val="18"/>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63">
              <w:r>
                <w:rPr>
                  <w:rStyle w:val="InternetLink"/>
                  <w:rFonts w:ascii="Times New Roman;sans-serif" w:hAnsi="Times New Roman;sans-serif"/>
                  <w:b w:val="false"/>
                  <w:strike w:val="false"/>
                  <w:dstrike w:val="false"/>
                  <w:color w:val="0000FF"/>
                  <w:sz w:val="18"/>
                  <w:u w:val="none"/>
                  <w:effect w:val="none"/>
                </w:rPr>
                <w:t>75</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dd6a4355e37a48f0b38d325bc79dcf24_166">
              <w:r>
                <w:rPr>
                  <w:rStyle w:val="InternetLink"/>
                  <w:rFonts w:ascii="Times New Roman;sans-serif" w:hAnsi="Times New Roman;sans-serif"/>
                  <w:b w:val="false"/>
                  <w:color w:val="0000FF"/>
                  <w:sz w:val="18"/>
                  <w:u w:val="single"/>
                </w:rPr>
                <w:t>Disclosure Regarding Foreign Jurisdictions that Prevent Inspections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66">
              <w:r>
                <w:rPr>
                  <w:rStyle w:val="InternetLink"/>
                  <w:rFonts w:ascii="Times New Roman;sans-serif" w:hAnsi="Times New Roman;sans-serif"/>
                  <w:b w:val="false"/>
                  <w:strike w:val="false"/>
                  <w:dstrike w:val="false"/>
                  <w:color w:val="0000FF"/>
                  <w:sz w:val="18"/>
                  <w:u w:val="none"/>
                  <w:effect w:val="none"/>
                </w:rPr>
                <w:t>76</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10.</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72">
              <w:r>
                <w:rPr>
                  <w:rStyle w:val="InternetLink"/>
                  <w:rFonts w:ascii="Times New Roman;sans-serif" w:hAnsi="Times New Roman;sans-serif"/>
                  <w:b w:val="false"/>
                  <w:color w:val="0000FF"/>
                  <w:sz w:val="18"/>
                  <w:u w:val="single"/>
                </w:rPr>
                <w:t>Directors, Executive Officers and 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72">
              <w:r>
                <w:rPr>
                  <w:rStyle w:val="InternetLink"/>
                  <w:rFonts w:ascii="Times New Roman;sans-serif" w:hAnsi="Times New Roman;sans-serif"/>
                  <w:b w:val="false"/>
                  <w:strike w:val="false"/>
                  <w:dstrike w:val="false"/>
                  <w:color w:val="0000FF"/>
                  <w:sz w:val="18"/>
                  <w:u w:val="none"/>
                  <w:effect w:val="none"/>
                </w:rPr>
                <w:t>77</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11.</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78">
              <w:r>
                <w:rPr>
                  <w:rStyle w:val="InternetLink"/>
                  <w:rFonts w:ascii="Times New Roman;sans-serif" w:hAnsi="Times New Roman;sans-serif"/>
                  <w:b w:val="false"/>
                  <w:color w:val="0000FF"/>
                  <w:sz w:val="18"/>
                  <w:u w:val="single"/>
                </w:rPr>
                <w:t>Executive Compensation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78">
              <w:r>
                <w:rPr>
                  <w:rStyle w:val="InternetLink"/>
                  <w:rFonts w:ascii="Times New Roman;sans-serif" w:hAnsi="Times New Roman;sans-serif"/>
                  <w:b w:val="false"/>
                  <w:strike w:val="false"/>
                  <w:dstrike w:val="false"/>
                  <w:color w:val="0000FF"/>
                  <w:sz w:val="18"/>
                  <w:u w:val="none"/>
                  <w:effect w:val="none"/>
                </w:rPr>
                <w:t>77</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84">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84">
              <w:r>
                <w:rPr>
                  <w:rStyle w:val="InternetLink"/>
                  <w:rFonts w:ascii="Times New Roman;sans-serif" w:hAnsi="Times New Roman;sans-serif"/>
                  <w:b w:val="false"/>
                  <w:strike w:val="false"/>
                  <w:dstrike w:val="false"/>
                  <w:color w:val="0000FF"/>
                  <w:sz w:val="18"/>
                  <w:u w:val="none"/>
                  <w:effect w:val="none"/>
                </w:rPr>
                <w:t>78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90">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90">
              <w:r>
                <w:rPr>
                  <w:rStyle w:val="InternetLink"/>
                  <w:rFonts w:ascii="Times New Roman;sans-serif" w:hAnsi="Times New Roman;sans-serif"/>
                  <w:b w:val="false"/>
                  <w:strike w:val="false"/>
                  <w:dstrike w:val="false"/>
                  <w:color w:val="0000FF"/>
                  <w:sz w:val="18"/>
                  <w:u w:val="none"/>
                  <w:effect w:val="none"/>
                </w:rPr>
                <w:t>79</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93">
              <w:r>
                <w:rPr>
                  <w:rStyle w:val="InternetLink"/>
                  <w:rFonts w:ascii="Times New Roman;sans-serif" w:hAnsi="Times New Roman;sans-serif"/>
                  <w:b w:val="false"/>
                  <w:color w:val="0000FF"/>
                  <w:sz w:val="18"/>
                  <w:u w:val="single"/>
                </w:rPr>
                <w:t>Principal Accounting Fees and Services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93">
              <w:r>
                <w:rPr>
                  <w:rStyle w:val="InternetLink"/>
                  <w:rFonts w:ascii="Times New Roman;sans-serif" w:hAnsi="Times New Roman;sans-serif"/>
                  <w:b w:val="false"/>
                  <w:strike w:val="false"/>
                  <w:dstrike w:val="false"/>
                  <w:color w:val="0000FF"/>
                  <w:sz w:val="18"/>
                  <w:u w:val="none"/>
                  <w:effect w:val="none"/>
                </w:rPr>
                <w:t>80</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IV</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199">
              <w:r>
                <w:rPr>
                  <w:rStyle w:val="InternetLink"/>
                  <w:rFonts w:ascii="Times New Roman;sans-serif" w:hAnsi="Times New Roman;sans-serif"/>
                  <w:b w:val="false"/>
                  <w:color w:val="0000FF"/>
                  <w:sz w:val="18"/>
                  <w:u w:val="single"/>
                </w:rPr>
                <w:t>Exhibits, Financial Statement Schedules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199">
              <w:r>
                <w:rPr>
                  <w:rStyle w:val="InternetLink"/>
                  <w:rFonts w:ascii="Times New Roman;sans-serif" w:hAnsi="Times New Roman;sans-serif"/>
                  <w:b w:val="false"/>
                  <w:strike w:val="false"/>
                  <w:dstrike w:val="false"/>
                  <w:color w:val="0000FF"/>
                  <w:sz w:val="18"/>
                  <w:u w:val="none"/>
                  <w:effect w:val="none"/>
                </w:rPr>
                <w:t>82</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202">
              <w:r>
                <w:rPr>
                  <w:rStyle w:val="InternetLink"/>
                  <w:rFonts w:ascii="Times New Roman;sans-serif" w:hAnsi="Times New Roman;sans-serif"/>
                  <w:b w:val="false"/>
                  <w:color w:val="0000FF"/>
                  <w:sz w:val="18"/>
                  <w:u w:val="single"/>
                </w:rPr>
                <w:t>Form 10–K Summary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202">
              <w:r>
                <w:rPr>
                  <w:rStyle w:val="InternetLink"/>
                  <w:rFonts w:ascii="Times New Roman;sans-serif" w:hAnsi="Times New Roman;sans-serif"/>
                  <w:b w:val="false"/>
                  <w:strike w:val="false"/>
                  <w:dstrike w:val="false"/>
                  <w:color w:val="0000FF"/>
                  <w:sz w:val="18"/>
                  <w:u w:val="none"/>
                  <w:effect w:val="none"/>
                </w:rPr>
                <w:t>83</w:t>
              </w:r>
            </w:hyperlink>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205">
              <w:r>
                <w:rPr>
                  <w:rStyle w:val="InternetLink"/>
                  <w:rFonts w:ascii="Times New Roman;sans-serif" w:hAnsi="Times New Roman;sans-serif"/>
                  <w:b/>
                  <w:color w:val="0000FF"/>
                  <w:sz w:val="18"/>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d6a4355e37a48f0b38d325bc79dcf24_205">
              <w:r>
                <w:rPr>
                  <w:rStyle w:val="InternetLink"/>
                  <w:rFonts w:ascii="Times New Roman;sans-serif" w:hAnsi="Times New Roman;sans-serif"/>
                  <w:b w:val="false"/>
                  <w:strike w:val="false"/>
                  <w:dstrike w:val="false"/>
                  <w:color w:val="0000FF"/>
                  <w:sz w:val="18"/>
                  <w:u w:val="none"/>
                  <w:effect w:val="none"/>
                </w:rPr>
                <w:t>84</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Company. Such forward-looking statements include all statements regarding the suspension of an evaluation by the Company's Board of Directors (“Board”) of strategic alternatives, including exploring options for a potential sale in a private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those described in Item 1A, “Risk Factors” in this Annual Report on Form 10-K and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potential adverse effects on the Company’s stock price from the suspension of the Board's strategic alternatives evaluation process;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ur ability to effectively compete in the markets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immigration laws and their enforcement, including its effects on the level of immigrant employment and earning potential;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cybersecurity-attacks or disruptions to our information technology, computer network systems, data centers and mobile devices applications;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credit risks from our agents, digital partners and the financial institutions with which we do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maintain compliance with applicable laws and regulatory requirements,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money remittance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in the countries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protect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third-party vendors and service providers;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weakness in U.S. or international economic conditions;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economic, business and/or competitive factors,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sections of this Annual Report on Form 10-K, as well as any additional risk factors that may be described herein or in our other filings with the SEC from time to time.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all forward-looking statements that are made or attributable to us are expressly qualified in their entirety by this cautionary notice. The forward-looking statements included herein are only made as of the date of this Annual Report on Form 10-K.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“Intermex”) is a leading omnichannel money remittance services company focused primarily on the United States of America (“United States” or “U.S.”) to Latin America and the Caribbean (“LAC”) corridor, which includes Mexico, Central and South America and the Caribbean. We also provide our remittance services to Africa and Asia from the United States and offer sending services from Canada to Latin America and Africa. Also, through recent acquisitions we now provide remittance services from Spain, Italy, the United Kingdom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Germany and the United Kingdom, where consumers can send money to beneficiaries in more than 60 countries in LAC, Africa, Asia and Europe. Our services are accessible in person through over 100,000 independent sending and paying agents and 117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Euro or British Pound can also generate revenue if we are successful in our daily management of currency exchange spreads. We also generate revenue from our wire as a service relationships with digital partners where we receive a fee for facilitating money transfers processed through our proprietary software systems, using our money transmitter licenses and payer network relationships.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the United Kingdom and Germany that are primarily operated by third-party businesses, as well as through our Company-operated stores, located in those jurisdictions.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year ended December 31, 2024, our agent network decreased slightly by approximately 0.2% primarily as a result of a lower number of agents onboarded during the period relative to ordinary course agent terminations. For the year ended December 31, 2024, principal amount sent decreased slightly by approximately 0.8% to $24.4 billion, as compared to fiscal year 2023, primarily as a result of a lower principal amount sent per transaction, Total remittances processed were approximately 58.9 million, representing a slight increase of approximately 0.4%, as compared to fiscal year 2023 primarily related to increased volume generated by our digital channels and European subsidiaries.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Primary focus on profitable corridors.</w:t>
      </w:r>
      <w:r>
        <w:rPr>
          <w:color w:val="000000"/>
        </w:rPr>
        <w:t xml:space="preserve"> </w:t>
      </w:r>
      <w:r>
        <w:rPr>
          <w:rFonts w:ascii="Times New Roman;sans-serif" w:hAnsi="Times New Roman;sans-serif"/>
          <w:b w:val="false"/>
          <w:color w:val="000000"/>
          <w:sz w:val="20"/>
        </w:rPr>
        <w:t>Unlike many of our competitors, who we believe prioritize global reach over growth and profitability, we are focused on certain geographical regions in which there is a concentration of a significant portion of the world’s money remittance volume. We believe the LAC, Africa and Asia corridors provide an attractive operating environment with significant opportunity for future growth. According to the latest available data published by the World Bank, the LAC corridor continues to be one of the most rapidly growing remittance corridors in the world.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Highly scalable, proprietary software platforms.</w:t>
      </w:r>
      <w:r>
        <w:rPr>
          <w:color w:val="000000"/>
        </w:rPr>
        <w:t xml:space="preserve"> </w:t>
      </w:r>
      <w:r>
        <w:rPr>
          <w:rFonts w:ascii="Times New Roman;sans-serif" w:hAnsi="Times New Roman;sans-serif"/>
          <w:b w:val="false"/>
          <w:color w:val="000000"/>
          <w:sz w:val="20"/>
        </w:rPr>
        <w:t>We provide our money remittance services utilizing our internally developed proprietary software systems, which we believe enhance the productivity of our network of sending agents, enabling them to quickly, reliably and cost-effectively process remittance transactions. Also, our proprietary applications enable our consumers to rapidly process money transmissions through a variety of digital channel offerings. Our proprietary software systems are designed to incorporate real-time compliance functionality, which improves our regulatory compliance and helps to minimize fraud. Our d</w:t>
      </w:r>
      <w:r>
        <w:rPr>
          <w:rFonts w:ascii="Times New Roman;sans-serif" w:hAnsi="Times New Roman;sans-serif"/>
          <w:b w:val="false"/>
          <w:color w:val="000000"/>
          <w:sz w:val="20"/>
          <w:shd w:fill="FFFFFF" w:val="clear"/>
        </w:rPr>
        <w:t>eveloped platforms have</w:t>
      </w:r>
      <w:r>
        <w:rPr>
          <w:color w:val="000000"/>
        </w:rPr>
        <w:t xml:space="preserve"> </w:t>
      </w:r>
      <w:r>
        <w:rPr>
          <w:rFonts w:ascii="Times New Roman;sans-serif" w:hAnsi="Times New Roman;sans-serif"/>
          <w:b w:val="false"/>
          <w:color w:val="000000"/>
          <w:sz w:val="20"/>
        </w:rPr>
        <w:t xml:space="preserve">the ability to handle traffic well in excess of the number of transactions we currently process. Our money remittance </w:t>
      </w:r>
      <w:r>
        <w:rPr>
          <w:rFonts w:ascii="Times New Roman;sans-serif" w:hAnsi="Times New Roman;sans-serif"/>
          <w:b w:val="false"/>
          <w:color w:val="000000"/>
          <w:sz w:val="20"/>
          <w:shd w:fill="FFFFFF" w:val="clear"/>
        </w:rPr>
        <w:t>platforms have</w:t>
      </w:r>
      <w:r>
        <w:rPr>
          <w:color w:val="000000"/>
        </w:rPr>
        <w:t xml:space="preserve"> </w:t>
      </w:r>
      <w:r>
        <w:rPr>
          <w:rFonts w:ascii="Times New Roman;sans-serif" w:hAnsi="Times New Roman;sans-serif"/>
          <w:b w:val="false"/>
          <w:color w:val="000000"/>
          <w:sz w:val="20"/>
        </w:rPr>
        <w:t xml:space="preserve">proven reliable, with our 2024 downtime being less than </w:t>
      </w:r>
      <w:r>
        <w:rPr>
          <w:rFonts w:ascii="Times New Roman;sans-serif" w:hAnsi="Times New Roman;sans-serif"/>
          <w:b w:val="false"/>
          <w:color w:val="000000"/>
          <w:sz w:val="20"/>
          <w:shd w:fill="FFFFFF" w:val="clear"/>
        </w:rPr>
        <w:t>0.05</w:t>
      </w:r>
      <w:r>
        <w:rPr>
          <w:rFonts w:ascii="Times New Roman;sans-serif" w:hAnsi="Times New Roman;sans-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Highly selective sending agent recruitment process designed to identify productive long-term partners.</w:t>
      </w:r>
      <w:r>
        <w:rPr>
          <w:color w:val="000000"/>
        </w:rPr>
        <w:t xml:space="preserve"> </w:t>
      </w:r>
      <w:r>
        <w:rPr>
          <w:rFonts w:ascii="Times New Roman;sans-serif" w:hAnsi="Times New Roman;sans-serif"/>
          <w:b w:val="false"/>
          <w:color w:val="000000"/>
          <w:sz w:val="20"/>
        </w:rPr>
        <w:t xml:space="preserve">We strategically target sending agents for our network only after a metric-based analysis of potential productivity and a thorough vetting process. In our sending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selection process, we focus on geographic locations that we believe are likely to have high customer volume and demand for our services. By closely monitoring individual sending agent performance and money remittance trends, we can offer our sending agents real-time technical support and marketing assistance to help increase their productivity and remittance volume.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Strong relationships with major banks and financial institutions.</w:t>
      </w:r>
      <w:r>
        <w:rPr>
          <w:color w:val="000000"/>
        </w:rPr>
        <w:t xml:space="preserve"> </w:t>
      </w:r>
      <w:r>
        <w:rPr>
          <w:rFonts w:ascii="Times New Roman;sans-serif" w:hAnsi="Times New Roman;sans-serif"/>
          <w:b w:val="false"/>
          <w:color w:val="000000"/>
          <w:sz w:val="20"/>
        </w:rPr>
        <w:t>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Spain, Italy, the United Kingdom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Powerful brand with strong consumer awareness and loyalty in the corridors we operate.</w:t>
      </w:r>
      <w:r>
        <w:rPr>
          <w:color w:val="000000"/>
        </w:rPr>
        <w:t xml:space="preserve"> </w:t>
      </w:r>
      <w:r>
        <w:rPr>
          <w:rFonts w:ascii="Times New Roman;sans-serif" w:hAnsi="Times New Roman;sans-serif"/>
          <w:b w:val="false"/>
          <w:color w:val="000000"/>
          <w:sz w:val="20"/>
        </w:rPr>
        <w:t>We believe we are a leading money remittance provider from the United States to the LAC corridor, processing 19.7% of the aggregate volume of remittances to Mexico according to the latest available data published by the Central Bank of Mexico in 2024 and 27.6% of the aggregate volume of remittances to Guatemala according to the latest available data published by the Central Bank of Guatemala in 2024. We believe that consumers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Strong compliance processes and procedures.</w:t>
      </w:r>
      <w:r>
        <w:rPr>
          <w:color w:val="000000"/>
        </w:rPr>
        <w:t xml:space="preserve"> </w:t>
      </w:r>
      <w:r>
        <w:rPr>
          <w:rFonts w:ascii="Times New Roman;sans-serif" w:hAnsi="Times New Roman;sans-serif"/>
          <w:b w:val="false"/>
          <w:color w:val="000000"/>
          <w:sz w:val="20"/>
        </w:rPr>
        <w:t>We operate in a highly-regulated environment and are reviewed by regulators and external auditors 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Experienced and proven management team.</w:t>
      </w:r>
      <w:r>
        <w:rPr>
          <w:color w:val="000000"/>
        </w:rPr>
        <w:t xml:space="preserve"> </w:t>
      </w:r>
      <w:r>
        <w:rPr>
          <w:rFonts w:ascii="Times New Roman;sans-serif" w:hAnsi="Times New Roman;sans-serif"/>
          <w:b w:val="false"/>
          <w:color w:val="000000"/>
          <w:sz w:val="20"/>
        </w:rPr>
        <w:t>Our management team consists of financial services industry veterans with a track record of achieving profitable growth. Our team is led by our Chief Executive Officer (“CEO”) and President, Robert Lisy, with a successful 30-plus year track record in the retail financial services and electronic payment processing industry.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2025, we announced that, with the approval and recommendation of the Board’s independent Strategic Alternatives Committee (“SAC”), the Board unanimously determined to suspend the Company’s previously announced assessment of strategic alternatives, We believe, however, that we are well positioned to drive continued growth and stockholder value maximization by executing on the following core strategies either organically or through acquisitions of other entities:</w:t>
      </w:r>
    </w:p>
    <w:p>
      <w:pPr>
        <w:pStyle w:val="TextBody"/>
        <w:bidi w:val="0"/>
        <w:spacing w:before="0" w:after="0"/>
        <w:ind w:left="0" w:right="0" w:firstLine="360"/>
        <w:jc w:val="both"/>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Invest in the marketing and adoption of our digital channels and value-added services to expand our customer base and revenue generation.</w:t>
      </w:r>
      <w:r>
        <w:rPr>
          <w:color w:val="000000"/>
        </w:rPr>
        <w:t xml:space="preserve"> </w:t>
      </w:r>
      <w:r>
        <w:rPr>
          <w:rFonts w:ascii="Times New Roman;sans-serif" w:hAnsi="Times New Roman;sans-serif"/>
          <w:b w:val="false"/>
          <w:color w:val="000000"/>
          <w:sz w:val="20"/>
        </w:rPr>
        <w:t>Our money remittance platforms currently enable consumers to send funds from the United States, Spain, Italy, the United Kingdom and Germany to the LAC corridor, Europe, Asia and Africa through the Internet via our websites (intermexonline.com and online.i-transfer.es) and mobile device applications. We intend to increase the level of investment in enhancing and marketing our digital applications to increase consumer adoption of our safe, easy-to-use digital platforms for remitting funds and performing other financial services. We believe these digital channels expand our potential customer base as digital transaction capabilities have become more relevant to consumers in the LAC and other corridors. Our digital channels offering also generates growth from various demographic groups as consumers continue to migrate to conducting financial transactions digitally.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Expand our market share in our largest corridors</w:t>
      </w:r>
      <w:r>
        <w:rPr>
          <w:rFonts w:ascii="Times New Roman;sans-serif" w:hAnsi="Times New Roman;sans-serif"/>
          <w:b w:val="false"/>
          <w:color w:val="000000"/>
          <w:sz w:val="20"/>
        </w:rPr>
        <w:t>. The three largest remittance corridors we serve are the United States to Mexico, United States to Guatemala and United States to the Dominican Republic. According to the latest available data in the World Bank Remittance Matrix, the United States to Mexico remittance market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also execute a targeted marketing effort to realize significantly increased market share growth in large states where we are underrepresented.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Expand our services into new corridors and emerging markets.</w:t>
      </w:r>
      <w:r>
        <w:rPr>
          <w:color w:val="000000"/>
        </w:rPr>
        <w:t xml:space="preserve"> </w:t>
      </w:r>
      <w:r>
        <w:rPr>
          <w:rFonts w:ascii="Times New Roman;sans-serif" w:hAnsi="Times New Roman;sans-serif"/>
          <w:b w:val="false"/>
          <w:color w:val="000000"/>
          <w:sz w:val="20"/>
        </w:rPr>
        <w:t xml:space="preserve">We believe that there is significant room to grow our business in underserved geographic regions in the LAC corridor where there is demand from consumers and agents for our value-added approach to money remittances. Specifically, we continue to target future growth opportunities via new corridors from the United States to other non-Spanish speaking regions, including the Caribbean and other continents. In recent years, we expanded our services to allow remittances to Africa and Asia from the United States, began offering sending services from Canada to Latin America and Africa,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completed acquisitions which further strengthen our presence in Latin America and position us to grow in the Europe to Africa, Asia and LAC corridors.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remittance services primarily between the U.S. and Canada to Mexico, Guatemala and other countries in Latin America, Africa and Asia through a network of authorized agents located in various unaffiliated retail establishments and 117 Company-operated stores throughout the U.S., Canada, Spain, Italy, the United Kingdom and Germany, as well as digitally through the Internet via our websites and mobile device applications. This is based on the objectives of the business and how our chief operating decision maker, the CEO and President, monitors operating performance and allocates resources.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Operations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primarily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Euro or British pound also earn revenue through our daily management of currency exchange spreads. We also generate revenue from our “wire as a service” relationships with digital partners where we receive a fee for facilitating money transfers processed through our proprietary software systems, money transmitter licenses and payer network relationships.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debit cards, mobile wallets, and home delivery in selected markets. Our locations in the United States, Canada, Spain and Italy,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number of retail locations in the United States, Canada, Spain, Italy, the United Kingdom and Germany, which we refer to as Company-operated stores and where our money remittance services are available. We also operate subsidiary payer networks in Mexico under the Pago Express brand and in Guatemala under the Intermex brand. These networks provide coverage of payer locations that reach some of the most remote areas in those countries, providing increased convenience to consumers in the United States, Canada, Mexico and Guatemala.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sending agent locations, consumers may initiate a transaction directly with an agent, or through a direct-dialed telephone conversation from the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our brands and to incentivize the agents to promote our services to consumers.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Our money remittance services are also available on the Internet via our websites (intermexonline.com and online.i-transfer.es) and mobile device applications, enabling consumers to send money conveniently 24 hours a day from their computer or mobile devices. Consumers are able to select a variety of sending methods, including cash pickup at thousands of locations, direct deposit into bank accounts, debit cards, mobile wallets, and home delivery in selected markets. Also, our enhanced digital mobile money remittance applications provide consumers with safe, easy-to-use features for remitting funds with a debit or credit card. </w:t>
      </w:r>
      <w:r>
        <w:rPr>
          <w:rFonts w:ascii="Times New Roman;sans-serif" w:hAnsi="Times New Roman;sans-serif"/>
          <w:b w:val="false"/>
          <w:color w:val="000000"/>
          <w:sz w:val="20"/>
          <w:shd w:fill="FFFFFF" w:val="clear"/>
        </w:rPr>
        <w:t xml:space="preserve">Our internet-based money transmission services and digital channel offerings continue to grow at a faster pace as compared with our services provided by our network of sending agents or Company-operated stores.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call centers in Mexico and Guatemala, providing call center services 365 days per year and customer service in English, French, Italian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Management Bank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Spain, Italy, Germany, the United Kingdom and Latin America. In addition, we have benefited from our long relationship with US Bank, which manages our main operating account, and from strong relationships with Wells Fargo and Bank of America, which serve as our primary banks for exchange rate management with respect to the foreign currencies in which we transact.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Information Technology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all of our money processing software used in the United States, United Kingdom, Spain, Italy, Germany and Canada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our money remittance platforms enable consumers to send funds through the Internet via our websites (intermexonline.com and online.i-transfer.es) and mobile device applications from consumers' computers or mobile devices. Our enhanced digital mobile money remittance applications provide consumers with safe and easy-to-use features for remitting funds.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money remittance software, digital platforms and mobile applications, we continue to develop programs and defenses against cyber-attacks. The foundation of our cybersecurity program is based on recognized best practices and standards for cybersecurity and information technology that include the Center of Internet Security ("CIS") Critical Security Controls Framework. The CIS Critical Security Controls Framework is a prioritized set of safeguards to mitigate the most prevalent cyber-attacks against systems and networks. We utilize a number of third-party vendors and automated tools that monitor our systems and inform us of any attempted attacks. Our Chief Information Officer and Chief Information Security Officer report periodically to our board of directors regarding our cybersecurity policies and practices. See Item 1C - Cybersecurity for additional detail.</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proprietary and internally developed software systems, we utilize historical and predictive data to analyze market trends, performance of market territories, agent performance and consumer habits in real time.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continually invest in our technology</w:t>
      </w:r>
      <w:r>
        <w:rPr>
          <w:color w:val="000000"/>
          <w:shd w:fill="FFFFFF" w:val="clear"/>
        </w:rPr>
        <w:t xml:space="preserve"> </w:t>
      </w:r>
      <w:r>
        <w:rPr>
          <w:rFonts w:ascii="Times New Roman;sans-serif" w:hAnsi="Times New Roman;sans-serif"/>
          <w:b w:val="false"/>
          <w:color w:val="000000"/>
          <w:sz w:val="20"/>
          <w:shd w:fill="FFFFFF" w:val="clear"/>
        </w:rPr>
        <w:t>platforms to ensure they have</w:t>
      </w:r>
      <w:r>
        <w:rPr>
          <w:color w:val="000000"/>
        </w:rPr>
        <w:t xml:space="preserve"> </w:t>
      </w:r>
      <w:r>
        <w:rPr>
          <w:rFonts w:ascii="Times New Roman;sans-serif" w:hAnsi="Times New Roman;sans-serif"/>
          <w:b w:val="false"/>
          <w:color w:val="000000"/>
          <w:sz w:val="20"/>
        </w:rPr>
        <w:t xml:space="preserve">the capacity to handle traffic well in excess of the number of transactions we currently process. A load balancing configuration between tier-1 datacenters, in addition to failover redundancy, provides uptime performance. Our technology platforms have experienced limited downtime, with our 2024 downtime being less than </w:t>
      </w:r>
      <w:r>
        <w:rPr>
          <w:rFonts w:ascii="Times New Roman;sans-serif" w:hAnsi="Times New Roman;sans-serif"/>
          <w:b w:val="false"/>
          <w:color w:val="000000"/>
          <w:sz w:val="20"/>
          <w:shd w:fill="FFFFFF" w:val="clear"/>
        </w:rPr>
        <w:t>0.05</w:t>
      </w:r>
      <w:r>
        <w:rPr>
          <w:rFonts w:ascii="Times New Roman;sans-serif" w:hAnsi="Times New Roman;sans-serif"/>
          <w:b w:val="false"/>
          <w:color w:val="000000"/>
          <w:sz w:val="20"/>
        </w:rPr>
        <w: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Transaction Processing Engine (“TPE”)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Our internally developed and proprietary payer Application Programming Interface (“API”) </w:t>
      </w:r>
      <w:r>
        <w:rPr>
          <w:rFonts w:ascii="Times New Roman;sans-serif" w:hAnsi="Times New Roman;sans-serif"/>
          <w:b w:val="false"/>
          <w:color w:val="000000"/>
          <w:sz w:val="20"/>
          <w:shd w:fill="FFFFFF" w:val="clear"/>
        </w:rPr>
        <w:t>platform</w:t>
      </w:r>
      <w:r>
        <w:rPr>
          <w:color w:val="000000"/>
        </w:rPr>
        <w:t xml:space="preserve"> </w:t>
      </w:r>
      <w:r>
        <w:rPr>
          <w:rFonts w:ascii="Times New Roman;sans-serif" w:hAnsi="Times New Roman;sans-serif"/>
          <w:b w:val="false"/>
          <w:color w:val="000000"/>
          <w:sz w:val="20"/>
        </w:rPr>
        <w:t>securely and efficiently integrates our TPE directly with the platforms of our paying agents, so that we can rapidly deliver money remittances to our paying agents while optimizing the efficiency/speed of adding new payers to our network and integrating payers’ software and systems with our software and systems.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IntermexDirect, CheckDirect, La Nacional, Amigo Paisano and Pago Express, some of which are registered in the United States and other countries. In addition, we rely on trade secret protection to protect certain proprietary rights in our information technology, trademarks, and licenses. See the section entitled “</w:t>
      </w:r>
      <w:r>
        <w:rPr>
          <w:rFonts w:ascii="Times New Roman;sans-serif" w:hAnsi="Times New Roman;sans-serif"/>
          <w:b w:val="false"/>
          <w:i/>
          <w:color w:val="000000"/>
          <w:sz w:val="20"/>
        </w:rPr>
        <w:t>Information Technology</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majority of our money remittance transactions are generated through our agent network of retail locations and Company-operated stores where the transaction is processed and payment is collected by our sending agent or store. Sending agent locations include multi-service stores, grocery stores, convenience stores, bodegas and other retail locations. The vast majority of our sending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117</w:t>
      </w:r>
      <w:r>
        <w:rPr>
          <w:color w:val="000000"/>
        </w:rPr>
        <w:t xml:space="preserve"> </w:t>
      </w:r>
      <w:r>
        <w:rPr>
          <w:rFonts w:ascii="Times New Roman;sans-serif" w:hAnsi="Times New Roman;sans-serif"/>
          <w:b w:val="false"/>
          <w:color w:val="000000"/>
          <w:sz w:val="20"/>
        </w:rPr>
        <w:t>Company-operated stores in the United States, Canada, Spain, Italy, the United Kingdom and Germany. We retain customer data, which enables us to increase repeat customer usage, track and effectively recapture one-time users of our service and improve sending agent productivity.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services to consumers in a number of ways, including directly and indirectly through our sending agents and paying agents, promotional activities, traditional media and digital advertising.</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money remittance service company primarily focused on the United States to the LAC corridor. We utilize our proprietary technology to deliver convenient, reliable and value-added services to consumers through a broad network of sending and paying agents. The three largest remittance corridors we serve are United States to Mexico, United States to Guatemala, and United States to the Dominican Republic.</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Political, social and economic conditions in key Latin American markets, from which we derive a significant portion of our revenue, continue to exhibit instability, as evidenced by higher interest rates, high unemployment rates, restricted lending activity, higher immigration patterns, higher inflation, volatility in foreign currencies and low consumer confidence,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Another significant trend impacting the money remittance industry is increasing regulation on money remittance providers, banks, and other financial institutions, making it difficult for money remittance companies to develop and maintain strong banking relationships and for sending agents to open operating bank accounts. Regulations in the United States and elsewhere focus, in part, on cybersecurity, anti-money laundering and consumer protection. Regulations require money remittance providers, banks and other financial institutions to develop systems to prevent, detect, monitor and report certain transactions. In coming periods, we expect these and future regulatory requirements, as well as investigatory and enforcement activities by law enforcement agencies, will continue to result in changes to certain of our business and administrative practices and may result in increased costs.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non-bank financial institution in the United States, we are regulated by the Internal Revenue Service, the U.S. Department of the Treasury’s Financial Crimes Enforcement Network (“FinCEN”), the Consumer Financial Protection Bureau (“CFPB”), the Department of Banking and Finance of the State of Florida and the equivalent regulatory authorities in all of the states, the District of Columbia and the Commonwealth of Puerto Rico, in which we hold an operating money transmission license. We are duly registered as a Money Services Business (“MSB”) with FinCEN, the financial intelligence unit of the U.S. Department of the Treasury. We are also subject to a wide range of regulations in the United States and other countries in which we operate such as Spain and the United Kingdom, including: minimum capital or capital adequacy requirements; safeguarding of customers' funds; anti-money laundering laws and regulations; financial services regulations; currency control regulations; anti-bribery laws; money transfer and payment instrument licensing laws; escheatment laws; privacy, data protection and information security laws, such as the Gramm-Leach-Bliley Act (“GLBA”); and consumer disclosure and consumer protection laws, such as the California Consumer Privacy Act (“CCPA”) and the Colorado Privacy Act (“CPA”).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including suspension or cancellation of an affected license. We continually monitor and enhance our compliance programs to stay current and compliant with legal and regulatory changes.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Anti-Money Laundering, Counter-Terrorism Financing and Sanctions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are subject to anti-money laundering laws and regulations of the United States, 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reporting of large cash transactions and suspicious activity;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transaction screening against government watch-lists, including the sanctions list maintained by OFAC;</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prohibition of transactions in, to or from certain countries, governments, individuals and entities;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limitations on amounts that may be transferred by a consumer or from a jurisdiction at any one time or over specified periods of time, which require aggregation over multiple transactions;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consumer information gathering and reporting requirements;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consumer disclosure requirements, including language requirements and foreign currency restrictions;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notification requirements as to the identity of contracting agents, governmental approval of contracting agents or requirements and limitations on contract terms with our agents;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registration or licensing of us or our agents with a state or federal agency in the United States or with the central bank or other proper authority in a foreign country.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Anti-money laundering regulations are constantly evolving and vary from country to country.</w:t>
      </w:r>
      <w:r>
        <w:rPr>
          <w:color w:val="000000"/>
        </w:rPr>
        <w:t xml:space="preserve"> </w:t>
      </w:r>
      <w:r>
        <w:rPr>
          <w:rFonts w:ascii="Times New Roman;sans-serif" w:hAnsi="Times New Roman;sans-serif"/>
          <w:b w:val="false"/>
          <w:color w:val="000000"/>
          <w:sz w:val="20"/>
        </w:rPr>
        <w:t>We continuously monitor our compliance with anti-money laundering regulations and implement policies and procedures to stay current with legal requirements in the jurisdictions in which we operate.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Independent third-party consulting firms periodically review our policies and procedures to ensure the efficacy of our anti-money laundering and regulatory compliance programs. Key milestones in the compliance processes include: (1) mandatory fields and identification requirements at the time the sending agents initiate a transaction; (2) the sender and receiver are screened against government-required lists (for OFAC and other purposes); (3) before the transaction is sent to the paying agent, it is screened and any flagged exceptions are sent to the compliance unit for investigation and release or rejection; and (4) the transaction is screened for limit restrictions, velocity levels, structuring and identification requirements.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when required by regulatory requirements, we make information available to certain U.S. federal and state, as well as certain foreign, government agencies to assist in the prevention of money laundering, terrorism financing and other illegal activities and pursuant to legal obligations and authorizations. In certain circumstances, we may be required by government agencies to deny transactions that may be related to persons suspected of money laundering, terrorism financing or other illegal activities, and it is possible that we may inadvertently deny transactions from consumers who are making legal money transfers.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Licensing</w:t>
      </w:r>
      <w:r>
        <w:rPr>
          <w:rFonts w:ascii="Times New Roman;sans-serif" w:hAnsi="Times New Roman;sans-serif"/>
          <w:b w:val="false"/>
          <w:color w:val="000000"/>
          <w:sz w:val="20"/>
        </w:rPr>
        <w:t>. In most countries in which we operate, either we or our agents are required to obtain licenses or to register with a government authority in order to offer money transfer services. Almost all states in the United States, the District of Columbia and Puerto Rico, as well as certain provinces in Canada and certain countries in Europe,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Escheatment</w:t>
      </w:r>
      <w:r>
        <w:rPr>
          <w:rFonts w:ascii="Times New Roman;sans-serif" w:hAnsi="Times New Roman;sans-serif"/>
          <w:b w:val="false"/>
          <w:color w:val="000000"/>
          <w:sz w:val="20"/>
        </w:rPr>
        <w:t xml:space="preserve">.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unclaimed property to the appropriate jurisdiction. Applicable statutory abandonment periods range from three to seven years. We have an ongoing program designed to comply with escheatment laws as they apply to our business.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Data Privacy and Cybersecurity</w:t>
      </w:r>
      <w:r>
        <w:rPr>
          <w:rFonts w:ascii="Times New Roman;sans-serif" w:hAnsi="Times New Roman;sans-serif"/>
          <w:b w:val="false"/>
          <w:color w:val="000000"/>
          <w:sz w:val="20"/>
        </w:rPr>
        <w:t xml:space="preserve">. We are subject to federal, state and international laws and regulations relating to the collection, use, retention, security, transfer, storage and 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 </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Consumer Protection</w:t>
      </w:r>
      <w:r>
        <w:rPr>
          <w:rFonts w:ascii="Times New Roman;sans-serif" w:hAnsi="Times New Roman;sans-serif"/>
          <w:b w:val="false"/>
          <w:color w:val="000000"/>
          <w:sz w:val="20"/>
        </w:rPr>
        <w:t xml:space="preserve">. The Dodd-Frank Wall Street Reform and Consumer Protection Act (the “Dodd-Frank Act”) imposes additional regulatory requirements and creates additional regulatory oversight over us. The Dodd-Frank Act created the CFPB which issues and 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consumer’s request. As a “larger participant” in the market for international money transfers, we are subject to direct examination and supervision by the CFPB.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We expect the new presidential administration will seek to implement a regulatory agenda that is significantly different from that of the prior administration, which may affect the rulemaking, supervision, examination and enforcement priorities of the CFPB.</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state in the United States may from time to time, enact new laws and regulations, such as the CCPA and the CPA, which create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and the various state laws. The number of comprehensive state privacy laws are expected to continue to increase, creating additional risks and complexity due to variations among applicable state laws.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as our operations and services involve the collection, storage, and processing of personal data of consumers globally, we are subject to the European Union’s General Data Protection Regulation (“GDPR”) and similar data protection laws outside the United States. The GDPR imposes strict requirements on how businesses collect, process, store, and share personal data, as well as mandates that consumers have specific rights, including the right to access, correct, and delete their data. For especially severe violations, the GDPR fines can be up to €20 million, or in the case of an entity, up to 4% of its total global revenue for the preceding fiscal year, whichever is higher. We continue to enhance our efforts to ensure compliance and adapt to evolving data privacy laws and the increased exposure of our operations to such laws as a result of our geographic expansion.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communications, advertising and sales practices and that of its agent network are subject to regulation by, among other things, state and federal consumer protection laws including the Telephone Consumer Protection Act (“TCPA”).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Anti-Bribery Regulation</w:t>
      </w:r>
      <w:r>
        <w:rPr>
          <w:rFonts w:ascii="Times New Roman;sans-serif" w:hAnsi="Times New Roman;sans-serif"/>
          <w:b w:val="false"/>
          <w:color w:val="000000"/>
          <w:sz w:val="20"/>
        </w:rPr>
        <w:t>. We are subject to regulations imposed by the Foreign Corrupt Practices Act (the “FCPA”) in the United States and similar anti-bribery laws in other jurisdictions. These laws may impose recordkeeping and other requirements on us. We maintain a compliance program designed to comply with anti-bribery laws and regulations applicable to our 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certain of its cash balances in various U.S. banks, which at times, may exceed federally insured limits. In addition, the Company maintains various bank accounts in Mexico, Guatemala, Canada, the Dominican Republic, Spain, the United Kingdom, Germany and Italy, and short-term investments in Mexico, which may not be fully insured. Management believes it is not exposed to any significant credit risk regarding these accounts as it performs periodic reviews of the creditworthiness of the financial institutions the Company uses.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times, we are exposed to credit risk related to receivable balances from sending agents and digital partners in the money remittance process if agents or digital partners do not timely make payments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monitor fraud risk, perform credit reviews before adding agents to our network and conduct periodic credit risk analyses of agents and certain other parties that we transact with directly. For the year ended December 31, 2024, our provision for credit losses was equal to 1.0% of our total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online and digital platforms, we also are exposed to credit risk directly from transactions that are originated through means other than cash, such as credit and debit cards, and therefore are subject to “chargebacks” for insufficient funds or other collection impediments, such as fraud.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nature of our business, we are also subject to liquidity risk as the timing of the funds to be remitted by our sending agents or digital partners may extend in comparison with the timing when we make the funds available to the money transfer beneficiary in the destination country. Our current liquidity sources as well as our ability to generate free cash are mitigating factors in our liquidity management strategy.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changes in currency rates as a result of remittances paid in currencies other than the U.S. dollar, Canadian dollar, Euro or British pound. We manage our currency exposure primarily by settling with our payers using foreign exchange tom and spot transactions.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bears interest at variable rates, which exposes us to interest rate risk as a result of fluctuations on market interest rate benchmarks.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experience meaningful seasonality in our business. We may experience, however, increased transaction volume around certain holidays, such as Mother’s Day and the December holidays.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The Western Union Company (“Western Union”), MoneyGram International, Inc. (“MoneyGram”), Remitly Global, Inc. (“Remitly”)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 We believe that our ongoing investments in new products and services will help us to remain competitive in our evolving business environment, given the increasing competition from digital platform providers.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encounter increasing competition as new technologies emerge that enable customers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in preparation for consumer adoption.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in our workforce by offering a competitive total rewards package that in addition to a salary, includes performance incentives and comprehensive benefits that are intended to be competitive in the market and focused on the needs of our employees in order to attract and retain highly qualified talent. Our incentives are primarily measurable and performance-based, and are designed to align compensation to our business strategy and goals. We have enhanced our onboarding process and plan to further improve training and development programs to drive quicker integration, development and higher productivity of new employees, as well as the ongoing development of team members to ensure robust recruitment and retention.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value opportunity, fairness and merit, and strive to create a work environment where all of our employees feel valued and devoted to their careers. As of December 31, 2024, approximately</w:t>
      </w:r>
      <w:r>
        <w:rPr>
          <w:color w:val="000000"/>
          <w:shd w:fill="FFFFFF" w:val="clear"/>
        </w:rPr>
        <w:t xml:space="preserve"> </w:t>
      </w:r>
      <w:r>
        <w:rPr>
          <w:rFonts w:ascii="Times New Roman;sans-serif" w:hAnsi="Times New Roman;sans-serif"/>
          <w:b w:val="false"/>
          <w:color w:val="000000"/>
          <w:sz w:val="20"/>
          <w:shd w:fill="FFFFFF" w:val="clear"/>
        </w:rPr>
        <w:t>94%</w:t>
      </w:r>
      <w:r>
        <w:rPr>
          <w:color w:val="000000"/>
        </w:rPr>
        <w:t xml:space="preserve"> </w:t>
      </w:r>
      <w:r>
        <w:rPr>
          <w:rFonts w:ascii="Times New Roman;sans-serif" w:hAnsi="Times New Roman;sans-serif"/>
          <w:b w:val="false"/>
          <w:color w:val="000000"/>
          <w:sz w:val="20"/>
        </w:rPr>
        <w:t>of our U.S. team members identified themselves as racially or ethnically diverse. Also, approximately 5</w:t>
      </w:r>
      <w:r>
        <w:rPr>
          <w:rFonts w:ascii="Times New Roman;sans-serif" w:hAnsi="Times New Roman;sans-serif"/>
          <w:b w:val="false"/>
          <w:color w:val="000000"/>
          <w:sz w:val="20"/>
          <w:shd w:fill="FFFFFF" w:val="clear"/>
        </w:rPr>
        <w:t>0%</w:t>
      </w:r>
      <w:r>
        <w:rPr>
          <w:color w:val="000000"/>
        </w:rPr>
        <w:t xml:space="preserve"> </w:t>
      </w:r>
      <w:r>
        <w:rPr>
          <w:rFonts w:ascii="Times New Roman;sans-serif" w:hAnsi="Times New Roman;sans-serif"/>
          <w:b w:val="false"/>
          <w:color w:val="000000"/>
          <w:sz w:val="20"/>
        </w:rPr>
        <w:t>of our U.S. team identified themselves as female. In 2025, we intend to continue to promote greater community involvement through philanthropic and volunteer efforts, with a focus on diversity, community improvement, and STEM programs.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December 31, 2024, we had </w:t>
      </w:r>
      <w:r>
        <w:rPr>
          <w:rFonts w:ascii="Times New Roman;sans-serif" w:hAnsi="Times New Roman;sans-serif"/>
          <w:b w:val="false"/>
          <w:color w:val="000000"/>
          <w:sz w:val="20"/>
          <w:shd w:fill="FFFFFF" w:val="clear"/>
        </w:rPr>
        <w:t>523</w:t>
      </w:r>
      <w:r>
        <w:rPr>
          <w:color w:val="000000"/>
        </w:rPr>
        <w:t xml:space="preserve"> </w:t>
      </w:r>
      <w:r>
        <w:rPr>
          <w:rFonts w:ascii="Times New Roman;sans-serif" w:hAnsi="Times New Roman;sans-serif"/>
          <w:b w:val="false"/>
          <w:color w:val="000000"/>
          <w:sz w:val="20"/>
        </w:rPr>
        <w:t xml:space="preserve">employees in the United States, all of whom are full-time. We also have 529 employees in Mexico, of whom 189 are part-time and 340 are full-time, 159 employees in Guatemala, all of whom are full-time and, 92 employees in Spain, Italy, Germany and the United Kingdom, of whom </w:t>
      </w:r>
      <w:r>
        <w:rPr>
          <w:rFonts w:ascii="Times New Roman;sans-serif" w:hAnsi="Times New Roman;sans-serif"/>
          <w:b w:val="false"/>
          <w:color w:val="000000"/>
          <w:sz w:val="20"/>
          <w:shd w:fill="FFFFFF" w:val="clear"/>
        </w:rPr>
        <w:t>79</w:t>
      </w:r>
      <w:r>
        <w:rPr>
          <w:color w:val="000000"/>
        </w:rPr>
        <w:t xml:space="preserve"> </w:t>
      </w:r>
      <w:r>
        <w:rPr>
          <w:rFonts w:ascii="Times New Roman;sans-serif" w:hAnsi="Times New Roman;sans-serif"/>
          <w:b w:val="false"/>
          <w:color w:val="000000"/>
          <w:sz w:val="20"/>
        </w:rPr>
        <w:t xml:space="preserve">are full-time and 13 are part-time.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w:t>
      </w:r>
      <w:r>
        <w:rPr>
          <w:rFonts w:ascii="Times New Roman;sans-serif" w:hAnsi="Times New Roman;sans-serif"/>
          <w:b w:val="false"/>
          <w:color w:val="000000"/>
          <w:sz w:val="20"/>
          <w:shd w:fill="FFFFFF" w:val="clear"/>
        </w:rPr>
        <w:t>five of the eight</w:t>
      </w:r>
      <w:r>
        <w:rPr>
          <w:color w:val="000000"/>
        </w:rPr>
        <w:t xml:space="preserve"> </w:t>
      </w:r>
      <w:r>
        <w:rPr>
          <w:rFonts w:ascii="Times New Roman;sans-serif" w:hAnsi="Times New Roman;sans-serif"/>
          <w:b w:val="false"/>
          <w:color w:val="000000"/>
          <w:sz w:val="20"/>
        </w:rPr>
        <w:t>members of our board of directors are considered diverse based on gender or ethnic backgrounds.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We use our website as a channel of distribution for important Company information, including press releases, investor presentations and financial information, which may be accessed by clicking on the Investors Relations section. We may also use our website to expedite public access to time-critical information regarding our Company in advance of or in lieu of distributing a press release or a filing with the SEC disclosing the same information. Therefore, investors should look to the Investor Relations section of our website for important and time-critical information. The content of any website referred to in this document is not incorporated by reference into this document.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Information about our Executive Officers </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Set forth below is certain information regarding the Company’s current executive officers as of </w:t>
      </w:r>
      <w:r>
        <w:rPr>
          <w:rFonts w:ascii="Times New Roman;sans-serif" w:hAnsi="Times New Roman;sans-serif"/>
          <w:b w:val="false"/>
          <w:color w:val="000000"/>
          <w:sz w:val="20"/>
          <w:shd w:fill="FFFFFF" w:val="clear"/>
        </w:rPr>
        <w:t xml:space="preserve">February 27, </w:t>
      </w:r>
      <w:r>
        <w:rPr>
          <w:rFonts w:ascii="Times New Roman;sans-serif" w:hAnsi="Times New Roman;sans-serif"/>
          <w:b w:val="false"/>
          <w:color w:val="000000"/>
          <w:sz w:val="20"/>
        </w:rPr>
        <w:t>2025:</w:t>
      </w:r>
    </w:p>
    <w:tbl>
      <w:tblPr>
        <w:tblW w:w="8753" w:type="dxa"/>
        <w:jc w:val="left"/>
        <w:tblInd w:w="0" w:type="dxa"/>
        <w:tblLayout w:type="fixed"/>
        <w:tblCellMar>
          <w:top w:w="28" w:type="dxa"/>
          <w:left w:w="28" w:type="dxa"/>
          <w:bottom w:w="28" w:type="dxa"/>
          <w:right w:w="28" w:type="dxa"/>
        </w:tblCellMar>
      </w:tblPr>
      <w:tblGrid>
        <w:gridCol w:w="552"/>
        <w:gridCol w:w="486"/>
        <w:gridCol w:w="491"/>
        <w:gridCol w:w="109"/>
        <w:gridCol w:w="109"/>
        <w:gridCol w:w="109"/>
        <w:gridCol w:w="145"/>
        <w:gridCol w:w="145"/>
        <w:gridCol w:w="146"/>
        <w:gridCol w:w="109"/>
        <w:gridCol w:w="109"/>
        <w:gridCol w:w="109"/>
        <w:gridCol w:w="1791"/>
        <w:gridCol w:w="1791"/>
        <w:gridCol w:w="2552"/>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 of Directors</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Aguilar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General Manager - Latin America</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Pargac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Secretary</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Robert Lisy</w:t>
      </w:r>
      <w:r>
        <w:rPr>
          <w:color w:val="000000"/>
        </w:rPr>
        <w:t xml:space="preserve"> </w:t>
      </w:r>
      <w:r>
        <w:rPr>
          <w:rFonts w:ascii="Times New Roman;sans-serif" w:hAnsi="Times New Roman;sans-serif"/>
          <w:b w:val="false"/>
          <w:color w:val="000000"/>
          <w:sz w:val="20"/>
        </w:rPr>
        <w:t>has served as a director of International Money Express, Inc. since 2018. Mr. Lisy served as a director of International Money Express Sub 2, LLC’s predecessor entities from 2009 to 2018. Mr. Lisy is the Chief Executive Officer, President, and Chairman of the Board of Directors of International Money Express, Inc. and its predecessors, which he joined in 2009. Mr. Lisy has more than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Andras Bende</w:t>
      </w:r>
      <w:r>
        <w:rPr>
          <w:color w:val="000000"/>
        </w:rPr>
        <w:t xml:space="preserve"> </w:t>
      </w:r>
      <w:r>
        <w:rPr>
          <w:rFonts w:ascii="Times New Roman;sans-serif" w:hAnsi="Times New Roman;sans-serif"/>
          <w:b w:val="false"/>
          <w:color w:val="000000"/>
          <w:sz w:val="20"/>
        </w:rPr>
        <w:t>joined International Money Express, Inc. as Chief Financial Officer in December 2020. Prior to joining the Company, Mr. Bende served as the Chief Financial 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2005 to 2017. Mr. Bende is a graduate of GE’s Financial Management Program and the GE Corporate Audit Staff and holds a bachelor’s degree in financial management from Clemson University.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Joseph Aguilar</w:t>
      </w:r>
      <w:r>
        <w:rPr>
          <w:color w:val="000000"/>
        </w:rPr>
        <w:t xml:space="preserve"> </w:t>
      </w:r>
      <w:r>
        <w:rPr>
          <w:rFonts w:ascii="Times New Roman;sans-serif" w:hAnsi="Times New Roman;sans-serif"/>
          <w:b w:val="false"/>
          <w:color w:val="000000"/>
          <w:sz w:val="20"/>
        </w:rPr>
        <w:t>joined International Money Express, Inc. in September 2019 as Chief Operating Officer. Effective January 2023, Mr. Aguilar was appointed President and General Manager - Latin America. Prior to joining Intermex, Mr. Aguilar was a senior executive at Sigue Corporation, a money transfer company;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Christopher Hunt</w:t>
      </w:r>
      <w:r>
        <w:rPr>
          <w:color w:val="000000"/>
        </w:rPr>
        <w:t xml:space="preserve"> </w:t>
      </w:r>
      <w:r>
        <w:rPr>
          <w:rFonts w:ascii="Times New Roman;sans-serif" w:hAnsi="Times New Roman;sans-serif"/>
          <w:b w:val="false"/>
          <w:color w:val="000000"/>
          <w:sz w:val="20"/>
        </w:rPr>
        <w:t xml:space="preserve">joined International Money Express, Inc. in March 2021 as Chief Information Officer. Effective April 20, 2023, Mr. Hunt was appointed Chief Operating Officer. Prior to joining the Company, Mr. Hunt was the Chief Technology Officer of Bankers Healthcare Group, a financial services company (“Bankers”), from 2013 to 2021. Prior to his role at Bankers, Mr. Hunt worked at several companies where he held a variety of IT positions with increasing responsibility for all aspects of overall IT strategy, product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and cybersecurity. Mr. Hunt earned a bachelor’s degree in Business Administration with a major in Decision Information Sciences from the University of Florida in Gainesville, Florida.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Robert Pargac</w:t>
      </w:r>
      <w:r>
        <w:rPr>
          <w:color w:val="000000"/>
        </w:rPr>
        <w:t xml:space="preserve"> </w:t>
      </w:r>
      <w:r>
        <w:rPr>
          <w:rFonts w:ascii="Times New Roman;sans-serif" w:hAnsi="Times New Roman;sans-serif"/>
          <w:b w:val="false"/>
          <w:color w:val="000000"/>
          <w:sz w:val="20"/>
        </w:rPr>
        <w:t>joined International Money Express, Inc. in May 2024 as Chief Legal Officer and Secretary. Prior to joining the Company, Mr. Pargac served in senior management consulting roles with AlixPartners from 2022 to 2024 and the Promontory Financial Group from 2017 to 2020 where he was responsible for providing counsel to financial institutions regarding legal and regulatory compliance programs and regulatory enforcement actions. Prior to those roles, Mr. Pargac held senior legal and regulatory risk management roles in the legal departments at BBVA, Western Union, and Sigue Corporation. His education includes a B.A. in Economics from the University of St. Thomas, a J.D. from the South Texas College of Law, and a M.B.A. from Pepperdine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of operations.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Business and Industry</w:t>
      </w:r>
    </w:p>
    <w:p>
      <w:pPr>
        <w:pStyle w:val="TextBody"/>
        <w:bidi w:val="0"/>
        <w:spacing w:lineRule="auto" w:line="288" w:before="0" w:after="0"/>
        <w:jc w:val="both"/>
        <w:rPr/>
      </w:pPr>
      <w:r>
        <w:rPr>
          <w:rFonts w:ascii="Times New Roman;sans-serif" w:hAnsi="Times New Roman;sans-serif"/>
          <w:b/>
          <w:i/>
          <w:color w:val="000000"/>
          <w:sz w:val="20"/>
        </w:rPr>
        <w:t>The suspension of our exploration of strategic alternatives could adversely affect our business and our stock price</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commitment to maximize stockholder value, on November 8, 2024, we announced that the Board had initiated a process to assess strategic alternatives including, but not limited to, a potential sale in a private transaction or merger of the Company. On February 26, 2025, the Company announced that with the approval and recommendation of the SAC, the Board unanimously determined to suspend the Company’s previously announced assessment of strategic alternatives. The suspension of the strategic alternatives process could have an adverse effect on the market price and trading volatility of our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expand customer acceptance of our digital services and infrastructure or develop and timely introduce new and enhanced services, including the introduction of new digital platforms, or if we make substantial investments in an unsuccessful new service or infrastructure change,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will depend, in part, on our success in expanding customer acceptance of our digital services and infrastructure, as well as our ability to continue to develop and successfully introduce new and enhanced methods of providing money remittance services, including the introduction of new digital platforms and other products and services, that keep pace with competitive introductions, technological changes, and the demands and preferences of our agents, consumers, digital partners and the financial institutions with which we conduct our business. Distribution channels such as online, account based, and mobile solutions continue to evolve and impact the competitive environment for money remittances. If we fail to gain customer acceptance of our digital services and products or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is earned through our sending agent network. Sending agents are the persons who interact with consumers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continue to compete effectively,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others. We also face competition from new digital and nontraditional remittance service providers within the financial technology industry.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depends on our ability to compete effectively. In particular, we face increasing competition from digital providers of money transmission services, in response to which we have developed an expanded suite of digital products. Notwithstanding, our ability to increase our revenues and operating results from digital services will require a significant investment in marketing and ongoing product development efforts, which investments are likely, in the short-term, to adversely affect our results of operations. Moreover, there can be no assurance, however, that these efforts will generate expected returns or that consumers will find our digital products more attractive than those of our competitors. In addition,, if our services do not offer competitive features and functionalities, we may be unable to attract new customers or we may lose customers to our competitors, which could adversely affect our business, financial condition and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Weakness in economic conditions, in both the U.S. and international markets, could adversely affect our business, financial condition and results of operations. We are subject to business cycles and other outside factors, including geopolitical events, natural disasters and other factors, that may negatively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business relies in part on the overall strength of economic conditions. Consumer money remittance transactions are affected by, among other things, employment opportunities and overall economic conditions, such as recession, rising inflation and higher market interest rates. Additionally, consumers tend to be employed in industries such as construction, information technology, manufacturing, agriculture, hospitality and certain service industries that tend to be cyclical and are more significantly affected by weak economic conditions than other industries. This may result in reduced job opportunities for consumers in the United States or other countries in which we operate or that are important to our business, which could adversely affect our business, financial condition and results of operations. In addition, increases in employment opportunities may lag other elements of any economic recovery.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general market and economic conditions in the United States or other countries in which we operate and that are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consumer transactions decline due to deteriorating economic conditions, we may be unable to timely and effectively reduce our operating costs or take other actions in response, which could adversely affect our business, financial condition and results of operations. Our employees, agents and consumers in a particular country or region in the world may be negatively affected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 including pandemics; and significant local, national or global events capturing the attention of a large part of the population. If any of these, or any other factors, disrupt a country or region where we have a significant workforce, customers or agents, our business could be materially adversely affected. Additionally, economic or political instability, wars, civil unrest, terrorism and natural disasters may make money transfers to, from or within a particular country more difficult. The inability to timely complete money transfers could adversely affect our business.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and results of operations may be adversely affected by international political, economic and social instability risks, foreign currency restrictions and volatility, tariffs or restrictions on remittances or transfers from the countries in which we operate.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our revenue from our money remittance transactions from the United States to the LAC corridor, particularly Mexico, Guatemala, El Salvador, Honduras and the Dominican Republic, and we are exposed to certain political, economic and other uncertainties not encountered in U.S. operations. Consequently, actions or events in LAC or other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We are also exposed to new political, economic and other uncertainties as a result of the geographic expansion to Europe, the United Kingdom, Africa, and Asia, any of which could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in international markets and our future results could be adversely affected by a number of factors, including:</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in geopolitical and economic conditions and potential instability in certain regions;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restrictions on money transfers to, from and between certain countries;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recruit and retain paying agents and consumers for new corridors;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currency exchange controls, new currency adoptions and repatriation issues;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in regulatory requirements or in foreign policy, including the adoption of domestic or foreign laws, regulations and interpretations detrimental to our business;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possible increased costs and additional regulatory burdens imposed on our business;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the implementation of U.S. sanctions, resulting in bank closures in certain countries and the ultimate freezing of our assets;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burdens of complying with a wide variety of laws and regulations;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possible fraud or theft losses, and lack of compliance by international representatives in foreign legal jurisdictions where collection and legal enforcement may be difficult or costly;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maintain or improve our software and technology systems as well as digital channels;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reduced protection of our intellectual property rights;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unfavorable tax rules or trade barriers;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secure, train or monitor international agents.</w:t>
      </w:r>
    </w:p>
    <w:p>
      <w:pPr>
        <w:pStyle w:val="TextBody"/>
        <w:bidi w:val="0"/>
        <w:spacing w:lineRule="auto" w:line="288" w:before="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financial condition, results of operations or business may be affected by volatility in foreign exchange rates of the countries to which we send a significant portion of consumer remittances.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shd w:fill="FFFFFF" w:val="clear"/>
        </w:rPr>
        <w:t>Significant volatility in foreign exchange rates could affect the volume of consumer remittance activity in terms of the principal amount sent or the frequency of money remittances, which</w:t>
      </w:r>
      <w:r>
        <w:rPr>
          <w:color w:val="000000"/>
        </w:rPr>
        <w:t xml:space="preserve"> </w:t>
      </w:r>
      <w:r>
        <w:rPr>
          <w:rFonts w:ascii="Times New Roman;sans-serif" w:hAnsi="Times New Roman;sans-serif"/>
          <w:b w:val="false"/>
          <w:color w:val="000000"/>
          <w:sz w:val="20"/>
        </w:rPr>
        <w:t>may negatively affect our average foreign exchange gain per transaction. Long-term sustained appreciation of the Mexican peso or Guatemalan quetzal as compared to the U.S. dollar could negatively affect our revenues and results of operations.</w:t>
      </w:r>
    </w:p>
    <w:p>
      <w:pPr>
        <w:pStyle w:val="TextBody"/>
        <w:bidi w:val="0"/>
        <w:spacing w:lineRule="auto" w:line="288" w:before="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financial condition, results of operations, business and cash flow may be negatively affected by a public health conditions, responses thereto and the economic and market effects thereof.</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face risks related to health epidemics and pandemics or other outbreaks of communicable diseases. A public health epidemic or pandemic can have a material adverse effect on the demand for our money remittance services to the extent it adversely affects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consumer confidence in our business, brands or in consumer money remittance providers generally deteriorates,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built on consumer confidence in our brands and our ability to provide convenient, reliable and value-added money remittance services. Erosion in consumer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factors could adversely affect consumer confidence in our business, or in consumer money remittance providers more generally, many of which are beyond our control, and could have an adverse impact on our business, financial condition and results of operations. These factors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the quality of our services and our customer experience, and our ability to meet evolving consumer needs and preferences;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failure of our agents to deliver services in accordance with our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reputational concerns resulting from actual or perceived events, including those related to fraud, consumer protection, cybersecurity incidents, money laundering, corruption or other matters;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actions by federal, state or foreign regulators that interfere with our ability to remit consumers’ money reliably; for example, attempts to seize money remittance funds, imposition of tariffs or limits on our ability to, or that prohibit us from, remitting money in the corridors in which we operate;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federal, state or foreign legal requirements, including those that require us to provide consumer or transaction data, and other requirements or to a greater extent than is currently required;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any interruption or downtime in our systems, including those caused by fire, natural disaster, power loss, telecommunications failure, terrorism, vendor failure, cybersecurity breaches, such as unauthorized entry and computer viruses or disruptions in our workforce;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any attack or breach of our computer systems or other data storage facilities resulting in a compromise of personal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consumers that use our services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profit margins may be adversely affected by expansion into new geographic or product markets, which we may enter by acquisition or otherwise, that do not have the same profitability as our core markets.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Guatemala, El Salvador, Honduras and the Dominican Republic or other more established product markets due to, among other things: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increased compliance and regulatory costs requiring us to dedicate more expense, time and resources to comply with such regulatory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potentially higher operational expenses, such as higher agent fees, taxes, fees, technology costs, support costs or other charges and expenses associated with engaging in the money transfer business in different jurisdictions or as a result of new product offerings;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reduced pricing models due to more intense competition with entities that may have more experience and resources as well as more established relationships with relevant customers, regulators and industry participants;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potentially reduced demand for remittance services;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difficulty building and maintaining a network of sending agents, paying agents, and digital partners in a particular geographic area or with respect to a particular product offering.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process remittances to Latin America, Europe, Africa and Asia from the United States, Spain, Italy, the United Kingdom and Germany and from Canada to Latin America and Africa. Additionally, we have expanded our product and service portfolio to include online payment options, pre-paid debit cards, direct deposit payroll cards, and other digital channel offerings,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Acquisitions and integration of new businesses create risks and may affect operating results. Failure to successfully complete, manage or integrate strategic transactions can adversely affect our business,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businesses strategy and evaluate potential acquisitions, joint ventures, divestitures, and other strategic transactions. We have acquired and may acquire businesses both inside and outside the United States.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Acquisitions often involve additional or increased risks including, for example:</w:t>
      </w:r>
    </w:p>
    <w:p>
      <w:pPr>
        <w:pStyle w:val="TextBody"/>
        <w:bidi w:val="0"/>
        <w:spacing w:before="0" w:after="0"/>
        <w:ind w:left="0" w:right="0" w:firstLine="360"/>
        <w:jc w:val="both"/>
        <w:rPr/>
      </w:pPr>
      <w:r>
        <w:rPr/>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managing the complex process of integrating the acquired company’s employees, products and services, technology and other assets in an effort to realize the projected value of the acquired company and the projected synergies of the acquisition; </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realizing the anticipated financial benefits from these acquisitions and where necessary, improving controls of these acquired businesses (including internal control over financial reporting and disclosure controls and procedures);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retaining existing customers and attracting new customers; </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maintaining good relations with agents of acquired companies;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managing geographically separated organizations, systems and facilities;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managing multi-jurisdictional operating, tax and financing structures or any inefficiencies;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integrating personnel with diverse business backgrounds and organizational cultures;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integrating the acquired systems and technologies into our Company;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complying with regulatory requirements, including those particular to the industry and jurisdiction of the acquired business, and the need to improve regulatory compliance systems and controls;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obtaining and enforcing intellectual property rights in some foreign countries;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entering new markets with the services of the acquired businesses;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general economic, social and political conditions, including legal and other barriers to cross-border investment in general, or by United States companies in particular.</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Integrating operations could also cause an interruption of, or divert resources from, one or more of our businesses and could result in the loss of key personnel. The diversion of management’s attention and any delays or difficulties encountered in connection with an acquisition and the integration of the acquired company’s operations could have an adverse effect on our business, financial condition, results of operations, and cash flows. Strategic transactions that are not successfully completed or managed effectively, or our failure to effectively manage the risks associated with such transactions, could result in adverse effects on our business, financial condition and results of operations.</w:t>
      </w:r>
    </w:p>
    <w:p>
      <w:pPr>
        <w:pStyle w:val="TextBody"/>
        <w:bidi w:val="0"/>
        <w:spacing w:before="0" w:after="0"/>
        <w:ind w:left="0" w:right="0" w:firstLine="408"/>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current risk management and compliance systems may not be able to exhaustively assess or mitigate all risks to which we are exposed from a transaction monitoring perspective.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engaged in ongoing efforts to enhance our risk management and compliance policies, procedures and systems to assure compliance with anti-money laundering laws and economic sanctions regulations in the jurisdictions in which we operate. We have implemented, and are continuing to implement, policies, procedures and systems designed to address these laws and regulations,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monitoring on an automated and manual basis the transactions processed through our systems and restricting business involving certain countries or individuals. However, the implementation of such policies, procedures and systems may be subject to human error. Further, we may be exposed to fraud or other misconduct committed by our employees, or other third parties, including but not limited to consumers, agents and digital partners,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services might be used for illegal or improper purposes, such as consumer fraud or money laundering, which could expose us to additional liability.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or digital partners could engage in fraud against consumers. We use a variety of tools to protect against fraud; however, these tools may not always be successful. Allegations of fraud may result in fines, settlements, litigation expenses and reputational damage.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it could diminish our customer experience which could harm our business. There is no assurance that the measures we have taken to detect and reduce the risk of this kind of conduct will stop all illegal or improper uses of our services. Our business could be harmed if consumers use our system for illegal or improper purposes.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cybersecurity incident or breach of security in the information systems on which we rely could adversely affect our reputation,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we face constant exposure to continually evolving cybersecurity risks and other technological risks. Our inability to protect our systems and data from these risks could adversely affect our reputation among consumers, agents, card issuers, paying agents, financial institutions, card networks, partners, and investors and may expose us to penalties, fines, liabilities, and legal claims.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business is conducted over the internet, and we rely on the secure processing, storage, and transmission of confidential, sensitive, proprietary, and other types of information relating to our business operations and confidential and sensitive information about consumers, agents, and employees in our computer systems and networks, and in those of our third-party vendors. Additionally, our business is built upon proprietary platforms that are supported by Intermex employees and partners. Keeping these platforms safe, private, and agile so that we may adjust to market demands is critical to our success. Individuals, groups, and state-sponsored organizations may take steps that pose threats to our operations, our computer systems, our employees, our consumers, and our agents. The cybersecurity risks we face range from cyberattacks that are common to most industries, such as the development and deployment of malicious software to gain access to our networks and to attempt to steal confidential information, launching distributed denial of service attacks, or attempting other coordinated disruptions. They may also include more advanced threats that target us because of our position in the remittance industry. Ransomware risk has increased significantly in recent years and presents a significant risk of financial extortion and loss of data. With the Intermex operating model, certain employees continue to work remotely or on a hybrid basis, which increases the importance of the integrity of our remote access security measures. We also face risk from our third-party suppliers if they are affected by cybersecurity incidents, which could result in their loss of service (which could be a significant component of our services to agents and consumers), exposure of Intermex proprietary, agent and consumer data, or a potential backdoor into the Company’s systems and networks.</w:t>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plans and procedures are in place to protect our sensitive data, systems, and networks, we cannot be certain that these measures will be successful and will be sufficient to counter all current and emerging technological threats that are designed to breach our systems to gain access to sensitive information or disrupt our operations. The methods used to obtain unauthorized access, disable or degrade service, or compromise systems change frequently, have become increasingly complex and sophisticated, and are often difficult to detect timely. Threats to our systems and our associated third parties’ systems can derive from human error, fraud, or malice on the part of employees or third parties as well as may result from accidental technological failure. Our defensive data protection measures may not prevent unauthorized access or use of sensitive data. While we maintain insurance coverage that may cover certain aspects of cyber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incidents, our insurance coverage may be insufficient to cover all losses, and we may not be able to renew the insurance on commercially reasonable terms or at all. Further, we do not control the actions or technological environments of our agents and they may be susceptible to similar threats as previously mentioned which could lead to liability claims against the Company. Although agents have experienced security breaches, in the aggregate, none of these breaches have had a significant or material impact to the Company. In addition, following an acquisition, we take steps to ensure our data and system security protection measures cover the acquired business as part of our integration process and the regulatory framework under which the acquired entities operate. As such, there may be a period of increased cybersecurity risk during the period between closing an acquisition and the completion of our data and system security integration. Our inability to protect our systems and data from these and similar risks could, among other consequences, adversely affect our reputation, business,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provide reliable services largely depends on the efficient and uninterrupted operation of our computer network systems, cloud service providers, and data centers. Our business involves the physical and electronic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business continuity and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continue to provide our services to a growing number of agents, digital partners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digital partners or consumers.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significant percentage of our banking relationships are concentrated in a few banks.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or the requirements imposed by banks and other financial institutions with respect to anti-money laundering, our business, financial condition and results of operations could be adversely affected.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paying agents are concentrated in a few large banks and financial institutions or large retail chains.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25% of Intermex’s total remittance volume in fiscal year 2024. The loss of Elektra as one of our paying agents could have a material adverse impact on our business and results of operations.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Bank failures, sustained financial market illiquidity, or illiquidity at the clearing, cash management and custodial financial institutions with which we do business,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certain risks in the event of a sustained deterioration of domestic or international financial market liquidity, as well as in the event of sustained deterioration in the liquidity, or failure, of the clearing, cash management and custodial financial institutions with which we do business. In particular, we may be unable to access funds in our deposit accounts and clearing accounts on a timely basis to pay money remittances and make related settlements to agents. Any resulting need to access other sources of liquidity or short-term borrowings would increase our costs. Any delay or inability to pay money remittances or make related settlements with our agents could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 the event of a bank failure we could face risks to the recovery of our bank deposits used for the purpose of settling with our agents and we may be unable to borrow from financial institutions or institutional investors on favorable terms, or at all, which could adversely impact our ability to pursue our growth strategy and fund key strategic initiatives.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financial liquidity deteriorates, there can be no assurance we will not experience an adverse effect, which may be material, on our ability to access capital or contingent liquidity sources.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banking industry regulation and practice could make it more difficult for us and our sending agents to maintain depository accounts with banks, which would harm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consumers, our ability to complete money remittances, and to administer and collect fees from money remittance transactions,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credit risks from our sending agents, digital partners and financial institutions with which we do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creditworthiness of our sending agents, digital partners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Retaining our chief executive officer and other key executives and recruiting and retaining qualified personnel is important to our continued success, and any inability to attract and retain such personnel could harm our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recruit and retain key personnel including operating, marketing, financial and technical personnel, could also have a material and adverse impact on our business, financial condition and results of operations.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Regulatory and Legal Risks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Significant developments stemming from the U.S. government policies could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relies on the free flow of funds and migrants along all of our remittance corridors, particularly between the United States and the LAC. Changes in U.S. political, regulatory and economic conditions or laws and policies governing immigration, foreign trade, development and investment in the territories and countries where we operate and our customers live, including those recently proposed by the U.S. government, could adversely affect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significant change or disruption in international migration patterns, including as a result of changes in immigration laws and their enforcement,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relies in part on international migration patterns, as individuals move from their native countries to countries with greater economic opportunities or a more stable political environment. A significant portion of the industry’s money remittance transactions are initiated by immigrants or refugees sending money back to their native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remittance volume or growth rate and revenues. In addition, increased immigration enforcement in the United States, could adversely affect the level of employment opportunities of immigrants, thus reducing their ability to remit funds to their countries of origin.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impossible to predict the impact on our business resulting from changes in trade and tariff policies, which may affect industries in which our customers are employed. Changes in international trade caused by increased tariffs may also affect foreign exchange rates, which could affect both demand for our services as well as our earnings from foreign exchange.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Reduced or disrupted international migration patterns in the United States, Canada, Latin America, or Africa are likely to reduce money remittance transaction volumes and therefore have an adverse effect on our business, financial condition and results of operations. Furthermore, significant changes in international migration patterns could adversely affect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regulated environment, and our business is subject to a wide range of laws and regulations that vary from jurisdiction to jurisdiction. We are also subject to oversight by various governmental agencies, both in the United States and abroad and, in any given year, we are subject to examinations by relevant federal and state agencies.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money transfer business is subject to a variety of regulations aimed at preventing money laundering, human trafficking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and jurisdictions in which we operate and hold licenses including Europe, the United Kingdom, Mexico and Guatemala.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FinCEN. Any determination that we or our agents have violated the anti-money-laundering laws could have an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periodic examination by the CFPB. These examinations may require us to change the way we conduct business or increase the costs of compliance.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escheatment laws in the United States.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violation by us or our agents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in the United States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Current and future data privacy and cybersecurity laws and regulations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number of jurisdictions enacting privacy and related laws increases and the scope of these laws and enforcement efforts expands, we have been and will increasingly become, subject to new and varying requirements. For example, the CCPA requires covered companies to provide California consumers with certain disclosures and expands the rights afforded to consumers regarding their data. The costs of compliance with, and other burdens imposed by, the CCPA and similar laws may limit the use and adoption of our products and services and/or require us to incur substantial compliance costs, which could have an adverse impact on our business. In addition, the California Privacy Rights Act of 2020 (“CPRA”) expanded the CCPA. For example, the CPRA established a California Privacy Protection Agency to implement and enforce the CPRA, which could increase the risk of an enforcement action. Other states have also enacted data privacy laws such as the Consumer Data Protection Act in Virginia, the Colorado Privacy Act in Colorado, and the Consumer Privacy Act adopted in Utah. Additionally, several states and localities have enacted measures related to the use of artificial intelligence and machine learning in products and services. In addition, data privacy and security laws have been proposed at the federal, state, and local levels in recent years, which could further complicate compliance efforts.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or harm to our consumers and harm to our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because our operations and services involve the collection, storage, and processing of personal data of consumers globally, we are subject to the GDPR and similar data protection laws outside the United States. The GDPR imposes strict requirements on how businesses collect, process, store, and share personal data, as well as mandates that consumers have specific rights, including the right to access, correct, and delete their data.</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Periodically, we receive data sharing requests by these agencies, particularly in connection with efforts to prevent terrorist financing, human traffic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Litigation or investigations involving us or our agents could result in material settlements, fines or penalties.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from time to time are subject to allegations and complaints that individuals or entities have used our money remittance services for fraud-induced money transfers, as well as certain money laundering activities. In addition, we have been and from time to time are subject to requests for customer and transactional information related to civil and criminal investigations by law enforcement agencies that are concerned with the use of money sending services to facilitate improper activities. These matters could result in fines, penalties, judgments, settlements and investigatory and litigation expenses. We also are the subject from time to time of litigation related to other aspects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condition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by violations of the FCPA or other similar anti-corruption laws.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New business initiatives, such as modifications to our current product offerings or the introduction of new products, may modify our risk profile from a regulatory perspective.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our offering of services across newer distribution platforms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use of third-party vendors and service providers is subject to regulatory review and scrutiny.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CFPB and other regulators have issued regulatory guidance focusing on the need for entities to perform due diligence and ongoing monitoring of third-party vendor and service provider relationships. Moreover, if our regulators conclude that we have not met the standards for oversight of our third-party vendors, we could be subject to enforcement actions, civil monetary penalties, supervisory orders to cease and desist or other remedial actions, which could adversely impact our business, reputation,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tax laws in the countries we operate could adversely affect our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legislation by U.S. federal, state and local governments as well as foreign jurisdictions could impact our effective tax rates. If statutory tax rates are increased, our results of operations and cash flows could be adversely affected.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Risks Relating to Our Intellectual Property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adequately protect our brands and the intellectual property rights related to our existing and any new or enhanced services, or if we infringe on the rights of others,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Intermex brand as well as other brands we operate under are critical to our business. We utilize trademark registrations and other tools to protect our brands.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brands and the value of our brands was to decrease as a result.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processes and systems we employ may be subject to patent protection by other parties, and any claims could adversely affect our business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Company’s indebtedness may limit our operating flexibility and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approximately $156.6 million of indebtedness as of December 31, 2024, consisting of outstanding borrowings under our revolving credit facility. Our indebtedness, which bears interest at variable rates, could have important consequences to our business and operations, including, but not limited to: (i) increasing our vulnerability to, and reducing our flexibility to respond to, general adverse economic and industry conditions; (ii) requiring the dedication of a substantial portion of our cash flow from operations to servicing debt, including from increased interest rates; (iii) limiting our flexibility in planning for, or reacting to, changes in our business and the competitive environment; and (iv) limiting our ability to borrow additional funds and increasing the cost of any such borrowing.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Second Amended and Restated Credit Agreement contains covenants that may limit our ability to conduct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Second A&amp;R Credit Agreement (as defined herein) contains operating covenants and financial covenants that may in each case limit management’s discretion with respect to certain business matters. Among other things, these covenants restrict our and our subsidiaries’ ability to, among other things, grant liens, incur additional indebtedness, make acquisitions or investments, dispose of certain assets, change the nature of their businesses, enter into certain transactions with affiliates, amend the terms of material indebtedness or make certain restricted payments, including the repurchase of shares of our common stock above certain limits. We are required to comply with a minimum interest coverage ratio and a quarterly maximum consolidated leverage ratio. As a result of these covenants, we may be limited in how we conduct our business. Failure to comply with such covenants may lead to default and acceleration under our Second A&amp;R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Second A&amp;R Credit Agreement, upon the occurrence of an event of default, we will be unable to continue to borrow funds under the Second A&amp;R Credit Agreement for so long as an event of default is not remedied or waived. In addition, the lenders will be able to elect to declare all amounts outstanding under the Second A&amp;R Credit Agreement to be immediately due and payable and terminate all commitments to lend additional funds. If we are unable to repay those amounts, the lenders under the Second A&amp;R Credit Agreement could proceed to foreclose against our collateral that secures that indebtedness. We have granted the lenders a security interest in substantially all of our assets, including the assets of certain subsidiaries.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Securities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for the foreseeable future, stockholders may not receive any return on investment unless they sell our common stock for a price greater than that which was paid for it.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our ability to comply with restrictions in our existing credit facilities and may be limited by covenants of any future indebtedness we or our subsidiaries incur. As a result, stockholders may not receive any return on an investment in our common stock unless they sell our common stock for a price greater than that which was paid for it.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be influenced by the research and reports that industry or securities analysts may publish about us, our business, our market, or our competitors. If no or few securities or industry analysts cover the Company,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40"/>
        <w:ind w:left="0" w:right="0" w:firstLine="360"/>
        <w:jc w:val="both"/>
        <w:rPr/>
      </w:pPr>
      <w:hyperlink w:anchor="idd6a4355e37a48f0b38d325bc79dcf24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common stock and could entrench management.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prior to such time, our board of directors approved either the business combination or the transaction that resulted in the stockholder becoming an interested stockholder;</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at or subsequent to that time, the business combination is approved by our board of directors and by the affirmative vote of holders of at least two-thirds of our outstanding voting stock that is not owned by the interested stockholder.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management’s attention.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faces risks from cybersecurity incidents that could have a material adverse effect on our business, financial condition, results of operations, cash flows or reputation. Cybersecurity incidents may target and compromise our systems, as well as confidential consumer, employer, and agent information that we store and manage in connection with some of our services. Any cybersecurity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affecting our computer networks, databases, third-party services or facilities could lead to potential interruptions of our operations or our ability to manage and report our operating results. Cybersecurity incidents may also result in the inappropriate use or disclosure of personal information, which could adversely affect consumers’ confidence in our or our agents’ or digital partners' business and expose us to liabilities. As a result, we are required to expend significant capital and other resources to protect us against these security breaches or to alleviate problems caused by these breaches. Intermex has experienced, and may continue to experience, cybersecurity threats in the normal course of its business. To date, however, these events have not had a material adverse effect on the Company’s business, financial condition, results of operations, cash flows or reputation. See Item 1A. Risk Factors for additional information on how risks could materially affect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mitigate cybersecurity risks, the Company has designed and implemented a Cybersecurity and Information Security Program ("Cybersecurity Program"), which is managed and executed by our Chief Information Security Officer (“CISO”). Our CISO has over 20 years of experience in information technology and cybersecurity primarily focused in the financial services industry. Our CISO is an experienced professional in technology, security, risk management, and compliance principles related to most United States and global financial services related regulations. Also, our CISO holds and maintains an active Certified Information Systems Security Professional certification as well as other relevant technical certifications. The Board of Directors of the Company (the "Board") generally oversees management’s processes for identifying and mitigating risks we are exposed to, including cybersecurity risks, to help align our risk exposure with our strategic objectives, and has delegated specific oversight of cybersecurity risk management to the Board’s Audit Committee. At least on a quarterly basis, or more frequently as may be warranted, the Board and the Audit Committee are apprised of cybersecurity incidents, if any, and initiatives related to any identified heightened risks. In addition, the CISO provides a comprehensive annual report on cybersecurity as well as quarterly updates to the Audit Committee, the Board and Internal Technology Steering Committee (“IT Steering Committee”), which is composed of members from our Executive Management team and key Information Technology (“IT”) personnel.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foundation of our Cybersecurity Program is based on recognized best practices and standards for cybersecurity and information technology that include the Center of Internet Security (“CIS”) Controls Framework. The CIS Critical Security Controls Framework is a prioritized set of safeguards to mitigate the most prevalent cyber-attacks against systems and networks. They are mapped to and referenced by multiple legal, regulatory, and policy frameworks. This framework is employed to guide cybersecurity investments similar to third party audits and risk assessments. Our Cybersecurity Program employs a practical risk-based approach with a focus on addressing risk factors with the highest possible impact, high levels of likelihood, and least amount of existing compensating controls. Key risk factors, along with action plans and a status of identified matters are communicated to Executive Management, the Audit Committee and the Board as part of the CISO's quarterly updates. We have created and continually update, as required, a detailed cybersecurity incident response plan, which outlines the steps to be followed from incident detection to eradication, recovery and notification and which we will implement in the event of a cybersecurity incident, including the determination of materiality of cybersecurity incidents to ensure accurate and timely disclosures of those events in accordance with current regulatory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engages a third party to perform an annual cybersecurity audit, which attests compliance with our Cybersecurity Program and industry best practices. The results of the third-party audit and internal vulnerability reviews are used by the CISO to guide investments in cybersecurity capabilities, solutions, and services to reduce the Company's exposure to cybersecurity risks. To aid managing, prioritizing and remediating any identified cybersecurity, software engineering, and IT infrastructure risks, the Company has implemented a risk register. The risk register is maintained by the IT Department and the status of remediation efforts is communicated to management during the quarterly meetings of the IT Steering Committee. Any significant, control failure, weakness or cybersecurity incident is reported by the CISO to the Company's incident response team and prioritized for remediation in accordance with our cybersecurity incident response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third-party audit, we perform ongoing vulnerability reviews and conduct annual penetration testing of certain external and internal systems based on selected criteria as determined by Management in conjunction with external consultants. These tests are conducted by qualified external consultants and all findings are reported to the CISO and any deficiency is tracked until it has been fully remediated. A risk assessment is conducted regularly based on NIST and CIS frameworks to determine gaps in controls that exposes the Company to a risk level that requires mitigation efforts. The Company requires in depth security monitoring continuous and real-time, detection of, and responses to cybersecurity threats and has partnered with industry leading managed service providers to accomplish this objective. Our cybersecurity partners maintain continuous security operations centers, threat intelligence, response capabilities, and incident response services. These services are tested for effectiveness annually as part of the internal penetration testing process. As mentioned above, the Company has implemented an incident response plan and incident response team that meets at least annually to assess breach scenarios and improve our response capabilities. All findings from testing, vulnerability analysis, breach scenarios, and event detection are reported quarterly by the CISO to the IT Steering Committee and Audit Committee.</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leased corporate offices are located in Miami, Florida. We lease three other facilities in the United States, located in Miami, Florida and New York, New York and three facilities internationally, located in Madrid, Spain, Milan, Italy and London, England.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before="0" w:after="2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as of December 31, 2024, we lease 102 Company-operated stores throughout the United States and 13 Company-operated stores throughout Spain, Italy, the United Kingdom and Germany. Substantially all our facilities are leased. Our main international customer and shared service centers are located in Guatemala City, Guatemala, Aguascalientes, Mexico, and Puebla, Mexico where our employees answer operational questions from agents and customers, and provide back-office support to our operating entities in the United States and Europe. Our facilities are used for operational, sales and administrative purposes in support of our business, and are all currently being utilized as intended.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 In December 2022, we entered into a lease agreement, which expires in 2033, for our new headquarters to accommodate our growing workforce. We completed the move to the new headquarters in February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19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for the Company’s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Capital Market under the symbol “IMXI”.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24, 2025, there were 52 holders of record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and do not anticipate declaring or paying in the foreseeable future, any cash dividends on our common stock. In addition, the terms of our credit facility include restrictions on our ability to pay dividends to our common stockholders. Any payment of future dividends will be at the discretion of the Company’s Board of Directors and will depend upon, among other factors, the Company’s earnings, financial condition, current and anticipated capital and liquidity requirements, plans for expansion, level of indebtedness and contractual restrictions. The payment of future cash dividends, if any, would be made only from assets legally available.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5 with respect to securities authorized for issuance under equity compensation plans is incorporated herein by reference to Part III, Item 12 of this Form 10-K.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peer group (“Peer Group”) consists of publicly-traded companies that are in the money remittance and payment industries and is composed of the following: MoneyGram (for periods prior to its acquisition by Madison Dearborn Partners in June 2023), Euronet, Remitly and Western Union.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cumulative total shareholder return, calculated on a dividend-reinvested basis, for (1) the Company’s common stock, (2) the NASDAQ US Benchmark TR Index and (3) our Peer Group, for the period from December 31, 2019 through December 31, 2024. The graph assumes the value of the investment in our common stock and each index was $100 on December 31, 2019 and that all dividends were reinvested. The graph plots the value of the initial $100 investment at quarterly intervals for the fiscal years shown.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AMONG 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INDEX AND PEER GROUP INDEX</w:t>
      </w:r>
    </w:p>
    <w:p>
      <w:pPr>
        <w:pStyle w:val="TextBody"/>
        <w:bidi w:val="0"/>
        <w:spacing w:before="0" w:after="240"/>
        <w:jc w:val="center"/>
        <w:rPr/>
      </w:pPr>
      <w:r>
        <w:rPr/>
      </w:r>
    </w:p>
    <w:p>
      <w:pPr>
        <w:pStyle w:val="TextBody"/>
        <w:bidi w:val="0"/>
        <w:spacing w:before="0" w:after="0"/>
        <w:ind w:left="0" w:right="0" w:firstLine="360"/>
        <w:jc w:val="center"/>
        <w:rPr/>
      </w:pPr>
      <w:r>
        <w:rPr/>
        <w:drawing>
          <wp:inline distT="0" distB="0" distL="0" distR="0">
            <wp:extent cx="6858000" cy="364807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858000" cy="3648075"/>
                    </a:xfrm>
                    <a:prstGeom prst="rect">
                      <a:avLst/>
                    </a:prstGeom>
                  </pic:spPr>
                </pic:pic>
              </a:graphicData>
            </a:graphic>
          </wp:inline>
        </w:drawing>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 Index Data: Copyright NASDAQ OMX, Inc. Used with permission. All rights reserved.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 Corporate Performance Graph with peer group uses peer group only performance (excludes only Intermex).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 of the Issuer</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 Repurchase Program (as defined below) provides for the repurchase, from time to time, of shares of Company common stock in open market transactions or in privately negotiated transactions in accordance with applicable securities laws. The timing and the amount of any repurchases is determined based on market conditions, legal requirements, cash flow and liquidity needs and other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repurchases of our common stock during the quarter ended December 31, 2024:</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92"/>
        <w:gridCol w:w="383"/>
        <w:gridCol w:w="388"/>
        <w:gridCol w:w="109"/>
        <w:gridCol w:w="109"/>
        <w:gridCol w:w="109"/>
        <w:gridCol w:w="470"/>
        <w:gridCol w:w="470"/>
        <w:gridCol w:w="472"/>
        <w:gridCol w:w="109"/>
        <w:gridCol w:w="109"/>
        <w:gridCol w:w="109"/>
        <w:gridCol w:w="288"/>
        <w:gridCol w:w="843"/>
        <w:gridCol w:w="149"/>
        <w:gridCol w:w="109"/>
        <w:gridCol w:w="109"/>
        <w:gridCol w:w="109"/>
        <w:gridCol w:w="737"/>
        <w:gridCol w:w="737"/>
        <w:gridCol w:w="739"/>
        <w:gridCol w:w="109"/>
        <w:gridCol w:w="109"/>
        <w:gridCol w:w="109"/>
        <w:gridCol w:w="382"/>
        <w:gridCol w:w="1961"/>
        <w:gridCol w:w="286"/>
      </w:tblGrid>
      <w:tr>
        <w:trPr/>
        <w:tc>
          <w:tcPr>
            <w:tcW w:w="5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w:t>
            </w:r>
          </w:p>
        </w:tc>
      </w:tr>
      <w:tr>
        <w:trPr/>
        <w:tc>
          <w:tcPr>
            <w:tcW w:w="136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75,756,376 </w:t>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69,320,196 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63,177,870 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(a)Includes (i) 2,534, (ii) 184 and (iii) 60,673 shares withheld for income tax purposes in October 2024, November 2024 and December 2024, respectively, in connection with shares issued under compensation and benefit programs.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objectives of our Management’s Discussion and Analysis of Financial Condition and Results of Operations are to provide users of our consolidated financial statements with a narrative explanation from the perspective of management of our financial condition, results of operations, cash flows, liquidity and certain other factors that may affect future results. This Management’s Discussion and Analysis of Financial Condition and Results of Operations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Our past operating results are not necessarily indicative of operating results in any future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our recent acquisitions we now provide remittance services from Spain, Italy, Germany and the United Kingdom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Germany and the United Kingdom, where consumers can send money to beneficiaries in more than 60 countries in LAC, Europe, Africa and Asia. Our services are accessible in person through over 100,000 independent sending and paying agents and 117 Company-operated stores, as well as digitally through the Internet via our websites and mobile device applications. Additionally, our product and service portfolio include online payment options, pre-paid debit cards and direct deposit payroll cards, which may present different cost, demand, regulatory and risk profiles relative to our core money remittance business.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Euro or British pound can also generate revenue if we are successful in our daily management of currency exchange spreads. We also generate revenue from our “wire as a service” relationships with digital partners where we receive a fee for facilitating money transfers processed through our proprietary software systems, money transmitter licenses and payer network relationships.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Germany and the United Kingdom that are primarily operated by third-party businesses, as well as by Company-operated stores located in those jurisdictions. Transactions are processed and payment is collected by our sending agents and those funds become available for pickup by the beneficiary at the designated destination, usually within minutes, at any Intermex paying agents. We refer to our sending agents and our paying agents collectively as agents. In addition, our services are offered digitally through the Internet via our websites (intermexonline.com and online.i-transfer.es) and mobile device applications. For the year ended December 31, 2024, our agent network decreased slightly by approximately 0.2%, primarily as a result of a lower number of sending agents onboarded during the year relative to ordinary course agent terminations. For the year ended December 31, 2024, principal amount sent decreased slightly by approximately 0.8% to $24.4 billion, as compared to fiscal year 2023, primarily as a result of a lower principal amount sent per transaction. Total remittances processed were approximately 58.9 million for the year ended December 31, 2024, representing an increase of approximately 0.4%, as compared to fiscal year 2023 primarily related to increased volume generated by our digital channels and European subsidiaries.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2, 2024, the Company completed the acquisition of a money services entity incorporated in the United Kingdom. See Note 3 in Part II, Item 8, Financial Statements and Supplementary Data for additional information regarding the acquisition. This acquisition provides the Company the opportunity to enter into markets in which it did not have a presence previously, such as the ability to provide outbound remittance services from the United Kingdom.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4, 2024, the Company completed the acquisition of the Amigo Paisano brands. See Note 9 in Part II, Item 8, Financial Statements and Supplementary Data for additional information regarding the acquisition. This acquisition provides the Company the opportunity to enhance digital channel offerings, strengthen our presence in the United States to Guatemala corridor and increase the profitability of our digital products.</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Restructuring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executed a restructuring plan primarily related to certain of its foreign operations and La Nacional. These restructuring costs are part of the Company's restructuring plan, for which the objectives are to reorganize the workforce, streamline operational processes, integrate technology functionality, and to develop efficiencies within the Company. For the year ended December 31, 2024, the Company incurred approximately $3.1 million in expenses for a reduction of workforce in certain locations, closing of certain facilities, discontinuing technology and disposal of obsolete assets. These expenses include approximately $2.3 million in severance payments and related benefits, $0.4 million in software and software development costs write-offs and $0.4 million in legal and professional fees, which are included in restructuring costs in the consolidated statement of income and comprehensive income.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paid out $2.3 million of the above charges during the year ended December 31, 2024 and has a liability of $0.3 million recorded in accrued and other liabilities in the consolidated balance sheet as of December 31, 2024. The Company anticipates to incur additional restructuring costs through March 31, 2025 of approximately $0.4 million.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implementing this restructuring plan, the Company expects to reduce compensation expense and certain facilities related charges in an amount of approximately $2.0 million a year. The anticipated effect of this reduction in expenses will be primarily realized during 2025. In addition, the Company does not expect that the execution of this restructuring plan will result in any material reduction of revenues or increase of its ongoing operating expenses.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Strategic alternatives assessment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2024, the Company announced that the Board had initiated a process to assess strategic alternatives as part of our commitment to maximize stockholder value, which could include, among others, a potential sale in a private transaction. On February 26, 2025, the Company announced that with the approval and recommendation of the SAC, the Board unanimously determined to suspend the Company’s previously announced assessment of strategic alternatives.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conducted the review of strategic alternatives through the SAC, composed solely of independent members of the Board. The SAC, along with its independent financial advisor, the Company’s financial advisor and the assistance of its independent legal counsel, evaluated a comprehensive range of strategic alternatives to maximize stockholder value and held discussions with a wide array of strategics and financial investors since the process was announced in November of 2024 regarding potential alternatives, including a sale or merger of the Company and other transactions. The robust strategic review process did not, however, result in a definitive offer at a price that offered a superior alternative to the long-term stockholder value potentially created by the Company’s current business model and its strategic plan, which includes a significant investment to increase revenue from the Company's digital services, as more fully discussed in Item 1, Business.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ind w:left="0" w:right="0" w:firstLine="360"/>
        <w:jc w:val="both"/>
        <w:rPr/>
      </w:pPr>
      <w:r>
        <w:rPr/>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adverse effects on the Company’s stock price from the suspension of the strategic alternatives evaluation process;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success in expanding customer acceptance of our digital services, the cost of acquiring digital customers, as well as our ability to continue to develop new products, services and infrastructure;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and increased consumer preference for digital platforms;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effectively compete in the markets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immigration laws and their enforcement, including its effects on the level of immigrant employment and earning potential;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consumer fraud and other risks relating to the authenticity of customers’ orders or the improper or illegal use of our services by consumers, sending agents or digital partners;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cybersecurity-attacks or disruptions to our information technology, computer network systems, data centers and mobile device applications;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credit risks from our agents, digital partners and the financial institutions with which we do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compliance with applicable laws and regulatory requirements</w:t>
      </w:r>
      <w:r>
        <w:rPr>
          <w:color w:val="000000"/>
          <w:shd w:fill="FFFFFF" w:val="clear"/>
        </w:rPr>
        <w:t xml:space="preserve">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tax laws in the countries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protect our brands and intellectual property rights;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third-party vendors and service providers; and</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weakness in U.S. or international economic conditions.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higher consumer adoption. We expect to make a significant investment during 2025 and thereafter to increase our penetration of the digital market, to add digital customers, enhance our digital offerings and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discounts or higher commissions, as is typical for the industry. We compete for money remittance customers on the basis of trust, convenience, service, efficiency of outlets, value, enhanced technology and brand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Political, social and economic conditions in key Latin American markets continue to exhibit instability, as evidenced by higher interest rates, high unemployment rates, increasing immigration rates, restricted lending activity, higher inflation, volatility in foreign currencies and low consumer confidence,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w:t>
      </w:r>
      <w:r>
        <w:rPr>
          <w:rFonts w:ascii="Times New Roman;sans-serif" w:hAnsi="Times New Roman;sans-serif"/>
          <w:b w:val="false"/>
          <w:color w:val="000000"/>
          <w:sz w:val="20"/>
          <w:shd w:fill="FFFFFF" w:val="clear"/>
        </w:rPr>
        <w:t xml:space="preserve">According to the latest information available from the World Bank Remittance Matrix, the United States to Mexico remittance corridor was one of the largest in the world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In addition, changes to U.S. immigration, tariffs, trade, economic and other policies may have both positive and negative effects on our business, none of which can be predicted with any degree of certainty.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licensing and consumer compliance department, under the direction of our Chief Compliance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that utilize the Company’s technology in processing transactions paid by credit or debit card, check cashing services and maintenance fees, for which revenue is derived by a fee per transaction. In addition, we generate revenue from our “wire as a service” contracts with digital partners under which we receive fees for facilitating money transfers processed through our proprietary software systems, using our money transmitter licenses and payer network relationships.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Charges from Agents and Banks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also include transaction processing costs incurred in facilitating money transfers processed through our digital channels. Service charges may increase if banks, processors and payer organizations increase their fee structure or sending agents use higher fee methods to remit funds to us. Service charges also vary based on the method the consumer selects to send the transfer and the payer organization that facilitates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Salaries and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$12.8 million is expected to be recognized over a weighted-average period of 1.9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Selling, General and Administrative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shipping, supplies and other expenses associated with serving and increasing our network of sending agents as well as investing in the expansion of our digital channel offerings.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transaction costs associated with completed and potential acquisitions. These costs included all internal and external costs directly related to the transactions, consisting primarily of legal, consulting, accounting and advisory fees and certain incentive bonuses. Due to their significance, they are presented separately in our consolidated statements of income and comprehensive income. For additional information on these acquisitions, see Note 3 to the consolidated financial statements. Transaction costs also include internal and external costs related to the Board’s evaluation of strategic alternatives.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primarily of interest associated with our debt, which consisted of a term loan facility and a revolving credit facility until August 28, 2024. Subsequent to that date, our debt consists of a revolving credit facility. The effective interest rates for the year ended December 31, 2024 for the term loan facility and revolving credit facility, which related to the Company’s A&amp;R Credit Agreement and Second A&amp;R Credit Agreement (each, as defined herein), were 9.02% and 2.51%, respectively.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provision includes the expected benefit of all deferred tax assets, including our net operating loss carryforwards. With few exceptions, our net operating loss carryforwards will expire from 2029 through 2044. After consideration of all evidence, both positive and negative, management has determined that no valuation allowance is required at December 31, 2024 on the Company’s U.S. federal or state deferred tax assets; however, a valuation allowance has been recorded as of December 31, 2024 on deferred tax assets associated with foreign net operating loss carryforwards. Our income tax provision reflects the effects of state taxes, non-deductible expenses,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and foreign tax rates applicable to the Company’s foreign subsidiaries that are higher or lower than the U.S. statutory rate.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determined by subtracting operating and non-operating expenses from revenues.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transmittal services primarily between the United States, Canada and certain countries in Europe to Mexico, Guatemala and other countries in Latin America, Africa and Asia through a network of authorized agents located in various unaffiliated retail establishments and 117 Company-operated stores throughout the United States, Canada, Spain, Italy, Germany and the United Kingdom, as well as digitally through the Internet via our websites and mobile device applications. This is based on the objectives of the business and how our chief operating decision maker, the CEO and President, monitors operating performance and allocates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changes in our results of operations and cash flows from fiscal year 2023 to fiscal year 2022 has been omitted from this Annual Report on Form 10-K, but may be found in “Item 7. Management’s Discussion and Analysis of Financial Condition and Results of Operations” of our Annual Report on Form 10-K for the fiscal year ended December 31, 2023, filed with the SEC on February 28, 2024, which is available free of charge on the SEC’s website at www.sec.gov and at www.intermexonline.com, by clicking “Investors” located at the bottom of the page. The content of any website referred to in this document is not incorporated by reference into this document.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8664" w:type="dxa"/>
        <w:jc w:val="left"/>
        <w:tblInd w:w="0" w:type="dxa"/>
        <w:tblLayout w:type="fixed"/>
        <w:tblCellMar>
          <w:top w:w="28" w:type="dxa"/>
          <w:left w:w="28" w:type="dxa"/>
          <w:bottom w:w="28" w:type="dxa"/>
          <w:right w:w="28" w:type="dxa"/>
        </w:tblCellMar>
      </w:tblPr>
      <w:tblGrid>
        <w:gridCol w:w="1519"/>
        <w:gridCol w:w="1336"/>
        <w:gridCol w:w="1345"/>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563,633 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Year Ended December 31, 2024 Compared to the Year Ended December 31, 2023</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above periods are presented below:</w:t>
      </w:r>
    </w:p>
    <w:tbl>
      <w:tblPr>
        <w:tblW w:w="8536" w:type="dxa"/>
        <w:jc w:val="left"/>
        <w:tblInd w:w="0" w:type="dxa"/>
        <w:tblLayout w:type="fixed"/>
        <w:tblCellMar>
          <w:top w:w="28" w:type="dxa"/>
          <w:left w:w="28" w:type="dxa"/>
          <w:bottom w:w="28" w:type="dxa"/>
          <w:right w:w="28" w:type="dxa"/>
        </w:tblCellMar>
      </w:tblPr>
      <w:tblGrid>
        <w:gridCol w:w="1184"/>
        <w:gridCol w:w="1041"/>
        <w:gridCol w:w="1045"/>
        <w:gridCol w:w="211"/>
        <w:gridCol w:w="826"/>
        <w:gridCol w:w="109"/>
        <w:gridCol w:w="109"/>
        <w:gridCol w:w="109"/>
        <w:gridCol w:w="109"/>
        <w:gridCol w:w="233"/>
        <w:gridCol w:w="233"/>
        <w:gridCol w:w="501"/>
        <w:gridCol w:w="109"/>
        <w:gridCol w:w="109"/>
        <w:gridCol w:w="109"/>
        <w:gridCol w:w="211"/>
        <w:gridCol w:w="826"/>
        <w:gridCol w:w="109"/>
        <w:gridCol w:w="109"/>
        <w:gridCol w:w="109"/>
        <w:gridCol w:w="109"/>
        <w:gridCol w:w="233"/>
        <w:gridCol w:w="233"/>
        <w:gridCol w:w="560"/>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658,649 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Wire transfer and money order fees, net of $554.8 million, for the year ended December 31, 2024 decreased by $6.7 million, or 1.2%, from $561.5 million for the year ended December 31, 2023. The decrease was primarily due to a decrease in transaction volume processed through our retail network of sending agents and Company-operated stores in the year ended December 31, 2024 compared to the year ended December 31, 2023, mainly as a result of a contraction in the market. This decrease was partially offset by $1.9 million in revenue recognized as a result of the changes to the terms and conditions of our loyalty program effective in the third quarter of 2024.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our digital channels for the year ended December 31, 2024 amounted to approximately $20.6 million, which represents a 58.5% increase as compared to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foreign exchange gain, net of $88.9 million for the year ended December 31, 2024, increased by $1.0 million, or 1.1%, from $87.9 million for the year ended December 31, 2023. This increase was primarily due to a higher foreign exchange spread on money transfers sent to certain countries in the LAC slightly offset by a lower average principal amount sent per transaction to countries such as Mexico and Guatemala.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of $14.9 million for the year ended December 31, 2024 increased by $5.6 million or 60.2% from $9.3 million for the year ended December 31, 2023, primarily due to the effect of higher revenue generated from other ancillary services provided by our Company-operated stores such as check-cashing fees, higher revenues primarily as a result of an increase of the base fees charged on money transfers and money orders deemed abandoned property, and higher fees related to our wires as a service relationships, as well as an increase in income related to money transfer transactions paid with debit or credit cards.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above periods are presented below:</w:t>
      </w:r>
    </w:p>
    <w:p>
      <w:pPr>
        <w:pStyle w:val="TextBody"/>
        <w:bidi w:val="0"/>
        <w:spacing w:before="0" w:after="0"/>
        <w:ind w:left="0" w:right="0" w:firstLine="360"/>
        <w:jc w:val="both"/>
        <w:rPr/>
      </w:pPr>
      <w:r>
        <w:rPr/>
      </w:r>
    </w:p>
    <w:tbl>
      <w:tblPr>
        <w:tblW w:w="9319" w:type="dxa"/>
        <w:jc w:val="left"/>
        <w:tblInd w:w="0" w:type="dxa"/>
        <w:tblLayout w:type="fixed"/>
        <w:tblCellMar>
          <w:top w:w="28" w:type="dxa"/>
          <w:left w:w="28" w:type="dxa"/>
          <w:bottom w:w="28" w:type="dxa"/>
          <w:right w:w="28" w:type="dxa"/>
        </w:tblCellMar>
      </w:tblPr>
      <w:tblGrid>
        <w:gridCol w:w="1521"/>
        <w:gridCol w:w="1335"/>
        <w:gridCol w:w="1343"/>
        <w:gridCol w:w="211"/>
        <w:gridCol w:w="826"/>
        <w:gridCol w:w="109"/>
        <w:gridCol w:w="109"/>
        <w:gridCol w:w="109"/>
        <w:gridCol w:w="109"/>
        <w:gridCol w:w="200"/>
        <w:gridCol w:w="200"/>
        <w:gridCol w:w="501"/>
        <w:gridCol w:w="109"/>
        <w:gridCol w:w="109"/>
        <w:gridCol w:w="109"/>
        <w:gridCol w:w="211"/>
        <w:gridCol w:w="826"/>
        <w:gridCol w:w="109"/>
        <w:gridCol w:w="109"/>
        <w:gridCol w:w="109"/>
        <w:gridCol w:w="109"/>
        <w:gridCol w:w="193"/>
        <w:gridCol w:w="193"/>
        <w:gridCol w:w="560"/>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563,633 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NM - Amounts rounds to less than 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Service charges from agents and banks</w:t>
      </w:r>
      <w:r>
        <w:rPr>
          <w:color w:val="000000"/>
        </w:rPr>
        <w:t xml:space="preserve">— </w:t>
      </w:r>
      <w:r>
        <w:rPr>
          <w:rFonts w:ascii="Times New Roman;sans-serif" w:hAnsi="Times New Roman;sans-serif"/>
          <w:b w:val="false"/>
          <w:color w:val="000000"/>
          <w:sz w:val="20"/>
        </w:rPr>
        <w:t xml:space="preserve">Service charges from agents and banks were $429.0 million for the year ended December 31, 2024 compared to $430.9 million for the year ended December 31, 2023. The decrease of $1.9 million, or 0.4%, was primarily due to the decrease in transaction volume described above partially offset by higher transaction processing costs related to increased activity of our digital channel offerings.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Salaries and benefits</w:t>
      </w:r>
      <w:r>
        <w:rPr>
          <w:color w:val="000000"/>
        </w:rPr>
        <w:t xml:space="preserve">— </w:t>
      </w:r>
      <w:r>
        <w:rPr>
          <w:rFonts w:ascii="Times New Roman;sans-serif" w:hAnsi="Times New Roman;sans-serif"/>
          <w:b w:val="false"/>
          <w:color w:val="000000"/>
          <w:sz w:val="20"/>
        </w:rPr>
        <w:t>Salaries and benefits were $68.2 million for the year ended December 31, 2024, a decrease of $2.0 million, or 2.8%, from $70.2 million for the year ended December 31, 2023. The decrease is primarily due to cost savings related to our restructuring plan, a reduction in share-based compensation, mostly due to a $2.1 million reversal of cumulative costs related to PSUs for which the performance target was assessed as not probable to be achieved, as well as a decrease in incentive bonus expense due to lower than expected performance in relation to Adjusted EBITDA targets.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selling, general and administrative expenses</w:t>
      </w:r>
      <w:r>
        <w:rPr>
          <w:color w:val="000000"/>
        </w:rPr>
        <w:t xml:space="preserve">— </w:t>
      </w:r>
      <w:r>
        <w:rPr>
          <w:rFonts w:ascii="Times New Roman;sans-serif" w:hAnsi="Times New Roman;sans-serif"/>
          <w:b w:val="false"/>
          <w:color w:val="000000"/>
          <w:sz w:val="20"/>
        </w:rPr>
        <w:t>Other selling, general and administrative expenses of $47.9 million for the year ended December 31, 2024 increased by $0.2 million, or 0.4%, from $47.7 million for the year ended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the result of:</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$1.4 million - increase in provision for credit losses primarily due to a higher average balance outstanding of receivable balances from sending agents during the year ended December 31, 2024 compared to 2023, and a slight increase in write-offs of receivable balances primarily as a result of sending agents that were not able to pay in accordance with the original terms of their agreements with us and are, accordingly, subject to our normal collection procedures;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$0.9 million - increase in advertising related expenses primarily as a result of campaigns to promote our digital channel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$1.1 million - decrease in facilities related expenses during the year ended December 31, 2024 primarily related to savings from facility closures as a result of the restructuring of La Nacional during the third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$0.6 million - related to a gain on legal contingency settlement that was recorded in the second quarter of 2024 and collected in July 2024;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$0.3 million - related to litigation settlements incurred during 2023.</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Restructuring costs — </w:t>
      </w:r>
      <w:r>
        <w:rPr>
          <w:rFonts w:ascii="Times New Roman;sans-serif" w:hAnsi="Times New Roman;sans-serif"/>
          <w:b w:val="false"/>
          <w:color w:val="000000"/>
          <w:sz w:val="20"/>
        </w:rPr>
        <w:t>Restructuring costs of $3.1 million for the year ended December 31, 2024 included $2.3 million in severance costs, $0.4 million in fixed assets impairment, and $0.4 million in legal and professional fees primarily related to the restructuring of La Nacional and our foreign operations. Restructuring costs of $1.2 million for the year ended December 31, 2023 included $0.9 million in severance payments and related benefits, $0.3 million in computer equipment write-offs, $38.0 thousand for the early termination of a lease agreement and $31.0 thousand in legal fees related to the restructuring of La Nacional.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Transaction Costs</w:t>
      </w:r>
      <w:r>
        <w:rPr>
          <w:color w:val="000000"/>
        </w:rPr>
        <w:t xml:space="preserve">— </w:t>
      </w:r>
      <w:r>
        <w:rPr>
          <w:rFonts w:ascii="Times New Roman;sans-serif" w:hAnsi="Times New Roman;sans-serif"/>
          <w:b w:val="false"/>
          <w:color w:val="000000"/>
          <w:sz w:val="20"/>
        </w:rPr>
        <w:t>Transaction Costs of $1.8 million and $0.4 million for the years ended December 31, 2024 and 2023, respectively, consist primarily of financial advisory fees as well as other professional fees and legal fees incurred in connection with business acquisition transactions and strategic alternatives. Transaction costs for the year ended December 31, 2024 primarily related to the Company's evaluation of strategic alternatives, while transaction costs for the year ended December 31, 2023 primarily related to the LAN Holdings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of $13.6 million for the year ended December 31, 2024 increased by $0.7 million from $12.9 million, or 5.4%, for the year ended December 31, 2023. The increase is the result of higher depreciation associated with additional software developed and computer equipment acquired to support our growing business and sending agent network, as well as depreciation related to assets capitalized in connection with the Company’s new headquarters. These increases were partially offset by a decrease of approximately $0.9 million in amortization related to our trade names, developed technology and agent relationships during the year ended December 31, 2024, as these intangibles are being amortized on an accelerated basis, which declines over time.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$11.7 million for the year ended December 31, 2024, an increase of $1.3 million, or 12.5%, from $10.4 million for the year ended December 31, 2023. The increase was primarily due to higher market interest rates during the first half of 2024, partially offset by lower rates under our Second A&amp;R Credit Facility during the second half of 2024, as well as higher and more frequent draws under our revolving credit facility to fund our working capital needs during the year ended December 31, 2024. Additionally, the Company recognized a loss on debt extinguishment of $0.3 million associated with the payoff of our term loan facility as a result of entering into the Second A&amp;R Credit Agreement on August 29,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Income tax provision</w:t>
      </w:r>
      <w:r>
        <w:rPr>
          <w:color w:val="000000"/>
        </w:rPr>
        <w:t xml:space="preserve">— </w:t>
      </w:r>
      <w:r>
        <w:rPr>
          <w:rFonts w:ascii="Times New Roman;sans-serif" w:hAnsi="Times New Roman;sans-serif"/>
          <w:b w:val="false"/>
          <w:color w:val="000000"/>
          <w:sz w:val="20"/>
        </w:rPr>
        <w:t xml:space="preserve">Income tax provision was $24.5 million for the year ended December 31, 2024, a decrease of $1.0 million, or 3.9%, from an income tax provision of $25.5 million for the year ended December 31, 2023. The decrease in income tax provision was mainly attributable to a decrease in income before taxes primarily due to the factors discussed above, as well as a decrease in our effective state tax rate for the year ended December 31, 2024, offset by lower deductible share based compensation. </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of $58.8 million for the year ended December 31, 2024 compared to net income of $59.5 million for the year ended December 31, 2023, which resulted in a decrease of $0.7 million due to the same factors discussed above.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 Basic for the year ended December 31, 2024 was $1.81, representing an increase of $0.14, or 8.4%, compared to $1.67 for the year ended December 31,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 Diluted for the year ended December 31, 2024 was $1.79, representing an increase of $0.16, or 9.8%, compared to $1.63 for the year ended December 31,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both basic and diluted EPS largely reflect the effect of a reduced share count as a result of the stock repurchases.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changes in the market price per share of our common stock or variations in the value and number of shares granted, and amortization of intangible assets is subject to business and asset acquisition activities, which varies from period to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Adjusted EBITDA is subject to certain limitations, including the following: </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interest expense, or the amounts necessary to service interest or principal payments on our debt;</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income tax provision (benefit), and because the payment of taxes is part of our operations, tax provision is a necessary element of our costs and ability to operate;</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noncash component of share-based compensation;</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impact of earnings or charges resulting from matters we consider not to be reflective, on a recurring basis, of our ongoing operations; and</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other companies in our industry may calculate Adjusted EBITDA or similarly titled measures differently than we do, limiting its usefulness as a comparative measure.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 for these limitations by relying primarily on our GAAP results and using Adjusted EBITDA, as well as our other non-GAAP financial measures, only as supplemental information.</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Income and Adjusted 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is defined as net income adjusted to add back certain charges and expenses, such as non-cash amortization of intangible assets resulting from business acquisition transactions, non-cash compensation costs and other items set forth in the table below, as these charges and expenses are not considered a part of our core business operations and are not an indicator of ongoing, future company performance.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for the year ended December 31, 2024 was $70.4 million, representing a decrease of $0.6 million, or 0.8%, from Adjusted Net Income of $71.0 million for the year ended December 31, 2023. The decrease in Adjusted Net Income was primarily due to the decrease in net income discussed above partially offset by the slightly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Net Income: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6832" w:type="dxa"/>
        <w:jc w:val="left"/>
        <w:tblInd w:w="0" w:type="dxa"/>
        <w:tblLayout w:type="fixed"/>
        <w:tblCellMar>
          <w:top w:w="28" w:type="dxa"/>
          <w:left w:w="28" w:type="dxa"/>
          <w:bottom w:w="28" w:type="dxa"/>
          <w:right w:w="28" w:type="dxa"/>
        </w:tblCellMar>
      </w:tblPr>
      <w:tblGrid>
        <w:gridCol w:w="1476"/>
        <w:gridCol w:w="1297"/>
        <w:gridCol w:w="1307"/>
        <w:gridCol w:w="240"/>
        <w:gridCol w:w="841"/>
        <w:gridCol w:w="109"/>
        <w:gridCol w:w="109"/>
        <w:gridCol w:w="109"/>
        <w:gridCol w:w="109"/>
        <w:gridCol w:w="240"/>
        <w:gridCol w:w="84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59,515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contingency settlement (d)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(f)</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 (g)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70,412</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70,961</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 and strategic alternatives.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 gain contingency related to a legal settlement.</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the amortization of intangible assets that resulted from business acquisition transactions.</w:t>
      </w:r>
    </w:p>
    <w:p>
      <w:pPr>
        <w:pStyle w:val="TextBody"/>
        <w:bidi w:val="0"/>
        <w:spacing w:lineRule="auto" w:line="288" w:before="0" w:after="24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(previously defined and used as described above) for the year ended December 31, 2024 was $2.17, representing an increase of $0.18, or 9.0%, compared to $1.99 for the year ended December 31, 2023. The increase in Adjusted Earnings per Share - Basic was primarily due to the effect of a lower weighted average common shares total for the year due to stock repurchases combined with the higher net effect of the adjusting items detailed in the table above, partially offset by lower net income for the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Diluted (previously defined and used as described above) for the year ended December 31, 2024 was $2.14, representing an increase of $0.19, or 9.7%, compared to $1.95 for the year ended December 31, 2023. The increase in Adjusted Earnings per Share - Diluted was primarily due to the effect of a lower weighted average common shares total for the year due to stock repurchases combined with the higher net effect of the adjusting items detailed in the table above, partially offset by lower net income for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GAAP Earnings per Share, our closest GAAP measure, to Adjusted Earnings per Share:</w:t>
      </w:r>
    </w:p>
    <w:p>
      <w:pPr>
        <w:pStyle w:val="TextBody"/>
        <w:bidi w:val="0"/>
        <w:spacing w:before="0" w:after="0"/>
        <w:ind w:left="0" w:right="0" w:firstLine="360"/>
        <w:jc w:val="both"/>
        <w:rPr/>
      </w:pPr>
      <w:r>
        <w:rPr/>
      </w:r>
    </w:p>
    <w:tbl>
      <w:tblPr>
        <w:tblW w:w="8114" w:type="dxa"/>
        <w:jc w:val="left"/>
        <w:tblInd w:w="0" w:type="dxa"/>
        <w:tblLayout w:type="fixed"/>
        <w:tblCellMar>
          <w:top w:w="28" w:type="dxa"/>
          <w:left w:w="28" w:type="dxa"/>
          <w:bottom w:w="28" w:type="dxa"/>
          <w:right w:w="28" w:type="dxa"/>
        </w:tblCellMar>
      </w:tblPr>
      <w:tblGrid>
        <w:gridCol w:w="1254"/>
        <w:gridCol w:w="1103"/>
        <w:gridCol w:w="1107"/>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contingency settlement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7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may contain slight summation differences due to rounding.</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may not be indicative of ongoing, future company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year ended December 31, 2024 was $121.3 million, representing an increase of $1.3 million, or 1.1%, from $120.0 million for the year ended December 31, 2023. The increase in Adjusted EBITDA was primarily due to the higher net effect of the adjusting items detailed in the table below, partially offset by the decrease in net income discussed above.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reconciliation of Net Income, our closest GAAP measure, to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5498" w:type="dxa"/>
        <w:jc w:val="left"/>
        <w:tblInd w:w="0" w:type="dxa"/>
        <w:tblLayout w:type="fixed"/>
        <w:tblCellMar>
          <w:top w:w="28" w:type="dxa"/>
          <w:left w:w="28" w:type="dxa"/>
          <w:bottom w:w="28" w:type="dxa"/>
          <w:right w:w="28" w:type="dxa"/>
        </w:tblCellMar>
      </w:tblPr>
      <w:tblGrid>
        <w:gridCol w:w="1015"/>
        <w:gridCol w:w="894"/>
        <w:gridCol w:w="895"/>
        <w:gridCol w:w="211"/>
        <w:gridCol w:w="841"/>
        <w:gridCol w:w="109"/>
        <w:gridCol w:w="109"/>
        <w:gridCol w:w="109"/>
        <w:gridCol w:w="109"/>
        <w:gridCol w:w="211"/>
        <w:gridCol w:w="8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59,515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108,661</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108,356</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contingency settlement (d)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121,252</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119,976</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 and strategic alternatives.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 gain contingency related to a legal settlement.</w:t>
      </w:r>
    </w:p>
    <w:p>
      <w:pPr>
        <w:pStyle w:val="TextBody"/>
        <w:bidi w:val="0"/>
        <w:spacing w:lineRule="auto" w:line="288" w:before="0" w:after="24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to make capital expenditures and repurchases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year ended December 31, 2024. Therefore, we believe that our current cash and cash equivalents position, as well as projected cash flows generated from operations, together with borrowings under our revolving credit facility are sufficient to fund the principal and interest payments on our debt, lease expenses, our working capital needs, our business acquisitions and our expected capital expenditures in the short and long terms.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$156.6 million of outstanding amounts drawn on the revolving credit facility. There were $368.4 million of additional borrowings available under this facility as of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rates for the year ended December 31, 2024 for the term loan facility and revolving credit facility were 9.02% and 2.51%,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December 31, 2024, we were in compliance with these covenants.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ans-serif" w:hAnsi="Times New Roman;sans-serif"/>
          <w:b w:val="false"/>
          <w:i/>
          <w:color w:val="000000"/>
          <w:sz w:val="20"/>
        </w:rPr>
        <w:t xml:space="preserve">Risk Factors—Risks Relating to Our Indebtedness—The Company's indebtedness may limit our operating flexibility and could adversely affect our business, financial condition and results of operations” and "Our Second Amended and Restated Credit Agreement contains covenants that may limit our ability to conduct business" </w:t>
      </w:r>
      <w:r>
        <w:rPr>
          <w:rFonts w:ascii="Times New Roman;sans-serif" w:hAnsi="Times New Roman;sans-serif"/>
          <w:b w:val="false"/>
          <w:color w:val="000000"/>
          <w:sz w:val="20"/>
        </w:rPr>
        <w:t>included elsewhere in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purchases of treasury stock under the cost method. Any direct costs incurred to acquire treasury stock are considered stock issue costs and added to the cost of the treasury stock. During the year ended December 31, 2024, including the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purchased in the privately-negotiated transaction described below, the Company purchased 3,765,320 shares for an aggregate purchase price of $75.1 million. During the year ended December 31, 2023, the Company purchased 3,027,768 shares for an aggregate purchase price of $66.3 million. As of December 31, 2024, there was $63.2 million remaining available for future share repurchases under the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Privately-Negotiated Share Repurchase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2024, the Company entered into an agreement with Robert W. Lisy, the Company's Chief Executive Officer, President and Chairman of the Board of Directors, for the purchase of 175,000 shares of the Company’s common stock for a total purchase price of $3.3 million, or a per share price of $19.11, in a privately-negotiated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party to operating leases for office space, warehouses and Company-operated store locations, which we use as part of our day-to-day operations. Operating lease expenses were $7.0 million for the year ended December 31, 2024. We have not entered into finance lease commitments. For additional information on operating lease obligations, refer to Part II, Item 8, Financial Statements and Supplementary Data, Note 8, “</w:t>
      </w:r>
      <w:r>
        <w:rPr>
          <w:rFonts w:ascii="Times New Roman;sans-serif" w:hAnsi="Times New Roman;sans-serif"/>
          <w:b w:val="false"/>
          <w:i/>
          <w:color w:val="000000"/>
          <w:sz w:val="20"/>
        </w:rPr>
        <w:t>Leases</w:t>
      </w:r>
      <w:r>
        <w:rPr>
          <w:color w:val="000000"/>
        </w:rPr>
        <w:t>”</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our cash flows for the periods presented:</w:t>
      </w:r>
    </w:p>
    <w:tbl>
      <w:tblPr>
        <w:tblW w:w="9221"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Cash Flows Data:</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the year</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$53.1 million for the year ended December 31, 2024, a decrease of $90.4 million from net cash provided by operating activities of $143.5 million for the year ended December 31, 2023. The decrease is primarily a result of $93.1 million related to changes in working capital, which varies due to timing of remittance of consumer funds by sending agents, transmittal orders and payments, as well as prefunding of payers primarily for weekends, and additional cash generated by our operating results for the year ended December 31, 2024.</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$43.9 million for the year ended December 31, 2024, an increase of $25.6 million from $18.3 million for the year ended December 31, 2023. This increase in cash used was primarily due to the acquisitions of the Amigo Paisano brands and a money remittance Company in the United Kingdom through cash transactions, which resulted in $13.2 million of cash used, net of cash acquired. In addition, this increase in cash used was driven by the capitalization of leasehold improvements, furniture and equipment related to the Company's move to the new U.S. headquarters in February 2024 of approximately $10.0 million, an investment in software development and equipment to support our sending agent network and continued improvement of our proprietary software.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$114.2 million for the year ended December 31, 2024, which primarily consisted of $42.6 million of net borrowings under the revolving credit facility, $75.5 million in scheduled quarterly pay-downs for the first half of the year and final payoff of the term loan facility, $75.1 million used for repurchases of common stock, $3.1 million in debt origination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related to the Second A&amp;R Credit Agreement and $2.5 million of payments for stock-based awards for shares withheld for tax payments in connection with share-based compensation arrangements.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$37.1 million for the year ended December 31, 2023, which primarily consisted of $5.5 million in scheduled quarterly payments due on the term loan facility, $66.3 million of repurchases of common stock and $3.9 million of net payments for shares withheld for tax payments in connection with share-based compensation arrangements, offset by $38.0 million of borrowings, net under the revolving credit facility that varies primarily due to timing of prefunding of paying agents primarily for weekends and $1.3 million in proceeds from issuance of stock as a result of the exercise of options.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Times New Roman;sans-serif" w:hAnsi="Times New Roman;sans-serif"/>
          <w:b w:val="false"/>
          <w:i/>
          <w:color w:val="000000"/>
          <w:sz w:val="20"/>
        </w:rPr>
        <w:t>Financial Statements and Supplementary Data, Note 2, “Summary of Significant Accounting Policies.”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or digital partners to make required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allowance for credit losses using the expected credit loss rates on financial instruments based on the total estimated amount to be collected over the lifetime of the instrument.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result primarily from business acquisition transactions. Intangible assets include agent relationships, trade names, developed technology and other intangibles, all with finite lives. Other intangibles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long-lived assets, including amortizable intangible assets, for impairment whenever events or changes in circumstances indicate that the carrying amount of an asset may not be recoverable. Upon such an occurrence, recoverability of assets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in the U.S. federal jurisdiction and various state jurisdictions and our foreign subsidiaries are subject to taxes by local tax authorities. 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uncertain tax position guidance, we recognize the financial statement benefit of a position only after determining that the relevant tax authority would more likely than not sustain the positions following an audit. Tax regulations within each jurisdiction are subject to the interpretation of the related tax laws and regulations and require significant judgment to apply. We apply the uncertain tax position guidance to all tax positions for which the statute of limitations remains open. Resolution of these uncertainties in a manner inconsistent with management’s expectations could have a material impact on the Company’s financial condition and operating results.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Refer to Part II, Item 8, </w:t>
      </w:r>
      <w:r>
        <w:rPr>
          <w:rFonts w:ascii="Times New Roman;sans-serif" w:hAnsi="Times New Roman;sans-serif"/>
          <w:b w:val="false"/>
          <w:i/>
          <w:color w:val="000000"/>
          <w:sz w:val="20"/>
        </w:rPr>
        <w:t>Financial Statements and Supplementary Data, Note 2, “Summary of Significant Accounting Policies”</w:t>
      </w:r>
      <w:r>
        <w:rPr>
          <w:rFonts w:ascii="Times New Roman;sans-serif" w:hAnsi="Times New Roman;sans-serif"/>
          <w:b w:val="false"/>
          <w:color w:val="000000"/>
          <w:sz w:val="20"/>
        </w:rPr>
        <w:t>, for further discussion on recent accounting pronouncements.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$12.7 million and $56.9 million at December 31,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consolidated balance sheets as of December 31, 2024 and 2023, there are $23.0 million and $40.7 million, respectively, of wire transfers payable denominated in foreign currencies, primarily in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consolidated balance sheets as of December 31, 2024 and 2023, there are $29.8 million and $17.8 million, respectively, of prepaid wires denominated in foreign currencies, primarily in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represents approximately 3% of our consolidated revenues for the year ended December 31, 2024. Therefore, a 10% increase or decrease in these currency rates against the U.S. Dollar would result in a de minimis change to our overall operating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spot and average exchange rates for the currencies used by our subsidiaries to U.S. dollar are as follows: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10168" w:type="dxa"/>
        <w:jc w:val="left"/>
        <w:tblInd w:w="0" w:type="dxa"/>
        <w:tblLayout w:type="fixed"/>
        <w:tblCellMar>
          <w:top w:w="28" w:type="dxa"/>
          <w:left w:w="28" w:type="dxa"/>
          <w:bottom w:w="28" w:type="dxa"/>
          <w:right w:w="28" w:type="dxa"/>
        </w:tblCellMar>
      </w:tblPr>
      <w:tblGrid>
        <w:gridCol w:w="1092"/>
        <w:gridCol w:w="959"/>
        <w:gridCol w:w="963"/>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dollar/Mexico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dollar/Guatemala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dollar/Dominican peso</w:t>
            </w:r>
            <w:r>
              <w:rPr>
                <w:rFonts w:ascii="Times New Roman;sans-serif" w:hAnsi="Times New Roman;sans-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dollar/Euro</w:t>
            </w:r>
            <w:r>
              <w:rPr>
                <w:rFonts w:ascii="Times New Roman;sans-serif" w:hAnsi="Times New Roman;sans-serif"/>
                <w:b w:val="false"/>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dollar/British Pound Sterling</w:t>
            </w:r>
            <w:r>
              <w:rPr>
                <w:rFonts w:ascii="Times New Roman;sans-serif" w:hAnsi="Times New Roman;sans-serif"/>
                <w:b w:val="false"/>
                <w:color w:val="000000"/>
                <w:sz w:val="13"/>
              </w:rPr>
              <w:t>(4)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Spot exchange rates are as of December 31, 2024, 2023 and 2022.</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exchange rates are for the years ended December 31, 2024, 2023 and 2022.</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We commenced operations in the Dominican Republic and Europe in connection with the acquisition of LAN Holdings, Corp. in April 2023 and, therefore, no information is provided prior to 2023.</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We commenced operations in the United Kingdom in connection with an acquisition of a money service entity in July 2024 and, therefore, no information is provided prior to 2024.</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sustained appreciation of the Mexican peso or Guatemalan quetzal as compared to the U.S. dollar could affect our gross profit and margin.</w:t>
      </w:r>
    </w:p>
    <w:p>
      <w:pPr>
        <w:pStyle w:val="TextBody"/>
        <w:bidi w:val="0"/>
        <w:spacing w:before="0" w:after="12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Federal Reserve lowered the fed funds rate from 5.50% to 4.50% to ease monetary policy and support economic stability. As a consequence, other benchmark interest rates such as SOFR started to decrease during the second half of the year as well. The Company expects that the Federal Reserve will continue to monitor inflation and other economic indicators to assess if additional interest rate decreases in 2025 are warranted. As of December 31, 2024, we had $156.6 million in outstanding borrowings under the revolving credit facility. A hypothetical 1% increase or decrease in the interest rate on our indebtedness as of December 31, 2024 would have increased or decreased cash interest expense on our revolving credit facility by approximately $1.6 million per annum, respectively.</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the Dominican Republic, Spain, the United Kingdom, Germany and Italy and short-term investment accounts in Mexico, which may not be fully insured. During the year ended December 31, 2024,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primarily related to receivable balances from sending agents and digital partners. We perform a credit review before each agent signing and conduct ongoing analyses of sending agents and certain other parties we transact with directly. As of December 31, 2024, we also had $4.6 million outstanding of agent advances receivable from sending agents. Most of the agent advances receivable are collateralized by personal guarantees from the sending agents and by assets from their businesses.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approximately $6.4 million for the year ended December 31, 2024 (1.0% of total revenues), $5.0 million for the year ended December 31, 2023 (0.8% of total revenues) and $2.6 million for the year ended December 31, 2022 (0.5% of total revenues). The increase in our provision for credit losses in the year ended December 31, 2024 is primarily due to higher outstanding balances of accounts receivable primarily related to the acquisition of La Nacional and LAN Holdings and higher volume growth processed by our sending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542"/>
        <w:gridCol w:w="3112"/>
        <w:gridCol w:w="3129"/>
        <w:gridCol w:w="122"/>
        <w:gridCol w:w="122"/>
        <w:gridCol w:w="178"/>
      </w:tblGrid>
      <w:tr>
        <w:trPr/>
        <w:tc>
          <w:tcPr>
            <w:tcW w:w="3542"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79">
              <w:r>
                <w:rPr>
                  <w:rStyle w:val="InternetLink"/>
                  <w:rFonts w:ascii="Times New Roman;sans-serif" w:hAnsi="Times New Roman;sans-serif"/>
                  <w:b w:val="false"/>
                  <w:strike w:val="false"/>
                  <w:dstrike w:val="false"/>
                  <w:color w:val="0000FF"/>
                  <w:sz w:val="20"/>
                  <w:u w:val="none"/>
                  <w:effect w:val="none"/>
                </w:rPr>
                <w:t xml:space="preserve">Report of Independent Registered Public Accounting Firm </w:t>
              </w:r>
            </w:hyperlink>
            <w:r>
              <w:rPr>
                <w:rFonts w:ascii="Times New Roman;sans-serif" w:hAnsi="Times New Roman;sans-serif"/>
                <w:b w:val="false"/>
                <w:color w:val="000000"/>
                <w:sz w:val="20"/>
              </w:rPr>
              <w:t>(BDO USA, P.C., Miami, FL, Auditor Firm ID: 243)</w:t>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160">
              <w:r>
                <w:rPr>
                  <w:rStyle w:val="InternetLink"/>
                  <w:rFonts w:ascii="Times New Roman;sans-serif" w:hAnsi="Times New Roman;sans-serif"/>
                  <w:b w:val="false"/>
                  <w:strike w:val="false"/>
                  <w:dstrike w:val="false"/>
                  <w:color w:val="0000FF"/>
                  <w:sz w:val="20"/>
                  <w:u w:val="none"/>
                  <w:effect w:val="none"/>
                </w:rPr>
                <w:t>F-2</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82">
              <w:r>
                <w:rPr>
                  <w:rStyle w:val="InternetLink"/>
                  <w:rFonts w:ascii="Times New Roman;sans-serif" w:hAnsi="Times New Roman;sans-serif"/>
                  <w:b w:val="false"/>
                  <w:strike w:val="false"/>
                  <w:dstrike w:val="false"/>
                  <w:color w:val="0000FF"/>
                  <w:sz w:val="20"/>
                  <w:u w:val="none"/>
                  <w:effect w:val="none"/>
                </w:rPr>
                <w:t>Consolidated Balance Sheets as of December 31, 2024 and 2023</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82">
              <w:r>
                <w:rPr>
                  <w:rStyle w:val="InternetLink"/>
                  <w:rFonts w:ascii="Times New Roman;sans-serif" w:hAnsi="Times New Roman;sans-serif"/>
                  <w:b w:val="false"/>
                  <w:strike w:val="false"/>
                  <w:dstrike w:val="false"/>
                  <w:color w:val="000080"/>
                  <w:sz w:val="20"/>
                  <w:u w:val="single"/>
                  <w:effect w:val="none"/>
                </w:rPr>
                <w:t>F-</w:t>
              </w:r>
            </w:hyperlink>
            <w:hyperlink w:anchor="idd6a4355e37a48f0b38d325bc79dcf24_82">
              <w:r>
                <w:rPr>
                  <w:rStyle w:val="InternetLink"/>
                  <w:rFonts w:ascii="Times New Roman;sans-serif" w:hAnsi="Times New Roman;sans-serif"/>
                  <w:b w:val="false"/>
                  <w:strike w:val="false"/>
                  <w:dstrike w:val="false"/>
                  <w:color w:val="000080"/>
                  <w:sz w:val="20"/>
                  <w:u w:val="single"/>
                  <w:effect w:val="none"/>
                </w:rPr>
                <w:t>3</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85">
              <w:r>
                <w:rPr>
                  <w:rStyle w:val="InternetLink"/>
                  <w:rFonts w:ascii="Times New Roman;sans-serif" w:hAnsi="Times New Roman;sans-serif"/>
                  <w:b w:val="false"/>
                  <w:strike w:val="false"/>
                  <w:dstrike w:val="false"/>
                  <w:color w:val="0000FF"/>
                  <w:sz w:val="20"/>
                  <w:u w:val="none"/>
                  <w:effect w:val="none"/>
                </w:rPr>
                <w:t>Consolidated Statements of Income and Comprehensive Income for the years ended December 31, 2024, 2023 and 2022</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85">
              <w:r>
                <w:rPr>
                  <w:rStyle w:val="InternetLink"/>
                  <w:rFonts w:ascii="Times New Roman;sans-serif" w:hAnsi="Times New Roman;sans-serif"/>
                  <w:b w:val="false"/>
                  <w:strike w:val="false"/>
                  <w:dstrike w:val="false"/>
                  <w:color w:val="000080"/>
                  <w:sz w:val="20"/>
                  <w:u w:val="single"/>
                  <w:effect w:val="none"/>
                </w:rPr>
                <w:t>F-</w:t>
              </w:r>
            </w:hyperlink>
            <w:hyperlink w:anchor="idd6a4355e37a48f0b38d325bc79dcf24_85">
              <w:r>
                <w:rPr>
                  <w:rStyle w:val="InternetLink"/>
                  <w:rFonts w:ascii="Times New Roman;sans-serif" w:hAnsi="Times New Roman;sans-serif"/>
                  <w:b w:val="false"/>
                  <w:strike w:val="false"/>
                  <w:dstrike w:val="false"/>
                  <w:color w:val="000080"/>
                  <w:sz w:val="20"/>
                  <w:u w:val="single"/>
                  <w:effect w:val="none"/>
                </w:rPr>
                <w:t>4</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88">
              <w:r>
                <w:rPr>
                  <w:rStyle w:val="InternetLink"/>
                  <w:rFonts w:ascii="Times New Roman;sans-serif" w:hAnsi="Times New Roman;sans-serif"/>
                  <w:b w:val="false"/>
                  <w:strike w:val="false"/>
                  <w:dstrike w:val="false"/>
                  <w:color w:val="0000FF"/>
                  <w:sz w:val="20"/>
                  <w:u w:val="none"/>
                  <w:effect w:val="none"/>
                </w:rPr>
                <w:t>Consolidated Statements of Changes in Stockholders’ Equity for the years ended December 31, 2024, 2023 and 2022</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88">
              <w:r>
                <w:rPr>
                  <w:rStyle w:val="InternetLink"/>
                  <w:rFonts w:ascii="Times New Roman;sans-serif" w:hAnsi="Times New Roman;sans-serif"/>
                  <w:b w:val="false"/>
                  <w:strike w:val="false"/>
                  <w:dstrike w:val="false"/>
                  <w:color w:val="000080"/>
                  <w:sz w:val="20"/>
                  <w:u w:val="single"/>
                  <w:effect w:val="none"/>
                </w:rPr>
                <w:t>F-</w:t>
              </w:r>
            </w:hyperlink>
            <w:hyperlink w:anchor="idd6a4355e37a48f0b38d325bc79dcf24_88">
              <w:r>
                <w:rPr>
                  <w:rStyle w:val="InternetLink"/>
                  <w:rFonts w:ascii="Times New Roman;sans-serif" w:hAnsi="Times New Roman;sans-serif"/>
                  <w:b w:val="false"/>
                  <w:strike w:val="false"/>
                  <w:dstrike w:val="false"/>
                  <w:color w:val="000080"/>
                  <w:sz w:val="20"/>
                  <w:u w:val="single"/>
                  <w:effect w:val="none"/>
                </w:rPr>
                <w:t>5</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91">
              <w:r>
                <w:rPr>
                  <w:rStyle w:val="InternetLink"/>
                  <w:rFonts w:ascii="Times New Roman;sans-serif" w:hAnsi="Times New Roman;sans-serif"/>
                  <w:b w:val="false"/>
                  <w:strike w:val="false"/>
                  <w:dstrike w:val="false"/>
                  <w:color w:val="0000FF"/>
                  <w:sz w:val="20"/>
                  <w:u w:val="none"/>
                  <w:effect w:val="none"/>
                </w:rPr>
                <w:t>Consolidated Statements of Cash Flows for the years ended December 31, 2024, 2023 and 2022</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91">
              <w:r>
                <w:rPr>
                  <w:rStyle w:val="InternetLink"/>
                  <w:rFonts w:ascii="Times New Roman;sans-serif" w:hAnsi="Times New Roman;sans-serif"/>
                  <w:b w:val="false"/>
                  <w:strike w:val="false"/>
                  <w:dstrike w:val="false"/>
                  <w:color w:val="000080"/>
                  <w:sz w:val="20"/>
                  <w:u w:val="single"/>
                  <w:effect w:val="none"/>
                </w:rPr>
                <w:t>F-</w:t>
              </w:r>
            </w:hyperlink>
            <w:hyperlink w:anchor="idd6a4355e37a48f0b38d325bc79dcf24_91">
              <w:r>
                <w:rPr>
                  <w:rStyle w:val="InternetLink"/>
                  <w:rFonts w:ascii="Times New Roman;sans-serif" w:hAnsi="Times New Roman;sans-serif"/>
                  <w:b w:val="false"/>
                  <w:strike w:val="false"/>
                  <w:dstrike w:val="false"/>
                  <w:color w:val="000080"/>
                  <w:sz w:val="20"/>
                  <w:u w:val="single"/>
                  <w:effect w:val="none"/>
                </w:rPr>
                <w:t>6</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d6a4355e37a48f0b38d325bc79dcf24_94">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6a4355e37a48f0b38d325bc79dcf24_94">
              <w:r>
                <w:rPr>
                  <w:rStyle w:val="InternetLink"/>
                  <w:rFonts w:ascii="Times New Roman;sans-serif" w:hAnsi="Times New Roman;sans-serif"/>
                  <w:b w:val="false"/>
                  <w:strike w:val="false"/>
                  <w:dstrike w:val="false"/>
                  <w:color w:val="000080"/>
                  <w:sz w:val="20"/>
                  <w:u w:val="single"/>
                  <w:effect w:val="none"/>
                </w:rPr>
                <w:t>F-</w:t>
              </w:r>
            </w:hyperlink>
            <w:hyperlink w:anchor="idd6a4355e37a48f0b38d325bc79dcf24_94">
              <w:r>
                <w:rPr>
                  <w:rStyle w:val="InternetLink"/>
                  <w:rFonts w:ascii="Times New Roman;sans-serif" w:hAnsi="Times New Roman;sans-serif"/>
                  <w:b w:val="false"/>
                  <w:strike w:val="false"/>
                  <w:dstrike w:val="false"/>
                  <w:color w:val="000080"/>
                  <w:sz w:val="20"/>
                  <w:u w:val="single"/>
                  <w:effect w:val="none"/>
                </w:rPr>
                <w:t>8</w:t>
              </w:r>
            </w:hyperlink>
          </w:p>
        </w:tc>
      </w:tr>
    </w:tbl>
    <w:p>
      <w:pPr>
        <w:pStyle w:val="TextBody"/>
        <w:bidi w:val="0"/>
        <w:spacing w:before="0" w:after="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24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Board of Directors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audited the accompanying consolidated balance sheets of International Money Express, Inc. (the “Company”) as of December 31, 2024 and 2023, the related consolidated statements of income and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(COSO) and our report dated February 27, 2025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Sufficiency of Audit Evidence from Highly Automated Systems to Process and Record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4 to the consolidated financial statements, revenue is primarily generated from fees earned from providing wire transfer transaction services to individual customers and managing currency exchange differences from the majority of those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over revenue from wire transfer fees and net foreign exchange gain obtained from the Company’s information technology (IT) systems to be a critical audit matter. The processing and recording of revenue from wire transfer fees and net foreign exchange gain is highly automated and relies on multiple internally developed systems and databases. Auditing these elements involved especially challenging auditor judgment due to the nature and extent of audit effort required to address this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Involving IT auditors in the performance of the following procedures:</w:t>
      </w:r>
    </w:p>
    <w:p>
      <w:pPr>
        <w:pStyle w:val="TextBody"/>
        <w:bidi w:val="0"/>
        <w:spacing w:lineRule="auto" w:line="288" w:before="0" w:after="0"/>
        <w:ind w:left="0" w:right="0" w:hanging="360"/>
        <w:jc w:val="both"/>
        <w:rPr/>
      </w:pPr>
      <w:r>
        <w:rPr>
          <w:strike/>
          <w:color w:val="000000"/>
        </w:rPr>
        <w:t>◦</w:t>
      </w:r>
      <w:r>
        <w:rPr>
          <w:rFonts w:ascii="Times New Roman;sans-serif" w:hAnsi="Times New Roman;sans-serif"/>
          <w:b w:val="false"/>
          <w:color w:val="000000"/>
          <w:sz w:val="20"/>
        </w:rPr>
        <w:t>Identifying the relevant systems used to calculate, transmit and record revenue from wire transfer fees and net foreign exchange gain.</w:t>
      </w:r>
    </w:p>
    <w:p>
      <w:pPr>
        <w:pStyle w:val="TextBody"/>
        <w:bidi w:val="0"/>
        <w:spacing w:lineRule="auto" w:line="288" w:before="0" w:after="0"/>
        <w:ind w:left="0" w:right="0" w:hanging="360"/>
        <w:jc w:val="both"/>
        <w:rPr/>
      </w:pPr>
      <w:r>
        <w:rPr>
          <w:strike/>
          <w:color w:val="000000"/>
        </w:rPr>
        <w:t>◦</w:t>
      </w:r>
      <w:r>
        <w:rPr>
          <w:rFonts w:ascii="Times New Roman;sans-serif" w:hAnsi="Times New Roman;sans-serif"/>
          <w:b w:val="false"/>
          <w:color w:val="000000"/>
          <w:sz w:val="20"/>
        </w:rPr>
        <w:t xml:space="preserve">Testing the IT general controls over the relevant systems, including testing user access controls, change management controls, and IT operations controls. </w:t>
      </w:r>
    </w:p>
    <w:p>
      <w:pPr>
        <w:pStyle w:val="TextBody"/>
        <w:bidi w:val="0"/>
        <w:spacing w:lineRule="auto" w:line="288" w:before="0" w:after="0"/>
        <w:ind w:left="0" w:right="0" w:hanging="360"/>
        <w:jc w:val="both"/>
        <w:rPr/>
      </w:pPr>
      <w:r>
        <w:rPr>
          <w:strike/>
          <w:color w:val="000000"/>
        </w:rPr>
        <w:t>◦</w:t>
      </w:r>
      <w:r>
        <w:rPr>
          <w:rFonts w:ascii="Times New Roman;sans-serif" w:hAnsi="Times New Roman;sans-serif"/>
          <w:b w:val="false"/>
          <w:color w:val="000000"/>
          <w:sz w:val="20"/>
        </w:rPr>
        <w:t>Testing the relevant automated application controls, including system interfaces.</w:t>
      </w:r>
    </w:p>
    <w:p>
      <w:pPr>
        <w:pStyle w:val="TextBody"/>
        <w:bidi w:val="0"/>
        <w:spacing w:lineRule="auto" w:line="288" w:before="0" w:after="0"/>
        <w:ind w:left="0" w:right="0" w:hanging="360"/>
        <w:jc w:val="both"/>
        <w:rPr/>
      </w:pPr>
      <w:r>
        <w:rPr>
          <w:strike/>
          <w:color w:val="000000"/>
        </w:rPr>
        <w:t>•</w:t>
      </w:r>
      <w:r>
        <w:rPr>
          <w:rFonts w:ascii="Times New Roman;sans-serif" w:hAnsi="Times New Roman;sans-serif"/>
          <w:b w:val="false"/>
          <w:color w:val="000000"/>
          <w:sz w:val="20"/>
        </w:rPr>
        <w:t>Performing substantive analytical procedures over revenue from wire transfer fees and net foreign exchange gain, including testing the underlying information from the IT systems.</w:t>
      </w:r>
    </w:p>
    <w:p>
      <w:pPr>
        <w:pStyle w:val="TextBody"/>
        <w:bidi w:val="0"/>
        <w:spacing w:lineRule="auto" w:line="288" w:before="0" w:after="0"/>
        <w:ind w:left="0" w:right="0" w:hanging="360"/>
        <w:jc w:val="both"/>
        <w:rPr/>
      </w:pPr>
      <w:r>
        <w:rPr>
          <w:strike/>
          <w:color w:val="000000"/>
        </w:rPr>
        <w:t>•</w:t>
      </w:r>
      <w:r>
        <w:rPr>
          <w:rFonts w:ascii="Times New Roman;sans-serif" w:hAnsi="Times New Roman;sans-serif"/>
          <w:b w:val="false"/>
          <w:color w:val="000000"/>
          <w:sz w:val="20"/>
        </w:rPr>
        <w:t>Testing a sample of individual wire transfer fee revenue transactions by comparing amounts recognized by the Company to relevant contracts and related transaction support.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35"/>
        <w:gridCol w:w="2270"/>
        <w:gridCol w:w="2235"/>
        <w:gridCol w:w="211"/>
        <w:gridCol w:w="826"/>
        <w:gridCol w:w="109"/>
        <w:gridCol w:w="109"/>
        <w:gridCol w:w="109"/>
        <w:gridCol w:w="109"/>
        <w:gridCol w:w="211"/>
        <w:gridCol w:w="826"/>
        <w:gridCol w:w="155"/>
      </w:tblGrid>
      <w:tr>
        <w:trPr/>
        <w:tc>
          <w:tcPr>
            <w:tcW w:w="303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$3,546 and $2,610,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432,874 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576,812 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223,373 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175,455 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204,402 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none issued or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200,000,000 shares authorized, 40,164,056 and 39,673,271 shares issued and 30,548,702 and 33,823,237 shares outstanding as of December 31, 2024 and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9,615,354 and 5,850,034 shares as of December 31, 2024 and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149,037 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576,812 </w:t>
            </w:r>
          </w:p>
        </w:tc>
        <w:tc>
          <w:tcPr>
            <w:tcW w:w="1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74980"/>
                <wp:effectExtent l="0" t="0" r="0" b="0"/>
                <wp:wrapNone/>
                <wp:docPr id="54" name="Frame53"/>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p>
      <w:pPr>
        <w:pStyle w:val="TextBody"/>
        <w:bidi w:val="0"/>
        <w:spacing w:before="0" w:after="240"/>
        <w:ind w:left="0" w:right="0" w:firstLine="720"/>
        <w:jc w:val="both"/>
        <w:rPr/>
      </w:pPr>
      <w:r>
        <w:rPr/>
      </w:r>
    </w:p>
    <w:tbl>
      <w:tblPr>
        <w:tblW w:w="8796" w:type="dxa"/>
        <w:jc w:val="left"/>
        <w:tblInd w:w="0" w:type="dxa"/>
        <w:tblLayout w:type="fixed"/>
        <w:tblCellMar>
          <w:top w:w="28" w:type="dxa"/>
          <w:left w:w="28" w:type="dxa"/>
          <w:bottom w:w="28" w:type="dxa"/>
          <w:right w:w="28" w:type="dxa"/>
        </w:tblCellMar>
      </w:tblPr>
      <w:tblGrid>
        <w:gridCol w:w="1521"/>
        <w:gridCol w:w="1336"/>
        <w:gridCol w:w="1343"/>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658,649 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74980"/>
                <wp:effectExtent l="0" t="0" r="0" b="0"/>
                <wp:wrapNone/>
                <wp:docPr id="55" name="Frame5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tbl>
      <w:tblPr>
        <w:tblW w:w="12875" w:type="dxa"/>
        <w:jc w:val="left"/>
        <w:tblInd w:w="0" w:type="dxa"/>
        <w:tblLayout w:type="fixed"/>
        <w:tblCellMar>
          <w:top w:w="28" w:type="dxa"/>
          <w:left w:w="28" w:type="dxa"/>
          <w:bottom w:w="28" w:type="dxa"/>
          <w:right w:w="28" w:type="dxa"/>
        </w:tblCellMar>
      </w:tblPr>
      <w:tblGrid>
        <w:gridCol w:w="715"/>
        <w:gridCol w:w="272"/>
        <w:gridCol w:w="274"/>
        <w:gridCol w:w="540"/>
        <w:gridCol w:w="541"/>
        <w:gridCol w:w="226"/>
        <w:gridCol w:w="109"/>
        <w:gridCol w:w="109"/>
        <w:gridCol w:w="109"/>
        <w:gridCol w:w="286"/>
        <w:gridCol w:w="347"/>
        <w:gridCol w:w="148"/>
        <w:gridCol w:w="109"/>
        <w:gridCol w:w="109"/>
        <w:gridCol w:w="109"/>
        <w:gridCol w:w="494"/>
        <w:gridCol w:w="497"/>
        <w:gridCol w:w="22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16"/>
        <w:gridCol w:w="946"/>
        <w:gridCol w:w="164"/>
        <w:gridCol w:w="109"/>
        <w:gridCol w:w="109"/>
        <w:gridCol w:w="109"/>
        <w:gridCol w:w="220"/>
        <w:gridCol w:w="864"/>
        <w:gridCol w:w="162"/>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w:t>
              <w:br/>
              <w:t>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38,820,222 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 of stock options,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(2,480,744)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39,453,236 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(2,822,266)</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149,906 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 of stock options,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stock awards,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Fully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39,673,271 </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(5,850,034)</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(125,564)</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149,037 </w:t>
            </w:r>
          </w:p>
        </w:tc>
        <w:tc>
          <w:tcPr>
            <w:tcW w:w="1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40,164,056 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(9,615,354)</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74980"/>
                <wp:effectExtent l="0" t="0" r="0" b="0"/>
                <wp:wrapNone/>
                <wp:docPr id="56" name="Frame5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2219"/>
        <w:gridCol w:w="1915"/>
        <w:gridCol w:w="1921"/>
        <w:gridCol w:w="212"/>
        <w:gridCol w:w="835"/>
        <w:gridCol w:w="109"/>
        <w:gridCol w:w="109"/>
        <w:gridCol w:w="109"/>
        <w:gridCol w:w="109"/>
        <w:gridCol w:w="211"/>
        <w:gridCol w:w="826"/>
        <w:gridCol w:w="109"/>
        <w:gridCol w:w="109"/>
        <w:gridCol w:w="109"/>
        <w:gridCol w:w="109"/>
        <w:gridCol w:w="211"/>
        <w:gridCol w:w="826"/>
        <w:gridCol w:w="157"/>
      </w:tblGrid>
      <w:tr>
        <w:trPr/>
        <w:tc>
          <w:tcPr>
            <w:tcW w:w="221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business acquisitions, net of cash and cash equivalents acquired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asset acquisitions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proceeds from exercise of options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stock-based awards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the year</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the year</w:t>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74980"/>
                <wp:effectExtent l="0" t="0" r="0" b="0"/>
                <wp:wrapNone/>
                <wp:docPr id="57" name="Frame5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46"/>
        <w:gridCol w:w="2015"/>
        <w:gridCol w:w="2021"/>
        <w:gridCol w:w="211"/>
        <w:gridCol w:w="721"/>
        <w:gridCol w:w="109"/>
        <w:gridCol w:w="109"/>
        <w:gridCol w:w="109"/>
        <w:gridCol w:w="109"/>
        <w:gridCol w:w="211"/>
        <w:gridCol w:w="721"/>
        <w:gridCol w:w="109"/>
        <w:gridCol w:w="109"/>
        <w:gridCol w:w="109"/>
        <w:gridCol w:w="109"/>
        <w:gridCol w:w="211"/>
        <w:gridCol w:w="721"/>
        <w:gridCol w:w="155"/>
      </w:tblGrid>
      <w:tr>
        <w:trPr/>
        <w:tc>
          <w:tcPr>
            <w:tcW w:w="234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obtaining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adjustments due to lease modifications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Contingent consideration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Settlement of preexisting receivable balance from LAN Holdings against the consideration transferred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cashless exercise of options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74980"/>
                <wp:effectExtent l="0" t="0" r="0" b="0"/>
                <wp:wrapNone/>
                <wp:docPr id="58" name="Frame5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 – BASIS OF PRESENTATION AND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“us” or “we”) operates as a money transmitter between the United States of America (“United States” or “U.S.”), Canada, Spain, Italy, the United Kingdom and Germany primarily to Mexico, Guatemala and other countries in Latin America, Europe, Africa and Asia through a network of authorized agents located in various unaffiliated retail establishments and 117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of the Company include the accounts of International Money Express, Inc. and other entities in which the Company has a controlling financial interest. All significant inter-company balances and transactions have been eliminated in consolidation. The consolidated financial statements are prepared in accordance with accounting principles generally accepted in the U.S.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2 – SUMMARY OF SIGNIFICANT ACCOUNTING POLICIES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per Share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(“RSUs”), restricted stock awards (“RSAs”) and performance stock units (“PSUs”) have vested, using the treasury stock method. Potential common shares are excluded from the computation of diluted earnings per common share when the effect would be anti-dilutive. Treasury stock shares that have been repurchased are not considered outstanding and therefore are excluded from the weighted average number of common shares outstanding calculation.</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Cash is comprised of deposits in U.S. and foreign banks and cash in hand held at our Company-operated stores. The Company recognizes interest income from its cash deposits on an accrual basis. The Company considers cash equivalents to be short term, highly liquid investments with original maturities of three months or less. Cash equivalents include cash on deposit in overnight deposit accounts.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Concentrations</w:t>
      </w:r>
    </w:p>
    <w:p>
      <w:pPr>
        <w:pStyle w:val="TextBody"/>
        <w:bidi w:val="0"/>
        <w:spacing w:lineRule="auto" w:line="288" w:before="0" w:after="0"/>
        <w:jc w:val="both"/>
        <w:rPr/>
      </w:pPr>
      <w:r>
        <w:rPr>
          <w:rFonts w:ascii="Times New Roman;sans-serif" w:hAnsi="Times New Roman;sans-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which may not be fully insured. During the year ended December 31, 2024, the Company has not incurred any losses on these uninsured foreign bank accounts; however, the Company maintain</w:t>
      </w:r>
      <w:r>
        <w:rPr>
          <w:rFonts w:ascii="Times New Roman;sans-serif" w:hAnsi="Times New Roman;sans-serif"/>
          <w:b w:val="false"/>
          <w:color w:val="000000"/>
          <w:sz w:val="20"/>
          <w:shd w:fill="FFFFFF" w:val="clear"/>
        </w:rPr>
        <w:t>s a $3.8 million reserve on the balance of deposits held as a result of the closure of a financial institution in Mexico in 2021 (see Note 6)</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it is not exposed to any significant credit risk regarding these accounts as it performs periodic reviews of the creditworthiness of the financial institutions the Company uses. Cash and cash equivalents balances were as follows (in thousands):</w:t>
      </w:r>
    </w:p>
    <w:p>
      <w:pPr>
        <w:pStyle w:val="TextBody"/>
        <w:bidi w:val="0"/>
        <w:spacing w:before="0" w:after="0"/>
        <w:jc w:val="both"/>
        <w:rPr/>
      </w:pPr>
      <w:r>
        <w:rPr/>
      </w:r>
    </w:p>
    <w:tbl>
      <w:tblPr>
        <w:tblW w:w="8019" w:type="dxa"/>
        <w:jc w:val="left"/>
        <w:tblInd w:w="0" w:type="dxa"/>
        <w:tblLayout w:type="fixed"/>
        <w:tblCellMar>
          <w:top w:w="28" w:type="dxa"/>
          <w:left w:w="28" w:type="dxa"/>
          <w:bottom w:w="28" w:type="dxa"/>
          <w:right w:w="28" w:type="dxa"/>
        </w:tblCellMar>
      </w:tblPr>
      <w:tblGrid>
        <w:gridCol w:w="1939"/>
        <w:gridCol w:w="1703"/>
        <w:gridCol w:w="1713"/>
        <w:gridCol w:w="211"/>
        <w:gridCol w:w="826"/>
        <w:gridCol w:w="109"/>
        <w:gridCol w:w="109"/>
        <w:gridCol w:w="109"/>
        <w:gridCol w:w="109"/>
        <w:gridCol w:w="211"/>
        <w:gridCol w:w="82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U.S. dollars in U.S. banks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foreign banks and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on hand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paying agents are concentrated in a few large banks and financial institutions and large retail chains. Our largest paying agent by volume accounted for approximately 25% of the Company’s total remittance volume for both of the years ended December 31, 2024 and 2023, respectively, primarily from the U.S. to Mexico.</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initially recognized when the customer's wire transfer transaction is processed and the purchase of foreign currency is completed. Other income primarily represents revenues for technology services provided to the independent network of agents who utilize the Company’s technology in processing transactions paid by credit or debit card, check cashing services and maintenance fees, for which revenue is derived by a fee per transaction that is recognized when the transactions is processed. In addition, we generate revenue from our wire as a service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as the agent for these transactions.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4 for the discussion related to revenue recognition and additional information on the Company’s revenue.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Business Combinations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business combinations using the acquisition method, which requires that intangible assets be recognized apart from goodwill if they are contractual in nature or separately identifiable. Acquisitions are measured based on the fair value of consideration transferred and, if the consideration transferred is not cash, measurement is based on the fair value of the consideration transferred or the fair value of the assets acquired, whichever is more reliably measurable. The excess of the consideration transferred over the fair value of identifiable assets acquired and liabilities assumed is allocated to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preliminary fair values, which may be significant, are recorded through goodwill until pending information is finalized, not to exceed one year from the acquisition date. Any revisions to the fair values after they have been finalized will be accounted for as a gain or loss in the consolidated statement of income and comprehensive income.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 may consist of potential future payments that are contingent upon the acquired business achieving certain levels of earnings in the future, also referred to as “contingent consideration” or “earn-out.” Earn-out liabilities are measured at their estimated fair value as of the date of acquisition. Changes in the fair value of earn-out liabilities are recorded as a component of operating income in the consolidated statement of income and comprehensive income. Earn-out liabilities are included within accrued current and other liabilities within the consolidated balance sheet. Earn-out payments, to the extent they relate to the estimated earn-out liability as of the date of acquisition, are classified within financing activities in the consolidated statement of cash flows. Earn-out payments in excess of the acquisition date earn-out liability are classified within operating activities.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incurred in connection with business combination transactions are expensed as incurred and are included as Transaction Costs in the consolidated statements of income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 and Allowance for Credit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or digital partners to make required payments.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allowance for credit losses using expected credit loss rates on financial instruments based on the total estimated amount to be collected over the lifetime of the instruments.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Receivable balances from sending agents and digital partners are usually due to the Company within five days from the invoice date. Any balances not collected after that time are considered past due.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Prepaid Wires, Net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Prepaid wires, net represents funds provided to certain paying agents in advance of a transaction, net of wires pending to be picked up by the beneficiary of the money transfer.</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Prepaid Expenses and Other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primarily of right-of-use assets (see Note 8), fixed assets in process (see Note 6), prepaid expenses for services, tenant allowance, agent advances receivable (see Note 6) and deferred financing costs. Fees earned on agent advances receivable are recognized on a cash basis at the advance origination date.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Wire Transfers Payable, Net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 represent wires pending to be picked up by the beneficiary of the money transfer net of funds provided to certain paying agents in advance of a transaction.</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88" w:before="0" w:after="0"/>
        <w:jc w:val="both"/>
        <w:rPr/>
      </w:pPr>
      <w:r>
        <w:rPr>
          <w:rFonts w:ascii="Times New Roman;sans-serif" w:hAnsi="Times New Roman;sans-serif"/>
          <w:b w:val="false"/>
          <w:color w:val="000000"/>
          <w:sz w:val="20"/>
        </w:rPr>
        <w:t xml:space="preserve">The Company is a party to leases for office space, warehouses and Company-operated store locations. The Company determines if a contract contains a lease arrangement at the inception of the contract. </w:t>
      </w:r>
      <w:r>
        <w:rPr>
          <w:rFonts w:ascii="Times New Roman;sans-serif" w:hAnsi="Times New Roman;sans-serif"/>
          <w:b w:val="false"/>
          <w:color w:val="000000"/>
          <w:sz w:val="20"/>
          <w:shd w:fill="FFFFFF" w:val="clear"/>
        </w:rPr>
        <w:t>For leases in which the Company is the lessee, leases are classified as either finance or operating, with classification affecting the pattern of expense recognition. At commencement date, lease right-of-use (“ROUs”) assets consist of the amount of the initial measurement of the lease liability, any lease payments made to the lessor at or before the commencement date, minus any lease incentive received, and any initial direct costs</w:t>
      </w:r>
      <w:r>
        <w:rPr>
          <w:rFonts w:ascii="Times New Roman;sans-serif" w:hAnsi="Times New Roman;sans-serif"/>
          <w:b w:val="false"/>
          <w:color w:val="000000"/>
          <w:sz w:val="20"/>
        </w:rPr>
        <w:t>. If a lease does not provide a discount rate and the rate cannot be readily determined, an incremental borrowing rate is used to determine the present value of future lease payments. Lease and variable non-lease components within the Company’s lease agreements are not accounted for separately. Certain leases contain escalation provisions and/or renewal options, which give the Company the option to extend the lease. However, due to uncertainty surrounding the likelihood of lease renewal these options are not reflected in the calculation of the ROU asset and operating lease liability for a significant portion of our leases.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and Equipment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income and comprehensive income. Land is not depreciated.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 and Intangible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result primarily from business acquisition transactions. Intangible assets include primarily agent relationships, trade names, developed technology and other intangibles, all with finite lives. Other intangibles primarily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 in “Impairment of Long-Lived Assets.”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Origination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debt origination costs related to the Second A&amp;R Credit Agreement (as defined herein), consisting of a revolving credit facility, and amortizes these costs over the life of the related debt using the straight-line method. The unamortized portion of debt origination costs related to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income and comprehensive income.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Advertising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included in other selling, general and administrative expenses in the consolidated statements of income and comprehensive income and are expensed as incurred. The Company incurred advertising costs of approximately $1.2 million, $0.3 million and $1.0 million for the years ended December 31, 2024, 2023 and 2022, respectively.</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and various state income and other taxes and our foreign subsidiaries are subject to taxation by local tax authorities. 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 A valuation allowance is recorded to reduce the carrying amounts of deferred tax assets to the amount which we believe we are more likely than not to be able to utilize.</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 Translation and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from foreign currency transactions amounted to approximately a gain of $0.1 million, a gain of $0.2 million and a loss of $15.5 thousand for the years ended December 31, 2024, 2023 and 2022, respectively, and are included in other selling, general and administrative expenses in the consolidated statements of income and comprehensive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We currently settle with our payers in Latin America primarily by entering into foreign exchange tom and spot transactions with local and foreign currency providers (“counterparties”). There are no collateral posting requirements for these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exchange tom and spot transactions are derivatives that are carried at fair value in Prepaid expenses and other current assets or Accrued and other liabilities on the Consolidated Balance Sheets.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Changes in fair value are recognized in Foreign exchange gain, net on the Consolidated Statements of Income and Comprehensive Income. We do not elect hedge accounting, but rather use these derivatives for economic hedging purposes. The Company had open tom and spot foreign exchange contracts for Mexico and Guatemala with a notional amount of approximately $12.7 million and $56.9 million at December 31, 2024 and 2023, respectively. Unrealized gain, net on these open contracts were not material at December 31, 2024 and 2023.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consolidated balance sheets as of December 31, 2024 and 2023, there are $23.0 million and $40.7 million, respectively, of wire transfers payable denominated in foreign currencies, primarily in Mexican pesos and Guatemalan quetzales.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consolidated balance sheets as of December 31, 2024 and 2023, there are $29.8 million and $17.8 million, respectively, of prepaid wires denominated in foreign currencies, primarily in Mexican pesos and Guatemalan quetzales.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Comprehensive Income (Loss)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consists of net income (loss) and the net foreign currency translation adjustment and is presented in the consolidated statements of income and comprehensive income.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Share-Based Compensation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share-based compensation expense related to equity awards granted to employees, independent directors and service providers based on estimated fair values on the date of grant. We have elected to account for forfeitures as they occur. The Company may use either authorized and unissued shares or treasury shares to meet share issuance requirements. See Note 14 for further discussion related to the Company’s share-based compensation plans.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is organized around one reportable segment that provides money transmittal services between the U.S., Canada and certain countries in Europe to Mexico, Guatemala and other countries in Latin America, Europe, Africa and Asia through a network of authorized agents located in various unaffiliated retail establishments and 117 Company-operated stores throughout the U.S., Canada, Spain, Italy, Germany and the United Kingdom, as well as digitally through the Internet via our websites and mobile device applications. This is based on the objectives of the business and how our chief operating decision maker, the CEO and President, monitors operating performance and allocates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Reclassifications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conform with current year presentation. These changes did not have any effect on net income, stockholders’ equity or cash flows.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Pronouncements</w:t>
      </w:r>
    </w:p>
    <w:p>
      <w:pPr>
        <w:pStyle w:val="TextBody"/>
        <w:bidi w:val="0"/>
        <w:spacing w:lineRule="auto" w:line="288" w:before="0" w:after="0"/>
        <w:jc w:val="both"/>
        <w:rPr/>
      </w:pPr>
      <w:r>
        <w:rPr>
          <w:rFonts w:ascii="Times New Roman;sans-serif" w:hAnsi="Times New Roman;sans-serif"/>
          <w:b w:val="false"/>
          <w:color w:val="000000"/>
          <w:sz w:val="20"/>
        </w:rPr>
        <w:t xml:space="preserve">The FASB issued guidance,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guidance does not change how a public entity identifies its operating segments, aggregates them, or applies the quantitative thresholds to determine its reportable segments. The new standard was effective for the Company for the fiscal year ended December 31, 2024. The amendments in this ASU were applied retrospectively to all prior periods presented in the consolidated financial statements. As a result of the adoption of this guidance, </w:t>
      </w:r>
      <w:r>
        <w:rPr>
          <w:rFonts w:ascii="Times New Roman;sans-serif" w:hAnsi="Times New Roman;sans-serif"/>
          <w:b w:val="false"/>
          <w:color w:val="000000"/>
          <w:sz w:val="20"/>
          <w:shd w:fill="FFFFFF" w:val="clear"/>
        </w:rPr>
        <w:t>the Company was required to disclose its significant single reportable segment expenses and the amount and composition of other single reportable segment items, which are discussed in more detail in Note 18.</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FASB issued guidance,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An entity may apply the amendments in this guidance prospectively by providing the revised disclosures for the period ending December 31, 2025 and continuing to provide the previously required disclosures for the prior periods, or may apply the amendments retrospectively by providing the revised disclosures for all period presented. The adoption of this guidance is not expected to have a material effect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FASB issued ASU 2024-03,</w:t>
      </w:r>
      <w:r>
        <w:rPr>
          <w:color w:val="000000"/>
        </w:rPr>
        <w:t xml:space="preserve">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Early adoption is permitted. The Company is currently evaluating the impact this guidance will have on the consolidated financial statements.</w:t>
      </w:r>
    </w:p>
    <w:p>
      <w:pPr>
        <w:pStyle w:val="TextBody"/>
        <w:bidi w:val="0"/>
        <w:spacing w:before="0" w:after="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3 – ACQUISITIONS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completed the acquisition of 100% of the issued and outstanding stock of a money services entity incorporated in the United Kingdom. This acquisition provides the Company the opportunity to enter into markets in which it did not have a presence previously, such as the ability to provide outbound remittance services from the 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transferred by the Company in connection with the acquisition was approximately $1.4 million in cash, subject to customary purchase price adjustments. The acquisition was funded with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acquisition on July 2, 2024, the measurement period adjustments through the period ended December 31, 2024 and the fair values of consideration transferred and identifiable net assets acquired as of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1043"/>
        <w:gridCol w:w="773"/>
        <w:gridCol w:w="770"/>
        <w:gridCol w:w="109"/>
        <w:gridCol w:w="109"/>
        <w:gridCol w:w="109"/>
        <w:gridCol w:w="493"/>
        <w:gridCol w:w="1441"/>
        <w:gridCol w:w="255"/>
        <w:gridCol w:w="109"/>
        <w:gridCol w:w="109"/>
        <w:gridCol w:w="109"/>
        <w:gridCol w:w="662"/>
        <w:gridCol w:w="1276"/>
        <w:gridCol w:w="343"/>
        <w:gridCol w:w="109"/>
        <w:gridCol w:w="109"/>
        <w:gridCol w:w="109"/>
        <w:gridCol w:w="464"/>
        <w:gridCol w:w="1357"/>
        <w:gridCol w:w="347"/>
      </w:tblGrid>
      <w:tr>
        <w:trPr/>
        <w:tc>
          <w:tcPr>
            <w:tcW w:w="10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 2024 (As initially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 (As Adjusted)</w:t>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balance for this acquisition represents the estimated values of the Company’s assembled workforce and synergies expected to be achieved from the combined operations of the acquired entity and the Company. Goodwill resulting from this acquisition is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entity's results of operations have been included in the Company's results of operations from the date of its acquisition. The Company’s consolidated statement of income and comprehensive income includes $178.2 thousand and $174.9 thousand of revenue and net loss for the year ended December 31, 2024, respectively, from the acquired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costs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2024, the Company executed a restructuring plan primarily related to certain of its foreign operations and La Nacional. These restructuring costs are part of the Company's plan, for which the objectives are to reorganize the workforce, streamline operational processes, integrate technology functionality, as well as to develop efficiencies within the Company. For the year ended December 31, 2024, the Company incurred approximately $3.1 million in expenses for a reduction of workforce in certain locations, closing of certain facilities, discontinuing technology and disposal of obsolete assets. These expenses include approximately $2.3 million in severance payments and related benefits, $0.4 million in software and software development costs write-offs and $0.4 million in legal and professional fees, which are included in restructuring costs in the consolidated statement of income and comprehensive income.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liability balance related to restructuring costs for the year ended December 31, 2024 (in thousands):</w:t>
      </w:r>
    </w:p>
    <w:tbl>
      <w:tblPr>
        <w:tblW w:w="5868" w:type="dxa"/>
        <w:jc w:val="left"/>
        <w:tblInd w:w="0" w:type="dxa"/>
        <w:tblLayout w:type="fixed"/>
        <w:tblCellMar>
          <w:top w:w="28" w:type="dxa"/>
          <w:left w:w="28" w:type="dxa"/>
          <w:bottom w:w="28" w:type="dxa"/>
          <w:right w:w="28" w:type="dxa"/>
        </w:tblCellMar>
      </w:tblPr>
      <w:tblGrid>
        <w:gridCol w:w="603"/>
        <w:gridCol w:w="529"/>
        <w:gridCol w:w="532"/>
        <w:gridCol w:w="370"/>
        <w:gridCol w:w="818"/>
        <w:gridCol w:w="191"/>
        <w:gridCol w:w="157"/>
        <w:gridCol w:w="157"/>
        <w:gridCol w:w="157"/>
        <w:gridCol w:w="644"/>
        <w:gridCol w:w="1238"/>
        <w:gridCol w:w="47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Severance costs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incurred $1.2 million in expenses related to a restructuring plan for La Nacional. These expenses include approximately $0.9 million in severance payments and related benefits included in salaries and benefits in the consolidated statement of income and comprehensive income, $0.3 million in computer equipment write-offs, $38 thousand for the 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of a lease agreement and $31 thousand in legal fees related to the surrender of money transmitter licenses of La Nacional, which are included in other selling, general and administrative expenses in the consolidated statement of income and comprehensive income.</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include all internal and external costs directly related to acquisition activities and the Company's evaluation of strategic alternatives, consisting primarily of legal, consulting, accounting and financial advisory fees. Transaction costs for the years ended December 31, 2024, 2023, and 2022 amounted to $1.8 million, $0.4 million and $3.0 million,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4 – REVENUE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 revenues from contracts with customers, sending agents and others for the years ended December 31, 2024, 2023 and 2022, the following (in thousands):</w:t>
      </w:r>
    </w:p>
    <w:tbl>
      <w:tblPr>
        <w:tblW w:w="7467" w:type="dxa"/>
        <w:jc w:val="left"/>
        <w:tblInd w:w="0" w:type="dxa"/>
        <w:tblLayout w:type="fixed"/>
        <w:tblCellMar>
          <w:top w:w="28" w:type="dxa"/>
          <w:left w:w="28" w:type="dxa"/>
          <w:bottom w:w="28" w:type="dxa"/>
          <w:right w:w="28" w:type="dxa"/>
        </w:tblCellMar>
      </w:tblPr>
      <w:tblGrid>
        <w:gridCol w:w="1205"/>
        <w:gridCol w:w="1058"/>
        <w:gridCol w:w="1067"/>
        <w:gridCol w:w="211"/>
        <w:gridCol w:w="826"/>
        <w:gridCol w:w="109"/>
        <w:gridCol w:w="109"/>
        <w:gridCol w:w="109"/>
        <w:gridCol w:w="109"/>
        <w:gridCol w:w="211"/>
        <w:gridCol w:w="826"/>
        <w:gridCol w:w="109"/>
        <w:gridCol w:w="109"/>
        <w:gridCol w:w="109"/>
        <w:gridCol w:w="109"/>
        <w:gridCol w:w="211"/>
        <w:gridCol w:w="82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Wire transfer and money order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471,190 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Discounts and promotions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Wire transfer and money order fees, net</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658,649 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90-day period under the revised terms and conditions of the loyalty program, which were effective starting on September 26, 2024. Prior to the modification, points expired if an eligible wire transfer transaction was not initiated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11) and a corresponding loyalty program expense is recorded as contra revenue. Revenue from this performance obligation is recognized upon customers redeeming points or upon expiration of any points outstanding. Effective February 1, 2025, the loyalty program was terminated. Under the termination conditions, customers will be able to redeem their points through July 31, 2025. Any points not redeemed until that date, will expire automatically.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 fees include money order fees of $2.2 million, $2.2 million and $1.8 million for the years ended December 31, 2024, 2023 and 2022,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5 – ACCOUNTS RECEIVABLE AND AGENT ADVANCES RECEIVABLE, NET OF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4958" w:type="dxa"/>
        <w:jc w:val="left"/>
        <w:tblInd w:w="0" w:type="dxa"/>
        <w:tblLayout w:type="fixed"/>
        <w:tblCellMar>
          <w:top w:w="28" w:type="dxa"/>
          <w:left w:w="28" w:type="dxa"/>
          <w:bottom w:w="28" w:type="dxa"/>
          <w:right w:w="28" w:type="dxa"/>
        </w:tblCellMar>
      </w:tblPr>
      <w:tblGrid>
        <w:gridCol w:w="831"/>
        <w:gridCol w:w="730"/>
        <w:gridCol w:w="733"/>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Agent Advances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agent advances receivable, net of allowance for credit losses, from sending agents as follows (in thousands):</w:t>
      </w:r>
    </w:p>
    <w:p>
      <w:pPr>
        <w:pStyle w:val="TextBody"/>
        <w:bidi w:val="0"/>
        <w:spacing w:before="0" w:after="0"/>
        <w:jc w:val="both"/>
        <w:rPr/>
      </w:pPr>
      <w:r>
        <w:rPr/>
      </w:r>
    </w:p>
    <w:tbl>
      <w:tblPr>
        <w:tblW w:w="5423" w:type="dxa"/>
        <w:jc w:val="left"/>
        <w:tblInd w:w="0" w:type="dxa"/>
        <w:tblLayout w:type="fixed"/>
        <w:tblCellMar>
          <w:top w:w="28" w:type="dxa"/>
          <w:left w:w="28" w:type="dxa"/>
          <w:bottom w:w="28" w:type="dxa"/>
          <w:right w:w="28" w:type="dxa"/>
        </w:tblCellMar>
      </w:tblPr>
      <w:tblGrid>
        <w:gridCol w:w="1150"/>
        <w:gridCol w:w="1011"/>
        <w:gridCol w:w="1018"/>
        <w:gridCol w:w="211"/>
        <w:gridCol w:w="616"/>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long-term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current portion of agent advances receivable is included in prepaid expenses and other current assets (see Note 6), and the net long-term portion is included in other assets in the consolidated balance sheets. At December 31, 2024 and 2023, there were $4.6 million and $4.6 million, respectively, of agent advances receivable collateralized by personal guarantees from the sending agents and assets from their businesses in case of a default by the agent.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agent advances receivable at December 31, 2024 are as follows (in thousands):</w:t>
      </w:r>
    </w:p>
    <w:tbl>
      <w:tblPr>
        <w:tblW w:w="3091" w:type="dxa"/>
        <w:jc w:val="left"/>
        <w:tblInd w:w="0" w:type="dxa"/>
        <w:tblLayout w:type="fixed"/>
        <w:tblCellMar>
          <w:top w:w="28" w:type="dxa"/>
          <w:left w:w="28" w:type="dxa"/>
          <w:bottom w:w="28" w:type="dxa"/>
          <w:right w:w="28" w:type="dxa"/>
        </w:tblCellMar>
      </w:tblPr>
      <w:tblGrid>
        <w:gridCol w:w="701"/>
        <w:gridCol w:w="615"/>
        <w:gridCol w:w="619"/>
        <w:gridCol w:w="248"/>
        <w:gridCol w:w="725"/>
        <w:gridCol w:w="183"/>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w:t>
              <w:br/>
              <w:t>Balance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1 year</w:t>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2 and 3 years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83"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related to accounts receivable and agent advances receivable are as follows (in thousands):</w:t>
      </w:r>
    </w:p>
    <w:p>
      <w:pPr>
        <w:pStyle w:val="TextBody"/>
        <w:bidi w:val="0"/>
        <w:spacing w:before="0" w:after="0"/>
        <w:jc w:val="both"/>
        <w:rPr/>
      </w:pPr>
      <w:r>
        <w:rPr/>
      </w:r>
    </w:p>
    <w:tbl>
      <w:tblPr>
        <w:tblW w:w="5171" w:type="dxa"/>
        <w:jc w:val="left"/>
        <w:tblInd w:w="0" w:type="dxa"/>
        <w:tblLayout w:type="fixed"/>
        <w:tblCellMar>
          <w:top w:w="28" w:type="dxa"/>
          <w:left w:w="28" w:type="dxa"/>
          <w:bottom w:w="28" w:type="dxa"/>
          <w:right w:w="28" w:type="dxa"/>
        </w:tblCellMar>
      </w:tblPr>
      <w:tblGrid>
        <w:gridCol w:w="603"/>
        <w:gridCol w:w="529"/>
        <w:gridCol w:w="532"/>
        <w:gridCol w:w="211"/>
        <w:gridCol w:w="616"/>
        <w:gridCol w:w="109"/>
        <w:gridCol w:w="109"/>
        <w:gridCol w:w="109"/>
        <w:gridCol w:w="109"/>
        <w:gridCol w:w="211"/>
        <w:gridCol w:w="616"/>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5801" w:type="dxa"/>
        <w:jc w:val="left"/>
        <w:tblInd w:w="0" w:type="dxa"/>
        <w:tblLayout w:type="fixed"/>
        <w:tblCellMar>
          <w:top w:w="28" w:type="dxa"/>
          <w:left w:w="28" w:type="dxa"/>
          <w:bottom w:w="28" w:type="dxa"/>
          <w:right w:w="28" w:type="dxa"/>
        </w:tblCellMar>
      </w:tblPr>
      <w:tblGrid>
        <w:gridCol w:w="831"/>
        <w:gridCol w:w="730"/>
        <w:gridCol w:w="733"/>
        <w:gridCol w:w="211"/>
        <w:gridCol w:w="616"/>
        <w:gridCol w:w="109"/>
        <w:gridCol w:w="109"/>
        <w:gridCol w:w="109"/>
        <w:gridCol w:w="109"/>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6 – PREPAID EXPENSES AND OTHER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p>
      <w:pPr>
        <w:pStyle w:val="TextBody"/>
        <w:bidi w:val="0"/>
        <w:spacing w:before="0" w:after="0"/>
        <w:jc w:val="both"/>
        <w:rPr/>
      </w:pPr>
      <w:r>
        <w:rPr/>
      </w:r>
    </w:p>
    <w:tbl>
      <w:tblPr>
        <w:tblW w:w="6173" w:type="dxa"/>
        <w:jc w:val="left"/>
        <w:tblInd w:w="0" w:type="dxa"/>
        <w:tblLayout w:type="fixed"/>
        <w:tblCellMar>
          <w:top w:w="28" w:type="dxa"/>
          <w:left w:w="28" w:type="dxa"/>
          <w:bottom w:w="28" w:type="dxa"/>
          <w:right w:w="28" w:type="dxa"/>
        </w:tblCellMar>
      </w:tblPr>
      <w:tblGrid>
        <w:gridCol w:w="1345"/>
        <w:gridCol w:w="1186"/>
        <w:gridCol w:w="1188"/>
        <w:gridCol w:w="211"/>
        <w:gridCol w:w="721"/>
        <w:gridCol w:w="109"/>
        <w:gridCol w:w="109"/>
        <w:gridCol w:w="109"/>
        <w:gridCol w:w="109"/>
        <w:gridCol w:w="211"/>
        <w:gridCol w:w="72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7074" w:type="dxa"/>
        <w:jc w:val="left"/>
        <w:tblInd w:w="0" w:type="dxa"/>
        <w:tblLayout w:type="fixed"/>
        <w:tblCellMar>
          <w:top w:w="28" w:type="dxa"/>
          <w:left w:w="28" w:type="dxa"/>
          <w:bottom w:w="28" w:type="dxa"/>
          <w:right w:w="28" w:type="dxa"/>
        </w:tblCellMar>
      </w:tblPr>
      <w:tblGrid>
        <w:gridCol w:w="1673"/>
        <w:gridCol w:w="1472"/>
        <w:gridCol w:w="1475"/>
        <w:gridCol w:w="211"/>
        <w:gridCol w:w="721"/>
        <w:gridCol w:w="109"/>
        <w:gridCol w:w="109"/>
        <w:gridCol w:w="109"/>
        <w:gridCol w:w="109"/>
        <w:gridCol w:w="211"/>
        <w:gridCol w:w="721"/>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origination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 by seized banking entities,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fixed assets in process included approximately $6.1 million in capital expenditures related to lease hold improvements and other assets in connection with our new headquarters (see Note 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local banking regulators in Mexico resolved to close and liquidate a local financial institution, citing a lack of compliance with minimum capital requirements. The Company has approximately $5.3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approximately $3.8 million as of December 31, 2024, in connection with the balance of deposits held by the financial institution as a result of its closure, which has not materially changed since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7 – PROPERTY AND EQUIPMENT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p>
      <w:pPr>
        <w:pStyle w:val="TextBody"/>
        <w:bidi w:val="0"/>
        <w:spacing w:before="0" w:after="0"/>
        <w:jc w:val="both"/>
        <w:rPr/>
      </w:pPr>
      <w:r>
        <w:rPr/>
      </w:r>
    </w:p>
    <w:tbl>
      <w:tblPr>
        <w:tblW w:w="6410" w:type="dxa"/>
        <w:jc w:val="left"/>
        <w:tblInd w:w="0" w:type="dxa"/>
        <w:tblLayout w:type="fixed"/>
        <w:tblCellMar>
          <w:top w:w="28" w:type="dxa"/>
          <w:left w:w="28" w:type="dxa"/>
          <w:bottom w:w="28" w:type="dxa"/>
          <w:right w:w="28" w:type="dxa"/>
        </w:tblCellMar>
      </w:tblPr>
      <w:tblGrid>
        <w:gridCol w:w="948"/>
        <w:gridCol w:w="831"/>
        <w:gridCol w:w="845"/>
        <w:gridCol w:w="211"/>
        <w:gridCol w:w="721"/>
        <w:gridCol w:w="109"/>
        <w:gridCol w:w="109"/>
        <w:gridCol w:w="109"/>
        <w:gridCol w:w="109"/>
        <w:gridCol w:w="211"/>
        <w:gridCol w:w="721"/>
        <w:gridCol w:w="109"/>
        <w:gridCol w:w="109"/>
        <w:gridCol w:w="109"/>
        <w:gridCol w:w="109"/>
        <w:gridCol w:w="307"/>
        <w:gridCol w:w="307"/>
        <w:gridCol w:w="436"/>
      </w:tblGrid>
      <w:tr>
        <w:trPr/>
        <w:tc>
          <w:tcPr>
            <w:tcW w:w="94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w:t>
              <w:br/>
              <w:t>Useful Life</w:t>
              <w:br/>
              <w:t>(in years)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10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included in depreciation and amortization expense in the consolidated statements of income and comprehensive income was approximately $9.6 million, $8.0 million and $5.2 million for the years ended December 31, 2024,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Repairs and maintenance expenses included in other selling, general and administrative expenses in the consolidated statements of income and comprehensive income were approximately $6.1 million, $5.4 million and $3.7 million for the years ended December 31,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8 – 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new lease agreement provides for the Company to receive a tenant allowance amounting to approximately $3.8 million through the construction period, all of which has been disbursed through December 31, 2024. Also, the Company commenced making monthly lease payments on November 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right-of-use assets and lease liabilities in the consolidated balance sheets is as follows (in thousands):</w:t>
      </w:r>
    </w:p>
    <w:p>
      <w:pPr>
        <w:pStyle w:val="TextBody"/>
        <w:bidi w:val="0"/>
        <w:spacing w:before="0" w:after="0"/>
        <w:jc w:val="both"/>
        <w:rPr/>
      </w:pPr>
      <w:r>
        <w:rPr/>
      </w:r>
    </w:p>
    <w:tbl>
      <w:tblPr>
        <w:tblW w:w="8853"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349"/>
        <w:gridCol w:w="1195"/>
        <w:gridCol w:w="180"/>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rFonts w:ascii="Times New Roman;sans-serif" w:hAnsi="Times New Roman;sans-serif"/>
          <w:b w:val="false"/>
          <w:color w:val="000000"/>
          <w:sz w:val="18"/>
        </w:rPr>
      </w:pPr>
      <w:r>
        <w:rPr>
          <w:rFonts w:ascii="Times New Roman;sans-serif" w:hAnsi="Times New Roman;sans-serif"/>
          <w:b w:val="false"/>
          <w:color w:val="000000"/>
          <w:sz w:val="18"/>
        </w:rPr>
        <w:t>(1) Operating right of-use assets are recorded net of accumulated amortization of $14.5 million and $10.0 million as of December 31, 2024 and 2023, respectively.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for the years ended December 31, 2024, 2023 and 2022, respectively, was as follows (in thousands):</w:t>
      </w:r>
    </w:p>
    <w:tbl>
      <w:tblPr>
        <w:tblW w:w="8118"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387"/>
        <w:gridCol w:w="1135"/>
        <w:gridCol w:w="202"/>
        <w:gridCol w:w="109"/>
        <w:gridCol w:w="109"/>
        <w:gridCol w:w="109"/>
        <w:gridCol w:w="387"/>
        <w:gridCol w:w="1135"/>
        <w:gridCol w:w="202"/>
        <w:gridCol w:w="109"/>
        <w:gridCol w:w="109"/>
        <w:gridCol w:w="109"/>
        <w:gridCol w:w="380"/>
        <w:gridCol w:w="1110"/>
        <w:gridCol w:w="279"/>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Operating lease cost is included in other selling, general and administrative expenses in the consolidated statement of income and comprehensive income for the years ended December 31, 2024,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weighted-average remaining lease terms on its operating leases is 6.6 and 6.7 years, and the Company’s weighted-average discount rate is 6.31% and 6.06%, respectively, which is the Company's incremental borrowing rate. The Company used its incremental borrowing rate for all leases, as none of the Company’s lease agreements provide a readily determinable implicit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assets under non-cancelable operating lease agreements with original terms of more than one year for the next five years and thereafter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9 – GOODWILL AND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following (in thousands):</w:t>
      </w:r>
    </w:p>
    <w:p>
      <w:pPr>
        <w:pStyle w:val="TextBody"/>
        <w:bidi w:val="0"/>
        <w:spacing w:before="0" w:after="0"/>
        <w:jc w:val="both"/>
        <w:rPr/>
      </w:pPr>
      <w:r>
        <w:rPr/>
      </w:r>
    </w:p>
    <w:tbl>
      <w:tblPr>
        <w:tblW w:w="4163" w:type="dxa"/>
        <w:jc w:val="left"/>
        <w:tblInd w:w="0" w:type="dxa"/>
        <w:tblLayout w:type="fixed"/>
        <w:tblCellMar>
          <w:top w:w="28" w:type="dxa"/>
          <w:left w:w="28" w:type="dxa"/>
          <w:bottom w:w="28" w:type="dxa"/>
          <w:right w:w="28" w:type="dxa"/>
        </w:tblCellMar>
      </w:tblPr>
      <w:tblGrid>
        <w:gridCol w:w="619"/>
        <w:gridCol w:w="544"/>
        <w:gridCol w:w="546"/>
        <w:gridCol w:w="211"/>
        <w:gridCol w:w="721"/>
        <w:gridCol w:w="109"/>
        <w:gridCol w:w="109"/>
        <w:gridCol w:w="109"/>
        <w:gridCol w:w="109"/>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 life:</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 life</w:t>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7"/>
        <w:gridCol w:w="515"/>
        <w:gridCol w:w="508"/>
        <w:gridCol w:w="226"/>
        <w:gridCol w:w="773"/>
        <w:gridCol w:w="116"/>
        <w:gridCol w:w="109"/>
        <w:gridCol w:w="109"/>
        <w:gridCol w:w="109"/>
        <w:gridCol w:w="236"/>
        <w:gridCol w:w="826"/>
        <w:gridCol w:w="124"/>
        <w:gridCol w:w="109"/>
        <w:gridCol w:w="109"/>
        <w:gridCol w:w="109"/>
        <w:gridCol w:w="211"/>
        <w:gridCol w:w="721"/>
        <w:gridCol w:w="109"/>
        <w:gridCol w:w="109"/>
        <w:gridCol w:w="109"/>
        <w:gridCol w:w="109"/>
        <w:gridCol w:w="211"/>
        <w:gridCol w:w="721"/>
        <w:gridCol w:w="109"/>
        <w:gridCol w:w="109"/>
        <w:gridCol w:w="109"/>
        <w:gridCol w:w="109"/>
        <w:gridCol w:w="296"/>
        <w:gridCol w:w="1037"/>
        <w:gridCol w:w="155"/>
        <w:gridCol w:w="109"/>
        <w:gridCol w:w="109"/>
        <w:gridCol w:w="109"/>
        <w:gridCol w:w="211"/>
        <w:gridCol w:w="721"/>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w:t>
              <w:br/>
              <w:t>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br/>
              <w:t>Carrying</w:t>
              <w:br/>
              <w:t>Value</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w:t>
            </w:r>
          </w:p>
        </w:tc>
        <w:tc>
          <w:tcPr>
            <w:tcW w:w="11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amortizable intangible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the majority of intangible assets on the consolidated balance sheets of the Company were primarily recognized from business acquisition transactions.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it has made reasonable estimates and judgments concerning these risks and uncertainties. A change in the conditions, circumstances or strategy of the Company may result in a need to recognize an impairment charge. As a result of the annual impairment tests, the Company determined that goodwill was not impaired as of December 31, 2024 and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and intangible assets (in thousands):</w:t>
      </w:r>
    </w:p>
    <w:tbl>
      <w:tblPr>
        <w:tblW w:w="6062" w:type="dxa"/>
        <w:jc w:val="left"/>
        <w:tblInd w:w="0" w:type="dxa"/>
        <w:tblLayout w:type="fixed"/>
        <w:tblCellMar>
          <w:top w:w="28" w:type="dxa"/>
          <w:left w:w="28" w:type="dxa"/>
          <w:bottom w:w="28" w:type="dxa"/>
          <w:right w:w="28" w:type="dxa"/>
        </w:tblCellMar>
      </w:tblPr>
      <w:tblGrid>
        <w:gridCol w:w="1140"/>
        <w:gridCol w:w="1002"/>
        <w:gridCol w:w="1007"/>
        <w:gridCol w:w="211"/>
        <w:gridCol w:w="721"/>
        <w:gridCol w:w="109"/>
        <w:gridCol w:w="109"/>
        <w:gridCol w:w="109"/>
        <w:gridCol w:w="109"/>
        <w:gridCol w:w="300"/>
        <w:gridCol w:w="1026"/>
        <w:gridCol w:w="219"/>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La Nacional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LAN 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Amigo Paisano brands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Acquisition of Amigo Paisano brands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4, 2024, the Company completed the acquisition of the Amigo Paisano brands and trademarks (“Amigo Paisano”) from a Guatemala-based third-party company, primarily concentrated in the United States to Guatemala corridor. Amigo Paisano provides the Company the opportunity to enhance its digital channel offerings and strengthen its presence in Central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transferred by the Company in connection with the acquisition of Amigo Paisano was $12.0 million. The acquisition was funded with cash on hand. The allocation of the consideration transferred resulted in intangible assets that consisted of trade names of approximately $12.0 million, which will be amortized over an estimated useful life of 15 years. In addition, due to the timing of the acquisition of Amigo Paisano, the potential income tax consequences of this transaction have not been fully determined.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for the next five years and thereafter is as follows (in thousands):</w:t>
      </w:r>
    </w:p>
    <w:p>
      <w:pPr>
        <w:pStyle w:val="TextBody"/>
        <w:bidi w:val="0"/>
        <w:spacing w:before="0" w:after="0"/>
        <w:jc w:val="both"/>
        <w:rPr/>
      </w:pPr>
      <w:r>
        <w:rPr/>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10 – WIRE TRANSFERS AND MONEY ORDERS PAYABLE,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 consisted of the following (in thousands):</w:t>
      </w:r>
    </w:p>
    <w:p>
      <w:pPr>
        <w:pStyle w:val="TextBody"/>
        <w:bidi w:val="0"/>
        <w:spacing w:before="0" w:after="0"/>
        <w:jc w:val="both"/>
        <w:rPr/>
      </w:pPr>
      <w:r>
        <w:rPr/>
      </w:r>
    </w:p>
    <w:tbl>
      <w:tblPr>
        <w:tblW w:w="5228" w:type="dxa"/>
        <w:jc w:val="left"/>
        <w:tblInd w:w="0" w:type="dxa"/>
        <w:tblLayout w:type="fixed"/>
        <w:tblCellMar>
          <w:top w:w="28" w:type="dxa"/>
          <w:left w:w="28" w:type="dxa"/>
          <w:bottom w:w="28" w:type="dxa"/>
          <w:right w:w="28" w:type="dxa"/>
        </w:tblCellMar>
      </w:tblPr>
      <w:tblGrid>
        <w:gridCol w:w="968"/>
        <w:gridCol w:w="849"/>
        <w:gridCol w:w="852"/>
        <w:gridCol w:w="211"/>
        <w:gridCol w:w="721"/>
        <w:gridCol w:w="109"/>
        <w:gridCol w:w="109"/>
        <w:gridCol w:w="109"/>
        <w:gridCol w:w="109"/>
        <w:gridCol w:w="211"/>
        <w:gridCol w:w="82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orders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09"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125,042 </w:t>
            </w:r>
          </w:p>
        </w:tc>
        <w:tc>
          <w:tcPr>
            <w:tcW w:w="154"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Included in money orders payable, there are money orders that were not cashed by the recipient and the purchaser of the instrument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11 – ACCRUED AND OTHER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 consisted of the following (in thousands):</w:t>
      </w:r>
    </w:p>
    <w:p>
      <w:pPr>
        <w:pStyle w:val="TextBody"/>
        <w:bidi w:val="0"/>
        <w:spacing w:before="0" w:after="0"/>
        <w:jc w:val="both"/>
        <w:rPr/>
      </w:pPr>
      <w:r>
        <w:rPr/>
      </w:r>
    </w:p>
    <w:tbl>
      <w:tblPr>
        <w:tblW w:w="5828" w:type="dxa"/>
        <w:jc w:val="left"/>
        <w:tblInd w:w="0" w:type="dxa"/>
        <w:tblLayout w:type="fixed"/>
        <w:tblCellMar>
          <w:top w:w="28" w:type="dxa"/>
          <w:left w:w="28" w:type="dxa"/>
          <w:bottom w:w="28" w:type="dxa"/>
          <w:right w:w="28" w:type="dxa"/>
        </w:tblCellMar>
      </w:tblPr>
      <w:tblGrid>
        <w:gridCol w:w="1221"/>
        <w:gridCol w:w="1074"/>
        <w:gridCol w:w="1079"/>
        <w:gridCol w:w="211"/>
        <w:gridCol w:w="721"/>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payable to sending agents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bank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loyalty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54,661 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changes in the deferred revenue loyalty program liability (in thousands):</w:t>
      </w:r>
    </w:p>
    <w:p>
      <w:pPr>
        <w:pStyle w:val="TextBody"/>
        <w:bidi w:val="0"/>
        <w:spacing w:before="0" w:after="0"/>
        <w:jc w:val="both"/>
        <w:rPr/>
      </w:pPr>
      <w:r>
        <w:rPr/>
      </w:r>
    </w:p>
    <w:tbl>
      <w:tblPr>
        <w:tblW w:w="4368"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 ended December 31, 2024 of $4.9 million includes a $0.6 million adjustment as a result of the changes in the terms and conditions of points expiration as described in Note 4. Also, it includes a $1.3 million cumulative catch-up adjustment to remeasure the contract liability as a result of an update of the assumed expiration rate of the loyalty points outstanding as of September 30,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12 –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thousands):</w:t>
      </w:r>
    </w:p>
    <w:tbl>
      <w:tblPr>
        <w:tblW w:w="6159"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189,469 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portion of long term debt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origination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16"/>
        </w:rPr>
        <w:t>Current portion of long-term debt is net of debt origination costs of approximately $0.5 million as of December 31, 2023 (none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 The A&amp;R Credit Agreement provided</w:t>
      </w:r>
      <w:r>
        <w:rPr>
          <w:color w:val="000000"/>
        </w:rPr>
        <w:t xml:space="preserve"> </w:t>
      </w:r>
      <w:r>
        <w:rPr>
          <w:rFonts w:ascii="Times New Roman;sans-serif" w:hAnsi="Times New Roman;sans-serif"/>
          <w:b w:val="false"/>
          <w:color w:val="000000"/>
          <w:sz w:val="20"/>
        </w:rPr>
        <w:t>for a $220.0 million revolving credit facility, an $87.5 million term loan facility and an uncommitted incremental facility, which may have been utilized for additional revolving or term loans, of up to $70.0 million. The A&amp;R Credit Agreement also provided for the issuance of l</w:t>
      </w:r>
      <w:r>
        <w:rPr>
          <w:rFonts w:ascii="Times New Roman;sans-serif" w:hAnsi="Times New Roman;sans-serif"/>
          <w:b w:val="false"/>
          <w:color w:val="000000"/>
          <w:sz w:val="20"/>
          <w:shd w:fill="FFFFFF" w:val="clear"/>
        </w:rPr>
        <w:t>etters of credit, which would reduce availability under the revolving credit facility. The proceeds of the term loan were used to refinance the existing term loan facility under the Company’s previous credit agreement, and the revolving credit facility was available for working capital, general corporate purposes and to pay fees and expenses in connection with entry into the A&amp;R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the Company, interest on the term loan facility and revolving loans under the A&amp;R Credit Agreement were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were subject to interest at the base rate plus an applicable margin ranging between 1.50% and 2.00% based upon the Company’s consolidated leverage ratio, as so calculated. The Company was also required to pay a fee on the unused portion of the revolving credit facility equal to 0.35% per annum.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2024, the Company entered into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Entering into the Second A&amp;R credit agreement was accounted for as a debt modification. The unamortized portion of debt origination costs primarily related to the Second A&amp;R Credit Agreement totaled approximately $4.6 million and $2.9 million at December 31, 2024 and 2023, respectively. Amortization of debt origination costs is included as a component of interest expense in the consolidated statements of income and comprehensive income and amounted to approximately $1.4 million, $1.1 million and $1.0 million for the years ended December 31, 2024, 2023, and 2022, respectively. Amortization of debt origination costs for the year ended December 31, 2024 includes a loss on debt extinguishment of approximately $0.3 million related to the payoff of the term loan facility to the banking institutions that ceased to participate in the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Second A&amp;R Credit Agreement and at the election of the Company, interest on the revolving loans denominated in U.S. Dollars is determined by reference to either (i)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rates for the year ended December 31, 2024 for the term loan facility and revolving credit facility were 9.02% and 2.51%, respectively. The effective interest rates for the year ended December 31, 2023 for the term loan facility and revolving credit facility were 8.33% and 1.92%,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provides the Company with increased flexibility to make certain restricted payments, including the repurchase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December 31, 2024,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13</w:t>
      </w:r>
      <w:r>
        <w:rPr>
          <w:color w:val="000000"/>
        </w:rPr>
        <w:t xml:space="preserve"> – </w:t>
      </w:r>
      <w:r>
        <w:rPr>
          <w:rFonts w:ascii="Times New Roman;sans-serif" w:hAnsi="Times New Roman;sans-serif"/>
          <w:b w:val="false"/>
          <w:color w:val="000000"/>
          <w:sz w:val="20"/>
        </w:rPr>
        <w:t>FAIR VALUE MEASUREMENTS</w:t>
      </w:r>
    </w:p>
    <w:p>
      <w:pPr>
        <w:pStyle w:val="TextBody"/>
        <w:bidi w:val="0"/>
        <w:spacing w:lineRule="auto" w:line="288" w:before="0" w:after="0"/>
        <w:jc w:val="both"/>
        <w:rPr/>
      </w:pPr>
      <w:r>
        <w:rPr>
          <w:rFonts w:ascii="Times New Roman;sans-serif" w:hAnsi="Times New Roman;sans-serif"/>
          <w:b w:val="false"/>
          <w:color w:val="000000"/>
          <w:sz w:val="20"/>
        </w:rPr>
        <w:t xml:space="preserve">The Company determines fair value in accordance with the provisions of FASB guidance,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(Level 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liabilities include its revolving credit facility and term loan facility (until August 29, 2024). The fair value of the term loan facility, which approximated book value, was estimated by discounting the future cash flows using a current market interest rate (Level 3). The estimated fair value of the revolving credit facility would approximate face value given the payment schedule and interest rate structure, which approximates current market interest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financial instruments that are not measured at fair value, categorized based upon the fair value hierarchy (in thousands):</w:t>
      </w:r>
    </w:p>
    <w:p>
      <w:pPr>
        <w:pStyle w:val="TextBody"/>
        <w:bidi w:val="0"/>
        <w:spacing w:before="0" w:after="0"/>
        <w:jc w:val="both"/>
        <w:rPr/>
      </w:pPr>
      <w:r>
        <w:rPr/>
      </w:r>
    </w:p>
    <w:tbl>
      <w:tblPr>
        <w:tblW w:w="7121"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4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436"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721"/>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assets measured at fair value on a non-recurring basis at the dates indicated (in thousands):</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657"/>
        <w:gridCol w:w="576"/>
        <w:gridCol w:w="582"/>
        <w:gridCol w:w="340"/>
        <w:gridCol w:w="1164"/>
        <w:gridCol w:w="176"/>
        <w:gridCol w:w="109"/>
        <w:gridCol w:w="109"/>
        <w:gridCol w:w="109"/>
        <w:gridCol w:w="335"/>
        <w:gridCol w:w="1145"/>
        <w:gridCol w:w="244"/>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72,129 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14 – SHARE-BASED COMPENSATION</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approximately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26, 2020, no additional awards may be granted under the 2018 Plan. As of December 31, 2024, 1.5 million shares remained available for grant of future awards under the 2020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$0.5 million and $1.4 million for the years ended December 31, 2024, 2023 and 2022, respectively, which is included in salaries and benefits in the consolidated statements of income and comprehensive income. As of December 31, 2024, there is no unrecognized compensation expense related to 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during the year ended December 31, 2024 is presented below:</w:t>
      </w:r>
    </w:p>
    <w:tbl>
      <w:tblPr>
        <w:tblW w:w="10205" w:type="dxa"/>
        <w:jc w:val="left"/>
        <w:tblInd w:w="0" w:type="dxa"/>
        <w:tblLayout w:type="fixed"/>
        <w:tblCellMar>
          <w:top w:w="28" w:type="dxa"/>
          <w:left w:w="28" w:type="dxa"/>
          <w:bottom w:w="28" w:type="dxa"/>
          <w:right w:w="28" w:type="dxa"/>
        </w:tblCellMar>
      </w:tblPr>
      <w:tblGrid>
        <w:gridCol w:w="1006"/>
        <w:gridCol w:w="868"/>
        <w:gridCol w:w="873"/>
        <w:gridCol w:w="444"/>
        <w:gridCol w:w="446"/>
        <w:gridCol w:w="309"/>
        <w:gridCol w:w="109"/>
        <w:gridCol w:w="109"/>
        <w:gridCol w:w="109"/>
        <w:gridCol w:w="368"/>
        <w:gridCol w:w="1076"/>
        <w:gridCol w:w="192"/>
        <w:gridCol w:w="109"/>
        <w:gridCol w:w="109"/>
        <w:gridCol w:w="109"/>
        <w:gridCol w:w="652"/>
        <w:gridCol w:w="652"/>
        <w:gridCol w:w="653"/>
        <w:gridCol w:w="109"/>
        <w:gridCol w:w="109"/>
        <w:gridCol w:w="109"/>
        <w:gridCol w:w="404"/>
        <w:gridCol w:w="980"/>
        <w:gridCol w:w="301"/>
      </w:tblGrid>
      <w:tr>
        <w:trPr/>
        <w:tc>
          <w:tcPr>
            <w:tcW w:w="100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w:t>
              <w:br/>
              <w:t>Fair Value</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588,675 </w:t>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(435,850)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December 31, 2024</w:t>
            </w:r>
            <w:r>
              <w:rPr>
                <w:rFonts w:ascii="Times New Roman;sans-serif" w:hAnsi="Times New Roman;sans-serif"/>
                <w:b w:val="false"/>
                <w:color w:val="000000"/>
                <w:sz w:val="13"/>
              </w:rPr>
              <w:t>(2)</w:t>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151,125 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aggregate intrinsic value of stock options exercised during the years ended December 31, 2024, 2023 and 2022 was $4.0 million, $1.3 million, and $7.4 million respectively.</w:t>
      </w:r>
    </w:p>
    <w:p>
      <w:pPr>
        <w:pStyle w:val="TextBody"/>
        <w:bidi w:val="0"/>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aggregate fair value of all vested/exercisable options outstanding as of December 31, 2024 was $0.7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granted under the 2020 Plan to the Company’s employees or certain service providers generally vest in four equal annual installments beginning one year after the date of the grant, while RSUs issued to the Company’s independent directors vest on or around the one-year anniversary from the grant date. The Company recognized compensation expense for all RSUs of approximately $3.3 million, $2.9 million and $1.8 million for the years ended December 31, 2024, 2023 and 2022, respectively, which is included in salaries and benefits in the consolidated statements of income and comprehensive income. As of December 31, 2024, unrecognized compensation expense of approximately $6.9 million is expected to be recognized over a weighted-average period of 1.9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RSU grant activity during the year ended December 31, 2024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376,950 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(164,822)</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432,316 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RSUs granted during the year ended December 31, 2024 was approximately $6.1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1,803 and 3,617 and 3,444 fully vested shares, respectively, were granted to the Lead Independent Director and Chairs of the Committees of the Board of Directors. Compensation expense related to the fully vested share awards of $20.1 thousand, $80.5 thousand and $72.3 thousand for the years ended December 31, 2024, 2023 and 2022, respectively, was recorded and included in salaries and benefits in the consolidated statements of income and comprehensive income. Effective in the second quarter of 2024, the grant of share awards to certain of the Company's independent directors was replaced with the grant of RSAs as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RSAs issued under the 2020 Plan to the Company’s employees generally vest in four equal annual installments beginning one year after the date of grant while RSAs issued to certain of the Company’s independent directors vest at the end of the three-month calendar quarter in which the grant is made. The Company recognized compensation expense for RSAs granted of $1.9 million, $1.2 million and $0.6 million for the years ended December 31, 2024, 2023 and 2022, respectively, which is included in salaries and benefits in the consolidated statements of income and comprehensive income. As of December 31, 2024, there was $3.2 million of unrecognized compensation expense related to RSAs, which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RSA activity during the year ended December 31, 2024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191,980 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(78,989)</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227,518 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RSAs granted during the year ended December 31, 2024 was approximately $2.4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 During the fourth quarter of 2024, the Company reassessed the probability of vesting for the PSU awards granted in 2023 and determined that it was not probable that the performance targets will be achieved. Therefore, the Company recognized an adjustment of approximately $2.1 million to reverse compensation expense on a cumulative basis in the fourth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compensation expense for PSUs of $1.6 million, $3.5 million and $3.2 million for the years ended December 31, 2024, 2023 and 2022, respectively, which is included in salaries and benefits in the consolidated statements of income and comprehensive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As of December 31, 2024, there was $2.6 million of unrecognized compensation expense related to PSUs, which is expected to be recognized over a weighted-average period of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PSU activity during the year ended December 31, 2024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247,680 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321,530 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PSUs granted during the year ended December 31, 2024 was approximately $4.4 million, which was determined based on the market value of our stock as of that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15</w:t>
      </w:r>
      <w:r>
        <w:rPr>
          <w:color w:val="000000"/>
        </w:rPr>
        <w:t xml:space="preserve"> – </w:t>
      </w:r>
      <w:r>
        <w:rPr>
          <w:rFonts w:ascii="Times New Roman;sans-serif" w:hAnsi="Times New Roman;sans-serif"/>
          <w:b w:val="false"/>
          <w:color w:val="000000"/>
          <w:sz w:val="20"/>
        </w:rPr>
        <w:t>EQUITY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Company’s Board of Directors approved a stock repurchase program that authorizes the Company to purchase up to $40.0 million of outstanding shares of the Company’s common stock and which authorization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as amended, permits the Company to make restricted payments (including share repurchases, among others), (i) without limitation so long as the Consolidated Leverage Ratio (as defined in the Second A&amp;R Credit Agreement, as amended), as of the then most recently completed four fiscal quarters of the Company, after giving pro forma effect to such restricted payments, is 2.25 to 1.00 or less, (ii) that do not exceed, in the aggregate during any fiscal year, the greater of (x) $30.3 million and (y) 25.00% of Consolidated EBITDA (as defined in the Second A&amp;R Credit Agreement) for the then most recently completed four fiscal quarters of the Company and (iii) to repurchase Company common stock from current or former employees in an aggregate amount of up to $15.0 million per calendar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March 11, 2024 the Company entered into an agreement with Robert W. Lisy, the Company’s Chief Executive Officer, President and Chairman of the Board of Directors, for the purchase of 175,000 shares of the Company's common stock for a total purchase price of $3.3 million, in a privately-negotiated transaction. During the years ended December 31, 2024 and 2023, including the shares previously mentioned, the Company purchased 3,765,320 shares and 3,027,768 shares, respectively, for an aggregate purchase price of $75.1 million and $66.3 million, respectively. As of December 31, 2024, there was $63.2 million available for future share repurchases under the Repurchase Program.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16 – EARNINGS PER SHARE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are basic and diluted earnings per share for the periods indicated (in thousands, except for share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tbl>
      <w:tblPr>
        <w:tblW w:w="9188" w:type="dxa"/>
        <w:jc w:val="left"/>
        <w:tblInd w:w="0" w:type="dxa"/>
        <w:tblLayout w:type="fixed"/>
        <w:tblCellMar>
          <w:top w:w="28" w:type="dxa"/>
          <w:left w:w="28" w:type="dxa"/>
          <w:bottom w:w="28" w:type="dxa"/>
          <w:right w:w="28" w:type="dxa"/>
        </w:tblCellMar>
      </w:tblPr>
      <w:tblGrid>
        <w:gridCol w:w="1781"/>
        <w:gridCol w:w="1566"/>
        <w:gridCol w:w="1572"/>
        <w:gridCol w:w="244"/>
        <w:gridCol w:w="837"/>
        <w:gridCol w:w="109"/>
        <w:gridCol w:w="109"/>
        <w:gridCol w:w="109"/>
        <w:gridCol w:w="109"/>
        <w:gridCol w:w="244"/>
        <w:gridCol w:w="837"/>
        <w:gridCol w:w="109"/>
        <w:gridCol w:w="109"/>
        <w:gridCol w:w="109"/>
        <w:gridCol w:w="109"/>
        <w:gridCol w:w="244"/>
        <w:gridCol w:w="837"/>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basic and diluted income per common share</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32,850,497 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38,625,390 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241.1 thousand RSUs and 113.0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144.2 thousand RSUs, 58.4 thousand RSAs, and 136.9 thousand PSUs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were 6.5 thousand stock options and 10.4 thousand RSUs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15, during the years ended December 31, 2024 and 2023, the Company purchased 3,765,320 shares and 3,027,768 shares, respectively, for an aggregate purchase price of $75.1 million and $66.3 million, respectively. The effect of these repurchases on the Company’s weighted average shares outstanding for the years ended December 31, 2024 and 2023 was a reduction of 1,775,956 and 1,154,050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pPr>
      <w:r>
        <w:rPr>
          <w:rFonts w:ascii="Times New Roman;sans-serif" w:hAnsi="Times New Roman;sans-serif"/>
          <w:b w:val="false"/>
          <w:color w:val="000000"/>
          <w:sz w:val="20"/>
        </w:rPr>
        <w:t>NOTE 17</w:t>
      </w:r>
      <w:r>
        <w:rPr>
          <w:color w:val="000000"/>
        </w:rPr>
        <w:t xml:space="preserve"> – </w:t>
      </w:r>
      <w:r>
        <w:rPr>
          <w:rFonts w:ascii="Times New Roman;sans-serif" w:hAnsi="Times New Roman;sans-serif"/>
          <w:b w:val="false"/>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of the following (in thousands):</w:t>
      </w:r>
    </w:p>
    <w:tbl>
      <w:tblPr>
        <w:tblW w:w="6069"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income tax provision at the U.S. statutory tax rate and the Company’s income tax provision on the consolidated statements of income and comprehensive income is below (in thousands):</w:t>
      </w:r>
    </w:p>
    <w:p>
      <w:pPr>
        <w:pStyle w:val="TextBody"/>
        <w:bidi w:val="0"/>
        <w:spacing w:before="0" w:after="0"/>
        <w:jc w:val="both"/>
        <w:rPr/>
      </w:pPr>
      <w:r>
        <w:rPr/>
      </w:r>
    </w:p>
    <w:tbl>
      <w:tblPr>
        <w:tblW w:w="8744" w:type="dxa"/>
        <w:jc w:val="left"/>
        <w:tblInd w:w="0" w:type="dxa"/>
        <w:tblLayout w:type="fixed"/>
        <w:tblCellMar>
          <w:top w:w="28" w:type="dxa"/>
          <w:left w:w="28" w:type="dxa"/>
          <w:bottom w:w="28" w:type="dxa"/>
          <w:right w:w="28" w:type="dxa"/>
        </w:tblCellMar>
      </w:tblPr>
      <w:tblGrid>
        <w:gridCol w:w="1488"/>
        <w:gridCol w:w="1305"/>
        <w:gridCol w:w="1316"/>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17,487 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16,229 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expense, net of federal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rates different from U.S. statutory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presented in the income tax reconciliation above, the tax provision recognized on the consolidated statements of income and comprehensive income was impacted by state taxes, non-deductible officer compensation, share-based compensation tax benefits, valuation allowances, and foreign tax rates applicable to the Company’s foreign subsidiaries that are higher or lower than the U.S. statutory rate. The Company is also subject to tax in various U.S. state and foreign jurisdictions. Changes in the annual allocation and apportionment of the Company’s activity amongst these state jurisdictions results in changes to the blended state rate utilized to measure the Company’s deferred tax assets and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expected tax consequences of temporary differences between the book and tax bases of the Company’s assets and liabilities. The following table outlines the principal components of the deferred tax assets and liabilities (in thousands):</w:t>
      </w:r>
    </w:p>
    <w:tbl>
      <w:tblPr>
        <w:tblW w:w="6564" w:type="dxa"/>
        <w:jc w:val="left"/>
        <w:tblInd w:w="0" w:type="dxa"/>
        <w:tblLayout w:type="fixed"/>
        <w:tblCellMar>
          <w:top w:w="28" w:type="dxa"/>
          <w:left w:w="28" w:type="dxa"/>
          <w:bottom w:w="28" w:type="dxa"/>
          <w:right w:w="28" w:type="dxa"/>
        </w:tblCellMar>
      </w:tblPr>
      <w:tblGrid>
        <w:gridCol w:w="1567"/>
        <w:gridCol w:w="1374"/>
        <w:gridCol w:w="1379"/>
        <w:gridCol w:w="211"/>
        <w:gridCol w:w="616"/>
        <w:gridCol w:w="109"/>
        <w:gridCol w:w="109"/>
        <w:gridCol w:w="109"/>
        <w:gridCol w:w="109"/>
        <w:gridCol w:w="211"/>
        <w:gridCol w:w="6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and state 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December 31, 2024, the Company had pre-tax federal, state and foreign net operating loss carryforwards of approximately $12.3 million, $6.8 million and $32.2 million, respectively, which are available to reduce future taxable income. With certain exceptions, these net operating loss carryforwards will expire from 2030 through 2037 for federal losses, from </w:t>
      </w:r>
      <w:r>
        <w:rPr>
          <w:rFonts w:ascii="Times New Roman;sans-serif" w:hAnsi="Times New Roman;sans-serif"/>
          <w:b w:val="false"/>
          <w:color w:val="000000"/>
          <w:sz w:val="20"/>
          <w:shd w:fill="FFFFFF" w:val="clear"/>
        </w:rPr>
        <w:t>2028</w:t>
      </w:r>
      <w:r>
        <w:rPr>
          <w:color w:val="000000"/>
        </w:rPr>
        <w:t xml:space="preserve"> </w:t>
      </w:r>
      <w:r>
        <w:rPr>
          <w:rFonts w:ascii="Times New Roman;sans-serif" w:hAnsi="Times New Roman;sans-serif"/>
          <w:b w:val="false"/>
          <w:color w:val="000000"/>
          <w:sz w:val="20"/>
        </w:rPr>
        <w:t xml:space="preserve">through 2038 for state losses, and from </w:t>
      </w:r>
      <w:r>
        <w:rPr>
          <w:rFonts w:ascii="Times New Roman;sans-serif" w:hAnsi="Times New Roman;sans-serif"/>
          <w:b w:val="false"/>
          <w:color w:val="000000"/>
          <w:sz w:val="20"/>
          <w:shd w:fill="FFFFFF" w:val="clear"/>
        </w:rPr>
        <w:t>2038</w:t>
      </w:r>
      <w:r>
        <w:rPr>
          <w:color w:val="000000"/>
        </w:rPr>
        <w:t xml:space="preserve"> </w:t>
      </w:r>
      <w:r>
        <w:rPr>
          <w:rFonts w:ascii="Times New Roman;sans-serif" w:hAnsi="Times New Roman;sans-serif"/>
          <w:b w:val="false"/>
          <w:color w:val="000000"/>
          <w:sz w:val="20"/>
        </w:rPr>
        <w:t xml:space="preserve">through 2044 for foreign losses. In addition, $28.0 million of the foreign net operating loss carryforwards in our European jurisdictions carryforward indefinitely. Utilization of the Company’s net operating loss carryforwards is subject to an annual limitation under Internal Revenue Code Section 382. The Company has recorded a deferred tax asset for only the portion of its net operating loss carryforward that it expects to realize before expiration.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few exceptions, the Company is no longer subject to U.S. federal, state or local income tax examinations by tax authorities for the years prior to 2021. However, the Company has certain net operating loss carryforwards from tax years 2010 through 2017 that are subject to examination. As of December 31, 2024 and 2023, the Company did not have any amounts accrued for interest and penalties or recorded for uncertain tax 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consideration of all evidence, both positive and negative, management has determined that no valuation allowance is required at December 31, 2024 or 2023 on the Company’s U.S. deferred tax assets. However, a valuation allowance of $6.5 million and $5.8 million as of December 31, 2024 and 2023, respectively, has been recorded on deferred tax assets associated with foreign net operating loss carryforwards. The valuation allowance increased by $0.7 million and $5.4 million during the years ended December 31, 2024 and 2023,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ans-serif" w:hAnsi="Times New Roman;sans-serif"/>
          <w:b w:val="false"/>
          <w:color w:val="000000"/>
          <w:sz w:val="20"/>
        </w:rPr>
        <w:t xml:space="preserve">NOTE 18 </w:t>
      </w:r>
      <w:r>
        <w:rPr>
          <w:color w:val="000000"/>
        </w:rPr>
        <w:t xml:space="preserve">– </w:t>
      </w:r>
      <w:r>
        <w:rPr>
          <w:rFonts w:ascii="Times New Roman;sans-serif" w:hAnsi="Times New Roman;sans-serif"/>
          <w:b w:val="false"/>
          <w:color w:val="000000"/>
          <w:sz w:val="20"/>
        </w:rPr>
        <w:t>SEGMENT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leading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the United Kingdom and Germany to Africa, Asia, Europe and Latin America. The Company has identified one operating and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The Company defines its segment on the basis of the way in which internally reported financial information is regularly reviewed by the Company’s chief operating decision maker (the “CODM”) to analyze financial performance, make decisions, and allocate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one of the relevant metrics in his decision making process.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about the Company's measure of segment performance and significant expense categories:</w:t>
      </w:r>
    </w:p>
    <w:p>
      <w:pPr>
        <w:pStyle w:val="TextBody"/>
        <w:bidi w:val="0"/>
        <w:spacing w:before="0" w:after="0"/>
        <w:jc w:val="both"/>
        <w:rPr/>
      </w:pPr>
      <w:r>
        <w:rPr/>
      </w:r>
    </w:p>
    <w:tbl>
      <w:tblPr>
        <w:tblW w:w="7407" w:type="dxa"/>
        <w:jc w:val="left"/>
        <w:tblInd w:w="0" w:type="dxa"/>
        <w:tblLayout w:type="fixed"/>
        <w:tblCellMar>
          <w:top w:w="28" w:type="dxa"/>
          <w:left w:w="28" w:type="dxa"/>
          <w:bottom w:w="28" w:type="dxa"/>
          <w:right w:w="28" w:type="dxa"/>
        </w:tblCellMar>
      </w:tblPr>
      <w:tblGrid>
        <w:gridCol w:w="1186"/>
        <w:gridCol w:w="1039"/>
        <w:gridCol w:w="1045"/>
        <w:gridCol w:w="211"/>
        <w:gridCol w:w="826"/>
        <w:gridCol w:w="109"/>
        <w:gridCol w:w="109"/>
        <w:gridCol w:w="109"/>
        <w:gridCol w:w="109"/>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658,649 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Payer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charges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Other segment items included in Segment net income is primarily composed of other selling, general and administrative expenses, transaction processing costs, provision for credit losses, and other overhead expenses.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19</w:t>
      </w:r>
      <w:r>
        <w:rPr>
          <w:color w:val="000000"/>
        </w:rPr>
        <w:t xml:space="preserve"> – </w:t>
      </w:r>
      <w:r>
        <w:rPr>
          <w:rFonts w:ascii="Times New Roman;sans-serif" w:hAnsi="Times New Roman;sans-serif"/>
          <w:b w:val="false"/>
          <w:color w:val="000000"/>
          <w:sz w:val="20"/>
        </w:rPr>
        <w:t>COMMITMENTS AND CONTINGENCIES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Contingencies and 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Regulatory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December 31, 2024 and 2023, the Company’s subsidiaries were in compliance with these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20</w:t>
      </w:r>
      <w:r>
        <w:rPr>
          <w:color w:val="000000"/>
        </w:rPr>
        <w:t xml:space="preserve"> – </w:t>
      </w:r>
      <w:r>
        <w:rPr>
          <w:rFonts w:ascii="Times New Roman;sans-serif" w:hAnsi="Times New Roman;sans-serif"/>
          <w:b w:val="false"/>
          <w:color w:val="000000"/>
          <w:sz w:val="20"/>
        </w:rPr>
        <w:t>DEFINED CONTRIBUTION PLANS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defined contribution plans available to most of its employees, where the Company makes contributions to the plans based on employee contributions. Total employer contribution expense included in salaries and benefits in the consolidated statements of income and comprehensive income was approximately $0.4 million, $0.4 million and $0.2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December 31, 2024.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2024.</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 13a 15(f) under the Securities Exchange Act of 1934. The Company’s internal control over financial reporting is designed to provide reasonable assurance regarding the reliability of financial reporting and the preparation of consolidated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2024. In making this assessment, it used the criteria set forth by the Committee of Sponsoring Organizations of the Treadway Commission in Internal Control-Integrated Framework (2013).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its evaluation, the Company’s management has concluded that as of December 31, 2024, the Company’s internal control over financial reporting was effective.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BDO USA, P.C., the independent registered public accounting firm which audits our financial statements, has audited our internal control over financial reporting as of December 31, 2024 and has expressed an unqualified opinion thereon as stated in their report that is included on Item 9. “Report of Independent Registered Public Accounting Firm,” on page 75 of this Annual Report on Form 10-K.</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Board of Directors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International Money Express, Inc.’s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2024, based on the COSO criteria</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income and comprehensive income, stockholders’ equity, and cash flows for each of the three years in the period ended December 31, 2024, and the related notes and our report dated February 27, 2025 expressed an unqualified opinion thereon.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Definition and Limitations of Internal Control over Financial Reporting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BDO USA, P.C.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under this Item will be contained in the Company’s Proxy Statement for the 2025 Annual Meeting of Stockholders to be filed with the SEC within 120 days after the year ended December 31, 2024 (the “Proxy Statement”),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other information relating to the Executive Officers of the Company appears in Part I of this Annual Report on Form 10-K under the heading “Information about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under this Item will be contained in the Company’s Proxy Statement,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our common stock that may be issued under all of our equity compensation plans as of December 31, 2024, which included: the International Money Express, Inc. 2020 Omnibus Equity Compensation Plan (“2020 Plan”) and the International Money Express, Inc. 2020 Employee Stock Purchase Plan (the “ESPP”), each of which was approved by the Company’s stockholders.</w:t>
      </w:r>
    </w:p>
    <w:tbl>
      <w:tblPr>
        <w:tblW w:w="10205" w:type="dxa"/>
        <w:jc w:val="left"/>
        <w:tblInd w:w="0" w:type="dxa"/>
        <w:tblLayout w:type="fixed"/>
        <w:tblCellMar>
          <w:top w:w="28" w:type="dxa"/>
          <w:left w:w="28" w:type="dxa"/>
          <w:bottom w:w="28" w:type="dxa"/>
          <w:right w:w="28" w:type="dxa"/>
        </w:tblCellMar>
      </w:tblPr>
      <w:tblGrid>
        <w:gridCol w:w="1083"/>
        <w:gridCol w:w="905"/>
        <w:gridCol w:w="883"/>
        <w:gridCol w:w="109"/>
        <w:gridCol w:w="109"/>
        <w:gridCol w:w="109"/>
        <w:gridCol w:w="727"/>
        <w:gridCol w:w="592"/>
        <w:gridCol w:w="593"/>
        <w:gridCol w:w="109"/>
        <w:gridCol w:w="109"/>
        <w:gridCol w:w="109"/>
        <w:gridCol w:w="423"/>
        <w:gridCol w:w="1024"/>
        <w:gridCol w:w="219"/>
        <w:gridCol w:w="109"/>
        <w:gridCol w:w="109"/>
        <w:gridCol w:w="109"/>
        <w:gridCol w:w="845"/>
        <w:gridCol w:w="776"/>
        <w:gridCol w:w="778"/>
        <w:gridCol w:w="109"/>
        <w:gridCol w:w="109"/>
        <w:gridCol w:w="158"/>
      </w:tblGrid>
      <w:tr>
        <w:trPr/>
        <w:tc>
          <w:tcPr>
            <w:tcW w:w="108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to be issued upon exercise of</w:t>
              <w:br/>
              <w:t>outstanding 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 available</w:t>
              <w:br/>
              <w:t xml:space="preserve">for future issuance </w:t>
              <w:br/>
              <w:t>under equity</w:t>
              <w:br/>
              <w:t>compensation plans (excluding securities</w:t>
              <w:br/>
              <w:t>reflected in column (a))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1,132,489</w:t>
            </w:r>
          </w:p>
        </w:tc>
        <w:tc>
          <w:tcPr>
            <w:tcW w:w="32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2,251,851 </w:t>
            </w:r>
          </w:p>
        </w:tc>
        <w:tc>
          <w:tcPr>
            <w:tcW w:w="7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1,132,489 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2,251,851 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number includes the following: 119,875 shares subject to outstanding awards granted under the 2018 Plan, all of which were subject to outstanding options awards. This number also includes 1,012,614 shares subject to outstanding awards granted under the 2020 Plan, of which 31,250 shares were subject to outstanding options awards, 432,316 shares were subject to outstanding RSU awards, 227,518 shares were subject to outstanding RSA awards, and 321,530 shares were subject to outstanding PSU awards.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1,501,851 shares available for issuance under the 2020 Plan and 750,000 shares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ACCOUNTING FEES AND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report:</w:t>
      </w:r>
    </w:p>
    <w:p>
      <w:pPr>
        <w:pStyle w:val="TextBody"/>
        <w:bidi w:val="0"/>
        <w:spacing w:lineRule="auto" w:line="288" w:before="0" w:after="240"/>
        <w:ind w:left="0" w:right="0" w:hanging="360"/>
        <w:jc w:val="both"/>
        <w:rPr/>
      </w:pPr>
      <w:r>
        <w:rPr>
          <w:rFonts w:ascii="Times New Roman;sans-serif" w:hAnsi="Times New Roman;sans-serif"/>
          <w:b w:val="false"/>
          <w:color w:val="000000"/>
          <w:sz w:val="20"/>
        </w:rPr>
        <w:t xml:space="preserve">1.Financial Statements (See Index to Consolidated Financial Statements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of this Annual Report on Form 10-K);</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exhibits listed in the "Exhibit Index" attached to this 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93"/>
        <w:gridCol w:w="257"/>
        <w:gridCol w:w="258"/>
        <w:gridCol w:w="2857"/>
        <w:gridCol w:w="2693"/>
        <w:gridCol w:w="3847"/>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Certificate of Incorporation of the Company, dated July 26, 2018 (incorporated by reference to Exhibit 3.1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Company, effective as of July 26, 2018 (incorporated by reference to Exhibit 3.2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by reference to Exhibit 4.6 to the Registrant’s Annual Report on Form 10-K Filed on March 11,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Credit Agreement, dated as of August 29, 2024, by and among International Money Express, Inc., as Holdings, Intermex Wire Transfer, LLC, as Borrower, Intermex Wire Transfer II, LLC, Intermex Wire Transfer Corp., and Envios de Valores La Nacional Corp, each a Guarantor (collectively the “Loan Parties”); and the Lenders, as defined in the Second A&amp;R Credit Agreement, from time to time party thereto, and KeyBank National Association, as Administrative Agent and L/C Issuer (incorporated by reference to Exhibit 10.1 to the Registrant's Current Report on Form 8-K filed on August 29,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10.2</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2018 Omnibus Equity Compensation Plan (incorporated by reference to Exhibit 10.3(a)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10.3</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Agreement pursuant to the International Money Express, Inc. 2018 Omnibus Equity Compensation Plan (incorporated by reference to Exhibit 10.4(b)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10.4</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Award pursuant to the International Money Express, Inc. 2018 Omnibus Equity Compensation Plan (incorporated by reference to Exhibit 10.4(a)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10.5(a)</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2020 Omnibus Equity Compensation Plan (incorporated by reference to Annex A to the Registrant’s Definitive Proxy Statement on Schedule 14A filed with the Securities and Exchange Commission on May 15,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10.5(b)</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2020 Omnibus Equity Incentive Plan (incorporated by reference to Exhibit 10.3(b)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10.6</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Money Express, Inc. 2020 Employee Stock Purchase Plan (incorporated by reference to Annex B to the Registrant’s Definitive Proxy Statement on Schedule 14A filed with the Securities and Exchange Commission on May 15, 2020). </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10.7</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Agreement pursuant to the International Money Express, Inc. 2020 Omnibus Equity Compensation Plan (incorporated by reference to Exhibit 10.3 to the Registrant’s Quarterly Report on Form 10-Q filed on August 6,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10.8</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RSU Agreement (Non-Employee Directors) pursuant to the International Money Express, Inc. 2020 Omnibus Equity Compensation Plan (incorporated by reference to Exhibit 10.4 to the Registrant’s Quarterly Report on Form 10-Q filed on August 6,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10.9</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RSU Agreement (Employees) pursuant to the International Money Express, Inc. 2020 Omnibus Equity Compensation Plan (incorporated by reference to Exhibit 10.17 to the Registrant’s Annual Report on Form 10-K filed on March 15, 2021).</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10.10</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2021 and 2022 PSU Agreement (Employees) pursuant to the International Money Express, Inc. 2020 Omnibus Equity Compensation Plan (incorporated by reference to Exhibit 10.18 to the Registrant’s Annual Report on Form 10-K filed on March 15, 2021).</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10.11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2021 and 2022 PSU Agreement (Robert Lisy) pursuant to the International Money Express, Inc. 2020 Omnibus Equity Compensation Plan (incorporated by reference to Exhibit 10.19 to the Registrant’s Annual Report on Form 10-K filed on March 15, 2021).</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10.12</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Award Agreement (Robert Lisy) pursuant to the International Money Express, Inc. 2020 Omnibus Equity Compensation Plan (incorporated by reference to Exhibit 10.20 to the Registrant’s Annual Report on Form 10-K filed on March 15, 2021).</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10.13</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PSU Agreement (Employees) pursuant to the International Money Express, Inc. 2020 Omnibus Equity Compensation Plan (incorporated by reference to Exhibit 10.14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10.14</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PSU Agreement (Robert Lisy) pursuant to the International Money Express, Inc. 2020 Omnibus Equity Compensation Plan (incorporated by reference to Exhibit 10.15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10.15</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Award Agreement (Non-Employee Director) pursuant to the International Money Express, Inc. 2020 Omnibus Equity Compensation Plan (incorporated by reference to Exhibit 10.4 to the Registrant’s Quarterly Report on Form 10-Q filed on May 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10.16</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Employment Agreement by and between Robert Lisy and Intermex Holdings, Inc., dated as of February 28, 2024 (incorporated by reference to Exhibit 10.1 to the Registrant’s Quarterly Report on Form 10-Q filed on May 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10.17</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by and between Andras Bende and the Company, dated as of December 7, 2020 (incorporated by reference to Exhibit 10.1 to the Registrant’s Current Report on Form 8-K filed on December 8,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10.18(a)</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September 23, 2019, between Joseph Aguilar and the Company (incorporated by reference to Exhibit 10.1 to the Registrant’s Current Report on Form 8-K filed On October 3, 2019).</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10.18(b)</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Employment Agreement effective as of January 16, 2023, between Joseph Aguilar and the Company (incorporated by reference to Exhibit 10.19(b)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rPr>
                <w:t>10.19(a)</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March 1, 2021, between Christopher Hunt and International Money Express, Inc. (incorporated by reference to Exhibit 10.19(a)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10.19(b)</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Employment Agreement, effective April 20, 2023, between Christopher Hunt and International Money Express, Inc. (incorporated by reference to Exhibit 10.19(b)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020-robertpargac.htm">
              <w:r>
                <w:rPr>
                  <w:rStyle w:val="InternetLink"/>
                  <w:rFonts w:ascii="Times New Roman;sans-serif" w:hAnsi="Times New Roman;sans-serif"/>
                  <w:b w:val="false"/>
                  <w:color w:val="000080"/>
                  <w:sz w:val="20"/>
                  <w:u w:val="single"/>
                </w:rPr>
                <w:t>1</w:t>
              </w:r>
            </w:hyperlink>
            <w:hyperlink w:anchor="exhibit1020-robertpargac.htm">
              <w:r>
                <w:rPr>
                  <w:rStyle w:val="InternetLink"/>
                  <w:rFonts w:ascii="Times New Roman;sans-serif" w:hAnsi="Times New Roman;sans-serif"/>
                  <w:b w:val="false"/>
                  <w:color w:val="000080"/>
                  <w:sz w:val="20"/>
                  <w:u w:val="single"/>
                </w:rPr>
                <w:t>0.20</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Employment Agreement, dated May 20, 2024, between Robert Pargac and International Money Express, Inc. </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10.21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(incorporated by reference to Exhibit 10.1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91insidertradingpo.htm">
              <w:r>
                <w:rPr>
                  <w:rStyle w:val="InternetLink"/>
                  <w:rFonts w:ascii="Times New Roman;sans-serif" w:hAnsi="Times New Roman;sans-serif"/>
                  <w:b w:val="false"/>
                  <w:color w:val="0000FF"/>
                  <w:sz w:val="20"/>
                  <w:u w:val="single"/>
                </w:rPr>
                <w:t>19.1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subsidiaries2024.htm">
              <w:r>
                <w:rPr>
                  <w:rStyle w:val="InternetLink"/>
                  <w:rFonts w:ascii="Times New Roman;sans-serif" w:hAnsi="Times New Roman;sans-serif"/>
                  <w:b w:val="false"/>
                  <w:color w:val="0000FF"/>
                  <w:sz w:val="20"/>
                  <w:u w:val="single"/>
                </w:rPr>
                <w:t>21.1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consentofbdousap.htm">
              <w:r>
                <w:rPr>
                  <w:rStyle w:val="InternetLink"/>
                  <w:rFonts w:ascii="Times New Roman;sans-serif" w:hAnsi="Times New Roman;sans-serif"/>
                  <w:b w:val="false"/>
                  <w:color w:val="0000FF"/>
                  <w:sz w:val="20"/>
                  <w:u w:val="single"/>
                </w:rPr>
                <w:t>23.1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Consent of BDO USA, P.C.</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ye2024.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Chief Executive Officer</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ye2024.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Chief Financial Officer</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ye2024.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ye2024.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97</w:t>
              </w:r>
            </w:hyperlink>
            <w:r>
              <w:rPr>
                <w:rFonts w:ascii="Times New Roman;sans-serif" w:hAnsi="Times New Roman;sans-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Policy Regarding the Mandatory Recovery of Compensation (incorporated by reference to Exhibit 97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Company’s Annual Report on Form 10-K for the year ended December 31, 2024, are formatted in iXBRL (Inline Extensible Business Reporting Language): (i) the Audited Consolidated Balance Sheets, (ii) the Audited Consolidated Statements of Income and Comprehensive Income, (iii) the Audited Consolidated Statements of Changes in Stockholders’ Equity, (iv) the Audited Consolidated Statements of Cash Flows, and (v) the Notes to Audited Consolidated Financial Statements.</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Annual Report on Form 10-K for the year ended December 31, 2024, formatted in iXBRL and contained in Exhibit 101.</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Management contract or compensatory plan or arrangement.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dd6a4355e37a48f0b38d325bc79dcf24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833" w:type="dxa"/>
        <w:jc w:val="left"/>
        <w:tblInd w:w="0" w:type="dxa"/>
        <w:tblLayout w:type="fixed"/>
        <w:tblCellMar>
          <w:top w:w="28" w:type="dxa"/>
          <w:left w:w="28" w:type="dxa"/>
          <w:bottom w:w="28" w:type="dxa"/>
          <w:right w:w="28" w:type="dxa"/>
        </w:tblCellMar>
      </w:tblPr>
      <w:tblGrid>
        <w:gridCol w:w="580"/>
        <w:gridCol w:w="511"/>
        <w:gridCol w:w="513"/>
        <w:gridCol w:w="633"/>
        <w:gridCol w:w="633"/>
        <w:gridCol w:w="633"/>
        <w:gridCol w:w="967"/>
        <w:gridCol w:w="967"/>
        <w:gridCol w:w="139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Money Express, Inc. (Registrant)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w:t>
            </w:r>
            <w:r>
              <w:rPr>
                <w:color w:val="000000"/>
              </w:rPr>
              <w:t> </w:t>
            </w:r>
            <w:r>
              <w:rPr>
                <w:rFonts w:ascii="Times New Roman;sans-serif" w:hAnsi="Times New Roman;sans-serif"/>
                <w:b w:val="false"/>
                <w:color w:val="000000"/>
                <w:sz w:val="20"/>
              </w:rPr>
              <w:t>Robert Lisy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Lisy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54"/>
        <w:gridCol w:w="570"/>
        <w:gridCol w:w="558"/>
        <w:gridCol w:w="109"/>
        <w:gridCol w:w="109"/>
        <w:gridCol w:w="109"/>
        <w:gridCol w:w="2117"/>
        <w:gridCol w:w="2059"/>
        <w:gridCol w:w="2085"/>
        <w:gridCol w:w="109"/>
        <w:gridCol w:w="109"/>
        <w:gridCol w:w="109"/>
        <w:gridCol w:w="410"/>
        <w:gridCol w:w="410"/>
        <w:gridCol w:w="588"/>
      </w:tblGrid>
      <w:tr>
        <w:trPr/>
        <w:tc>
          <w:tcPr>
            <w:tcW w:w="7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EMPLOYMENT AGREEMENT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20,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between INTERNATIONAL MONEY EXPRESS, INC., a Delaware corporation (“</w:t>
      </w:r>
      <w:r>
        <w:rPr>
          <w:rFonts w:ascii="Times New Roman;sans-serif" w:hAnsi="Times New Roman;sans-serif"/>
          <w:b w:val="false"/>
          <w:color w:val="000000"/>
          <w:sz w:val="24"/>
          <w:u w:val="single"/>
        </w:rPr>
        <w:t>Employer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Frank Robert Pargac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WHEREAS, Executive has agreed to accept the position of General Counsel and Chief Legal Officer of Employer;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Employer desires to assure itself of the services of Executive by engaging Executive to perform services under the terms hereof; and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Executive desires to provide services to Employer on the terms provided herein.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hereinafter set forth, Employer and Executive have agreed and do hereby agree as follows:</w:t>
      </w:r>
    </w:p>
    <w:p>
      <w:pPr>
        <w:pStyle w:val="TextBody"/>
        <w:bidi w:val="0"/>
        <w:spacing w:lineRule="auto" w:line="288" w:before="0" w:after="240"/>
        <w:jc w:val="center"/>
        <w:rPr/>
      </w:pPr>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Employment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Executive’s employment under this Agreement shall commence on the Effective Date and, unless Employer and Executive otherwise agree in writing, shall continue until it terminates pursuant to Article IV. Executive’s employment with Employer will be “at will” and, subject to the provisions of Article IV, Executive’s employment under this Agreement may be terminated by either party at any time and for any reason. Executive’s employment under this Agreement shall terminate automatically upon Executive’s death.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Executive shall, during the term of employment under this Agreement, perform the services and duties as General Counsel and Chief Legal Officer of Employer plus such other services and duties as determined from time to time by the Chief Financial Officer or such other person or persons as may be designated from time to time by the Chief Executive Officer or Board of Directors of Employer. Executive shall also serve as the Corporate Secretary of Employer and, if requested, as a member of the board of directors or other managing body of Employer’s affiliates and their committees, all without additional compensation. Executive shall perform such services and duties in accordance with the policies, practices and bylaws of Employer.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Time and Effort</w:t>
      </w:r>
      <w:r>
        <w:rPr>
          <w:rFonts w:ascii="Times New Roman;sans-serif" w:hAnsi="Times New Roman;sans-serif"/>
          <w:b w:val="false"/>
          <w:color w:val="000000"/>
          <w:sz w:val="24"/>
        </w:rPr>
        <w:t xml:space="preserve">. Executive shall serve Employer faithfully, loyally, honestly and to the best of Executive’s ability. Executive shall devote all Executive’s business time and best efforts to the performance of Executive’s duties on behalf of Employer. During Executive’s term of employment, Executive shall not at any time or place or to any extent whatsoever, either directly or indirectly, without the express written consent of the Board, engage in any outside employment or in any activity that, in the judgment of Employer, is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competitive with or adverse to the business, practice or affairs of Employer or any of its affiliates, whether or not such activity is pursued for gain, profit or other pecuniary advantage.</w:t>
      </w:r>
    </w:p>
    <w:p>
      <w:pPr>
        <w:pStyle w:val="TextBody"/>
        <w:bidi w:val="0"/>
        <w:spacing w:lineRule="auto" w:line="288" w:before="0" w:after="240"/>
        <w:jc w:val="center"/>
        <w:rPr/>
      </w:pPr>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Compensation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2.01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During the term of Executive’s employment under this Agreement, Employer shall, as compensation for the obligations set forth herein and for all services rendered by Executive in any capacity during Executive’s employment under this Agreement, including services as an officer, employee, director or member of any governing body, or committee thereof, of Employer or any of their affiliates, pay Executive a base salary (herein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at the annual rate of $350,000 per year, payable in accordance with Employer’s standard payroll practices as in effect from time to time. Beginning in 2025, Executive’s Base Salary shall be reviewed annually in January, and may be subject to an increase, as determined in the reasonable discretion of the Board. In the event that sickness or disability payments under any insurance programs of Employer or otherwise shall become payable to Executive in respect of any period of Executive’s employment under this Agreement, the salary installment payable to Executive hereunder on the next succeeding salary installment payment date shall be an amount computed by subtracting (a) the amount of such sickness or disability payments that shall have become payable during the period between such date and the immediately preceding salary installment date from (b) the salary installment otherwise payable to Executive hereunder on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2.02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During the term of Executive’s employment under this Agreement, Executive shall be eligible to participate in Employer’s annual incentive compensation plan, as may be continued or established by the Board, in its discretion, from time to time (the “</w:t>
      </w:r>
      <w:r>
        <w:rPr>
          <w:rFonts w:ascii="Times New Roman;sans-serif" w:hAnsi="Times New Roman;sans-serif"/>
          <w:b w:val="false"/>
          <w:color w:val="000000"/>
          <w:sz w:val="24"/>
          <w:u w:val="single"/>
        </w:rPr>
        <w:t>Bonus Plan</w:t>
      </w:r>
      <w:r>
        <w:rPr>
          <w:color w:val="000000"/>
        </w:rPr>
        <w:t>”</w:t>
      </w:r>
      <w:r>
        <w:rPr>
          <w:rFonts w:ascii="Times New Roman;sans-serif" w:hAnsi="Times New Roman;sans-serif"/>
          <w:b w:val="false"/>
          <w:color w:val="000000"/>
          <w:sz w:val="24"/>
        </w:rPr>
        <w:t>) and shall have the opportunity to earn a performance based bonus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with a target Annual Bonus opportunity of fifty percent (50%) of Base Salary, based twenty-five percent (25%) on achievement of personal objectives and seventy-five percent (75%) on achievement of certain EBITDA results or other objective performance measures established by the Board. The amount of any Annual Bonus actually payable to Executive shall be determined by the Board in its discretion and shall be payable in accordance with Employer’s practices as of the date hereof or pursuant to such other procedures as may be agreed to between the Chief Executive Officer of Employer and the Board. Executive acknowledges that the Board may amend or modify from time to time the Bonus Plan, including modifying the performance requirements, target levels and participation terms thereof, and the Board reserves the right to terminate the Bonus Plan at any time and for any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2.03    </w:t>
      </w:r>
      <w:r>
        <w:rPr>
          <w:rFonts w:ascii="Times New Roman;sans-serif" w:hAnsi="Times New Roman;sans-serif"/>
          <w:b w:val="false"/>
          <w:color w:val="000000"/>
          <w:sz w:val="24"/>
          <w:u w:val="single"/>
        </w:rPr>
        <w:t>Award of Restricted Stock Units</w:t>
      </w:r>
      <w:r>
        <w:rPr>
          <w:rFonts w:ascii="Times New Roman;sans-serif" w:hAnsi="Times New Roman;sans-serif"/>
          <w:b w:val="false"/>
          <w:color w:val="000000"/>
          <w:sz w:val="24"/>
        </w:rPr>
        <w:t>. Subject to the terms and conditions of the Company’s 2020 Omnibus Equity Compensation Plan or any successor thereto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Executive shall receive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xml:space="preserve">) valued at $200,000 (based on the closing price of the Company’s stock on the date of grant), which shall vest with respect to twenty-five percent (25%) of the RSUs on the first anniversary of the date of the grant and thereafter shall vest with respect to an additional twenty-five percent (25%) on an annual basis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through the fourth anniversary of the date of the grant until the RSUs are fully-vested. The RSUs shall be granted under the Plan as soon as practicable following your start date upon the approval of the Compensation Committee. In addition, beginning in 2025, Executive shall be eligible for annual RSU awards of $175,000 in value (based on the closing price of the Company’s stock on the date of grant), which shall vest in accordance with the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SECTION 2.04    </w:t>
      </w:r>
      <w:r>
        <w:rPr>
          <w:rFonts w:ascii="Times New Roman;sans-serif" w:hAnsi="Times New Roman;sans-serif"/>
          <w:b w:val="false"/>
          <w:color w:val="000000"/>
          <w:sz w:val="24"/>
          <w:u w:val="single"/>
        </w:rPr>
        <w:t>Award of Performance Share Units</w:t>
      </w:r>
      <w:r>
        <w:rPr>
          <w:rFonts w:ascii="Times New Roman;sans-serif" w:hAnsi="Times New Roman;sans-serif"/>
          <w:b w:val="false"/>
          <w:color w:val="000000"/>
          <w:sz w:val="24"/>
        </w:rPr>
        <w:t>. Subject to the terms and conditions of the International Money Express, Inc. 2021 Plan, you will be granted Performance Share Units (PSUs) at a market value equal to $200,000 (based on the closing price of the Company’s stock on the date of grant). 100% of the PSU equity award will vest after two (2) years and upon determination of the Compensation Committee. The PSUs shall be granted under the Plan as soon as practicable following your start date upon the approval of the Compensation Committee. In addition, beginning in 2025, Executive shall be eligible for annual PSU awards of $175,000 in value (based on the closing price of the Company’s stock on the date of grant), which shall vest in accordance with the Plan.</w:t>
      </w:r>
    </w:p>
    <w:p>
      <w:pPr>
        <w:pStyle w:val="TextBody"/>
        <w:bidi w:val="0"/>
        <w:spacing w:lineRule="auto" w:line="288" w:before="0" w:after="240"/>
        <w:ind w:left="0" w:right="0" w:firstLine="1440"/>
        <w:jc w:val="center"/>
        <w:rPr/>
      </w:pPr>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Executive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3.01    </w:t>
      </w:r>
      <w:r>
        <w:rPr>
          <w:rFonts w:ascii="Times New Roman;sans-serif" w:hAnsi="Times New Roman;sans-serif"/>
          <w:b w:val="false"/>
          <w:color w:val="000000"/>
          <w:sz w:val="24"/>
          <w:u w:val="single"/>
        </w:rPr>
        <w:t>Benefit Plans</w:t>
      </w:r>
      <w:r>
        <w:rPr>
          <w:rFonts w:ascii="Times New Roman;sans-serif" w:hAnsi="Times New Roman;sans-serif"/>
          <w:b w:val="false"/>
          <w:color w:val="000000"/>
          <w:sz w:val="24"/>
        </w:rPr>
        <w:t>. During the term of Executive’s employment under this Agreement, Executive shall be entitled to participate in any benefit plans (excluding severance, bonus, incentive or profit sharing plans) offered by Employer as in effect from time to time (collectively, “</w:t>
      </w:r>
      <w:r>
        <w:rPr>
          <w:rFonts w:ascii="Times New Roman;sans-serif" w:hAnsi="Times New Roman;sans-serif"/>
          <w:b w:val="false"/>
          <w:color w:val="000000"/>
          <w:sz w:val="24"/>
          <w:u w:val="single"/>
        </w:rPr>
        <w:t>Benefit Plans</w:t>
      </w:r>
      <w:r>
        <w:rPr>
          <w:color w:val="000000"/>
        </w:rPr>
        <w:t>”</w:t>
      </w:r>
      <w:r>
        <w:rPr>
          <w:rFonts w:ascii="Times New Roman;sans-serif" w:hAnsi="Times New Roman;sans-serif"/>
          <w:b w:val="false"/>
          <w:color w:val="000000"/>
          <w:sz w:val="24"/>
        </w:rPr>
        <w:t xml:space="preserve">) on the same basis as that generally made available to other employees of Employer to the extent Executive may be eligible to do so under the terms of any such Benefit Plan. Executive understands that any such Benefit Plans may be terminated or amended from time to time by Employer in their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Benefit Plans cease to include medical and dental plans, Executive shall be eligible to receive medical and dental benefits substantially comparable to such benefits provided by Employer to Executive under Employer’s medical and dental plans as of the date hereof. Notwithstanding the first sentence of this Section 3.01, nothing shall preclude Executive from participating during the term of Executive’s employment under this Agreement in any present or future bonus, incentive or profit sharing plan or other plan of Employer for the benefit of its employees, in each case as and to the extent approved or determined by the Board in its discretion and subject to Section 2.02.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3.02    </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xml:space="preserve">. Employer will reimburse Executive for all reasonably incurred business expenses, subject to the travel and expense policy established by Employer from time to time, incurred by Executive during the term of Executive’s employment under this Agreement in the performance of Executive’s duties hereunder, provided that Executive furnishes to Employer adequate records and other documentary evidence required to substantiate such expenditures.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SECTION 3.03    Vacation. During the term of Executive’s employment under this Agreement, Executive shall be entitled to unlimited paid time off, which shall be taken in accordance with Employer’s vacation policy.</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SECTION 3.04    </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In addition to the foregoing, Executive shall receive reimbursement of up to $30,000 of expenses incurred by Executive in connection with Executive’s relocation to the Miami, Florida area, including without limitation costs incurred for house hunting, moving of household items, temporary living, and travel (the “Relocation Reimbursement Amount”). If Executive terminates Executive’s employment with the Company within twelve (12) months of Executive’s start date for any reason other than Good Reason (as defined below), Executive shall repay to Company, promptly upon receipt of written demand, a prorated portion of the Relocation Reimbursement Amount.</w:t>
      </w:r>
    </w:p>
    <w:p>
      <w:pPr>
        <w:pStyle w:val="TextBody"/>
        <w:bidi w:val="0"/>
        <w:spacing w:lineRule="auto" w:line="288" w:before="0" w:after="240"/>
        <w:jc w:val="center"/>
        <w:rPr/>
      </w:pPr>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4.01    </w:t>
      </w:r>
      <w:r>
        <w:rPr>
          <w:rFonts w:ascii="Times New Roman;sans-serif" w:hAnsi="Times New Roman;sans-serif"/>
          <w:b w:val="false"/>
          <w:color w:val="000000"/>
          <w:sz w:val="24"/>
          <w:u w:val="single"/>
        </w:rPr>
        <w:t>Exclusive Rights</w:t>
      </w:r>
      <w:r>
        <w:rPr>
          <w:rFonts w:ascii="Times New Roman;sans-serif" w:hAnsi="Times New Roman;sans-serif"/>
          <w:b w:val="false"/>
          <w:color w:val="000000"/>
          <w:sz w:val="24"/>
        </w:rPr>
        <w:t>. The amounts payable under this Article IV are intended to be, and are, exclusive and in lieu of any other rights or remedies to which Executive may otherwise be entitled, including under common, tort or contract law, under policies of Employer and its affiliates in effect from time to time, under this Agreement or otherwise, in the event of Executive’s termination of employment with Employer and its affiliates.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4.02    </w:t>
      </w:r>
      <w:r>
        <w:rPr>
          <w:rFonts w:ascii="Times New Roman;sans-serif" w:hAnsi="Times New Roman;sans-serif"/>
          <w:b w:val="false"/>
          <w:color w:val="000000"/>
          <w:sz w:val="24"/>
          <w:u w:val="single"/>
        </w:rPr>
        <w:t>Termination by Employer for Cause</w:t>
      </w:r>
      <w:r>
        <w:rPr>
          <w:rFonts w:ascii="Times New Roman;sans-serif" w:hAnsi="Times New Roman;sans-serif"/>
          <w:b w:val="false"/>
          <w:color w:val="000000"/>
          <w:sz w:val="24"/>
        </w:rPr>
        <w:t>. (a) If Employer terminates Executive for Cause (as defined below), Executive shall be entitled to receive (i) Base Salary earned through the date of termination that remains unpaid as of the date of Executive’s termination, (ii) any accrued and unpaid bonus for any previously completed bonus period that Executive is entitled to receive as of the date of termination that remains unpaid as of the date of Executive’s termination, (iii) reimbursement for any unreimbursed business expenses properly incurred by Executive prior to the date of Executive’s termination to the extent such expenses are reimbursable under Section 3.02 and (iv) such benefits (excluding benefits under any severance plan, program or policy then in effect), if any, to which Executive may be entitled under the Benefit Plans as of the date of Executive’s termination, which benefits shall be payable in accordance with the terms of such Benefits Plans (the amounts described in clauses (i) through (iv) of this Section 4.02(a) being referred to herein as the “</w:t>
      </w:r>
      <w:r>
        <w:rPr>
          <w:rFonts w:ascii="Times New Roman;sans-serif" w:hAnsi="Times New Roman;sans-serif"/>
          <w:b w:val="false"/>
          <w:color w:val="000000"/>
          <w:sz w:val="24"/>
          <w:u w:val="single"/>
        </w:rPr>
        <w:t>Accrued Rights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For purposes of this Agreement, the term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shall mean Executive’s (i) willful failure to perform those duties that Executive is required to perform as an employee under this Agreement, (ii) conviction of, or a plea of guilty or nolo contendere to, a misdemeanor involving moral turpitude, dishonesty, theft, unethical business conduct or conduct that significantly impairs the reputation of Employer or any of its subsidiaries or affiliates or a felony (or the equivalent thereof in a jurisdiction other than the United States), (iii) gross negligence, malfeasance or willful misconduct in connection with Executive’s duties hereunder (either by an act of commission or omission) that is significantly injurious to the financial condition or business reputation of Employer or any of its subsidiaries or affiliates, (iv) breach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provisions of Section 5.03 or 5.04 or (v) a breach of the provisions of Article V (other than Section 5.03 or 5.04) that either (A) is materially damaging to the business or reputation of Employer or any of its affiliates or (B) occurs after Employer has notified Executive of a prior breach of such Article V (other than Section 5.03 or 5.04).</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If Employer desires to terminate Executive’s employment for Cause in the case of clauses (i), (ii) and (iii) of Section 4.02(b) and the basis for Cause, by its nature, is capable of being cured, Employer shall first provide Executive with written notice of the applicable event that constitutes the basis for Cause (a “</w:t>
      </w:r>
      <w:r>
        <w:rPr>
          <w:rFonts w:ascii="Times New Roman;sans-serif" w:hAnsi="Times New Roman;sans-serif"/>
          <w:b w:val="false"/>
          <w:color w:val="000000"/>
          <w:sz w:val="24"/>
          <w:u w:val="single"/>
        </w:rPr>
        <w:t>Cause Notice</w:t>
      </w:r>
      <w:r>
        <w:rPr>
          <w:color w:val="000000"/>
        </w:rPr>
        <w:t>”</w:t>
      </w:r>
      <w:r>
        <w:rPr>
          <w:rFonts w:ascii="Times New Roman;sans-serif" w:hAnsi="Times New Roman;sans-serif"/>
          <w:b w:val="false"/>
          <w:color w:val="000000"/>
          <w:sz w:val="24"/>
        </w:rPr>
        <w:t>) within ten days of the Board’s becoming aware of such event. Such notice shall specifically identify such claimed breach. Executive shall have 15 days following receipt of such Cause Notice (the “</w:t>
      </w:r>
      <w:r>
        <w:rPr>
          <w:rFonts w:ascii="Times New Roman;sans-serif" w:hAnsi="Times New Roman;sans-serif"/>
          <w:b w:val="false"/>
          <w:color w:val="000000"/>
          <w:sz w:val="24"/>
          <w:u w:val="single"/>
        </w:rPr>
        <w:t>Cause Cure Period</w:t>
      </w:r>
      <w:r>
        <w:rPr>
          <w:color w:val="000000"/>
        </w:rPr>
        <w:t>”</w:t>
      </w:r>
      <w:r>
        <w:rPr>
          <w:rFonts w:ascii="Times New Roman;sans-serif" w:hAnsi="Times New Roman;sans-serif"/>
          <w:b w:val="false"/>
          <w:color w:val="000000"/>
          <w:sz w:val="24"/>
        </w:rPr>
        <w:t>) to cure such basis for Cause, and Employer shall be entitled at the end of such Cause Cure Period to terminate Executive’s employment under this Agreement for Cause, provided, however, that, if such breach is cured within the Cause Cure Period or if Employer does not terminate Executive’s employment with Employer within ten days after the end of the Cause Cure Period, Employer’s termination of Executive’s employment shall not be deemed to be a termination for Cause.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4.03    </w:t>
      </w:r>
      <w:r>
        <w:rPr>
          <w:rFonts w:ascii="Times New Roman;sans-serif" w:hAnsi="Times New Roman;sans-serif"/>
          <w:b w:val="false"/>
          <w:color w:val="000000"/>
          <w:sz w:val="24"/>
          <w:u w:val="single"/>
        </w:rPr>
        <w:t>Termination by Employer Other Than for Cause, Disability or Death; Termination by Executive for Good Reason</w:t>
      </w:r>
      <w:r>
        <w:rPr>
          <w:rFonts w:ascii="Times New Roman;sans-serif" w:hAnsi="Times New Roman;sans-serif"/>
          <w:b w:val="false"/>
          <w:color w:val="000000"/>
          <w:sz w:val="24"/>
        </w:rPr>
        <w:t>. (a) If Employer elects to terminate Executive’s employment for any reason other than Cause, Disability (as defined below) or death or if Executive elects to terminate Executive’s employment with Employer for Good Reason (as defined below), (i) Employer shall continue to pay Executive’s Base Salary through the period of time ending nine (9) months after the date of Executive’s termination of employment, payable in installments at the same times at which and in the same manner in which such Base Salary would have been payable to Executive had a termination of employment not occurred, (ii) Executive shall be entitled to receive an amount equal to (A) the product of (1) Executive’s target bonus for the calendar year in which Executive’s termination of employment hereunder occurs and (2) a fraction equal to (I) the number of days elapsed in such calendar year prior to Executive’s termination of employment hereunder, divided by (II) 365, less (B) any bonus for such calendar year paid to Executive (1) prior to his termination of employment with Employer or (2) pursuant to clause (ii) of the definition of Accrued Rights set forth above, payable in equal installments during the nine-month period following such termination of employment at the same times as Employer’s payroll applicable to the other employees of Employer is paid, and (iii) Executive shall be entitled to the Accrued Rights; provided, however, that, in the case of clauses (i) and (ii), Employer shall not be obligated to (x) commence such payments until such time as Executive has provided a general release in favor of Employer its subsidiaries and affiliates, and its respective directors, officers, employees, agents and representatives in form and substance acceptable to Employer and such general release has become effective and irrevocable (such date, the “</w:t>
      </w:r>
      <w:r>
        <w:rPr>
          <w:rFonts w:ascii="Times New Roman;sans-serif" w:hAnsi="Times New Roman;sans-serif"/>
          <w:b w:val="false"/>
          <w:color w:val="000000"/>
          <w:sz w:val="24"/>
          <w:u w:val="single"/>
        </w:rPr>
        <w:t>Release Effective Date</w:t>
      </w:r>
      <w:r>
        <w:rPr>
          <w:color w:val="000000"/>
        </w:rPr>
        <w:t>”</w:t>
      </w:r>
      <w:r>
        <w:rPr>
          <w:rFonts w:ascii="Times New Roman;sans-serif" w:hAnsi="Times New Roman;sans-serif"/>
          <w:b w:val="false"/>
          <w:color w:val="000000"/>
          <w:sz w:val="24"/>
        </w:rPr>
        <w:t xml:space="preserve">), except that any payments that would have otherwise been paid to Executive following the date of the termination of employment and prior to the Release Effective Date shall be accumulated and paid to Executive in a lump sum on the first payment date following the Release Effective Date, and (y) continue such payments at any time following a breach of the provisions of Section 5.03 or 5.04 or a breach of the provisions of Article V (other than Section 5.03 or 5.04) that either (A) is materially damaging to the business or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reputation of Employer or any of its affiliates or (B) occurs after Employer has notified Executive of a prior breach of such Article V (other than Section 5.03 or 5.04);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if the Release Effective Date does not occur within sixty (60) days of the date of termination of employment, Employer shall not be obligated to make payments under clauses (i) and (ii)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For purposes of this Agreement, the term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mean: (i) (A) the assignment to Executive of any duties inconsistent in any material adverse respect with the Executive’s authority, duties or responsibilities as contemplated by Section 1.02 or (B) a reduction in Executive’s title; (ii) any material breach by Employer of any material provisions of this Agreement; (iii) any reduction in Executive’s Base Salary; (iv) a material reduction in employee benefits, other than a change which results from an amendment or alteration of Employer’s Benefit Plans that affects its salaried employees generally; or (vi) in the event of a transfer (for consideration or otherwise) of substantially all of the business operations of Employer, this Agreement is not assigned pursuant to Section 6.01.</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Executive shall provide Employer with written notice of the applicable event that constitutes the basis for Good Reason within ten (10) days of such event. Such notice shall specifically identify such claimed breach and shall inform Employer what must be done to cure such breach. If Employer fails to cure such basis for Good Reason within thirty (30) calendar days after the receipt of such notice (the “</w:t>
      </w:r>
      <w:r>
        <w:rPr>
          <w:rFonts w:ascii="Times New Roman;sans-serif" w:hAnsi="Times New Roman;sans-serif"/>
          <w:b w:val="false"/>
          <w:color w:val="000000"/>
          <w:sz w:val="24"/>
          <w:u w:val="single"/>
        </w:rPr>
        <w:t>Good Reason Cure Period</w:t>
      </w:r>
      <w:r>
        <w:rPr>
          <w:color w:val="000000"/>
        </w:rPr>
        <w:t>”</w:t>
      </w:r>
      <w:r>
        <w:rPr>
          <w:rFonts w:ascii="Times New Roman;sans-serif" w:hAnsi="Times New Roman;sans-serif"/>
          <w:b w:val="false"/>
          <w:color w:val="000000"/>
          <w:sz w:val="24"/>
        </w:rPr>
        <w:t>), Executive shall be entitled at the end of the Good Reason Cure Period to terminate his employment under this Agreement for Good Reason, whereupon Executive shall provide written notice of such termination to Employer. Notwithstanding the foregoing, if such breach is cured within such thirty (30) day period or if Executive does not terminate Executive’s employment with Employer within ten days after the end of the Good Reason Cure Period, any termination of employment by Executive shall not be deemed to be a termination for Good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4.04    </w:t>
      </w:r>
      <w:r>
        <w:rPr>
          <w:rFonts w:ascii="Times New Roman;sans-serif" w:hAnsi="Times New Roman;sans-serif"/>
          <w:b w:val="false"/>
          <w:color w:val="000000"/>
          <w:sz w:val="24"/>
          <w:u w:val="single"/>
        </w:rPr>
        <w:t>Termination for Disability or Death</w:t>
      </w:r>
      <w:r>
        <w:rPr>
          <w:rFonts w:ascii="Times New Roman;sans-serif" w:hAnsi="Times New Roman;sans-serif"/>
          <w:b w:val="false"/>
          <w:color w:val="000000"/>
          <w:sz w:val="24"/>
        </w:rPr>
        <w:t>. Executive’s employment shall terminate automatically upon Executive’s death. Employer may terminate Executive’s employment upon the occurrence of Executive’s Disability. In the event of Executive’s termination due to death or Disability, Executive, or Executive’s estate, as the case may be, shall be entitled to receive the Accrued Rights. For purposes of this Agreement, the term “Disability” shall mean (a) the inability of Executive, due to illness, accident or any other physical or mental incapacity, to perform Executive’s duties in a normal manner for a period of one hundred twenty (120) days (whether or not consecutive) in any twelve (12) month period during the term of Executive’s employment under this Agreement or (b) the Executive’s being accepted for long-term disability benefits under any long-term disability plan in which he is then participating. The Board shall determine, according to the facts then available, whether and when the Disability of Executive has occurred. Such determination shall not be arbitrary or unreasonable and the Board will take into consideration the expert medical opinion of a physician chosen by Employer, after such physician has completed an examination of Executive. Executive agrees to make himself available for such examination upon the reasonable request of Employer.</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4.05    </w:t>
      </w:r>
      <w:r>
        <w:rPr>
          <w:rFonts w:ascii="Times New Roman;sans-serif" w:hAnsi="Times New Roman;sans-serif"/>
          <w:b w:val="false"/>
          <w:color w:val="000000"/>
          <w:sz w:val="24"/>
          <w:u w:val="single"/>
        </w:rPr>
        <w:t>Termination of Employment by Executive Without Good Reason</w:t>
      </w:r>
      <w:r>
        <w:rPr>
          <w:rFonts w:ascii="Times New Roman;sans-serif" w:hAnsi="Times New Roman;sans-serif"/>
          <w:b w:val="false"/>
          <w:color w:val="000000"/>
          <w:sz w:val="24"/>
        </w:rPr>
        <w:t>. If Executive terminates Executive’s employment with Employer for any reason other than for Good Reason, Executive shall provide written notice to Employer at least sixty (60) days prior to the effective date of Executive’s resignation from employment and Executive shall be entitled to receive the Accrued Rights.</w:t>
      </w:r>
    </w:p>
    <w:p>
      <w:pPr>
        <w:pStyle w:val="TextBody"/>
        <w:bidi w:val="0"/>
        <w:spacing w:lineRule="auto" w:line="280" w:before="231" w:after="240"/>
        <w:ind w:left="0" w:right="0" w:firstLine="1459"/>
        <w:jc w:val="left"/>
        <w:rPr/>
      </w:pPr>
      <w:r>
        <w:rPr>
          <w:rFonts w:ascii="Times New Roman;sans-serif" w:hAnsi="Times New Roman;sans-serif"/>
          <w:b w:val="false"/>
          <w:color w:val="2A2A2A"/>
          <w:sz w:val="24"/>
        </w:rPr>
        <w:t xml:space="preserve">SECTION 4.06 </w:t>
      </w:r>
      <w:r>
        <w:rPr>
          <w:rFonts w:ascii="Times New Roman;sans-serif" w:hAnsi="Times New Roman;sans-serif"/>
          <w:b w:val="false"/>
          <w:color w:val="000000"/>
          <w:sz w:val="24"/>
          <w:u w:val="single"/>
        </w:rPr>
        <w:t>Board Resignation.</w:t>
      </w:r>
      <w:r>
        <w:rPr>
          <w:color w:val="2A2A2A"/>
        </w:rPr>
        <w:t xml:space="preserve"> </w:t>
      </w:r>
      <w:r>
        <w:rPr>
          <w:rFonts w:ascii="Times New Roman;sans-serif" w:hAnsi="Times New Roman;sans-serif"/>
          <w:b w:val="false"/>
          <w:color w:val="2A2A2A"/>
          <w:sz w:val="24"/>
        </w:rPr>
        <w:t>Upon termination of Executive's employment for any reason, Executive agrees to resign, as of the date of such termination and to the extent applicable, as an officer of Employer and its affiliates and from the Board and its committees and the Board of Directors or other managing body of Employer or Employer's other affiliates and their committees.</w:t>
      </w:r>
    </w:p>
    <w:p>
      <w:pPr>
        <w:pStyle w:val="TextBody"/>
        <w:bidi w:val="0"/>
        <w:spacing w:before="0" w:after="240"/>
        <w:ind w:left="0" w:right="0" w:firstLine="1440"/>
        <w:jc w:val="both"/>
        <w:rPr/>
      </w:pPr>
      <w:r>
        <w:rPr/>
      </w:r>
    </w:p>
    <w:p>
      <w:pPr>
        <w:pStyle w:val="TextBody"/>
        <w:bidi w:val="0"/>
        <w:spacing w:lineRule="auto" w:line="288" w:before="0" w:after="240"/>
        <w:jc w:val="center"/>
        <w:rPr/>
      </w:pPr>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Executive Covenants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5.01    </w:t>
      </w:r>
      <w:r>
        <w:rPr>
          <w:rFonts w:ascii="Times New Roman;sans-serif" w:hAnsi="Times New Roman;sans-serif"/>
          <w:b w:val="false"/>
          <w:color w:val="000000"/>
          <w:sz w:val="24"/>
          <w:u w:val="single"/>
        </w:rPr>
        <w:t>Employer Interests</w:t>
      </w:r>
      <w:r>
        <w:rPr>
          <w:rFonts w:ascii="Times New Roman;sans-serif" w:hAnsi="Times New Roman;sans-serif"/>
          <w:b w:val="false"/>
          <w:color w:val="000000"/>
          <w:sz w:val="24"/>
        </w:rPr>
        <w:t>. (a) Executive acknowledges that Employer has expended substantial amounts of time, money and effort to develop business strategies, customer relationships, employee relationships, trade secrets and goodwill and to build an effective organization and that Employer has a legitimate business interest and right in protecting those assets as well as any similar assets that Employer may develop or obtain. Executive acknowledges that Employer is entitled to protect and preserve the going concern value of Employer and its business and trade secrets to the extent permitted by law. Executive acknowledges that Employer’s business is worldwide in nature and international in scope. Executive acknowledges and agrees that the restrictions imposed upon Executive under this Agreement are reasonable and necessary for the protection of Employer’s goodwill, confidential information, trade secrets and customer relationships and that the restrictions set forth in this Agreement will not prevent Executive from earning a livelihood without violating any provision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Article V, the term “Employer” includes Employer’s subsidiaries and affiliates, and its and their predecessors,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5.02    </w:t>
      </w:r>
      <w:r>
        <w:rPr>
          <w:rFonts w:ascii="Times New Roman;sans-serif" w:hAnsi="Times New Roman;sans-serif"/>
          <w:b w:val="false"/>
          <w:color w:val="000000"/>
          <w:sz w:val="24"/>
          <w:u w:val="single"/>
        </w:rPr>
        <w:t>Consideration to Executive</w:t>
      </w:r>
      <w:r>
        <w:rPr>
          <w:rFonts w:ascii="Times New Roman;sans-serif" w:hAnsi="Times New Roman;sans-serif"/>
          <w:b w:val="false"/>
          <w:color w:val="000000"/>
          <w:sz w:val="24"/>
        </w:rPr>
        <w:t>. In consideration of Employer’s entering into this Agreement and Employer’s obligations hereunder and other good and valuable consideration, the receipt of which is hereby acknowledged, and acknowledging hereby that Employer would not have entered into this Agreement without the covenants contained in this Article V, Executive hereby agrees to be bound by the provisions and covenants contained in this Article V.</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5.03    </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xml:space="preserve">. Executive agrees that, for the period commencing on the date hereof and terminating two (2) years after the date of Executive’s termination of employment with Employer, Executive shall not, and shall cause each of Executive’s affiliates (other than Employer) not to, directly or indirectly: (a) solicit any person or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entity that is or was a sending agent, paying agent or otherwise a customer (or prospective customer) of Employer to (i) purchase any goods or services related to any Competitive Business from anyone other than Employer or (ii) reduce its volume of goods or services purchased from Employer, (b) interfere with, or attempt to interfere with, business relationships (whether formed before, on or after the date of this Agreement) between Employer and suppliers, partners, members or investors of Employer, (c) other than on behalf of Employer, solicit, recruit or hire any employee or consultant of Employer or any person who has, at any time within two (2) years prior to such solicitation, recruitment or hiring, worked for or provided services to Employer, provided, however, that this clause (c) shall not preclude Executive from making solicitations of employment targeted to the general public or from hiring any employee who responds to such general solicitation, (d) solicit or encourage any employee or consultant of Employer to leave the employment of, or to cease providing services to, Employer or (e) assist any person or entity in any way to do, or attempt to do, anything prohibited by this Section 5.03.</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5.04    </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(a) Executive agrees that, for the period commencing on the date hereof and terminating nine (9) months after the date of Executive’s termination of employment with Employer, Executive shall not, and shall cause each of Executive’s affiliates (other than Employer) not to, directly or indirectly: (i) engage in or establish any Competitive Business (as defined below), including selling goods or services relating to any Competitive Business that are of the type sold by Employer, (ii) assist any person or entity in any way to engage in or establish, or attempt to engage in or establish, any Competitive Business, (iii) except as provided in Section 5.04(c), be employed by, consult with, advise, permit his or her name to be used by, or be connected in any manner with the ownership, management, operation or control of any person or entity that directly or indirectly engages in any Competitive Business, (iv) engage in any course of conduct that involves any Competitive Business that is substantially detrimental to the business reputation of Employer or (v) engage in or establish any Tier II Business (as defined below) using any sending agent of Employer if either (A) prior to such use of such sending agent, Employer is using such sending agent in the conduct of Employer of the same Tier II Business, or (B) the conduct of Executive or Executive’s affiliates of such Tier II Business, directly or indirectly, restricts or materially impairs the ability of such sending agent to participate with Employer in Employer’s conduct of a Tier II Business.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term “Competitive Business” shall mean the money order services industry, money transfer services industry and money remittance services industry located anywhere in, or providing services to customers or payees in, the United States of America, or Latin America/Caribbean and any other region in which Employer operates (now or in the future), all in any manner, including, but not limited to, by way of wire, telephone, courier, ATM, prepaid or stored value card or otherwise). The term “Tier II Business” shall mean any business or industry located in, or providing services to customers or payees in, the United States or Latin America/Caribbean and any other region in which Employer operates (now or in the future) in the fields of check cashing services, pay-day loan services, prepaid or stored value card services or any form of foreign exchange or money exchange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This Section 5.04 shall be deemed not breached solely as a result of the ownership by Executive or any of Executive’s affiliates of: (i) less than an aggregate of five percent (5%) of any class of stock of a public company engaged, directly or indirectly, in any Competitive Business; (ii) less than five percent (5%) in value of any instrument of indebtedness of a public company engaged, directly or indirectly, in any Competitive Business; or (iii) a public company that engages, directly or indirectly, in any Competitive Business if such Competitive Business account for less than five percent (5%) of such person’s or entity’s consolidated annual revenues. A “public company” for purposes of this Section 5.04(c) shall mean an entity whose common stock is traded on a nationally recognized securities exchange.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5.05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Executive hereby acknowledges that (a) in the performance of Executive’s duties and services prior to entering into, and pursuant to this Agreement, Executive has received, and may be given access to, Confidential Information and (b) all Confidential Information is or will be the property of Employer. For purposes of this Agreement, “Confidential Information” shall mean information, knowledge and data that is or will be used, developed, obtained or owned by Employer relating to the business, products and/or services of Employer or the business, products and/or services of any customer, sales officer, sales associate or independent contractor thereof, including products, services, fees, pricing, designs, marketing plans, strategies, analyses, forecasts, formulas, drawings, photographs, reports, records, computer software (whether or not owned by, or designed for, Employer), other operating systems, applications, program listings, flow charts, manuals, documentation, data, databases, specifications, technology, inventions, new developments and methods, improvements, techniques, trade secrets, devices, products, methods, know-how, processes, financial data, customer lists, contact persons, cost information, executive information, regulatory matters, personnel matters, accounting and business methods, copyrightable works and information with respect to any vendor, customer, sales officer, sales associate or independent contractor of Employer, in each case whether patentable or unpatentable and whether or not reduced to practice, and all similar and related information in whatever form, and all such items of any vendor, customer, sales officer, sales associate or independent contractor of Employer; provided, however, that Confidential Information shall not include information that is generally known to the public other than as a result of disclosure by Executive in breach of this Agreement or in breach of any similar covenant made by Executive prior to entering into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5.06    </w:t>
      </w:r>
      <w:r>
        <w:rPr>
          <w:rFonts w:ascii="Times New Roman;sans-serif" w:hAnsi="Times New Roman;sans-serif"/>
          <w:b w:val="false"/>
          <w:color w:val="000000"/>
          <w:sz w:val="24"/>
          <w:u w:val="single"/>
        </w:rPr>
        <w:t>Non-Disclosure</w:t>
      </w:r>
      <w:r>
        <w:rPr>
          <w:rFonts w:ascii="Times New Roman;sans-serif" w:hAnsi="Times New Roman;sans-serif"/>
          <w:b w:val="false"/>
          <w:color w:val="000000"/>
          <w:sz w:val="24"/>
        </w:rPr>
        <w:t>. (a) Except as otherwise specifically provided in Section 5.07, Executive will not, directly or indirectly, disclose or cause or permit to be disclosed, to any person or entity whatsoever, or utilize or cause or permit to be utilized, by any person or to any entity whatsoever, any Confidential Information acquired pursuant to Executive’s employment with Employer (whether acquired prior to or subsequent to the execution of this Agreement) under this Agreement or otherwise.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Executive will not disclose to anyone, other than Executive’s immediate family and legal or financial advisors, the existence or contents of this Agreement, except to the extent permitted in Section 5.07 or to comply with Section 5.14, and,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is disclosed to Executive’s immediate family or legal or financial advisors, will instruct those parties to comply with the non-disclosure requirements of this Section 5.06(b).</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5.07    </w:t>
      </w:r>
      <w:r>
        <w:rPr>
          <w:rFonts w:ascii="Times New Roman;sans-serif" w:hAnsi="Times New Roman;sans-serif"/>
          <w:b w:val="false"/>
          <w:color w:val="000000"/>
          <w:sz w:val="24"/>
          <w:u w:val="single"/>
        </w:rPr>
        <w:t>Permitted Disclosure</w:t>
      </w:r>
      <w:r>
        <w:rPr>
          <w:rFonts w:ascii="Times New Roman;sans-serif" w:hAnsi="Times New Roman;sans-serif"/>
          <w:b w:val="false"/>
          <w:color w:val="000000"/>
          <w:sz w:val="24"/>
        </w:rPr>
        <w:t>. Executive may (a) utilize and disclose the Confidential Information only to the extent reasonably necessary and required in the discharge of Executive’s duties as an employee of Employer and (b) disclose Confidential Information only to the extent Executive (i) is obligated to disclose such Confidential Information pursuant to any confidentiality agreement executed by or on behalf of Employer or Executive prior to the date hereof, (ii) is compelled to disclose such Confidential Information or else stand liable for contempt or suffer other censure or penalty, (iii) is required to disclose such Confidential Information by law, (iv) discloses such information in the context of litigation between Employer and Executive, or (v) is permitted to disclose such Confidential Information under any applicable “whistle blower” or similar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5.08    </w:t>
      </w:r>
      <w:r>
        <w:rPr>
          <w:rFonts w:ascii="Times New Roman;sans-serif" w:hAnsi="Times New Roman;sans-serif"/>
          <w:b w:val="false"/>
          <w:color w:val="000000"/>
          <w:sz w:val="24"/>
          <w:u w:val="single"/>
        </w:rPr>
        <w:t>Prior Inventions</w:t>
      </w:r>
      <w:r>
        <w:rPr>
          <w:rFonts w:ascii="Times New Roman;sans-serif" w:hAnsi="Times New Roman;sans-serif"/>
          <w:b w:val="false"/>
          <w:color w:val="000000"/>
          <w:sz w:val="24"/>
        </w:rPr>
        <w:t xml:space="preserve">. Executive has attached hereto as </w:t>
      </w:r>
      <w:r>
        <w:rPr>
          <w:rFonts w:ascii="Times New Roman;sans-serif" w:hAnsi="Times New Roman;sans-serif"/>
          <w:b/>
          <w:color w:val="000000"/>
          <w:sz w:val="24"/>
        </w:rPr>
        <w:t>Exhibit A</w:t>
      </w:r>
      <w:r>
        <w:rPr>
          <w:color w:val="000000"/>
        </w:rPr>
        <w:t xml:space="preserve"> </w:t>
      </w:r>
      <w:r>
        <w:rPr>
          <w:rFonts w:ascii="Times New Roman;sans-serif" w:hAnsi="Times New Roman;sans-serif"/>
          <w:b w:val="false"/>
          <w:color w:val="000000"/>
          <w:sz w:val="24"/>
        </w:rPr>
        <w:t>a list describing all inventions, works of authorship (including software, related items, databases, documentation, site content, text or graphics), developments, improvements and trade secrets (“</w:t>
      </w:r>
      <w:r>
        <w:rPr>
          <w:rFonts w:ascii="Times New Roman;sans-serif" w:hAnsi="Times New Roman;sans-serif"/>
          <w:b w:val="false"/>
          <w:color w:val="000000"/>
          <w:sz w:val="24"/>
          <w:u w:val="single"/>
        </w:rPr>
        <w:t>Inventions</w:t>
      </w:r>
      <w:r>
        <w:rPr>
          <w:color w:val="000000"/>
        </w:rPr>
        <w:t>”</w:t>
      </w:r>
      <w:r>
        <w:rPr>
          <w:rFonts w:ascii="Times New Roman;sans-serif" w:hAnsi="Times New Roman;sans-serif"/>
          <w:b w:val="false"/>
          <w:color w:val="000000"/>
          <w:sz w:val="24"/>
        </w:rPr>
        <w:t>) that were created or contributed to by Executive, either solely or jointly with others, prior to the date hereof (collectively referred to as “</w:t>
      </w:r>
      <w:r>
        <w:rPr>
          <w:rFonts w:ascii="Times New Roman;sans-serif" w:hAnsi="Times New Roman;sans-serif"/>
          <w:b w:val="false"/>
          <w:color w:val="000000"/>
          <w:sz w:val="24"/>
          <w:u w:val="single"/>
        </w:rPr>
        <w:t>Prior Inventions</w:t>
      </w:r>
      <w:r>
        <w:rPr>
          <w:color w:val="000000"/>
        </w:rPr>
        <w:t>”</w:t>
      </w:r>
      <w:r>
        <w:rPr>
          <w:rFonts w:ascii="Times New Roman;sans-serif" w:hAnsi="Times New Roman;sans-serif"/>
          <w:b w:val="false"/>
          <w:color w:val="000000"/>
          <w:sz w:val="24"/>
        </w:rPr>
        <w:t>) that relate to the current business, services, products or research and development of Employer or, if no such list is attached, Executive represents that there are no such Prior Inventions. To the fullest extent permissible by law, Executive hereby grants Employer or its designee a non-exclusive royalty-free, irrevocable, perpetual, worldwide license under all Executive’s Prior Inventions to make, have made, copy, modify, distribute, use and sell inventions, works of authorship, developments, improvements, trade secrets, products, services, processes, machines and other property and to otherwise operate the current and future business of Employer.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5.09    </w:t>
      </w:r>
      <w:r>
        <w:rPr>
          <w:rFonts w:ascii="Times New Roman;sans-serif" w:hAnsi="Times New Roman;sans-serif"/>
          <w:b w:val="false"/>
          <w:color w:val="000000"/>
          <w:sz w:val="24"/>
          <w:u w:val="single"/>
        </w:rPr>
        <w:t>Ownership of Inventions</w:t>
      </w:r>
      <w:r>
        <w:rPr>
          <w:rFonts w:ascii="Times New Roman;sans-serif" w:hAnsi="Times New Roman;sans-serif"/>
          <w:b w:val="false"/>
          <w:color w:val="000000"/>
          <w:sz w:val="24"/>
        </w:rPr>
        <w:t>. Executive will promptly make full written disclosure to Employer of, and hereby assigns to Employer or its designee all Executive’s rights, title and interest in and to, any and all Inventions, whether or not patentable, that Executive may solely or jointly conceive or develop or reduce to practice, or cause to be conceived or developed or reduced to practice, during the term of Executive’s employment with Employer that relate to the proposed or current business, services, products or research and development of Employer (whether before or after execution of this Agreement)(collectively referred to as “</w:t>
      </w:r>
      <w:r>
        <w:rPr>
          <w:rFonts w:ascii="Times New Roman;sans-serif" w:hAnsi="Times New Roman;sans-serif"/>
          <w:b w:val="false"/>
          <w:color w:val="000000"/>
          <w:sz w:val="24"/>
          <w:u w:val="single"/>
        </w:rPr>
        <w:t>Employer Inventions</w:t>
      </w:r>
      <w:r>
        <w:rPr>
          <w:color w:val="000000"/>
        </w:rPr>
        <w:t>”</w:t>
      </w:r>
      <w:r>
        <w:rPr>
          <w:rFonts w:ascii="Times New Roman;sans-serif" w:hAnsi="Times New Roman;sans-serif"/>
          <w:b w:val="false"/>
          <w:color w:val="000000"/>
          <w:sz w:val="24"/>
        </w:rPr>
        <w:t>). Executive further acknowledges that all original works of authorship that are created or contributed to by Executive (solely or jointly with others) within the scope of, and during the period of, Executive’s employment (whether before or after execution of this Agreement) with Employer are to be deemed “works made for hire”, as that term is defined in the United States Copyright Act, and the copyright and all intellectual property rights therein shall be the sole property of Employer or its designee. To the extent any of such works are deemed not to be “works for hire”, Executive hereby assigns the copyright and all other intellectual property rights in such works to Employer or its designee.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xml:space="preserve">. Executive shall take all requested actions and execute all requested documents to assist Employer, or its designee, at Employer’s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every way to secure Employer’s or its designee’s above rights in the Prior Inventions and Employer Inventions and any copyrights, patents, mask work rights or other intellectual property rights relating thereto in any and all countries, and to pursue any patents or registrations with respect thereto. This covenant shall survive the termination of this Agreement. If Employer or its designee is unable for any other reason to secure Executive’s signature on any document for this purpose, then Executive hereby irrevocably designates and appoints Employer or its designee and their duly authorized officers and agents, as the case may be, as Executive’s agent and attorney in fact, to act for and in Executive’s behalf and stead to execute any documents and to do all other lawfully permitted acts in connection with the foregoing.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All memoranda, books, records, documents, papers, plans, information, letters and other data relating to Confidential Information or the business and customer accounts of Employer, whether prepared by Executive or otherwise, coming into Executive’s possession shall be and remain the exclusive property of Employer and Executive shall not, during the term of Executive’s employment with Employer or thereafter, directly or indirectly assert any interest or property rights therein. Upon termination of employment with Employer for any reason, Executive will immediately return to Employer all such memoranda, books, records, documents, papers, plans, information, letters and other data, and all copies thereof or therefrom, and Executive will not retain, or cause or permit to be retained, any copies or other embodiments of the materials so returned. Executive further agrees that he will not retain or use for Executive’s account at any time any trade names, trademark or other proprietary business designation used or owned in connection with the business of Employer.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Executive has not prior to the date hereof, whether in writing or orally, criticized or disparaged Employer, nor shall Executive at any time following the date hereof, unless in the context of litigation between Employer and Executive or under penalty of perjury, whether in writing or orally, criticize or disparage Employer or any of its affiliates or any of their respective current or former affiliates, directors, officers, employees, members, partners, agents or representatives.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Executive agrees that any breach by Executive of any of the provisions of this Article V shall cause irreparable harm to Employer that could not be made whole by monetary damages and that, in the event of such a breach, Executive shall waive the defense in any action for specific performance that a remedy at law would be adequate, and Employer shall be entitled to specifically enforce the terms and provisions of this Article V without the necessity of proving actual damages or posting any bond or providing prior notice, in addition to any other remedy to which Employer may be entitled at law or in equity.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Notification of Subsequent Employer</w:t>
      </w:r>
      <w:r>
        <w:rPr>
          <w:rFonts w:ascii="Times New Roman;sans-serif" w:hAnsi="Times New Roman;sans-serif"/>
          <w:b w:val="false"/>
          <w:color w:val="000000"/>
          <w:sz w:val="24"/>
        </w:rPr>
        <w:t xml:space="preserve">. Prior to accepting employment with any other person or entity during any period during which Executive remains subject to any of the covenants set forth in Section 5.03 or Section 5.04, Executive shall provide such prospective employer with written notice of the provisions of this Agreement, with a copy of such notice delivered simultaneously to Employer in accordance with Section 6.05.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br/>
        <w:t>Miscellaneous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6.01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Agreement shall not be assignable by Executive. The parties agree that any attempt by Executive to delegate Executive’s duties hereunder shall be null and void. This Agreement may be assigned by Employer to a person or entity that is an affiliate or a successor in interest to substantially all the business operations of Employer. Upon such assignment, the rights and obligations of Employer hereunder shall become the rights and obligations of such affiliate or successor person or entity. As used in this Agreement, the term “Employer” shall mean Employer as hereinbefore defined in the recital to this Agreement and any permitted assignee to which this Agreement is assigned.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6.02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This Agreement shall be binding upon and shall inure to the benefit of the successors and permitted assigns of Employer and the personal or legal representatives, executors, administrators, successors, distributees, devisees and legatees of Executive. Executive acknowledges and agrees that all Executive’s covenants and obligations to Employer, as well as the rights of Employer under this Agreement, shall run in favor of and will be enforceable by Employer, its subsidiaries and its successors and permitted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6.03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constitutes the entire agreement and understanding of the parties with respect to the transactions contemplated hereby and the subject matter hereof and supersedes and replaces any and all prior agreements, understandings, statements, representations and warranties, written or oral, express or implied and/or whenever and howsoever made, directly or indirectly relating to the subject matter hereof, including the offer letter between Employer and Executive dated as of May 20, 2024. Notwithstanding the above, the Executive’s covenants set forth in Article V shall operate independently of, and shall be in addition to, any similar covenants to which Executive is subject pursuant to any other agreement with Employer or any of Employer’s affiliates.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SECTION 6.04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not be altered, modified, or amended except by written instrument signed by the parties hereto.</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SECTION 6.05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All documents, notices, requests, demands and other communications that are required or permitted to be delivered or given under this Agreement shall be in writing and shall be deemed to have been duly delivered or given when received.</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Employer:    International Money Express,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9100 South Dadeland Blvd., Suite 1100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Miami, FL 33156</w:t>
        <w:br/>
        <w:t>Attention: Chief Human Resources Officer</w:t>
      </w:r>
    </w:p>
    <w:p>
      <w:pPr>
        <w:pStyle w:val="TextBody"/>
        <w:bidi w:val="0"/>
        <w:spacing w:lineRule="atLeast" w:line="280" w:before="0" w:after="240"/>
        <w:jc w:val="left"/>
        <w:rPr/>
      </w:pPr>
      <w:r>
        <w:rPr>
          <w:rFonts w:ascii="Times New Roman;sans-serif" w:hAnsi="Times New Roman;sans-serif"/>
          <w:b w:val="false"/>
          <w:color w:val="000000"/>
          <w:sz w:val="24"/>
        </w:rPr>
        <w:t>Telephone: (305) 671-8000 x 1955</w:t>
        <w:br/>
        <w:t xml:space="preserve">E-mail: </w:t>
      </w:r>
      <w:r>
        <w:rPr>
          <w:rFonts w:ascii="Times New Roman;sans-serif" w:hAnsi="Times New Roman;sans-serif"/>
          <w:b w:val="false"/>
          <w:color w:val="0563C1"/>
          <w:sz w:val="24"/>
          <w:u w:val="single"/>
        </w:rPr>
        <w:t>HR-USA@intermexusa.com</w:t>
      </w:r>
      <w:r>
        <w:rPr>
          <w:color w:val="000000"/>
        </w:rPr>
        <w:t xml:space="preserve"> </w:t>
      </w:r>
    </w:p>
    <w:p>
      <w:pPr>
        <w:pStyle w:val="TextBody"/>
        <w:bidi w:val="0"/>
        <w:spacing w:lineRule="auto" w:line="288" w:before="0" w:after="240"/>
        <w:ind w:left="0" w:right="0" w:hanging="2160"/>
        <w:jc w:val="left"/>
        <w:rPr/>
      </w:pPr>
      <w:r>
        <w:rPr>
          <w:rFonts w:ascii="Times New Roman;sans-serif" w:hAnsi="Times New Roman;sans-serif"/>
          <w:b w:val="false"/>
          <w:color w:val="000000"/>
          <w:sz w:val="24"/>
        </w:rPr>
        <w:t>with a copy to:    </w:t>
      </w:r>
      <w:r>
        <w:rPr>
          <w:rFonts w:ascii="Times New Roman;sans-serif" w:hAnsi="Times New Roman;sans-serif"/>
          <w:b w:val="false"/>
          <w:color w:val="0563C1"/>
          <w:sz w:val="24"/>
          <w:u w:val="single"/>
        </w:rPr>
        <w:t>legal@intermexusa.com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hanging="28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if to Executive, to the Executive’s last address on file with the Employer.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may change the address to which notices under this Agreement shall be sent by providing written notice to the other in the manner specified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6.06    </w:t>
      </w:r>
      <w:r>
        <w:rPr>
          <w:rFonts w:ascii="Times New Roman;sans-serif" w:hAnsi="Times New Roman;sans-serif"/>
          <w:b w:val="false"/>
          <w:color w:val="000000"/>
          <w:sz w:val="24"/>
          <w:u w:val="single"/>
        </w:rPr>
        <w:t>Governing Law and Jurisdiction</w:t>
      </w:r>
      <w:r>
        <w:rPr>
          <w:rFonts w:ascii="Times New Roman;sans-serif" w:hAnsi="Times New Roman;sans-serif"/>
          <w:b w:val="false"/>
          <w:color w:val="000000"/>
          <w:sz w:val="24"/>
        </w:rPr>
        <w:t>. (a) This Agreement and any disputes arising under or related hereto (whether for breach of contract, tortious conduct or otherwise) shall be governed and construed in accordance with the laws of the State of Florida, without reference to its conflicts of law principles. Each party irrevocably agrees that any legal action, suit or proceeding against them arising out of or in connection with this Agreement or the transactions contemplated by this Agreement or disputes relating hereto (whether for breach of contract, tortuous conduct or otherwise) shall be brought exclusively in the United States District Court for the Southern District of Florida, or, if such court does not have subject matter jurisdiction, the state courts of Florida located in Miami-Dade County and hereby irrevocably accepts and submits to the exclusive jurisdiction and venue of the aforesaid courts in personam, with respect to any such action, suit or proceeding.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Each party hereby waives, to the fullest extent permitted by applicable law, any right it may have to a trial by jury in respect to any litigation directly or indirectly arising out of, under or in connection with this Agreement. Each party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 Section 6.06(b).</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prevailing party in any dispute or legal action arising under this Agreement shall be entitled to recover its reasonable expenses, attorneys’ fees and costs from the non-prevailing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term, provision, covenant or condition of this Agreement is held by a court of competent jurisdiction to be invalid, illegal, void or unenforceable in any jurisdiction, then such provision, covenant or condition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and any such invalidity, illegality or unenforceability with respect to such provision shall not invalidate or render unenforceable such provision in any other jurisdiction, and the remainder of the provisions hereof shall remain in full force and effect and shall in no way be affected, impaired or invalidated.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6.08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rights and obligations of Employer and Executive under the provisions of this Agreement, including Articles V and VI, shall survive and remain binding and enforceable, notwithstanding any termination of Executive’s employment with Employer, to the extent necessary to preserve the intended benefits of such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6.09    </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Executive shall provide Executive’s reasonable cooperation to Employer in connection with any suit, action or proceeding (or any appeal therefrom) that relates to events occurring during Executive’s employment with Employer or any of its affiliates other than a suit between Executive, on the one hand, and Employer, on the other hand, provided that Employer shall reimburse Executive for expenses reasonably incurred in connection with such cooperation.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6.10    </w:t>
      </w:r>
      <w:r>
        <w:rPr>
          <w:rFonts w:ascii="Times New Roman;sans-serif" w:hAnsi="Times New Roman;sans-serif"/>
          <w:b w:val="false"/>
          <w:color w:val="000000"/>
          <w:sz w:val="24"/>
          <w:u w:val="single"/>
        </w:rPr>
        <w:t>Executive Representation</w:t>
      </w:r>
      <w:r>
        <w:rPr>
          <w:rFonts w:ascii="Times New Roman;sans-serif" w:hAnsi="Times New Roman;sans-serif"/>
          <w:b w:val="false"/>
          <w:color w:val="000000"/>
          <w:sz w:val="24"/>
        </w:rPr>
        <w:t>. Executive hereby represents to Employer that the execution and delivery of this Agreement by Executive and Employer and the performance by Executive of Executive’s duties hereunder shall not constitute a breach of, or otherwise contravene, or be prevented, interfered with or hindered by, the terms of any employment agreement or other agreement or policy to which Executive is a party or otherwise bound.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6.11    </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The provisions of this Agreement may be waived only in writing signed by the party or parties entitled to the benefit thereof. A waiver or any breach or failure to enforce any provision of this Agreement shall not in any way affect, limit or waive a party’s rights hereunder at any time to enforce strict compliance thereafter with every provision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6.12    </w:t>
      </w:r>
      <w:r>
        <w:rPr>
          <w:rFonts w:ascii="Times New Roman;sans-serif" w:hAnsi="Times New Roman;sans-serif"/>
          <w:b w:val="false"/>
          <w:color w:val="000000"/>
          <w:sz w:val="24"/>
          <w:u w:val="single"/>
        </w:rPr>
        <w:t>Set Off</w:t>
      </w:r>
      <w:r>
        <w:rPr>
          <w:rFonts w:ascii="Times New Roman;sans-serif" w:hAnsi="Times New Roman;sans-serif"/>
          <w:b w:val="false"/>
          <w:color w:val="000000"/>
          <w:sz w:val="24"/>
        </w:rPr>
        <w:t>. Employer’s obligation to pay Executive the amounts provided and to make the arrangements provided hereunder shall be subject to set-off, counterclaim or recoupment of amounts owed by Executive to Employer or its affiliates.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6.13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Employer may withhold from any amounts payable under this Agreement such Federal, state, local and foreign taxes as may be required to be withheld pursuant to any applicable law or regulation.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6.14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(a) It is intended that the provisions of this Agreement comply with Section 409A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of the Internal Revenue Code of 1986, as amended, and all provisions of this Agreement shall be construed and interpreted in a manner consistent with the requirements for avoiding taxes or penalties under Section 409A.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Neither Executive nor any of his creditors or beneficiaries shall have the right to subject any deferred compensation (within the meaning of Section 409A) payable under this Agreement or under any other plan, policy, arrangement or agreement of or with Employer or any of its affiliates (this Agreement and such other plans, policies, arrangements and agreements, the “</w:t>
      </w:r>
      <w:r>
        <w:rPr>
          <w:rFonts w:ascii="Times New Roman;sans-serif" w:hAnsi="Times New Roman;sans-serif"/>
          <w:b w:val="false"/>
          <w:color w:val="000000"/>
          <w:sz w:val="24"/>
          <w:u w:val="single"/>
        </w:rPr>
        <w:t>Company Plans</w:t>
      </w:r>
      <w:r>
        <w:rPr>
          <w:color w:val="000000"/>
        </w:rPr>
        <w:t>”</w:t>
      </w:r>
      <w:r>
        <w:rPr>
          <w:rFonts w:ascii="Times New Roman;sans-serif" w:hAnsi="Times New Roman;sans-serif"/>
          <w:b w:val="false"/>
          <w:color w:val="000000"/>
          <w:sz w:val="24"/>
        </w:rPr>
        <w:t>)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Employer or any of its affiliates.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at the time of Executive’s separation from service (within the meaning of Section 409A), (i) Executive shall be a specified employee (within the meaning of Section 409A and using the identification methodology selected by Employer from time to time) and (ii)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Employer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Employer (or its affiliate, as applicable) shall not pay such amount on the otherwise scheduled payment date but shall instead accumulate such amount and pay it on the first business day after such six-month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 provision of this Agreement or any Company Plan to the contrary, in light of the uncertainty with respect to the proper application of Section 409A, Employer reserves the right to make amendments to any Company Plan as Employer deems necessary or desirable to avoid the imposition of taxes or penalties under Section 409A. In any case, Executive is solely responsible and liable for the satisfaction of all taxes and penalties that may be imposed on Executive or for Executive’s account in connection with any Company Plan (including any taxes and penalties under Section 409A), and neither the Employer nor any affiliate shall have any obligation to indemnify or otherwise hold Executive harmless from any or all of such taxes or penalties.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For purposes of Section 409A, each payment hereunder will be deemed to be a separate payment as permitted under Treasury Regulation Section 1.409A-2(b)(2)(iii).</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Except as specifically permitted by Section 409A, any benefits and reimbursements provided to Executive under this Agreement during any calendar year shall not affect any benefits and reimbursements to be provided to Executive under this Agreement in any other calendar year, and the right to such benefits and reimbursements cannot be liquidated or exchanged for any other benefit. Furthermore, reimbursement payments shall be made to Executive as soon as practicable following the date that the applicable expense is incurred, but in no event later than the last day of the calendar year following the calendar year in which the underlying expense is incurred.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6.15    </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In consideration of Employer’s entering into this Agreement and Employer’s obligations hereunder, Executive hereby irrevocably waives, releases and forever discharges Employer and its affiliates and their predecessors, successors, current and former employees, shareholders, members, partners, directors, officers, representatives and agents from any and all actions, causes of action, claims, demands for general or specific or punitive damages, attorney’s fees, or expenses, known or unknown, that in any way relate to or arise out of Executive’s employment with Employer through and including the date of this Agreement which Executive may now or hereafter have, including claims under any Federal, state or local statute, rule or regulation or principle of common, tort or contract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6.16    </w:t>
      </w:r>
      <w:r>
        <w:rPr>
          <w:rFonts w:ascii="Times New Roman;sans-serif" w:hAnsi="Times New Roman;sans-serif"/>
          <w:b w:val="false"/>
          <w:color w:val="000000"/>
          <w:sz w:val="24"/>
          <w:u w:val="single"/>
        </w:rPr>
        <w:t>Determinations</w:t>
      </w:r>
      <w:r>
        <w:rPr>
          <w:rFonts w:ascii="Times New Roman;sans-serif" w:hAnsi="Times New Roman;sans-serif"/>
          <w:b w:val="false"/>
          <w:color w:val="000000"/>
          <w:sz w:val="24"/>
        </w:rPr>
        <w:t>. Unless otherwise expressly provided in this Agreement, all determinations of Employer or the Board shall be in the sole discretion of Employer or the Board,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6.17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each of which shall be deemed to be an original instrument and all of which together shall constitute a single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6.18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(a) The headings in this Agreement are for convenience only and shall not control or affect the meaning or construction of any provision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Agreement, words such as “herein,” “hereinafter,” “hereby” and “hereunder,” and words of like import refer to this Agreement, unless the context requires otherwise. The words “include,” “includes” and “including” shall be deemed to be followed by the phrase “without limitation”.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Agreement as of the date first written above.</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Employer”</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INTERNATIONAL MONEY EXPRESS, INC., Employer,</w:t>
      </w:r>
    </w:p>
    <w:p>
      <w:pPr>
        <w:pStyle w:val="TextBody"/>
        <w:bidi w:val="0"/>
        <w:spacing w:before="0" w:after="48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Robert W. Lisy</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(CEO)| President </w:t>
      </w:r>
    </w:p>
    <w:p>
      <w:pPr>
        <w:pStyle w:val="TextBody"/>
        <w:bidi w:val="0"/>
        <w:spacing w:before="0" w:after="48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Employee”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_______________________________________</w:t>
      </w:r>
    </w:p>
    <w:p>
      <w:pPr>
        <w:pStyle w:val="TextBody"/>
        <w:bidi w:val="0"/>
        <w:spacing w:lineRule="auto" w:line="288" w:before="0" w:after="480"/>
        <w:jc w:val="left"/>
        <w:rPr>
          <w:color w:val="000000"/>
        </w:rPr>
      </w:pPr>
      <w:r>
        <w:rPr>
          <w:color w:val="000000"/>
        </w:rPr>
        <w:t>                        </w:t>
      </w:r>
      <w:r>
        <w:rPr>
          <w:rFonts w:ascii="Times New Roman;sans-serif" w:hAnsi="Times New Roman;sans-serif"/>
          <w:b w:val="false"/>
          <w:color w:val="000000"/>
          <w:sz w:val="24"/>
        </w:rPr>
        <w:t>Frank Robert Pargac</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Prior Inventions: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drawing>
          <wp:inline distT="0" distB="0" distL="0" distR="0">
            <wp:extent cx="3009900" cy="571500"/>
            <wp:effectExtent l="0" t="0" r="0" b="0"/>
            <wp:docPr id="1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 descr=""/>
                    <pic:cNvPicPr>
                      <a:picLocks noChangeAspect="1" noChangeArrowheads="1"/>
                    </pic:cNvPicPr>
                  </pic:nvPicPr>
                  <pic:blipFill>
                    <a:blip r:embed="rId30"/>
                    <a:stretch>
                      <a:fillRect/>
                    </a:stretch>
                  </pic:blipFill>
                  <pic:spPr bwMode="auto">
                    <a:xfrm>
                      <a:off x="0" y="0"/>
                      <a:ext cx="3009900" cy="571500"/>
                    </a:xfrm>
                    <a:prstGeom prst="rect">
                      <a:avLst/>
                    </a:prstGeom>
                  </pic:spPr>
                </pic:pic>
              </a:graphicData>
            </a:graphic>
          </wp:inline>
        </w:drawing>
      </w:r>
    </w:p>
    <w:p>
      <w:pPr>
        <w:pStyle w:val="TextBody"/>
        <w:bidi w:val="0"/>
        <w:spacing w:before="228" w:after="283"/>
        <w:jc w:val="left"/>
        <w:rPr/>
      </w:pPr>
      <w:r>
        <w:rPr/>
      </w:r>
    </w:p>
    <w:p>
      <w:pPr>
        <w:pStyle w:val="TextBody"/>
        <w:bidi w:val="0"/>
        <w:spacing w:lineRule="auto" w:line="292" w:before="0" w:after="0"/>
        <w:jc w:val="center"/>
        <w:rPr>
          <w:rFonts w:ascii="Times New Roman;sans-serif" w:hAnsi="Times New Roman;sans-serif"/>
          <w:b/>
          <w:color w:val="0C0C0C"/>
          <w:sz w:val="23"/>
        </w:rPr>
      </w:pPr>
      <w:r>
        <w:rPr>
          <w:rFonts w:ascii="Times New Roman;sans-serif" w:hAnsi="Times New Roman;sans-serif"/>
          <w:b/>
          <w:color w:val="0C0C0C"/>
          <w:sz w:val="23"/>
        </w:rPr>
        <w:t>INTERNATIONAL MONEY EXPRESS, INC. SECURITIES TRADING POLICY</w:t>
      </w:r>
    </w:p>
    <w:p>
      <w:pPr>
        <w:pStyle w:val="TextBody"/>
        <w:bidi w:val="0"/>
        <w:spacing w:lineRule="atLeast" w:line="262" w:before="0" w:after="0"/>
        <w:jc w:val="center"/>
        <w:rPr>
          <w:rFonts w:ascii="Times New Roman;sans-serif" w:hAnsi="Times New Roman;sans-serif"/>
          <w:b/>
          <w:color w:val="0C0C0C"/>
          <w:sz w:val="23"/>
        </w:rPr>
      </w:pPr>
      <w:r>
        <w:rPr>
          <w:rFonts w:ascii="Times New Roman;sans-serif" w:hAnsi="Times New Roman;sans-serif"/>
          <w:b/>
          <w:color w:val="0C0C0C"/>
          <w:sz w:val="23"/>
        </w:rPr>
        <w:t>(Updated as of March 3, 2023)</w:t>
      </w:r>
    </w:p>
    <w:p>
      <w:pPr>
        <w:pStyle w:val="TextBody"/>
        <w:bidi w:val="0"/>
        <w:spacing w:before="226" w:after="283"/>
        <w:jc w:val="left"/>
        <w:rPr/>
      </w:pPr>
      <w:r>
        <w:rPr/>
      </w:r>
    </w:p>
    <w:p>
      <w:pPr>
        <w:pStyle w:val="TextBody"/>
        <w:bidi w:val="0"/>
        <w:spacing w:lineRule="auto" w:line="288" w:before="0" w:after="0"/>
        <w:ind w:left="0" w:right="0" w:hanging="717"/>
        <w:jc w:val="left"/>
        <w:rPr>
          <w:rFonts w:ascii="Times New Roman;sans-serif" w:hAnsi="Times New Roman;sans-serif"/>
          <w:b/>
          <w:color w:val="0C0C0C"/>
          <w:sz w:val="23"/>
        </w:rPr>
      </w:pPr>
      <w:r>
        <w:rPr>
          <w:rFonts w:ascii="Times New Roman;sans-serif" w:hAnsi="Times New Roman;sans-serif"/>
          <w:b/>
          <w:color w:val="0C0C0C"/>
          <w:sz w:val="23"/>
        </w:rPr>
        <w:t>A.    Policy - Illegal Insider Trading</w:t>
      </w:r>
    </w:p>
    <w:p>
      <w:pPr>
        <w:pStyle w:val="TextBody"/>
        <w:bidi w:val="0"/>
        <w:spacing w:lineRule="auto" w:line="292" w:before="250" w:after="283"/>
        <w:ind w:left="0" w:right="0" w:firstLine="1"/>
        <w:jc w:val="both"/>
        <w:rPr/>
      </w:pPr>
      <w:r>
        <w:rPr>
          <w:rFonts w:ascii="Times New Roman;sans-serif" w:hAnsi="Times New Roman;sans-serif"/>
          <w:b w:val="false"/>
          <w:color w:val="0C0C0C"/>
          <w:sz w:val="23"/>
        </w:rPr>
        <w:t xml:space="preserve">This Securities Trading Policy (this </w:t>
      </w:r>
      <w:r>
        <w:rPr>
          <w:rFonts w:ascii="Times New Roman;sans-serif" w:hAnsi="Times New Roman;sans-serif"/>
          <w:b w:val="false"/>
          <w:color w:val="2A2A2A"/>
          <w:sz w:val="23"/>
          <w:u w:val="single"/>
        </w:rPr>
        <w:t>"Policy</w:t>
      </w:r>
      <w:r>
        <w:rPr>
          <w:rFonts w:ascii="Times New Roman;sans-serif" w:hAnsi="Times New Roman;sans-serif"/>
          <w:b w:val="false"/>
          <w:color w:val="2A2A2A"/>
          <w:sz w:val="23"/>
        </w:rPr>
        <w:t xml:space="preserve">") </w:t>
      </w:r>
      <w:r>
        <w:rPr>
          <w:rFonts w:ascii="Times New Roman;sans-serif" w:hAnsi="Times New Roman;sans-serif"/>
          <w:b w:val="false"/>
          <w:color w:val="0C0C0C"/>
          <w:sz w:val="23"/>
        </w:rPr>
        <w:t xml:space="preserve">applies to International Money Express, Inc. and all of its subsidiaries and controlled affiliates and their respective directors, officers and employees (collectively, the </w:t>
      </w:r>
      <w:r>
        <w:rPr>
          <w:rFonts w:ascii="Times New Roman;sans-serif" w:hAnsi="Times New Roman;sans-serif"/>
          <w:b w:val="false"/>
          <w:color w:val="2A2A2A"/>
          <w:sz w:val="23"/>
        </w:rPr>
        <w:t>"</w:t>
      </w:r>
      <w:r>
        <w:rPr>
          <w:rFonts w:ascii="Times New Roman;sans-serif" w:hAnsi="Times New Roman;sans-serif"/>
          <w:b w:val="false"/>
          <w:color w:val="2A2A2A"/>
          <w:sz w:val="23"/>
          <w:u w:val="single"/>
        </w:rPr>
        <w:t>Company</w:t>
      </w:r>
      <w:r>
        <w:rPr>
          <w:rFonts w:ascii="Times New Roman;sans-serif" w:hAnsi="Times New Roman;sans-serif"/>
          <w:b w:val="false"/>
          <w:color w:val="2A2A2A"/>
          <w:sz w:val="23"/>
        </w:rPr>
        <w:t xml:space="preserve">"). </w:t>
      </w:r>
      <w:r>
        <w:rPr>
          <w:rFonts w:ascii="Times New Roman;sans-serif" w:hAnsi="Times New Roman;sans-serif"/>
          <w:b w:val="false"/>
          <w:color w:val="0C0C0C"/>
          <w:sz w:val="23"/>
        </w:rPr>
        <w:t>Individuals subject to this Policy are responsible for ensuring that members of their households also comply with this Policy. This Policy also applies to any entities controlled by individuals subject to this Policy, including any corporations, partnerships or trusts, and transactions by such entities should be treated for purposes of this Policy and applicable securities laws as if they were for the individual's own account. The Company is committed to preventing illegal insider trading by any Company personnel.</w:t>
      </w:r>
    </w:p>
    <w:p>
      <w:pPr>
        <w:pStyle w:val="TextBody"/>
        <w:bidi w:val="0"/>
        <w:spacing w:lineRule="auto" w:line="288" w:before="229" w:after="283"/>
        <w:ind w:left="0" w:right="0" w:firstLine="2"/>
        <w:jc w:val="both"/>
        <w:rPr/>
      </w:pPr>
      <w:r>
        <w:rPr>
          <w:rFonts w:ascii="Times New Roman;sans-serif" w:hAnsi="Times New Roman;sans-serif"/>
          <w:b w:val="false"/>
          <w:color w:val="0C0C0C"/>
          <w:sz w:val="23"/>
        </w:rPr>
        <w:t xml:space="preserve">Illegal insider trading involves the fraudulent purchase or sale of securities of publicly-traded companies while aware of material, nonpublic information relating to those companies. The practice of </w:t>
      </w:r>
      <w:r>
        <w:rPr>
          <w:rFonts w:ascii="Times New Roman;sans-serif" w:hAnsi="Times New Roman;sans-serif"/>
          <w:b w:val="false"/>
          <w:color w:val="2A2A2A"/>
          <w:sz w:val="23"/>
        </w:rPr>
        <w:t xml:space="preserve">"tipping" </w:t>
      </w:r>
      <w:r>
        <w:rPr>
          <w:rFonts w:ascii="Times New Roman;sans-serif" w:hAnsi="Times New Roman;sans-serif"/>
          <w:b w:val="false"/>
          <w:color w:val="0C0C0C"/>
          <w:sz w:val="23"/>
        </w:rPr>
        <w:t>- improperly communicating material, nonpublic information to others or recommending to anyone the purchase or sale of any securities on the basis of material, nonpublic information - is also prohibited. Posting material nonpublic information, or responding to or making statements or recommendations based on this information, on any Internet website, social media platform (such as Facebook, Twitter or Instagram, for example), electronic bulletin board, Internet message board, Internet chat room or other similar form of electronic communication can also constitute tipping under the securities laws, and is also covered by this Policy.</w:t>
      </w:r>
    </w:p>
    <w:p>
      <w:pPr>
        <w:pStyle w:val="TextBody"/>
        <w:bidi w:val="0"/>
        <w:spacing w:lineRule="auto" w:line="288" w:before="254" w:after="283"/>
        <w:ind w:left="0" w:right="0" w:hanging="2"/>
        <w:jc w:val="both"/>
        <w:rPr>
          <w:rFonts w:ascii="Times New Roman;sans-serif" w:hAnsi="Times New Roman;sans-serif"/>
          <w:b w:val="false"/>
          <w:color w:val="0C0C0C"/>
          <w:sz w:val="23"/>
        </w:rPr>
      </w:pPr>
      <w:r>
        <w:rPr>
          <w:rFonts w:ascii="Times New Roman;sans-serif" w:hAnsi="Times New Roman;sans-serif"/>
          <w:b w:val="false"/>
          <w:color w:val="0C0C0C"/>
          <w:sz w:val="23"/>
        </w:rPr>
        <w:t>This Policy establishes two principal standards for every employee at every level of the Company.</w:t>
      </w:r>
    </w:p>
    <w:p>
      <w:pPr>
        <w:pStyle w:val="TextBody"/>
        <w:bidi w:val="0"/>
        <w:spacing w:lineRule="auto" w:line="292" w:before="255" w:after="283"/>
        <w:ind w:left="0" w:right="0" w:hanging="6"/>
        <w:jc w:val="both"/>
        <w:rPr>
          <w:rFonts w:ascii="Times New Roman;sans-serif" w:hAnsi="Times New Roman;sans-serif"/>
          <w:b/>
          <w:color w:val="0C0C0C"/>
          <w:sz w:val="23"/>
        </w:rPr>
      </w:pPr>
      <w:r>
        <w:rPr>
          <w:rFonts w:ascii="Times New Roman;sans-serif" w:hAnsi="Times New Roman;sans-serif"/>
          <w:b/>
          <w:color w:val="0C0C0C"/>
          <w:sz w:val="23"/>
        </w:rPr>
        <w:t>First, you may not trade Company securities while you are aware of any material, nonpublic information relating to the Company.</w:t>
      </w:r>
    </w:p>
    <w:p>
      <w:pPr>
        <w:pStyle w:val="TextBody"/>
        <w:bidi w:val="0"/>
        <w:spacing w:lineRule="auto" w:line="288" w:before="233" w:after="283"/>
        <w:ind w:left="0" w:right="0" w:hanging="4"/>
        <w:jc w:val="both"/>
        <w:rPr/>
      </w:pPr>
      <w:r>
        <w:rPr>
          <w:rFonts w:ascii="Times New Roman;sans-serif" w:hAnsi="Times New Roman;sans-serif"/>
          <w:b w:val="false"/>
          <w:color w:val="0C0C0C"/>
          <w:sz w:val="23"/>
        </w:rPr>
        <w:t xml:space="preserve">Information is </w:t>
      </w:r>
      <w:r>
        <w:rPr>
          <w:rFonts w:ascii="Times New Roman;sans-serif" w:hAnsi="Times New Roman;sans-serif"/>
          <w:b w:val="false"/>
          <w:color w:val="2A2A2A"/>
          <w:sz w:val="23"/>
        </w:rPr>
        <w:t xml:space="preserve">"material" </w:t>
      </w:r>
      <w:r>
        <w:rPr>
          <w:rFonts w:ascii="Times New Roman;sans-serif" w:hAnsi="Times New Roman;sans-serif"/>
          <w:b w:val="false"/>
          <w:color w:val="0C0C0C"/>
          <w:sz w:val="23"/>
        </w:rPr>
        <w:t>if a reasonable investor would consider the information to be important in making an investment decision or to have altered the "total mix" of information available. This includes a range of subjects, including, but not limited to:</w:t>
      </w:r>
    </w:p>
    <w:p>
      <w:pPr>
        <w:pStyle w:val="TextBody"/>
        <w:bidi w:val="0"/>
        <w:spacing w:lineRule="auto" w:line="288" w:before="261" w:after="283"/>
        <w:ind w:left="0" w:right="0" w:hanging="362"/>
        <w:jc w:val="left"/>
        <w:rPr>
          <w:color w:val="0C0C0C"/>
        </w:rPr>
      </w:pPr>
      <w:r>
        <w:rPr>
          <w:color w:val="0C0C0C"/>
        </w:rPr>
        <w:t>•    </w:t>
      </w:r>
      <w:r>
        <w:rPr>
          <w:rFonts w:ascii="Times New Roman;sans-serif" w:hAnsi="Times New Roman;sans-serif"/>
          <w:b w:val="false"/>
          <w:color w:val="0C0C0C"/>
          <w:sz w:val="23"/>
        </w:rPr>
        <w:t>the Company's current or expected operating performance or consolidated financial results;</w:t>
      </w:r>
    </w:p>
    <w:p>
      <w:pPr>
        <w:pStyle w:val="TextBody"/>
        <w:bidi w:val="0"/>
        <w:spacing w:lineRule="auto" w:line="417" w:before="0" w:after="0"/>
        <w:ind w:left="0" w:right="0" w:hanging="365"/>
        <w:jc w:val="left"/>
        <w:rPr>
          <w:color w:val="0C0C0C"/>
        </w:rPr>
      </w:pPr>
      <w:r>
        <w:rPr>
          <w:color w:val="0C0C0C"/>
        </w:rPr>
        <w:t>•    </w:t>
      </w:r>
      <w:r>
        <w:rPr>
          <w:rFonts w:ascii="Times New Roman;sans-serif" w:hAnsi="Times New Roman;sans-serif"/>
          <w:b w:val="false"/>
          <w:color w:val="0C0C0C"/>
          <w:sz w:val="23"/>
        </w:rPr>
        <w:t>pending or proposed acquisitions or strategic transactions;</w:t>
      </w:r>
    </w:p>
    <w:p>
      <w:pPr>
        <w:pStyle w:val="TextBody"/>
        <w:bidi w:val="0"/>
        <w:spacing w:lineRule="auto" w:line="417" w:before="0" w:after="0"/>
        <w:ind w:left="0" w:right="0" w:hanging="365"/>
        <w:jc w:val="left"/>
        <w:rPr>
          <w:color w:val="0C0C0C"/>
        </w:rPr>
      </w:pPr>
      <w:r>
        <w:rPr>
          <w:color w:val="0C0C0C"/>
        </w:rPr>
        <w:t>•    </w:t>
      </w:r>
      <w:r>
        <w:rPr>
          <w:rFonts w:ascii="Times New Roman;sans-serif" w:hAnsi="Times New Roman;sans-serif"/>
          <w:b w:val="false"/>
          <w:color w:val="0C0C0C"/>
          <w:sz w:val="23"/>
        </w:rPr>
        <w:t>pending or proposed financing transactions;</w:t>
      </w:r>
    </w:p>
    <w:p>
      <w:pPr>
        <w:pStyle w:val="TextBody"/>
        <w:bidi w:val="0"/>
        <w:spacing w:lineRule="auto" w:line="417" w:before="0" w:after="0"/>
        <w:ind w:left="0" w:right="0" w:hanging="361"/>
        <w:jc w:val="left"/>
        <w:rPr>
          <w:color w:val="0C0C0C"/>
        </w:rPr>
      </w:pPr>
      <w:r>
        <w:rPr>
          <w:color w:val="0C0C0C"/>
        </w:rPr>
        <w:t>•    </w:t>
      </w:r>
      <w:r>
        <w:rPr>
          <w:rFonts w:ascii="Times New Roman;sans-serif" w:hAnsi="Times New Roman;sans-serif"/>
          <w:b w:val="false"/>
          <w:color w:val="0C0C0C"/>
          <w:sz w:val="23"/>
        </w:rPr>
        <w:t>the loss or gain of a significant supplier;</w:t>
      </w:r>
    </w:p>
    <w:p>
      <w:pPr>
        <w:pStyle w:val="TextBody"/>
        <w:bidi w:val="0"/>
        <w:spacing w:lineRule="auto" w:line="417" w:before="0" w:after="0"/>
        <w:ind w:left="0" w:right="0" w:hanging="361"/>
        <w:jc w:val="left"/>
        <w:rPr>
          <w:color w:val="0C0C0C"/>
        </w:rPr>
      </w:pPr>
      <w:r>
        <w:rPr>
          <w:color w:val="0C0C0C"/>
        </w:rPr>
        <w:t>•    </w:t>
      </w:r>
      <w:r>
        <w:rPr>
          <w:rFonts w:ascii="Times New Roman;sans-serif" w:hAnsi="Times New Roman;sans-serif"/>
          <w:b w:val="false"/>
          <w:color w:val="0C0C0C"/>
          <w:sz w:val="23"/>
        </w:rPr>
        <w:t>any change in senior management or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15975"/>
                <wp:effectExtent l="0" t="0" r="0" b="0"/>
                <wp:wrapNone/>
                <wp:docPr id="113" name="Frame11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ind w:left="0" w:right="0" w:hanging="361"/>
        <w:jc w:val="left"/>
        <w:rPr>
          <w:color w:val="0C0C0C"/>
        </w:rPr>
      </w:pPr>
      <w:r>
        <w:rPr>
          <w:color w:val="0C0C0C"/>
        </w:rPr>
        <w:t>•    </w:t>
      </w:r>
      <w:r>
        <w:rPr>
          <w:rFonts w:ascii="Times New Roman;sans-serif" w:hAnsi="Times New Roman;sans-serif"/>
          <w:b w:val="false"/>
          <w:color w:val="0C0C0C"/>
          <w:sz w:val="23"/>
        </w:rPr>
        <w:t>the Company's expansion strategy;</w:t>
      </w:r>
    </w:p>
    <w:p>
      <w:pPr>
        <w:pStyle w:val="TextBody"/>
        <w:bidi w:val="0"/>
        <w:spacing w:lineRule="auto" w:line="288" w:before="64" w:after="283"/>
        <w:ind w:left="0" w:right="0" w:hanging="365"/>
        <w:jc w:val="left"/>
        <w:rPr>
          <w:color w:val="0C0C0C"/>
        </w:rPr>
      </w:pPr>
      <w:r>
        <w:rPr>
          <w:color w:val="0C0C0C"/>
        </w:rPr>
        <w:t>•    </w:t>
      </w:r>
      <w:r>
        <w:rPr>
          <w:rFonts w:ascii="Times New Roman;sans-serif" w:hAnsi="Times New Roman;sans-serif"/>
          <w:b w:val="false"/>
          <w:color w:val="0C0C0C"/>
          <w:sz w:val="24"/>
        </w:rPr>
        <w:t>competitors or competitive positioning;</w:t>
      </w:r>
    </w:p>
    <w:p>
      <w:pPr>
        <w:pStyle w:val="TextBody"/>
        <w:bidi w:val="0"/>
        <w:spacing w:lineRule="auto" w:line="288" w:before="137" w:after="283"/>
        <w:ind w:left="0" w:right="0" w:hanging="367"/>
        <w:jc w:val="left"/>
        <w:rPr/>
      </w:pPr>
      <w:r>
        <w:rPr>
          <w:color w:val="0C0C0C"/>
        </w:rPr>
        <w:t>•    </w:t>
      </w:r>
      <w:r>
        <w:rPr>
          <w:rFonts w:ascii="Times New Roman;sans-serif" w:hAnsi="Times New Roman;sans-serif"/>
          <w:b w:val="false"/>
          <w:color w:val="0C0C0C"/>
          <w:sz w:val="24"/>
        </w:rPr>
        <w:t xml:space="preserve">new content or </w:t>
      </w:r>
      <w:r>
        <w:rPr>
          <w:rFonts w:ascii="Times New Roman;sans-serif" w:hAnsi="Times New Roman;sans-serif"/>
          <w:b w:val="false"/>
          <w:color w:val="1C1C1C"/>
          <w:sz w:val="24"/>
        </w:rPr>
        <w:t xml:space="preserve">service </w:t>
      </w:r>
      <w:r>
        <w:rPr>
          <w:rFonts w:ascii="Times New Roman;sans-serif" w:hAnsi="Times New Roman;sans-serif"/>
          <w:b w:val="false"/>
          <w:color w:val="0C0C0C"/>
          <w:sz w:val="24"/>
        </w:rPr>
        <w:t>offerings or product developments;</w:t>
      </w:r>
    </w:p>
    <w:p>
      <w:pPr>
        <w:pStyle w:val="TextBody"/>
        <w:bidi w:val="0"/>
        <w:spacing w:lineRule="auto" w:line="288" w:before="138" w:after="283"/>
        <w:ind w:left="0" w:right="0" w:hanging="365"/>
        <w:jc w:val="left"/>
        <w:rPr/>
      </w:pPr>
      <w:r>
        <w:rPr>
          <w:color w:val="0C0C0C"/>
        </w:rPr>
        <w:t>•    </w:t>
      </w:r>
      <w:r>
        <w:rPr>
          <w:rFonts w:ascii="Times New Roman;sans-serif" w:hAnsi="Times New Roman;sans-serif"/>
          <w:b w:val="false"/>
          <w:color w:val="0C0C0C"/>
          <w:sz w:val="24"/>
        </w:rPr>
        <w:t xml:space="preserve">current and future partnership or joint </w:t>
      </w:r>
      <w:r>
        <w:rPr>
          <w:rFonts w:ascii="Times New Roman;sans-serif" w:hAnsi="Times New Roman;sans-serif"/>
          <w:b w:val="false"/>
          <w:color w:val="1C1C1C"/>
          <w:sz w:val="24"/>
        </w:rPr>
        <w:t xml:space="preserve">venture </w:t>
      </w:r>
      <w:r>
        <w:rPr>
          <w:rFonts w:ascii="Times New Roman;sans-serif" w:hAnsi="Times New Roman;sans-serif"/>
          <w:b w:val="false"/>
          <w:color w:val="0C0C0C"/>
          <w:sz w:val="24"/>
        </w:rPr>
        <w:t>details; and</w:t>
      </w:r>
    </w:p>
    <w:p>
      <w:pPr>
        <w:pStyle w:val="TextBody"/>
        <w:bidi w:val="0"/>
        <w:spacing w:lineRule="auto" w:line="288" w:before="142" w:after="283"/>
        <w:ind w:left="0" w:right="0" w:hanging="369"/>
        <w:jc w:val="left"/>
        <w:rPr>
          <w:color w:val="0C0C0C"/>
        </w:rPr>
      </w:pPr>
      <w:r>
        <w:rPr>
          <w:color w:val="0C0C0C"/>
        </w:rPr>
        <w:t>•    </w:t>
      </w:r>
      <w:r>
        <w:rPr>
          <w:rFonts w:ascii="Times New Roman;sans-serif" w:hAnsi="Times New Roman;sans-serif"/>
          <w:b w:val="false"/>
          <w:color w:val="0C0C0C"/>
          <w:sz w:val="24"/>
        </w:rPr>
        <w:t>business development discussions.</w:t>
      </w:r>
    </w:p>
    <w:p>
      <w:pPr>
        <w:pStyle w:val="TextBody"/>
        <w:bidi w:val="0"/>
        <w:spacing w:lineRule="auto" w:line="276" w:before="120" w:after="283"/>
        <w:ind w:left="0" w:right="0" w:hanging="1"/>
        <w:jc w:val="both"/>
        <w:rPr/>
      </w:pPr>
      <w:r>
        <w:rPr>
          <w:rFonts w:ascii="Times New Roman;sans-serif" w:hAnsi="Times New Roman;sans-serif"/>
          <w:b w:val="false"/>
          <w:color w:val="0C0C0C"/>
          <w:sz w:val="24"/>
        </w:rPr>
        <w:t>Any information that could be expected to affect the Company's stock price</w:t>
      </w:r>
      <w:r>
        <w:rPr>
          <w:rFonts w:ascii="Times New Roman;sans-serif" w:hAnsi="Times New Roman;sans-serif"/>
          <w:b w:val="false"/>
          <w:color w:val="3B3B3B"/>
          <w:sz w:val="24"/>
        </w:rPr>
        <w:t xml:space="preserve">, </w:t>
      </w:r>
      <w:r>
        <w:rPr>
          <w:rFonts w:ascii="Times New Roman;sans-serif" w:hAnsi="Times New Roman;sans-serif"/>
          <w:b w:val="false"/>
          <w:color w:val="0C0C0C"/>
          <w:sz w:val="24"/>
        </w:rPr>
        <w:t xml:space="preserve">whether positive or negative, should be considered </w:t>
      </w:r>
      <w:r>
        <w:rPr>
          <w:rFonts w:ascii="Times New Roman;sans-serif" w:hAnsi="Times New Roman;sans-serif"/>
          <w:b w:val="false"/>
          <w:color w:val="2D2D2D"/>
          <w:sz w:val="24"/>
        </w:rPr>
        <w:t xml:space="preserve">"material" </w:t>
      </w:r>
      <w:r>
        <w:rPr>
          <w:rFonts w:ascii="Times New Roman;sans-serif" w:hAnsi="Times New Roman;sans-serif"/>
          <w:b w:val="false"/>
          <w:color w:val="0C0C0C"/>
          <w:sz w:val="24"/>
        </w:rPr>
        <w:t>for purposes of this Policy.</w:t>
      </w:r>
    </w:p>
    <w:p>
      <w:pPr>
        <w:pStyle w:val="TextBody"/>
        <w:bidi w:val="0"/>
        <w:spacing w:lineRule="auto" w:line="288" w:before="244" w:after="283"/>
        <w:ind w:left="0" w:right="0" w:firstLine="9"/>
        <w:jc w:val="both"/>
        <w:rPr/>
      </w:pPr>
      <w:r>
        <w:rPr>
          <w:rFonts w:ascii="Times New Roman;sans-serif" w:hAnsi="Times New Roman;sans-serif"/>
          <w:b w:val="false"/>
          <w:color w:val="0C0C0C"/>
          <w:sz w:val="24"/>
        </w:rPr>
        <w:t xml:space="preserve">Information is </w:t>
      </w:r>
      <w:r>
        <w:rPr>
          <w:rFonts w:ascii="Times New Roman;sans-serif" w:hAnsi="Times New Roman;sans-serif"/>
          <w:b w:val="false"/>
          <w:color w:val="2D2D2D"/>
          <w:sz w:val="24"/>
        </w:rPr>
        <w:t xml:space="preserve">"nonpublic" </w:t>
      </w:r>
      <w:r>
        <w:rPr>
          <w:rFonts w:ascii="Times New Roman;sans-serif" w:hAnsi="Times New Roman;sans-serif"/>
          <w:b w:val="false"/>
          <w:color w:val="0C0C0C"/>
          <w:sz w:val="24"/>
        </w:rPr>
        <w:t xml:space="preserve">unless it has been broadly disseminated in the marketplace, </w:t>
      </w:r>
      <w:r>
        <w:rPr>
          <w:rFonts w:ascii="Times New Roman;sans-serif" w:hAnsi="Times New Roman;sans-serif"/>
          <w:b w:val="false"/>
          <w:color w:val="1C1C1C"/>
          <w:sz w:val="24"/>
        </w:rPr>
        <w:t xml:space="preserve">such </w:t>
      </w:r>
      <w:r>
        <w:rPr>
          <w:rFonts w:ascii="Times New Roman;sans-serif" w:hAnsi="Times New Roman;sans-serif"/>
          <w:b w:val="false"/>
          <w:color w:val="0C0C0C"/>
          <w:sz w:val="24"/>
        </w:rPr>
        <w:t xml:space="preserve">as through a Company press release, a filing with the U.S. Securities and </w:t>
      </w:r>
      <w:r>
        <w:rPr>
          <w:rFonts w:ascii="Times New Roman;sans-serif" w:hAnsi="Times New Roman;sans-serif"/>
          <w:b w:val="false"/>
          <w:color w:val="1C1C1C"/>
          <w:sz w:val="24"/>
        </w:rPr>
        <w:t xml:space="preserve">Exchange </w:t>
      </w:r>
      <w:r>
        <w:rPr>
          <w:rFonts w:ascii="Times New Roman;sans-serif" w:hAnsi="Times New Roman;sans-serif"/>
          <w:b w:val="false"/>
          <w:color w:val="0C0C0C"/>
          <w:sz w:val="24"/>
        </w:rPr>
        <w:t xml:space="preserve">Commission (the </w:t>
      </w:r>
      <w:r>
        <w:rPr>
          <w:rFonts w:ascii="Times New Roman;sans-serif" w:hAnsi="Times New Roman;sans-serif"/>
          <w:b w:val="false"/>
          <w:color w:val="2D2D2D"/>
          <w:sz w:val="24"/>
          <w:u w:val="single"/>
        </w:rPr>
        <w:t>"SEC</w:t>
      </w:r>
      <w:r>
        <w:rPr>
          <w:rFonts w:ascii="Times New Roman;sans-serif" w:hAnsi="Times New Roman;sans-serif"/>
          <w:b w:val="false"/>
          <w:color w:val="2D2D2D"/>
          <w:sz w:val="24"/>
        </w:rPr>
        <w:t xml:space="preserve">"), </w:t>
      </w:r>
      <w:r>
        <w:rPr>
          <w:rFonts w:ascii="Times New Roman;sans-serif" w:hAnsi="Times New Roman;sans-serif"/>
          <w:b w:val="false"/>
          <w:color w:val="0C0C0C"/>
          <w:sz w:val="24"/>
        </w:rPr>
        <w:t>a previously-announced Company earnings call or another method intended to achieve broad distribution.</w:t>
      </w:r>
    </w:p>
    <w:p>
      <w:pPr>
        <w:pStyle w:val="TextBody"/>
        <w:bidi w:val="0"/>
        <w:spacing w:lineRule="auto" w:line="288" w:before="256" w:after="283"/>
        <w:ind w:left="0" w:right="0" w:hanging="3"/>
        <w:jc w:val="both"/>
        <w:rPr>
          <w:rFonts w:ascii="Times New Roman;sans-serif" w:hAnsi="Times New Roman;sans-serif"/>
          <w:b/>
          <w:color w:val="0C0C0C"/>
          <w:sz w:val="23"/>
        </w:rPr>
      </w:pPr>
      <w:r>
        <w:rPr>
          <w:rFonts w:ascii="Times New Roman;sans-serif" w:hAnsi="Times New Roman;sans-serif"/>
          <w:b/>
          <w:color w:val="0C0C0C"/>
          <w:sz w:val="23"/>
        </w:rPr>
        <w:t>Second, you may not communicate (tip) material, nonpublic information regarding the Company to someone who may use that information to purchase or sell the Company's securities.</w:t>
      </w:r>
    </w:p>
    <w:p>
      <w:pPr>
        <w:pStyle w:val="TextBody"/>
        <w:bidi w:val="0"/>
        <w:spacing w:lineRule="auto" w:line="288" w:before="233" w:after="283"/>
        <w:ind w:left="0" w:right="0" w:firstLine="10"/>
        <w:jc w:val="both"/>
        <w:rPr/>
      </w:pPr>
      <w:r>
        <w:rPr>
          <w:rFonts w:ascii="Times New Roman;sans-serif" w:hAnsi="Times New Roman;sans-serif"/>
          <w:b w:val="false"/>
          <w:color w:val="0C0C0C"/>
          <w:sz w:val="24"/>
        </w:rPr>
        <w:t xml:space="preserve">You may be at risk even if you have no involvement in making the trading decision and do not </w:t>
      </w:r>
      <w:r>
        <w:rPr>
          <w:rFonts w:ascii="Times New Roman;sans-serif" w:hAnsi="Times New Roman;sans-serif"/>
          <w:b w:val="false"/>
          <w:color w:val="1C1C1C"/>
          <w:sz w:val="24"/>
        </w:rPr>
        <w:t xml:space="preserve">share </w:t>
      </w:r>
      <w:r>
        <w:rPr>
          <w:rFonts w:ascii="Times New Roman;sans-serif" w:hAnsi="Times New Roman;sans-serif"/>
          <w:b w:val="false"/>
          <w:color w:val="0C0C0C"/>
          <w:sz w:val="24"/>
        </w:rPr>
        <w:t>in the proceeds of that trading. Exercise particular care to avoid communicating material, nonpublic information to family or friends. If they execute trades in Company securities that appear to be well-timed, your communications with them could come under scrutiny.</w:t>
      </w:r>
    </w:p>
    <w:p>
      <w:pPr>
        <w:pStyle w:val="TextBody"/>
        <w:bidi w:val="0"/>
        <w:spacing w:lineRule="auto" w:line="288" w:before="241" w:after="283"/>
        <w:ind w:left="0" w:right="0" w:firstLine="1"/>
        <w:jc w:val="both"/>
        <w:rPr/>
      </w:pPr>
      <w:r>
        <w:rPr>
          <w:rFonts w:ascii="Times New Roman;sans-serif" w:hAnsi="Times New Roman;sans-serif"/>
          <w:b w:val="false"/>
          <w:color w:val="0C0C0C"/>
          <w:sz w:val="24"/>
        </w:rPr>
        <w:t xml:space="preserve">This Policy applies to trading of or tipping with respect to any Company securities. Subject to </w:t>
      </w:r>
      <w:r>
        <w:rPr>
          <w:rFonts w:ascii="Times New Roman;sans-serif" w:hAnsi="Times New Roman;sans-serif"/>
          <w:b w:val="false"/>
          <w:color w:val="0C0C0C"/>
          <w:sz w:val="24"/>
          <w:u w:val="single"/>
        </w:rPr>
        <w:t>Section F</w:t>
      </w:r>
      <w:r>
        <w:rPr>
          <w:color w:val="0C0C0C"/>
        </w:rPr>
        <w:t xml:space="preserve"> </w:t>
      </w:r>
      <w:r>
        <w:rPr>
          <w:rFonts w:ascii="Times New Roman;sans-serif" w:hAnsi="Times New Roman;sans-serif"/>
          <w:b w:val="false"/>
          <w:color w:val="0C0C0C"/>
          <w:sz w:val="24"/>
        </w:rPr>
        <w:t xml:space="preserve">below, for purposes of this Policy, </w:t>
      </w:r>
      <w:r>
        <w:rPr>
          <w:rFonts w:ascii="Times New Roman;sans-serif" w:hAnsi="Times New Roman;sans-serif"/>
          <w:b w:val="false"/>
          <w:color w:val="2D2D2D"/>
          <w:sz w:val="24"/>
        </w:rPr>
        <w:t xml:space="preserve">"trading" </w:t>
      </w:r>
      <w:r>
        <w:rPr>
          <w:rFonts w:ascii="Times New Roman;sans-serif" w:hAnsi="Times New Roman;sans-serif"/>
          <w:b w:val="false"/>
          <w:color w:val="0C0C0C"/>
          <w:sz w:val="24"/>
        </w:rPr>
        <w:t xml:space="preserve">includes: (i) buying or selling securities (long or short); (ii) writing options (puts or calls); (iii) pledging securities; (iv) exercising options or converting convertible securities; (v) making an election to purchase or transfer under any employee stock purchase plan or dividend reinvestment plan; (vi) gifting Company </w:t>
      </w:r>
      <w:r>
        <w:rPr>
          <w:rFonts w:ascii="Times New Roman;sans-serif" w:hAnsi="Times New Roman;sans-serif"/>
          <w:b w:val="false"/>
          <w:color w:val="1C1C1C"/>
          <w:sz w:val="24"/>
        </w:rPr>
        <w:t xml:space="preserve">securities, </w:t>
      </w:r>
      <w:r>
        <w:rPr>
          <w:rFonts w:ascii="Times New Roman;sans-serif" w:hAnsi="Times New Roman;sans-serif"/>
          <w:b w:val="false"/>
          <w:color w:val="0C0C0C"/>
          <w:sz w:val="24"/>
        </w:rPr>
        <w:t>including charitable donations; or (vii) deciding to buy or sell Company securities in a 401(k) plan, IRA or other retirement account. Securities of the Company include common stock, preferred stock, restricted stock, share units, options, warrants, convertible debentures, derivative securities (whether or not the Company issues the derivative securities) such as publicly-traded options, including puts and calls, and bonds, notes and other debt securities.</w:t>
      </w:r>
    </w:p>
    <w:p>
      <w:pPr>
        <w:pStyle w:val="TextBody"/>
        <w:bidi w:val="0"/>
        <w:spacing w:lineRule="auto" w:line="288" w:before="239" w:after="283"/>
        <w:ind w:left="0" w:right="0" w:firstLine="1"/>
        <w:jc w:val="both"/>
        <w:rPr/>
      </w:pPr>
      <w:r>
        <w:rPr>
          <w:rFonts w:ascii="Times New Roman;sans-serif" w:hAnsi="Times New Roman;sans-serif"/>
          <w:b w:val="false"/>
          <w:color w:val="0C0C0C"/>
          <w:sz w:val="24"/>
        </w:rPr>
        <w:t xml:space="preserve">This Policy also precludes </w:t>
      </w:r>
      <w:r>
        <w:rPr>
          <w:rFonts w:ascii="Times New Roman;sans-serif" w:hAnsi="Times New Roman;sans-serif"/>
          <w:b w:val="false"/>
          <w:color w:val="1C1C1C"/>
          <w:sz w:val="24"/>
        </w:rPr>
        <w:t xml:space="preserve">you </w:t>
      </w:r>
      <w:r>
        <w:rPr>
          <w:rFonts w:ascii="Times New Roman;sans-serif" w:hAnsi="Times New Roman;sans-serif"/>
          <w:b w:val="false"/>
          <w:color w:val="0C0C0C"/>
          <w:sz w:val="24"/>
        </w:rPr>
        <w:t>from trading in or tipping with respect to the securities of another company with which the Company does business, including an agent or paying agent of the Company, if you, in the course of working for the Company, have learned of material, nonpublic information about that other company, until the information becomes public or is no longer material.</w:t>
      </w:r>
    </w:p>
    <w:p>
      <w:pPr>
        <w:pStyle w:val="TextBody"/>
        <w:bidi w:val="0"/>
        <w:spacing w:lineRule="auto" w:line="288" w:before="259" w:after="283"/>
        <w:ind w:left="0" w:right="0" w:hanging="723"/>
        <w:jc w:val="left"/>
        <w:rPr>
          <w:rFonts w:ascii="Times New Roman;sans-serif" w:hAnsi="Times New Roman;sans-serif"/>
          <w:b/>
          <w:color w:val="0C0C0C"/>
          <w:sz w:val="23"/>
        </w:rPr>
      </w:pPr>
      <w:r>
        <w:rPr>
          <w:rFonts w:ascii="Times New Roman;sans-serif" w:hAnsi="Times New Roman;sans-serif"/>
          <w:b/>
          <w:color w:val="0C0C0C"/>
          <w:sz w:val="23"/>
        </w:rPr>
        <w:t>B.    Directors, Executive Officers and Certain Designated Persons</w:t>
      </w:r>
    </w:p>
    <w:p>
      <w:pPr>
        <w:pStyle w:val="TextBody"/>
        <w:bidi w:val="0"/>
        <w:spacing w:lineRule="auto" w:line="288" w:before="236" w:after="283"/>
        <w:ind w:left="0" w:right="0" w:firstLine="4"/>
        <w:jc w:val="both"/>
        <w:rPr>
          <w:rFonts w:ascii="Times New Roman;sans-serif" w:hAnsi="Times New Roman;sans-serif"/>
          <w:b w:val="false"/>
          <w:color w:val="0C0C0C"/>
          <w:sz w:val="24"/>
        </w:rPr>
      </w:pPr>
      <w:r>
        <w:rPr>
          <w:rFonts w:ascii="Times New Roman;sans-serif" w:hAnsi="Times New Roman;sans-serif"/>
          <w:b w:val="false"/>
          <w:color w:val="0C0C0C"/>
          <w:sz w:val="24"/>
        </w:rPr>
        <w:t>Directors, Executive Officers and certain Designated Persons of the Company are subject to additional requirements because their roles at the Company expose them regularly to sensitive Company information. This Policy sets additional safeguards for trading in Company securities by these individuals.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15975"/>
                <wp:effectExtent l="0" t="0" r="0" b="0"/>
                <wp:wrapNone/>
                <wp:docPr id="114" name="Frame11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4" w:after="283"/>
        <w:ind w:left="0" w:right="0" w:firstLine="4"/>
        <w:jc w:val="both"/>
        <w:rPr/>
      </w:pPr>
      <w:r>
        <w:rPr>
          <w:rFonts w:ascii="Times New Roman;sans-serif" w:hAnsi="Times New Roman;sans-serif"/>
          <w:b w:val="false"/>
          <w:color w:val="0E0E0E"/>
          <w:sz w:val="23"/>
        </w:rPr>
        <w:t>For purposes of this Policy, "</w:t>
      </w:r>
      <w:r>
        <w:rPr>
          <w:rFonts w:ascii="Times New Roman;sans-serif" w:hAnsi="Times New Roman;sans-serif"/>
          <w:b w:val="false"/>
          <w:color w:val="0E0E0E"/>
          <w:sz w:val="23"/>
          <w:u w:val="single"/>
        </w:rPr>
        <w:t>Executive Officers</w:t>
      </w:r>
      <w:r>
        <w:rPr>
          <w:rFonts w:ascii="Times New Roman;sans-serif" w:hAnsi="Times New Roman;sans-serif"/>
          <w:b w:val="false"/>
          <w:color w:val="0E0E0E"/>
          <w:sz w:val="23"/>
        </w:rPr>
        <w:t xml:space="preserve">" include senior executives that are subject to the reporting requirements of Section 16(a) of the Securities Exchange Act of 1934, as amended. The list of Executive Officers and Directors is set forth on </w:t>
      </w:r>
      <w:r>
        <w:rPr>
          <w:rFonts w:ascii="Times New Roman;sans-serif" w:hAnsi="Times New Roman;sans-serif"/>
          <w:b/>
          <w:color w:val="0E0E0E"/>
          <w:sz w:val="24"/>
        </w:rPr>
        <w:t xml:space="preserve">Exhibit A </w:t>
      </w:r>
      <w:r>
        <w:rPr>
          <w:rFonts w:ascii="Times New Roman;sans-serif" w:hAnsi="Times New Roman;sans-serif"/>
          <w:b w:val="false"/>
          <w:color w:val="0E0E0E"/>
          <w:sz w:val="23"/>
        </w:rPr>
        <w:t>hereto, as may be amended from time to time by the Company's General Counsel or, in the absence of a General Counsel, by the Company's Chief Financial Officer with the written advice of outside counsel, any such amendment to be promptly reported to the Company's Board of Directors.</w:t>
      </w:r>
    </w:p>
    <w:p>
      <w:pPr>
        <w:pStyle w:val="TextBody"/>
        <w:bidi w:val="0"/>
        <w:spacing w:lineRule="auto" w:line="288" w:before="236" w:after="283"/>
        <w:ind w:left="0" w:right="0" w:firstLine="4"/>
        <w:jc w:val="both"/>
        <w:rPr/>
      </w:pPr>
      <w:r>
        <w:rPr>
          <w:rFonts w:ascii="Times New Roman;sans-serif" w:hAnsi="Times New Roman;sans-serif"/>
          <w:b w:val="false"/>
          <w:color w:val="0E0E0E"/>
          <w:sz w:val="23"/>
        </w:rPr>
        <w:t>For purposes of this Policy, "</w:t>
      </w:r>
      <w:r>
        <w:rPr>
          <w:rFonts w:ascii="Times New Roman;sans-serif" w:hAnsi="Times New Roman;sans-serif"/>
          <w:b w:val="false"/>
          <w:color w:val="0E0E0E"/>
          <w:sz w:val="23"/>
          <w:u w:val="single"/>
        </w:rPr>
        <w:t>Designated Persons</w:t>
      </w:r>
      <w:r>
        <w:rPr>
          <w:rFonts w:ascii="Times New Roman;sans-serif" w:hAnsi="Times New Roman;sans-serif"/>
          <w:b w:val="false"/>
          <w:color w:val="0E0E0E"/>
          <w:sz w:val="23"/>
        </w:rPr>
        <w:t xml:space="preserve">" include Company employees who have regular access to material, nonpublic information regarding the Company. This group includes employees who regularly receive or assist in the preparation of consolidated financial results, drafts of quarterly or annual earnings releases and liquidity or internal forecasts. The list of Designated Persons is set forth on </w:t>
      </w:r>
      <w:r>
        <w:rPr>
          <w:rFonts w:ascii="Times New Roman;sans-serif" w:hAnsi="Times New Roman;sans-serif"/>
          <w:b/>
          <w:color w:val="0E0E0E"/>
          <w:sz w:val="24"/>
        </w:rPr>
        <w:t xml:space="preserve">Exhibit B </w:t>
      </w:r>
      <w:r>
        <w:rPr>
          <w:rFonts w:ascii="Times New Roman;sans-serif" w:hAnsi="Times New Roman;sans-serif"/>
          <w:b w:val="false"/>
          <w:color w:val="0E0E0E"/>
          <w:sz w:val="23"/>
        </w:rPr>
        <w:t>hereto, as may be amended from time to time by the Company's General Counsel or, in the absence of a General Counsel, by the Company's Chief Financial Officer with the written advice of outside counsel, any such amendment to be promptly reported to the Company's Board of Directors.</w:t>
      </w:r>
    </w:p>
    <w:p>
      <w:pPr>
        <w:pStyle w:val="TextBody"/>
        <w:bidi w:val="0"/>
        <w:spacing w:lineRule="auto" w:line="288" w:before="239" w:after="283"/>
        <w:ind w:left="0" w:right="0" w:hanging="720"/>
        <w:jc w:val="left"/>
        <w:rPr>
          <w:rFonts w:ascii="Times New Roman;sans-serif" w:hAnsi="Times New Roman;sans-serif"/>
          <w:b/>
          <w:color w:val="0E0E0E"/>
          <w:sz w:val="24"/>
        </w:rPr>
      </w:pPr>
      <w:r>
        <w:rPr>
          <w:rFonts w:ascii="Times New Roman;sans-serif" w:hAnsi="Times New Roman;sans-serif"/>
          <w:b/>
          <w:color w:val="0E0E0E"/>
          <w:sz w:val="24"/>
        </w:rPr>
        <w:t>C.    Preclearance of Trades/Trading Windows</w:t>
      </w:r>
    </w:p>
    <w:p>
      <w:pPr>
        <w:pStyle w:val="TextBody"/>
        <w:bidi w:val="0"/>
        <w:spacing w:lineRule="auto" w:line="292" w:before="243" w:after="283"/>
        <w:ind w:left="0" w:right="0" w:firstLine="4"/>
        <w:jc w:val="both"/>
        <w:rPr/>
      </w:pPr>
      <w:r>
        <w:rPr>
          <w:rFonts w:ascii="Times New Roman;sans-serif" w:hAnsi="Times New Roman;sans-serif"/>
          <w:b w:val="false"/>
          <w:color w:val="0E0E0E"/>
          <w:sz w:val="23"/>
        </w:rPr>
        <w:t xml:space="preserve">Directors, Executive Officers and Designated Persons are required to preclear any trading in Company securities with the General Counsel's office, even during an </w:t>
      </w:r>
      <w:r>
        <w:rPr>
          <w:rFonts w:ascii="Times New Roman;sans-serif" w:hAnsi="Times New Roman;sans-serif"/>
          <w:b w:val="false"/>
          <w:color w:val="2D2D2D"/>
          <w:sz w:val="23"/>
        </w:rPr>
        <w:t xml:space="preserve">"open" </w:t>
      </w:r>
      <w:r>
        <w:rPr>
          <w:rFonts w:ascii="Times New Roman;sans-serif" w:hAnsi="Times New Roman;sans-serif"/>
          <w:b w:val="false"/>
          <w:color w:val="0E0E0E"/>
          <w:sz w:val="23"/>
        </w:rPr>
        <w:t>trading window. A request for preclearance should be submitted to the General Counsel's office at least two (2) business days in advance of the proposed transaction. Once preclearance is granted, you must complete the precleared transaction within two (2) business days of the date of approval or such later date as set forth in the approval.</w:t>
      </w:r>
    </w:p>
    <w:p>
      <w:pPr>
        <w:pStyle w:val="TextBody"/>
        <w:bidi w:val="0"/>
        <w:spacing w:lineRule="auto" w:line="288" w:before="232" w:after="283"/>
        <w:ind w:left="0" w:right="0" w:firstLine="4"/>
        <w:jc w:val="both"/>
        <w:rPr/>
      </w:pPr>
      <w:r>
        <w:rPr>
          <w:rFonts w:ascii="Times New Roman;sans-serif" w:hAnsi="Times New Roman;sans-serif"/>
          <w:b w:val="false"/>
          <w:color w:val="0E0E0E"/>
          <w:sz w:val="23"/>
        </w:rPr>
        <w:t xml:space="preserve">Preclearance of securities trades is most likely to be granted during the Company's quarterly trading window. For the purposes of this Policy, the term </w:t>
      </w:r>
      <w:r>
        <w:rPr>
          <w:rFonts w:ascii="Times New Roman;sans-serif" w:hAnsi="Times New Roman;sans-serif"/>
          <w:b w:val="false"/>
          <w:color w:val="2D2D2D"/>
          <w:sz w:val="23"/>
        </w:rPr>
        <w:t xml:space="preserve">"trading </w:t>
      </w:r>
      <w:r>
        <w:rPr>
          <w:rFonts w:ascii="Times New Roman;sans-serif" w:hAnsi="Times New Roman;sans-serif"/>
          <w:b w:val="false"/>
          <w:color w:val="0E0E0E"/>
          <w:sz w:val="23"/>
        </w:rPr>
        <w:t>window" includes the period beginning two (2) business days after the Company's release of quarterly or annual results and concluding on the fifteenth (15</w:t>
      </w:r>
      <w:r>
        <w:rPr>
          <w:rFonts w:ascii="Times New Roman;sans-serif" w:hAnsi="Times New Roman;sans-serif"/>
          <w:b w:val="false"/>
          <w:color w:val="0E0E0E"/>
          <w:sz w:val="15"/>
        </w:rPr>
        <w:t>th</w:t>
      </w:r>
      <w:r>
        <w:rPr>
          <w:rFonts w:ascii="Times New Roman;sans-serif" w:hAnsi="Times New Roman;sans-serif"/>
          <w:b w:val="false"/>
          <w:color w:val="0E0E0E"/>
          <w:sz w:val="16"/>
        </w:rPr>
        <w:t xml:space="preserve">) </w:t>
      </w:r>
      <w:r>
        <w:rPr>
          <w:rFonts w:ascii="Times New Roman;sans-serif" w:hAnsi="Times New Roman;sans-serif"/>
          <w:b w:val="false"/>
          <w:color w:val="0E0E0E"/>
          <w:sz w:val="23"/>
        </w:rPr>
        <w:t>business day of the third (3</w:t>
      </w:r>
      <w:r>
        <w:rPr>
          <w:rFonts w:ascii="Times New Roman;sans-serif" w:hAnsi="Times New Roman;sans-serif"/>
          <w:b w:val="false"/>
          <w:color w:val="0E0E0E"/>
          <w:sz w:val="15"/>
        </w:rPr>
        <w:t>rd</w:t>
      </w:r>
      <w:r>
        <w:rPr>
          <w:rFonts w:ascii="Times New Roman;sans-serif" w:hAnsi="Times New Roman;sans-serif"/>
          <w:b w:val="false"/>
          <w:color w:val="0E0E0E"/>
          <w:sz w:val="16"/>
        </w:rPr>
        <w:t xml:space="preserve">) </w:t>
      </w:r>
      <w:r>
        <w:rPr>
          <w:rFonts w:ascii="Times New Roman;sans-serif" w:hAnsi="Times New Roman;sans-serif"/>
          <w:b w:val="false"/>
          <w:color w:val="0E0E0E"/>
          <w:sz w:val="23"/>
        </w:rPr>
        <w:t>month of the fiscal quarter. In certain circumstances (such as while the Company is actively considering a material transaction), the trading window will not be opened and securities trades will not be precleared. When a securities trade is not precleared, this information, as well as the underlying material nonpublic information, must be kept confidential.</w:t>
      </w:r>
    </w:p>
    <w:p>
      <w:pPr>
        <w:pStyle w:val="TextBody"/>
        <w:bidi w:val="0"/>
        <w:spacing w:lineRule="auto" w:line="288" w:before="250" w:after="283"/>
        <w:ind w:left="0" w:right="0" w:firstLine="6"/>
        <w:jc w:val="both"/>
        <w:rPr/>
      </w:pPr>
      <w:r>
        <w:rPr>
          <w:rFonts w:ascii="Times New Roman;sans-serif" w:hAnsi="Times New Roman;sans-serif"/>
          <w:b w:val="false"/>
          <w:color w:val="0E0E0E"/>
          <w:sz w:val="23"/>
        </w:rPr>
        <w:t xml:space="preserve">Any Executive Officer and Director who wishes to implement a trading plan under SEC Rule 10b5-1 must first coordinate with the Company in designing or adopting a 10b5-1 trading plan, and must pre-clear the plan with the Company's General Counsel or, in the absence of a General Counsel, the Company's Chief Financial Officer with the written advice of outside counsel, at least ten business days prior to its adoption. As required by Rule 10b5-1, an executive officer or director may enter into a trading plan only when he or she is not in possession of Material Nonpublic Information. In addition, a trading plan may only be entered into during an </w:t>
      </w:r>
      <w:r>
        <w:rPr>
          <w:rFonts w:ascii="Times New Roman;sans-serif" w:hAnsi="Times New Roman;sans-serif"/>
          <w:b w:val="false"/>
          <w:color w:val="2D2D2D"/>
          <w:sz w:val="23"/>
        </w:rPr>
        <w:t xml:space="preserve">"open" </w:t>
      </w:r>
      <w:r>
        <w:rPr>
          <w:rFonts w:ascii="Times New Roman;sans-serif" w:hAnsi="Times New Roman;sans-serif"/>
          <w:b w:val="false"/>
          <w:color w:val="0E0E0E"/>
          <w:sz w:val="23"/>
        </w:rPr>
        <w:t>trading window. Transactions effected pursuant to a properly designed and pre-cleared trading plan will not require further pre-clearance at the time of the transaction.</w:t>
      </w:r>
    </w:p>
    <w:p>
      <w:pPr>
        <w:pStyle w:val="TextBody"/>
        <w:bidi w:val="0"/>
        <w:spacing w:lineRule="auto" w:line="288" w:before="250" w:after="283"/>
        <w:ind w:left="0" w:right="0" w:firstLine="4"/>
        <w:jc w:val="both"/>
        <w:rPr>
          <w:rFonts w:ascii="Times New Roman;sans-serif" w:hAnsi="Times New Roman;sans-serif"/>
          <w:b w:val="false"/>
          <w:color w:val="0E0E0E"/>
          <w:sz w:val="23"/>
        </w:rPr>
      </w:pPr>
      <w:r>
        <w:rPr>
          <w:rFonts w:ascii="Times New Roman;sans-serif" w:hAnsi="Times New Roman;sans-serif"/>
          <w:b w:val="false"/>
          <w:color w:val="0E0E0E"/>
          <w:sz w:val="23"/>
        </w:rPr>
        <w:t>Recently adopted amendments to Rule 10b5-1 have added significant additional requirements for 10b5-1 plans, including cooling-off periods (a delay between adopting a plan and the commencement of sales), prohibitions on multiple overlapping plans, limitations on single-trade</w:t>
      </w:r>
    </w:p>
    <w:p>
      <w:pPr>
        <w:pStyle w:val="TextBody"/>
        <w:bidi w:val="0"/>
        <w:spacing w:lineRule="auto" w:line="292" w:before="74" w:after="283"/>
        <w:ind w:left="0" w:right="0" w:firstLine="4"/>
        <w:jc w:val="both"/>
        <w:rPr>
          <w:rFonts w:ascii="Times New Roman;sans-serif" w:hAnsi="Times New Roman;sans-serif"/>
          <w:b w:val="false"/>
          <w:color w:val="0E0E0E"/>
          <w:sz w:val="23"/>
        </w:rPr>
      </w:pPr>
      <w:r>
        <w:rPr>
          <w:rFonts w:ascii="Times New Roman;sans-serif" w:hAnsi="Times New Roman;sans-serif"/>
          <w:b w:val="false"/>
          <w:color w:val="0E0E0E"/>
          <w:sz w:val="23"/>
        </w:rPr>
        <w:t xml:space="preserve">plans and mandated representations regarding legal compliance. In addition, the SEC has expressed concerns with respect to terminations of Rule 10b5-1 plans and new rules will require quarterly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15975"/>
                <wp:effectExtent l="0" t="0" r="0" b="0"/>
                <wp:wrapNone/>
                <wp:docPr id="115" name="Frame11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2" w:before="74" w:after="283"/>
        <w:jc w:val="both"/>
        <w:rPr>
          <w:rFonts w:ascii="Times New Roman;sans-serif" w:hAnsi="Times New Roman;sans-serif"/>
          <w:b w:val="false"/>
          <w:color w:val="0E0E0E"/>
          <w:sz w:val="23"/>
        </w:rPr>
      </w:pPr>
      <w:r>
        <w:rPr>
          <w:rFonts w:ascii="Times New Roman;sans-serif" w:hAnsi="Times New Roman;sans-serif"/>
          <w:b w:val="false"/>
          <w:color w:val="0E0E0E"/>
          <w:sz w:val="23"/>
        </w:rPr>
        <w:t>disclosures by the Company if any director or executive officer has adopted, modified or terminated a Rule 10b5-1 plan. Accordingly, in addition to preclearance of the adoption of a Rule 10b5-1 plan, Executive Officers and Directors of Company must provide the Company's General Counsel with written notice of any modification or termination of an existing 10b5-1 plan at least ten business days prior to its implementation and obtain approval therefor from the General Counsel or, in the absence of a General Counsel, the Company's Chief Financial Officer with the written advice of outside counsel.</w:t>
      </w:r>
    </w:p>
    <w:p>
      <w:pPr>
        <w:pStyle w:val="TextBody"/>
        <w:bidi w:val="0"/>
        <w:spacing w:lineRule="auto" w:line="288" w:before="231" w:after="283"/>
        <w:ind w:left="0" w:right="0" w:hanging="4"/>
        <w:jc w:val="both"/>
        <w:rPr/>
      </w:pPr>
      <w:r>
        <w:rPr>
          <w:rFonts w:ascii="Times New Roman;sans-serif" w:hAnsi="Times New Roman;sans-serif"/>
          <w:b w:val="false"/>
          <w:color w:val="0E0E0E"/>
          <w:sz w:val="23"/>
        </w:rPr>
        <w:t xml:space="preserve">If the requestor is a Director or Executive Officer of the Company, the requestor </w:t>
      </w:r>
      <w:r>
        <w:rPr>
          <w:rFonts w:ascii="Times New Roman;sans-serif" w:hAnsi="Times New Roman;sans-serif"/>
          <w:b w:val="false"/>
          <w:color w:val="262626"/>
          <w:sz w:val="23"/>
        </w:rPr>
        <w:t xml:space="preserve">should </w:t>
      </w:r>
      <w:r>
        <w:rPr>
          <w:rFonts w:ascii="Times New Roman;sans-serif" w:hAnsi="Times New Roman;sans-serif"/>
          <w:b w:val="false"/>
          <w:color w:val="0E0E0E"/>
          <w:sz w:val="23"/>
        </w:rPr>
        <w:t xml:space="preserve">also indicate whether he or she has effected any </w:t>
      </w:r>
      <w:r>
        <w:rPr>
          <w:rFonts w:ascii="Times New Roman;sans-serif" w:hAnsi="Times New Roman;sans-serif"/>
          <w:b w:val="false"/>
          <w:color w:val="262626"/>
          <w:sz w:val="23"/>
        </w:rPr>
        <w:t xml:space="preserve">"opposite-way" </w:t>
      </w:r>
      <w:r>
        <w:rPr>
          <w:rFonts w:ascii="Times New Roman;sans-serif" w:hAnsi="Times New Roman;sans-serif"/>
          <w:b w:val="false"/>
          <w:color w:val="0E0E0E"/>
          <w:sz w:val="23"/>
        </w:rPr>
        <w:t>transactions (i.e., a sale if the requestor is considering a purchase and a purchase if the requestor is considering a sale) within the past six</w:t>
      </w:r>
    </w:p>
    <w:p>
      <w:pPr>
        <w:pStyle w:val="TextBody"/>
        <w:bidi w:val="0"/>
        <w:spacing w:lineRule="auto" w:line="288" w:before="1" w:after="283"/>
        <w:ind w:left="0" w:right="0" w:firstLine="2"/>
        <w:jc w:val="both"/>
        <w:rPr>
          <w:rFonts w:ascii="Times New Roman;sans-serif" w:hAnsi="Times New Roman;sans-serif"/>
          <w:b w:val="false"/>
          <w:color w:val="0E0E0E"/>
          <w:sz w:val="23"/>
        </w:rPr>
      </w:pPr>
      <w:r>
        <w:rPr>
          <w:rFonts w:ascii="Times New Roman;sans-serif" w:hAnsi="Times New Roman;sans-serif"/>
          <w:b w:val="false"/>
          <w:color w:val="0E0E0E"/>
          <w:sz w:val="23"/>
        </w:rPr>
        <w:t>(6) months, and should be prepared to timely report his or her transactions in Company securities to the SEC on a Form 4 or Form 5. The requestor should also be prepared to comply with SEC Rule 144 and file Form 144, if necessary, at the time of any sale.</w:t>
      </w:r>
    </w:p>
    <w:p>
      <w:pPr>
        <w:pStyle w:val="TextBody"/>
        <w:bidi w:val="0"/>
        <w:spacing w:lineRule="auto" w:line="288" w:before="242" w:after="283"/>
        <w:ind w:left="0" w:right="0" w:hanging="719"/>
        <w:jc w:val="left"/>
        <w:rPr>
          <w:rFonts w:ascii="Times New Roman;sans-serif" w:hAnsi="Times New Roman;sans-serif"/>
          <w:b/>
          <w:color w:val="0E0E0E"/>
          <w:sz w:val="24"/>
        </w:rPr>
      </w:pPr>
      <w:r>
        <w:rPr>
          <w:rFonts w:ascii="Times New Roman;sans-serif" w:hAnsi="Times New Roman;sans-serif"/>
          <w:b/>
          <w:color w:val="0E0E0E"/>
          <w:sz w:val="24"/>
        </w:rPr>
        <w:t>D.    Certain Transactions</w:t>
      </w:r>
    </w:p>
    <w:p>
      <w:pPr>
        <w:pStyle w:val="TextBody"/>
        <w:bidi w:val="0"/>
        <w:spacing w:lineRule="auto" w:line="288" w:before="248" w:after="283"/>
        <w:ind w:left="0" w:right="0" w:hanging="2"/>
        <w:jc w:val="both"/>
        <w:rPr>
          <w:rFonts w:ascii="Times New Roman;sans-serif" w:hAnsi="Times New Roman;sans-serif"/>
          <w:b w:val="false"/>
          <w:color w:val="0E0E0E"/>
          <w:sz w:val="23"/>
        </w:rPr>
      </w:pPr>
      <w:r>
        <w:rPr>
          <w:rFonts w:ascii="Times New Roman;sans-serif" w:hAnsi="Times New Roman;sans-serif"/>
          <w:b w:val="false"/>
          <w:color w:val="0E0E0E"/>
          <w:sz w:val="23"/>
        </w:rPr>
        <w:t>Because the Company believes it is inappropriate for Directors and Executive Officers to engage in short-term or speculative transactions involving Company securities, it is the Company's policy that Directors and Executive Officers shall not engage in any of the following activities with respect to Company securities:</w:t>
      </w:r>
    </w:p>
    <w:p>
      <w:pPr>
        <w:pStyle w:val="TextBody"/>
        <w:bidi w:val="0"/>
        <w:spacing w:before="0" w:after="0"/>
        <w:jc w:val="left"/>
        <w:rPr/>
      </w:pPr>
      <w:r>
        <w:rPr/>
      </w:r>
    </w:p>
    <w:p>
      <w:pPr>
        <w:pStyle w:val="TextBody"/>
        <w:bidi w:val="0"/>
        <w:spacing w:lineRule="auto" w:line="288" w:before="0" w:after="0"/>
        <w:ind w:left="0" w:right="0" w:hanging="362"/>
        <w:jc w:val="left"/>
        <w:rPr>
          <w:color w:val="0E0E0E"/>
        </w:rPr>
      </w:pPr>
      <w:r>
        <w:rPr>
          <w:color w:val="0E0E0E"/>
        </w:rPr>
        <w:t>•    </w:t>
      </w:r>
      <w:r>
        <w:rPr>
          <w:rFonts w:ascii="Times New Roman;sans-serif" w:hAnsi="Times New Roman;sans-serif"/>
          <w:b w:val="false"/>
          <w:color w:val="0E0E0E"/>
          <w:sz w:val="23"/>
        </w:rPr>
        <w:t>short sales;</w:t>
      </w:r>
    </w:p>
    <w:p>
      <w:pPr>
        <w:pStyle w:val="TextBody"/>
        <w:bidi w:val="0"/>
        <w:spacing w:lineRule="auto" w:line="288" w:before="144" w:after="283"/>
        <w:ind w:left="0" w:right="0" w:hanging="362"/>
        <w:jc w:val="left"/>
        <w:rPr>
          <w:color w:val="0E0E0E"/>
        </w:rPr>
      </w:pPr>
      <w:r>
        <w:rPr>
          <w:color w:val="0E0E0E"/>
        </w:rPr>
        <w:t>•    </w:t>
      </w:r>
      <w:r>
        <w:rPr>
          <w:rFonts w:ascii="Times New Roman;sans-serif" w:hAnsi="Times New Roman;sans-serif"/>
          <w:b w:val="false"/>
          <w:color w:val="0E0E0E"/>
          <w:sz w:val="23"/>
        </w:rPr>
        <w:t>transactions in put options, call options or other derivative securities related to Company securities, on an exchange or in any other organized market;</w:t>
      </w:r>
    </w:p>
    <w:p>
      <w:pPr>
        <w:pStyle w:val="TextBody"/>
        <w:bidi w:val="0"/>
        <w:spacing w:lineRule="auto" w:line="288" w:before="142" w:after="283"/>
        <w:ind w:left="0" w:right="0" w:hanging="361"/>
        <w:jc w:val="left"/>
        <w:rPr>
          <w:color w:val="0E0E0E"/>
        </w:rPr>
      </w:pPr>
      <w:r>
        <w:rPr>
          <w:color w:val="0E0E0E"/>
        </w:rPr>
        <w:t>•    </w:t>
      </w:r>
      <w:r>
        <w:rPr>
          <w:rFonts w:ascii="Times New Roman;sans-serif" w:hAnsi="Times New Roman;sans-serif"/>
          <w:b w:val="false"/>
          <w:color w:val="0E0E0E"/>
          <w:sz w:val="23"/>
        </w:rPr>
        <w:t>hedging or monetization transactions related to Company securities, including through the use of financial instruments such as prepaid variable forwards, equity swaps, collars and exchange funds; and</w:t>
      </w:r>
    </w:p>
    <w:p>
      <w:pPr>
        <w:pStyle w:val="TextBody"/>
        <w:bidi w:val="0"/>
        <w:spacing w:lineRule="auto" w:line="288" w:before="140" w:after="283"/>
        <w:ind w:left="0" w:right="0" w:hanging="362"/>
        <w:jc w:val="left"/>
        <w:rPr>
          <w:color w:val="0E0E0E"/>
        </w:rPr>
      </w:pPr>
      <w:r>
        <w:rPr>
          <w:color w:val="0E0E0E"/>
        </w:rPr>
        <w:t>•    </w:t>
      </w:r>
      <w:r>
        <w:rPr>
          <w:rFonts w:ascii="Times New Roman;sans-serif" w:hAnsi="Times New Roman;sans-serif"/>
          <w:b w:val="false"/>
          <w:color w:val="0E0E0E"/>
          <w:sz w:val="23"/>
        </w:rPr>
        <w:t>holding Company securities in a margin account or otherwise pledging Company securities as collateral for a loan.</w:t>
      </w:r>
    </w:p>
    <w:p>
      <w:pPr>
        <w:pStyle w:val="TextBody"/>
        <w:bidi w:val="0"/>
        <w:spacing w:lineRule="auto" w:line="288" w:before="119" w:after="283"/>
        <w:ind w:left="0" w:right="0" w:hanging="716"/>
        <w:jc w:val="left"/>
        <w:rPr>
          <w:rFonts w:ascii="Times New Roman;sans-serif" w:hAnsi="Times New Roman;sans-serif"/>
          <w:b/>
          <w:color w:val="0E0E0E"/>
          <w:sz w:val="24"/>
        </w:rPr>
      </w:pPr>
      <w:r>
        <w:rPr>
          <w:rFonts w:ascii="Times New Roman;sans-serif" w:hAnsi="Times New Roman;sans-serif"/>
          <w:b/>
          <w:color w:val="0E0E0E"/>
          <w:sz w:val="24"/>
        </w:rPr>
        <w:t>E.    Transactions with the Company</w:t>
      </w:r>
    </w:p>
    <w:p>
      <w:pPr>
        <w:pStyle w:val="TextBody"/>
        <w:bidi w:val="0"/>
        <w:spacing w:lineRule="auto" w:line="288" w:before="242" w:after="283"/>
        <w:jc w:val="both"/>
        <w:rPr>
          <w:rFonts w:ascii="Times New Roman;sans-serif" w:hAnsi="Times New Roman;sans-serif"/>
          <w:b w:val="false"/>
          <w:color w:val="0E0E0E"/>
          <w:sz w:val="23"/>
        </w:rPr>
      </w:pPr>
      <w:r>
        <w:rPr>
          <w:rFonts w:ascii="Times New Roman;sans-serif" w:hAnsi="Times New Roman;sans-serif"/>
          <w:b w:val="false"/>
          <w:color w:val="0E0E0E"/>
          <w:sz w:val="23"/>
        </w:rPr>
        <w:t>This Policy does not apply in the case of the following transactions, except as specifically noted:</w:t>
      </w:r>
    </w:p>
    <w:p>
      <w:pPr>
        <w:pStyle w:val="TextBody"/>
        <w:bidi w:val="0"/>
        <w:spacing w:lineRule="auto" w:line="292" w:before="260" w:after="283"/>
        <w:ind w:left="0" w:right="0" w:hanging="361"/>
        <w:jc w:val="both"/>
        <w:rPr/>
      </w:pPr>
      <w:r>
        <w:rPr>
          <w:color w:val="0E0E0E"/>
        </w:rPr>
        <w:t>•    </w:t>
      </w:r>
      <w:r>
        <w:rPr>
          <w:rFonts w:ascii="Times New Roman;sans-serif" w:hAnsi="Times New Roman;sans-serif"/>
          <w:b w:val="false"/>
          <w:i/>
          <w:color w:val="0E0E0E"/>
          <w:sz w:val="24"/>
        </w:rPr>
        <w:t xml:space="preserve">Stock Option Exercises. </w:t>
      </w:r>
      <w:r>
        <w:rPr>
          <w:rFonts w:ascii="Times New Roman;sans-serif" w:hAnsi="Times New Roman;sans-serif"/>
          <w:b w:val="false"/>
          <w:color w:val="0E0E0E"/>
          <w:sz w:val="23"/>
        </w:rPr>
        <w:t>This Policy does not apply to the exercise of an employee or director stock option acquired pursuant to the Company's equity incentive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lineRule="auto" w:line="285" w:before="120" w:after="283"/>
        <w:ind w:left="0" w:right="0" w:hanging="368"/>
        <w:jc w:val="both"/>
        <w:rPr/>
      </w:pPr>
      <w:r>
        <w:rPr>
          <w:color w:val="0E0E0E"/>
        </w:rPr>
        <w:t>•    </w:t>
      </w:r>
      <w:r>
        <w:rPr>
          <w:rFonts w:ascii="Times New Roman;sans-serif" w:hAnsi="Times New Roman;sans-serif"/>
          <w:b w:val="false"/>
          <w:i/>
          <w:color w:val="0E0E0E"/>
          <w:sz w:val="24"/>
        </w:rPr>
        <w:t xml:space="preserve">Restricted Stock Awards. </w:t>
      </w:r>
      <w:r>
        <w:rPr>
          <w:rFonts w:ascii="Times New Roman;sans-serif" w:hAnsi="Times New Roman;sans-serif"/>
          <w:b w:val="false"/>
          <w:color w:val="0E0E0E"/>
          <w:sz w:val="23"/>
        </w:rPr>
        <w:t>This Policy does not apply to the vesting of restricted stock or restricted stock units, or the exercise of a tax withholding right pursuant to which you elect</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15975"/>
                <wp:effectExtent l="0" t="0" r="0" b="0"/>
                <wp:wrapNone/>
                <wp:docPr id="116" name="Frame11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ind w:left="0" w:right="0" w:firstLine="4"/>
        <w:jc w:val="both"/>
        <w:rPr>
          <w:rFonts w:ascii="Times New Roman;sans-serif" w:hAnsi="Times New Roman;sans-serif"/>
          <w:b w:val="false"/>
          <w:color w:val="0E0E0E"/>
          <w:sz w:val="23"/>
        </w:rPr>
      </w:pPr>
      <w:r>
        <w:rPr>
          <w:rFonts w:ascii="Times New Roman;sans-serif" w:hAnsi="Times New Roman;sans-serif"/>
          <w:b w:val="false"/>
          <w:color w:val="0E0E0E"/>
          <w:sz w:val="23"/>
        </w:rPr>
        <w:t>to have the Company withhold shares of stock to satisfy tax withholding requirements upon the vesting of any restricted stock. The Policy does apply, however, to any market sale of restricted stock.</w:t>
      </w:r>
    </w:p>
    <w:p>
      <w:pPr>
        <w:pStyle w:val="TextBody"/>
        <w:bidi w:val="0"/>
        <w:spacing w:lineRule="auto" w:line="288" w:before="141" w:after="283"/>
        <w:ind w:left="0" w:right="0" w:hanging="361"/>
        <w:jc w:val="left"/>
        <w:rPr/>
      </w:pPr>
      <w:r>
        <w:rPr>
          <w:color w:val="0E0E0E"/>
        </w:rPr>
        <w:t>•    </w:t>
      </w:r>
      <w:r>
        <w:rPr>
          <w:rFonts w:ascii="Times New Roman;sans-serif" w:hAnsi="Times New Roman;sans-serif"/>
          <w:b w:val="false"/>
          <w:i/>
          <w:color w:val="0E0E0E"/>
          <w:sz w:val="23"/>
        </w:rPr>
        <w:t xml:space="preserve">Other Similar Transactions. </w:t>
      </w:r>
      <w:r>
        <w:rPr>
          <w:rFonts w:ascii="Times New Roman;sans-serif" w:hAnsi="Times New Roman;sans-serif"/>
          <w:b w:val="false"/>
          <w:color w:val="0E0E0E"/>
          <w:sz w:val="23"/>
        </w:rPr>
        <w:t>Any other purchase of Company securities from the Company or sales of Company securities to the Company are not subject to this Policy.</w:t>
      </w:r>
    </w:p>
    <w:p>
      <w:pPr>
        <w:pStyle w:val="TextBody"/>
        <w:bidi w:val="0"/>
        <w:spacing w:lineRule="auto" w:line="288" w:before="118" w:after="283"/>
        <w:ind w:left="0" w:right="0" w:hanging="725"/>
        <w:jc w:val="left"/>
        <w:rPr>
          <w:rFonts w:ascii="Times New Roman;sans-serif" w:hAnsi="Times New Roman;sans-serif"/>
          <w:b/>
          <w:color w:val="0E0E0E"/>
          <w:sz w:val="24"/>
        </w:rPr>
      </w:pPr>
      <w:r>
        <w:rPr>
          <w:rFonts w:ascii="Times New Roman;sans-serif" w:hAnsi="Times New Roman;sans-serif"/>
          <w:b/>
          <w:color w:val="0E0E0E"/>
          <w:sz w:val="24"/>
        </w:rPr>
        <w:t>F.    Administration of the Policy</w:t>
      </w:r>
    </w:p>
    <w:p>
      <w:pPr>
        <w:pStyle w:val="TextBody"/>
        <w:bidi w:val="0"/>
        <w:spacing w:lineRule="auto" w:line="288" w:before="243" w:after="283"/>
        <w:jc w:val="both"/>
        <w:rPr>
          <w:rFonts w:ascii="Times New Roman;sans-serif" w:hAnsi="Times New Roman;sans-serif"/>
          <w:b w:val="false"/>
          <w:color w:val="0E0E0E"/>
          <w:sz w:val="23"/>
        </w:rPr>
      </w:pPr>
      <w:r>
        <w:rPr>
          <w:rFonts w:ascii="Times New Roman;sans-serif" w:hAnsi="Times New Roman;sans-serif"/>
          <w:b w:val="false"/>
          <w:color w:val="0E0E0E"/>
          <w:sz w:val="23"/>
        </w:rPr>
        <w:t>Illegal insider trading or tipping violations can expose the individuals involved to serious sanctions in a government proceeding. Moreover, an individual's failure to comply with this Policy may subject the individual to Company-imposed sanctions, including termination of employment or service, whether or not the employee's failure to comply results in a violation of law.</w:t>
      </w:r>
    </w:p>
    <w:p>
      <w:pPr>
        <w:pStyle w:val="TextBody"/>
        <w:bidi w:val="0"/>
        <w:spacing w:lineRule="auto" w:line="288" w:before="245" w:after="283"/>
        <w:ind w:left="0" w:right="0" w:hanging="4"/>
        <w:jc w:val="both"/>
        <w:rPr>
          <w:rFonts w:ascii="Times New Roman;sans-serif" w:hAnsi="Times New Roman;sans-serif"/>
          <w:b w:val="false"/>
          <w:color w:val="0E0E0E"/>
          <w:sz w:val="23"/>
        </w:rPr>
      </w:pPr>
      <w:r>
        <w:rPr>
          <w:rFonts w:ascii="Times New Roman;sans-serif" w:hAnsi="Times New Roman;sans-serif"/>
          <w:b w:val="false"/>
          <w:color w:val="0E0E0E"/>
          <w:sz w:val="23"/>
        </w:rPr>
        <w:t>The General Counsel (or another employee designated by the General Counsel) shall administer this Policy. All determinations and interpretations by the General Counsel or the General Counsel's designee shall be final.</w:t>
      </w:r>
    </w:p>
    <w:p>
      <w:pPr>
        <w:pStyle w:val="TextBody"/>
        <w:bidi w:val="0"/>
        <w:spacing w:lineRule="auto" w:line="292" w:before="242" w:after="283"/>
        <w:ind w:left="0" w:right="0" w:hanging="3"/>
        <w:jc w:val="both"/>
        <w:rPr>
          <w:rFonts w:ascii="Times New Roman;sans-serif" w:hAnsi="Times New Roman;sans-serif"/>
          <w:b w:val="false"/>
          <w:color w:val="0E0E0E"/>
          <w:sz w:val="23"/>
        </w:rPr>
      </w:pPr>
      <w:r>
        <w:rPr>
          <w:rFonts w:ascii="Times New Roman;sans-serif" w:hAnsi="Times New Roman;sans-serif"/>
          <w:b w:val="false"/>
          <w:color w:val="0E0E0E"/>
          <w:sz w:val="23"/>
        </w:rPr>
        <w:t>For all purposes of this policy, the Company's Chief Financial Officer is authorized to receive notices and to make any determination or grant any approval when the General Counsel is unavailable or where action by the General Counsel could involve a conflict of interest (such as where the General Counsel is the insider seeking to effect a trade).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15975"/>
                <wp:effectExtent l="0" t="0" r="0" b="0"/>
                <wp:wrapNone/>
                <wp:docPr id="117" name="Frame11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30.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4" w:after="283"/>
                              <w:jc w:val="left"/>
                              <w:rPr>
                                <w:rFonts w:ascii="Times New Roman;sans-serif" w:hAnsi="Times New Roman;sans-serif"/>
                                <w:b w:val="false"/>
                                <w:color w:val="0E0E0E"/>
                                <w:sz w:val="23"/>
                              </w:rPr>
                            </w:pPr>
                            <w:r>
                              <w:rPr>
                                <w:rFonts w:ascii="Times New Roman;sans-serif" w:hAnsi="Times New Roman;sans-serif"/>
                                <w:b w:val="false"/>
                                <w:color w:val="0E0E0E"/>
                                <w:sz w:val="23"/>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61"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International Money Express, Inc.</w:t>
      </w:r>
    </w:p>
    <w:tbl>
      <w:tblPr>
        <w:tblW w:w="6463" w:type="dxa"/>
        <w:jc w:val="left"/>
        <w:tblInd w:w="0" w:type="dxa"/>
        <w:tblLayout w:type="fixed"/>
        <w:tblCellMar>
          <w:top w:w="28" w:type="dxa"/>
          <w:left w:w="28" w:type="dxa"/>
          <w:bottom w:w="28" w:type="dxa"/>
          <w:right w:w="28" w:type="dxa"/>
        </w:tblCellMar>
      </w:tblPr>
      <w:tblGrid>
        <w:gridCol w:w="1441"/>
        <w:gridCol w:w="1271"/>
        <w:gridCol w:w="1277"/>
        <w:gridCol w:w="724"/>
        <w:gridCol w:w="724"/>
        <w:gridCol w:w="1026"/>
      </w:tblGrid>
      <w:tr>
        <w:trPr/>
        <w:tc>
          <w:tcPr>
            <w:tcW w:w="144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Entity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 of Incorporation</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Sub 2,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Holdings, Inc.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II,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MI, LLC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Transfers de Mexico S.A.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de Mexico S.A. de C.V.</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Transfers de Guatemala S.A.</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Servicios Integrales S. de R.L. de C.V.</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Central de Servicios S. de R.L.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International Transfers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Envios de Valores La Nacional Corp.</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 Holdings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 I-Transfer Canada Corp.</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 Mexico Holdings I, LLC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 Mexico Holdings II,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Girosmex S.A. de C.V.</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National Caribe Call Center S.R.L</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Dominican Republic</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 Financial Cooperatief U.A.</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Global Payments EP, SAU</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Deutschland Gmbh</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Global Payments UK, LTD</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Inara - Transfers Limited</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8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(Nos. 333-233392 and 333-248563) of International Money Express, Inc. (the Company) of our reports dated February 27, 2025, relating to the consolidated financial statements, and the effectiveness of the Company’s internal control over financial reporting which appear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BDO USA, P.C.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BDO USA, P.C.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Miami, Florida </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70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44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certify that: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70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935"/>
        <w:gridCol w:w="935"/>
        <w:gridCol w:w="134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44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certify that: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5129"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52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2024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360"/>
        <w:jc w:val="left"/>
        <w:rPr/>
      </w:pPr>
      <w:r>
        <w:rPr/>
      </w:r>
    </w:p>
    <w:tbl>
      <w:tblPr>
        <w:tblW w:w="5866" w:type="dxa"/>
        <w:jc w:val="left"/>
        <w:tblInd w:w="0" w:type="dxa"/>
        <w:tblLayout w:type="fixed"/>
        <w:tblCellMar>
          <w:top w:w="28" w:type="dxa"/>
          <w:left w:w="28" w:type="dxa"/>
          <w:bottom w:w="28" w:type="dxa"/>
          <w:right w:w="28" w:type="dxa"/>
        </w:tblCellMar>
      </w:tblPr>
      <w:tblGrid>
        <w:gridCol w:w="754"/>
        <w:gridCol w:w="664"/>
        <w:gridCol w:w="667"/>
        <w:gridCol w:w="189"/>
        <w:gridCol w:w="189"/>
        <w:gridCol w:w="193"/>
        <w:gridCol w:w="935"/>
        <w:gridCol w:w="935"/>
        <w:gridCol w:w="134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52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2024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40"/>
        <w:ind w:left="0" w:right="0" w:hanging="360"/>
        <w:jc w:val="left"/>
        <w:rPr/>
      </w:pPr>
      <w:r>
        <w:rPr/>
      </w:r>
    </w:p>
    <w:tbl>
      <w:tblPr>
        <w:tblW w:w="5129"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3695/000114036118039596/ex3_1.htm" TargetMode="External"/><Relationship Id="rId4" Type="http://schemas.openxmlformats.org/officeDocument/2006/relationships/hyperlink" Target="https://www.sec.gov/Archives/edgar/data/1683695/000114036118039596/ex3_2.htm" TargetMode="External"/><Relationship Id="rId5" Type="http://schemas.openxmlformats.org/officeDocument/2006/relationships/hyperlink" Target="https://www.sec.gov/Archives/edgar/data/1683695/000162828020003396/exhibit46.htm" TargetMode="External"/><Relationship Id="rId6" Type="http://schemas.openxmlformats.org/officeDocument/2006/relationships/hyperlink" Target="https://www.sec.gov/Archives/edgar/data/0001683695/000168369524000140/ex-101xkeybankagreement.htm" TargetMode="External"/><Relationship Id="rId7" Type="http://schemas.openxmlformats.org/officeDocument/2006/relationships/hyperlink" Target="https://www.sec.gov/Archives/edgar/data/1683695/000114036118039596/ex10_3a.htm" TargetMode="External"/><Relationship Id="rId8" Type="http://schemas.openxmlformats.org/officeDocument/2006/relationships/hyperlink" Target="https://www.sec.gov/Archives/edgar/data/1683695/000114036118039596/ex10_4b.htm" TargetMode="External"/><Relationship Id="rId9" Type="http://schemas.openxmlformats.org/officeDocument/2006/relationships/hyperlink" Target="https://www.sec.gov/Archives/edgar/data/1683695/000114036118039596/ex10_4a.htm" TargetMode="External"/><Relationship Id="rId10" Type="http://schemas.openxmlformats.org/officeDocument/2006/relationships/hyperlink" Target="https://www.sec.gov/Archives/edgar/data/1683695/000114036120011750/nc10011882x1_def14a.htm" TargetMode="External"/><Relationship Id="rId11" Type="http://schemas.openxmlformats.org/officeDocument/2006/relationships/hyperlink" Target="https://www.sec.gov/Archives/edgar/data/1683695/000168369523000022/exhibit103bamendmentto2020.htm" TargetMode="External"/><Relationship Id="rId12" Type="http://schemas.openxmlformats.org/officeDocument/2006/relationships/hyperlink" Target="https://www.sec.gov/Archives/edgar/data/1683695/000114036120011750/nc10011882x1_def14a.htm" TargetMode="External"/><Relationship Id="rId13" Type="http://schemas.openxmlformats.org/officeDocument/2006/relationships/hyperlink" Target="https://www.sec.gov/Archives/edgar/data/1683695/000168369520000013/exhibit103formofnqsoag.htm" TargetMode="External"/><Relationship Id="rId14" Type="http://schemas.openxmlformats.org/officeDocument/2006/relationships/hyperlink" Target="https://www.sec.gov/Archives/edgar/data/1683695/000168369520000013/exhibit104formofrsuagr.htm" TargetMode="External"/><Relationship Id="rId15" Type="http://schemas.openxmlformats.org/officeDocument/2006/relationships/hyperlink" Target="https://www.sec.gov/Archives/edgar/data/1683695/000168369521000005/exhibit1017-formofrsuagree.htm" TargetMode="External"/><Relationship Id="rId16" Type="http://schemas.openxmlformats.org/officeDocument/2006/relationships/hyperlink" Target="https://www.sec.gov/Archives/edgar/data/1683695/000168369521000005/exhibit1018-formofpsuagree.htm" TargetMode="External"/><Relationship Id="rId17" Type="http://schemas.openxmlformats.org/officeDocument/2006/relationships/hyperlink" Target="https://www.sec.gov/Archives/edgar/data/1683695/000168369521000005/exhibit1019-formofpsuagree.htm" TargetMode="External"/><Relationship Id="rId18" Type="http://schemas.openxmlformats.org/officeDocument/2006/relationships/hyperlink" Target="https://www.sec.gov/Archives/edgar/data/1683695/000168369521000005/exhibit10ormofrestrictedst.htm" TargetMode="External"/><Relationship Id="rId19" Type="http://schemas.openxmlformats.org/officeDocument/2006/relationships/hyperlink" Target="https://www.sec.gov/Archives/edgar/data/1683695/000168369523000022/exhibit1014-2023formofpsua.htm" TargetMode="External"/><Relationship Id="rId20" Type="http://schemas.openxmlformats.org/officeDocument/2006/relationships/hyperlink" Target="https://www.sec.gov/Archives/edgar/data/1683695/000168369523000022/exhibit1015-2023formofpsua.htm" TargetMode="External"/><Relationship Id="rId21" Type="http://schemas.openxmlformats.org/officeDocument/2006/relationships/hyperlink" Target="https://www.sec.gov/Archives/edgar/data/1683695/000168369524000097/exhibit104-imxi20ormofrsaa.htm" TargetMode="External"/><Relationship Id="rId22" Type="http://schemas.openxmlformats.org/officeDocument/2006/relationships/hyperlink" Target="https://www.sec.gov/Archives/edgar/data/1683695/000168369524000097/exhibit101-2024xlisyemploy.htm" TargetMode="External"/><Relationship Id="rId23" Type="http://schemas.openxmlformats.org/officeDocument/2006/relationships/hyperlink" Target="https://www.sec.gov/Archives/edgar/data/1683695/000114036120027563/brhc10017690_ex10-1.htm" TargetMode="External"/><Relationship Id="rId24" Type="http://schemas.openxmlformats.org/officeDocument/2006/relationships/hyperlink" Target="https://www.sec.gov/Archives/edgar/data/1683695/000114036119017939/ex10_1.htm" TargetMode="External"/><Relationship Id="rId25" Type="http://schemas.openxmlformats.org/officeDocument/2006/relationships/hyperlink" Target="https://www.sec.gov/Archives/edgar/data/1683695/000168369523000022/exhibit1019b-amendmenttoja.htm" TargetMode="External"/><Relationship Id="rId26" Type="http://schemas.openxmlformats.org/officeDocument/2006/relationships/hyperlink" Target="https://www.sec.gov/Archives/edgar/data/1683695/000168369524000042/exh1019a-chuntximxiexecuti.htm" TargetMode="External"/><Relationship Id="rId27" Type="http://schemas.openxmlformats.org/officeDocument/2006/relationships/hyperlink" Target="https://www.sec.gov/Archives/edgar/data/1683695/000168369524000042/exhibit1019b-amendmenttohu.htm" TargetMode="External"/><Relationship Id="rId28" Type="http://schemas.openxmlformats.org/officeDocument/2006/relationships/hyperlink" Target="https://www.sec.gov/Archives/edgar/data/1683695/000114036118039596/ex10_1.htm" TargetMode="External"/><Relationship Id="rId29" Type="http://schemas.openxmlformats.org/officeDocument/2006/relationships/hyperlink" Target="https://www.sec.gov/Archives/edgar/data/1683695/000168369524000042/exhibit97-imximandatorycla.htm" TargetMode="External"/><Relationship Id="rId30" Type="http://schemas.openxmlformats.org/officeDocument/2006/relationships/image" Target="media/image2.pn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65045</Words>
  <Characters>367228</Characters>
  <CharactersWithSpaces>430194</CharactersWithSpaces>
  <Paragraphs>4082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