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Commission File No. 001-37986</w:t>
            </w:r>
          </w:p>
        </w:tc>
        <w:tc>
          <w:tcPr>
            <w:tcW w:w="0" w:type="dxa"/>
            <w:vAlign w:val="bottom"/>
          </w:tcPr>
          <w:p>
            <w:pPr>
              <w:spacing w:after="0"/>
              <w:rPr>
                <w:sz w:val="1"/>
                <w:szCs w:val="1"/>
                <w:color w:val="auto"/>
              </w:rPr>
            </w:pPr>
          </w:p>
        </w:tc>
      </w:tr>
      <w:tr>
        <w:trPr>
          <w:trHeight w:val="398"/>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INTERNATIONAL MONEY EXPRESS, INC.</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500"/>
        </w:trPr>
        <w:tc>
          <w:tcPr>
            <w:tcW w:w="3380" w:type="dxa"/>
            <w:vAlign w:val="bottom"/>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gridSpan w:val="3"/>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57"/>
        </w:trPr>
        <w:tc>
          <w:tcPr>
            <w:tcW w:w="668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9100 South Dadeland Blvd. Suite 1100</w:t>
            </w:r>
          </w:p>
        </w:tc>
        <w:tc>
          <w:tcPr>
            <w:tcW w:w="4560" w:type="dxa"/>
            <w:vAlign w:val="bottom"/>
            <w:gridSpan w:val="3"/>
            <w:vMerge w:val="restart"/>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33156</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auto"/>
            </w:tcBorders>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rPr>
              <w:t>Miami, Florida</w:t>
            </w:r>
          </w:p>
        </w:tc>
        <w:tc>
          <w:tcPr>
            <w:tcW w:w="20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360"/>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621"/>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70"/>
        </w:trPr>
        <w:tc>
          <w:tcPr>
            <w:tcW w:w="3380" w:type="dxa"/>
            <w:vAlign w:val="bottom"/>
          </w:tcPr>
          <w:p>
            <w:pPr>
              <w:jc w:val="center"/>
              <w:ind w:left="463"/>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3380" w:type="dxa"/>
            <w:vAlign w:val="bottom"/>
          </w:tcPr>
          <w:p>
            <w:pPr>
              <w:jc w:val="center"/>
              <w:ind w:left="443"/>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7"/>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951" w:gutter="0" w:footer="0" w:header="0"/>
        </w:sectPr>
      </w:pPr>
    </w:p>
    <w:p>
      <w:pPr>
        <w:spacing w:after="0" w:line="216" w:lineRule="exact"/>
        <w:rPr>
          <w:sz w:val="24"/>
          <w:szCs w:val="24"/>
          <w:color w:val="auto"/>
        </w:r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37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w:t>
      </w:r>
    </w:p>
    <w:p>
      <w:pPr>
        <w:spacing w:after="0" w:line="183" w:lineRule="exact"/>
        <w:rPr>
          <w:sz w:val="24"/>
          <w:szCs w:val="24"/>
          <w:color w:val="auto"/>
        </w:rPr>
      </w:pPr>
    </w:p>
    <w:p>
      <w:pPr>
        <w:sectPr>
          <w:pgSz w:w="11900" w:h="16838" w:orient="portrait"/>
          <w:cols w:equalWidth="0" w:num="2">
            <w:col w:w="5420" w:space="720"/>
            <w:col w:w="5100"/>
          </w:cols>
          <w:pgMar w:left="320" w:top="227" w:right="339" w:bottom="951" w:gutter="0" w:footer="0" w:header="0"/>
          <w:type w:val="continuous"/>
        </w:sect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w:t>
      </w:r>
    </w:p>
    <w:p>
      <w:pPr>
        <w:spacing w:after="0" w:line="183" w:lineRule="exact"/>
        <w:rPr>
          <w:sz w:val="24"/>
          <w:szCs w:val="24"/>
          <w:color w:val="auto"/>
        </w:rPr>
      </w:pPr>
    </w:p>
    <w:p>
      <w:pPr>
        <w:sectPr>
          <w:pgSz w:w="11900" w:h="16838" w:orient="portrait"/>
          <w:cols w:equalWidth="0" w:num="2">
            <w:col w:w="5420" w:space="720"/>
            <w:col w:w="5100"/>
          </w:cols>
          <w:pgMar w:left="320" w:top="227" w:right="339" w:bottom="951" w:gutter="0" w:footer="0" w:header="0"/>
          <w:type w:val="continuous"/>
        </w:sectPr>
      </w:pPr>
    </w:p>
    <w:p>
      <w:pPr>
        <w:ind w:left="61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w:t>
      </w:r>
    </w:p>
    <w:p>
      <w:pPr>
        <w:sectPr>
          <w:pgSz w:w="11900" w:h="16838" w:orient="portrait"/>
          <w:cols w:equalWidth="0" w:num="1">
            <w:col w:w="11240"/>
          </w:cols>
          <w:pgMar w:left="320" w:top="227" w:right="339" w:bottom="951" w:gutter="0" w:footer="0" w:header="0"/>
          <w:type w:val="continuous"/>
        </w:sectPr>
      </w:pPr>
    </w:p>
    <w:p>
      <w:pPr>
        <w:spacing w:after="0" w:line="200" w:lineRule="exact"/>
        <w:rPr>
          <w:sz w:val="24"/>
          <w:szCs w:val="24"/>
          <w:color w:val="auto"/>
        </w:rPr>
      </w:pPr>
    </w:p>
    <w:p>
      <w:pPr>
        <w:spacing w:after="0" w:line="33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August 2, 2024, there were 32,607,832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95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tcBorders>
              <w:top w:val="single" w:sz="8" w:color="0000FF"/>
            </w:tcBorders>
            <w:gridSpan w:val="2"/>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Six Months</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640" w:type="dxa"/>
            <w:vAlign w:val="bottom"/>
            <w:tcBorders>
              <w:top w:val="single" w:sz="8" w:color="0000FF"/>
            </w:tcBorders>
            <w:gridSpan w:val="1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Ended June 30, 2024 and 2023</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2200" w:type="dxa"/>
            <w:vAlign w:val="bottom"/>
            <w:tcBorders>
              <w:top w:val="single" w:sz="8" w:color="0000FF"/>
              <w:bottom w:val="single" w:sz="8" w:color="0000FF"/>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Ended June 30, 2024 and 2023</w:t>
            </w: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9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5980" w:type="dxa"/>
            <w:vAlign w:val="bottom"/>
            <w:tcBorders>
              <w:bottom w:val="single" w:sz="8" w:color="CCEEFF"/>
            </w:tcBorders>
            <w:gridSpan w:val="12"/>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7140" w:type="dxa"/>
            <w:vAlign w:val="bottom"/>
            <w:tcBorders>
              <w:bottom w:val="single" w:sz="8" w:color="CCEEFF"/>
            </w:tcBorders>
            <w:gridSpan w:val="17"/>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9"/>
        </w:trPr>
        <w:tc>
          <w:tcPr>
            <w:tcW w:w="68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3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9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of the Company.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spacing w:after="0" w:line="18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business with, key sending agents;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rising interest rates;</w:t>
      </w:r>
    </w:p>
    <w:p>
      <w:pPr>
        <w:spacing w:after="0" w:line="9" w:lineRule="exact"/>
        <w:rPr>
          <w:rFonts w:ascii="Times New Roman" w:cs="Times New Roman" w:eastAsia="Times New Roman" w:hAnsi="Times New Roman"/>
          <w:sz w:val="18"/>
          <w:szCs w:val="18"/>
          <w:color w:val="auto"/>
        </w:rPr>
      </w:pPr>
    </w:p>
    <w:p>
      <w:pPr>
        <w:ind w:left="980" w:right="18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political instability, tariffs, border taxes or restrictions on remittances or transfers from the outbound countries in which we operate or plan to operate;</w:t>
      </w:r>
    </w:p>
    <w:p>
      <w:pPr>
        <w:ind w:left="980" w:right="30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brands and in consumer money transfers generally;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geographic markets or product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manage, integrate and obtain the anticipated financial benefits of key acquisitions and mergers;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risk management and compliance policies, procedures and systems to mitigate risk related to transaction monitoring;</w:t>
      </w:r>
    </w:p>
    <w:p>
      <w:pPr>
        <w:spacing w:after="0" w:line="9"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 or the improper or illegal use of our services by consumers or sending agents;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cybersecurity-attacks or disruptions to our information technology, computer network systems, data centers and mobile devices apps;</w:t>
      </w:r>
    </w:p>
    <w:p>
      <w:pPr>
        <w:spacing w:after="0" w:line="9" w:lineRule="exact"/>
        <w:rPr>
          <w:rFonts w:ascii="Times New Roman" w:cs="Times New Roman" w:eastAsia="Times New Roman" w:hAnsi="Times New Roman"/>
          <w:sz w:val="18"/>
          <w:szCs w:val="18"/>
          <w:color w:val="auto"/>
        </w:rPr>
      </w:pPr>
    </w:p>
    <w:p>
      <w:pPr>
        <w:ind w:left="980" w:right="46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money transfer and payment ecosystem, including the introduction of new digital platforms;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and introducing new products, services and infrastructure;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paying agent relationships necessary to conduct our business;</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the clearing, cash management or custodial financial institutions with which we do business;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banking industry regulation and practice;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9" w:lineRule="exact"/>
        <w:rPr>
          <w:rFonts w:ascii="Times New Roman" w:cs="Times New Roman" w:eastAsia="Times New Roman" w:hAnsi="Times New Roman"/>
          <w:sz w:val="18"/>
          <w:szCs w:val="18"/>
          <w:color w:val="auto"/>
        </w:rPr>
      </w:pPr>
    </w:p>
    <w:p>
      <w:pPr>
        <w:ind w:left="980" w:right="260" w:hanging="324"/>
        <w:spacing w:after="0" w:line="265" w:lineRule="auto"/>
        <w:tabs>
          <w:tab w:leader="none" w:pos="975"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compliance with applicable laws and regulatory requirements, including those intended to prevent use of our money remittance services for criminal activity, those related to data and cyber-security protection, and those related to new business initiatives;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and private litigation under regulations applicable to the money remittance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 the countries in which we operate;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 and service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117" w:lineRule="exact"/>
        <w:rPr>
          <w:sz w:val="20"/>
          <w:szCs w:val="20"/>
          <w:color w:val="auto"/>
        </w:rPr>
      </w:pPr>
    </w:p>
    <w:p>
      <w:pPr>
        <w:ind w:left="660" w:right="1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business and/or competitive factors,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sections in our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as well as any additional factors that may be described in our other filings with the SEC from time to time.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0"/>
        </w:trPr>
        <w:tc>
          <w:tcPr>
            <w:tcW w:w="6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155,237</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wires,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28,366</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432,874</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40,153</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576,812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125,042</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223,373</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net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181,073</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64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223,605</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204,402</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16</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200,000,000 shares authorized, 40,091,006 and</w:t>
            </w: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39,673,271 shares issued and 32,594,845 and 33,823,237 shares outstanding as of</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June 30, 2024 and December 31, 2023, respectively, and Preferred stock $0.0001 par</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5,000,000 shares authorized, none issued or outstanding</w:t>
            </w:r>
          </w:p>
        </w:tc>
        <w:tc>
          <w:tcPr>
            <w:tcW w:w="2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198,649</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7,496,161 and 5,850,034 shares as of June 30, 2024 and</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(125,564)</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142,415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149,037</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576,812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 w:right="7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Pr>
          <w:p>
            <w:pPr>
              <w:spacing w:after="0"/>
              <w:rPr>
                <w:sz w:val="20"/>
                <w:szCs w:val="20"/>
                <w:color w:val="auto"/>
              </w:rPr>
            </w:pPr>
          </w:p>
        </w:tc>
        <w:tc>
          <w:tcPr>
            <w:tcW w:w="26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45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268,968</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236"/>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37"/>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171,531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321,943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314,514</w:t>
            </w:r>
          </w:p>
        </w:tc>
      </w:tr>
      <w:tr>
        <w:trPr>
          <w:trHeight w:val="243"/>
        </w:trPr>
        <w:tc>
          <w:tcPr>
            <w:tcW w:w="4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207,113</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33,808</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23,974</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r>
      <w:tr>
        <w:trPr>
          <w:trHeight w:val="237"/>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279,453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270,933</w:t>
            </w:r>
          </w:p>
        </w:tc>
      </w:tr>
      <w:tr>
        <w:trPr>
          <w:trHeight w:val="243"/>
        </w:trPr>
        <w:tc>
          <w:tcPr>
            <w:tcW w:w="4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43,581</w:t>
            </w:r>
          </w:p>
        </w:tc>
      </w:tr>
      <w:tr>
        <w:trPr>
          <w:trHeight w:val="257"/>
        </w:trPr>
        <w:tc>
          <w:tcPr>
            <w:tcW w:w="4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7"/>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r>
      <w:tr>
        <w:trPr>
          <w:trHeight w:val="243"/>
        </w:trPr>
        <w:tc>
          <w:tcPr>
            <w:tcW w:w="4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w:t>
            </w:r>
          </w:p>
        </w:tc>
      </w:tr>
      <w:tr>
        <w:trPr>
          <w:trHeight w:val="257"/>
        </w:trPr>
        <w:tc>
          <w:tcPr>
            <w:tcW w:w="4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43"/>
        </w:trPr>
        <w:tc>
          <w:tcPr>
            <w:tcW w:w="4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27,184</w:t>
            </w:r>
          </w:p>
        </w:tc>
      </w:tr>
      <w:tr>
        <w:trPr>
          <w:trHeight w:val="257"/>
        </w:trPr>
        <w:tc>
          <w:tcPr>
            <w:tcW w:w="4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4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27,541</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57"/>
        </w:trPr>
        <w:tc>
          <w:tcPr>
            <w:tcW w:w="4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32,698,951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36,001,670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33,187,196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36,239,997</w:t>
            </w:r>
          </w:p>
        </w:tc>
      </w:tr>
      <w:tr>
        <w:trPr>
          <w:trHeight w:val="234"/>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33,090,806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36,871,674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33,639,811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37,115,490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gridSpan w:val="1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2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960" w:type="dxa"/>
            <w:vAlign w:val="bottom"/>
            <w:gridSpan w:val="4"/>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8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40,010,435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(6,974,510)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 stock,</w:t>
            </w:r>
          </w:p>
        </w:tc>
        <w:tc>
          <w:tcPr>
            <w:tcW w:w="20" w:type="dxa"/>
            <w:vAlign w:val="bottom"/>
          </w:tcPr>
          <w:p>
            <w:pPr>
              <w:spacing w:after="0"/>
              <w:rPr>
                <w:sz w:val="15"/>
                <w:szCs w:val="15"/>
                <w:color w:val="auto"/>
              </w:rPr>
            </w:pPr>
          </w:p>
        </w:tc>
        <w:tc>
          <w:tcPr>
            <w:tcW w:w="10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(521,651)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cost</w:t>
            </w:r>
          </w:p>
        </w:tc>
        <w:tc>
          <w:tcPr>
            <w:tcW w:w="2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40,091,006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(7,496,161)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224,788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52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8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39,556,217</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(3,138,725)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(66,884)</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150,896</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155,853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4,075</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Fully vested shares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Acquisition of treasury</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(916,122)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(22,931)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(22,931)</w:t>
            </w:r>
          </w:p>
        </w:tc>
        <w:tc>
          <w:tcPr>
            <w:tcW w:w="0" w:type="dxa"/>
            <w:vAlign w:val="bottom"/>
          </w:tcPr>
          <w:p>
            <w:pPr>
              <w:spacing w:after="0"/>
              <w:rPr>
                <w:sz w:val="1"/>
                <w:szCs w:val="1"/>
                <w:color w:val="auto"/>
              </w:rPr>
            </w:pPr>
          </w:p>
        </w:tc>
      </w:tr>
      <w:tr>
        <w:trPr>
          <w:trHeight w:val="249"/>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at cost</w:t>
            </w:r>
          </w:p>
        </w:tc>
        <w:tc>
          <w:tcPr>
            <w:tcW w:w="20" w:type="dxa"/>
            <w:vAlign w:val="bottom"/>
            <w:shd w:val="clear" w:color="auto" w:fill="CCEEFF"/>
          </w:tcPr>
          <w:p>
            <w:pPr>
              <w:spacing w:after="0"/>
              <w:rPr>
                <w:sz w:val="21"/>
                <w:szCs w:val="21"/>
                <w:color w:val="auto"/>
              </w:rPr>
            </w:pPr>
          </w:p>
        </w:tc>
        <w:tc>
          <w:tcPr>
            <w:tcW w:w="10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39,571,073</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(4,054,847)</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(89,815)</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74,103</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166,318</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150,825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9" w:right="11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2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960" w:type="dxa"/>
            <w:vAlign w:val="bottom"/>
            <w:gridSpan w:val="4"/>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8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39,673,271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(5,850,034)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(125,564)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Fully vested shares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 stock,</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(1,646,127)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 cost</w:t>
            </w:r>
          </w:p>
        </w:tc>
        <w:tc>
          <w:tcPr>
            <w:tcW w:w="20" w:type="dxa"/>
            <w:vAlign w:val="bottom"/>
            <w:shd w:val="clear" w:color="auto" w:fill="CCEEFF"/>
          </w:tcPr>
          <w:p>
            <w:pPr>
              <w:spacing w:after="0"/>
              <w:rPr>
                <w:sz w:val="21"/>
                <w:szCs w:val="21"/>
                <w:color w:val="auto"/>
              </w:rPr>
            </w:pPr>
          </w:p>
        </w:tc>
        <w:tc>
          <w:tcPr>
            <w:tcW w:w="10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40,091,006</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(7,496,161)</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(160,186)</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78,066</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224,788</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gridSpan w:val="1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52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8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39,453,236</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(2,822,266)</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(59,300)</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67,250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48,980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Fully vested shares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1,607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Acquisition of treasury</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(1,232,581)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(30,515)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(30,515)</w:t>
            </w:r>
          </w:p>
        </w:tc>
        <w:tc>
          <w:tcPr>
            <w:tcW w:w="0" w:type="dxa"/>
            <w:vAlign w:val="bottom"/>
          </w:tcPr>
          <w:p>
            <w:pPr>
              <w:spacing w:after="0"/>
              <w:rPr>
                <w:sz w:val="1"/>
                <w:szCs w:val="1"/>
                <w:color w:val="auto"/>
              </w:rPr>
            </w:pPr>
          </w:p>
        </w:tc>
      </w:tr>
      <w:tr>
        <w:trPr>
          <w:trHeight w:val="250"/>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at cost</w:t>
            </w:r>
          </w:p>
        </w:tc>
        <w:tc>
          <w:tcPr>
            <w:tcW w:w="20" w:type="dxa"/>
            <w:vAlign w:val="bottom"/>
            <w:shd w:val="clear" w:color="auto" w:fill="CCEEFF"/>
          </w:tcPr>
          <w:p>
            <w:pPr>
              <w:spacing w:after="0"/>
              <w:rPr>
                <w:sz w:val="21"/>
                <w:szCs w:val="21"/>
                <w:color w:val="auto"/>
              </w:rPr>
            </w:pPr>
          </w:p>
        </w:tc>
        <w:tc>
          <w:tcPr>
            <w:tcW w:w="10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39,571,073</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(4,054,847)</w:t>
            </w:r>
          </w:p>
        </w:tc>
        <w:tc>
          <w:tcPr>
            <w:tcW w:w="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(89,815)</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74,103</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166,318</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150,825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9" w:right="11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000" w:right="2240"/>
        <w:spacing w:after="0" w:line="26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(in thousands, unaudited)</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9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680" w:type="dxa"/>
            <w:vAlign w:val="bottom"/>
            <w:tcBorders>
              <w:bottom w:val="single" w:sz="8" w:color="auto"/>
            </w:tcBorders>
          </w:tcPr>
          <w:p>
            <w:pPr>
              <w:spacing w:after="0"/>
              <w:rPr>
                <w:sz w:val="20"/>
                <w:szCs w:val="20"/>
                <w:color w:val="auto"/>
              </w:rPr>
            </w:pPr>
          </w:p>
        </w:tc>
      </w:tr>
      <w:tr>
        <w:trPr>
          <w:trHeight w:val="237"/>
        </w:trPr>
        <w:tc>
          <w:tcPr>
            <w:tcW w:w="62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20"/>
                <w:szCs w:val="20"/>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0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origination costs amortization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r>
      <w:tr>
        <w:trPr>
          <w:trHeight w:val="237"/>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30"/>
        </w:trPr>
        <w:tc>
          <w:tcPr>
            <w:tcW w:w="6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adjustments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r>
      <w:tr>
        <w:trPr>
          <w:trHeight w:val="230"/>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wires,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(22,227)</w:t>
            </w:r>
          </w:p>
        </w:tc>
      </w:tr>
      <w:tr>
        <w:trPr>
          <w:trHeight w:val="229"/>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9"/>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w:t>
            </w:r>
          </w:p>
        </w:tc>
      </w:tr>
      <w:tr>
        <w:trPr>
          <w:trHeight w:val="230"/>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37"/>
        </w:trPr>
        <w:tc>
          <w:tcPr>
            <w:tcW w:w="6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w:t>
            </w: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48"/>
        </w:trPr>
        <w:tc>
          <w:tcPr>
            <w:tcW w:w="6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r>
      <w:tr>
        <w:trPr>
          <w:trHeight w:val="236"/>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business acquisition, net of cash and cash equivalents acquired</w:t>
            </w:r>
          </w:p>
        </w:tc>
        <w:tc>
          <w:tcPr>
            <w:tcW w:w="10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16"/>
        </w:trPr>
        <w:tc>
          <w:tcPr>
            <w:tcW w:w="6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w:t>
            </w:r>
          </w:p>
        </w:tc>
      </w:tr>
      <w:tr>
        <w:trPr>
          <w:trHeight w:val="162"/>
        </w:trPr>
        <w:tc>
          <w:tcPr>
            <w:tcW w:w="6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term loan facility</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revolving credit facility,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origination costs</w:t>
            </w:r>
          </w:p>
        </w:tc>
        <w:tc>
          <w:tcPr>
            <w:tcW w:w="10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proceeds from exercise of stock options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stock-based awards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6"/>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(30,515)</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r>
      <w:tr>
        <w:trPr>
          <w:trHeight w:val="148"/>
        </w:trPr>
        <w:tc>
          <w:tcPr>
            <w:tcW w:w="6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148"/>
        </w:trPr>
        <w:tc>
          <w:tcPr>
            <w:tcW w:w="6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r>
      <w:tr>
        <w:trPr>
          <w:trHeight w:val="162"/>
        </w:trPr>
        <w:tc>
          <w:tcPr>
            <w:tcW w:w="6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239,203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149,493</w:t>
            </w:r>
          </w:p>
        </w:tc>
      </w:tr>
      <w:tr>
        <w:trPr>
          <w:trHeight w:val="149"/>
        </w:trPr>
        <w:tc>
          <w:tcPr>
            <w:tcW w:w="6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233,209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147,372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9"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140" w:right="1460"/>
        <w:spacing w:after="0" w:line="27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6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37"/>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13,257</w:t>
            </w:r>
          </w:p>
        </w:tc>
      </w:tr>
      <w:tr>
        <w:trPr>
          <w:trHeight w:val="256"/>
        </w:trPr>
        <w:tc>
          <w:tcPr>
            <w:tcW w:w="6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23"/>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receivable balance from LAN Holdings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57"/>
        </w:trPr>
        <w:tc>
          <w:tcPr>
            <w:tcW w:w="6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r>
      <w:tr>
        <w:trPr>
          <w:trHeight w:val="23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cashless exercise of options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19" w:right="11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ind w:left="5520" w:right="2680" w:hanging="2834"/>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BUSINESS AND ACCOUNTING POLICIES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 Money Express, Inc. (the “Company” or “us” or “we”) operates as a money transmitter between the United States of America (“United States” or “U.S.”), Canada, Spain, Italy and Germany primarily to Mexico, Guatemala and other countries in Latin America, Africa and Asia through a network of authorized agents located in various unaffiliated retail establishments and 118 Company-operated stores throughout those jurisdictions.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include International Money Express, Inc. and other entities in which the Company has a controlling financial interest. All significant inter-company balances and transactions have been eliminated from the condensed consolidated financial statements. The condensed consolidated financial statements are prepared in accordance with accounting principles generally accepted in the United States (“GAAP”).</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and Italy and short-term investment accounts in Mexico, which may not be fully insured. During the three and six months ended June 30, 2024, the Company has not incurred any losses on these uninsured foreign bank accounts.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 substantial portion of our paying agents are concentrated in a few large banks and financial institutions and large retail chains in Latin American countries.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Pronouncements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FASB issued guidance, ASU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guidance does not change how a public entity identifies its operating segments, aggregates them, or applies the quantitative thresholds to determine its reportable segments. Also, it clarifies that entities with a single reportable segment must apply this guidance in its entirety. The new standard is effective for fiscal years beginning after December 15, 2023, and interim periods within fiscal years beginning after December 15, 2024, with early adoption permitted. The amendments in this ASU should be applied retrospectively to all prior periods presented in the financial statements. The Company is currently evaluating the impact this guidance will have on the condensed consolidated financial statements.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FASB issued guidance, ASU 2023-09, Income Taxes (Topic 740): Improvements to Income Tax Disclosures, which focuses on the rate reconciliation and income taxes paid. This guidance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the Company, the new standard is effective for annual periods beginning after December 15, 2024, with early adoption permitted. An entity may apply the amendments in this guidance prospectively by providing the revised disclosures for the period ending December 31, 2025 and continuing to provide the previously required disclosures for the prior periods, or may apply the amendments retrospectively by providing the revised disclosures for all period presented. The Company is currently evaluating the impact this guidance will have on the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LAN Holdings, Corp.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2023, the Company completed the acquisition of 100% of the voting interest of LAN Holdings, Corp. ("LAN Holdings"). LAN Holdings provides the Company the opportunity to enter into markets in which it did not have a presence previously, such as the ability to provide outbound remittance services from Spain, Italy, and Germany.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consideration transferred by the Company in connection with the LAN Acquisition was $13.4 million, which included $10.3 million in cash, subject to customary purchase price adjustments. The Company will also pay an additional $0.6 million in cash as a result of LAN Holdings’ achievement of certain operational milestones during 2023, which the parties have agreed have been achieved. Prior to the acquisition, the Company maintained a receivable balance of approximately $2.5 million related to money transfers paid by the Company on behalf of LAN Holdings. Upon the closing of the LAN Acquisition, the receivable balance was effectively settled and, therefore, included in the determination of the total consideration transferred. The LAN Acquisition was funded with cash on hand.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values of consideration transferred and identifiable net assets acquired in the LAN Acquisition on April 5, 2023, the measurement period adjustments through the period ended June 30, 2024 and the fair values of consideration transferred and identifiable net assets acquired as of June 30,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April 5, 2023</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41"/>
        </w:trPr>
        <w:tc>
          <w:tcPr>
            <w:tcW w:w="468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initially reported)</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Adjusted)</w:t>
            </w:r>
          </w:p>
        </w:tc>
      </w:tr>
      <w:tr>
        <w:trPr>
          <w:trHeight w:val="212"/>
        </w:trPr>
        <w:tc>
          <w:tcPr>
            <w:tcW w:w="46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Assets acquired:</w:t>
            </w: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r>
      <w:tr>
        <w:trPr>
          <w:trHeight w:val="23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wires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r>
      <w:tr>
        <w:trPr>
          <w:trHeight w:val="23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4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w:t>
            </w:r>
          </w:p>
        </w:tc>
      </w:tr>
      <w:tr>
        <w:trPr>
          <w:trHeight w:val="270"/>
        </w:trPr>
        <w:tc>
          <w:tcPr>
            <w:tcW w:w="4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assumed:</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Wire transfers and money orders payable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r>
      <w:tr>
        <w:trPr>
          <w:trHeight w:val="230"/>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9"/>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4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r>
      <w:tr>
        <w:trPr>
          <w:trHeight w:val="270"/>
        </w:trPr>
        <w:tc>
          <w:tcPr>
            <w:tcW w:w="4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w:t>
            </w:r>
          </w:p>
        </w:tc>
      </w:tr>
      <w:tr>
        <w:trPr>
          <w:trHeight w:val="248"/>
        </w:trPr>
        <w:tc>
          <w:tcPr>
            <w:tcW w:w="4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costs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recorded restructuring costs primarily related to certain of its foreign operations and La Nacional. These restructuring costs are part of the Company's plan, for which the objectives are to reorganize the workforce, streamline operational processes, integrate technology functionality, as well as to develop efficiencies within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incurred approximately $2.5 million in expenses for a reduction of workforce in certain locations, closing of certain facilities, discontinuing technology and disposal of obsolete assets. These expenses include approximately $1.7 million in severance payments and related benefits, $0.4 million in software and software development costs</w:t>
      </w: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write-offs and $0.4 million in legal and professional fees, which are included in restructuring costs in the condensed consolidated statement of income and comprehensive income.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paid out $0.7 million of the above charges during the three and six months ended June 30, 2024 and has a liability of $1.4 million recorded in accrued and other liabilities in the condensed consolidated balance sheet as of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Acquisitions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 2024, the Company completed the acquisition of 100% of the issued and outstanding stock of a money services entity incorporated in the United Kingdom. This acquisition provides the Company the opportunity to enter into a market in which it did not have a presence previously, such as the ability to provide outbound remittances from the United Kingdom.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consideration paid by the Company in connection with the acquisition was approximately $1.4 million in cash, subject to customary purchase price adjustments. As of the date of these condensed consolidated financial statements, due to the recent closing of the acquisition, the initial accounting for this transaction is incomplete, including a preliminary allocation of the consideration transferred to the fair value of the assets acquired and liabilities assumed. In addition, due to the timing of the acquisition, the potential income tax consequences of this transaction have not been fully determined.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REVENUES</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recognized revenues from contracts with customers, sending agents and others for the three and six months ended June 30, 2024 and 2023,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49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270,259</w:t>
            </w:r>
          </w:p>
        </w:tc>
      </w:tr>
      <w:tr>
        <w:trPr>
          <w:trHeight w:val="237"/>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Discounts and promotions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268,968</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23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321,943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314,514</w:t>
            </w: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9) and a corresponding loyalty program entry is recorded as contra revenue. Revenue from this performance obligation is recognized upon customers redeeming points or upon expiration of any points outstanding.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offers several other services, including money orders, and check cashing through its sending agents and corporate-operated stores,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Wire transfers and money order fees include money order fees of $0.6 million and $0.5 million for the three months ended June 30, 2024 and 2023, respectively, and $1.1 million for both the six months ended June 30, 2024 and 2023, respectively.</w:t>
      </w: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ACCOUNTS RECEIVABLE AND AGENT ADVANCES RECEIVABLE, NET OF ALLOWANCE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157,847</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Advances Receivable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advances receivable, net of allowance for credit losses, from sending agents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0"/>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current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long-term</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current portion of agent advances receivable is included in prepaid expenses and other current assets (see Note 5), and the net long-term portion is included in other assets in the condensed consolidated balance sheets. At June 30, 2024 and December 31, 2023, there were $5.3 million and $4.6 million, respectively, of agent advances receivable collateralized by personal guarantees from sending agents and assets from their businesses in case of a default by the agent.</w:t>
      </w:r>
    </w:p>
    <w:p>
      <w:pPr>
        <w:sectPr>
          <w:pgSz w:w="11900" w:h="16838" w:orient="portrait"/>
          <w:cols w:equalWidth="0" w:num="1">
            <w:col w:w="11240"/>
          </w:cols>
          <w:pgMar w:left="320" w:top="119"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agent advances receivable at June 30, 2024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27507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5070" cy="16319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Under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7507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75070" cy="16256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More than 2 years to 3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107"/>
        <w:spacing w:after="0"/>
        <w:rPr>
          <w:sz w:val="20"/>
          <w:szCs w:val="20"/>
          <w:color w:val="auto"/>
        </w:rPr>
      </w:pPr>
      <w:r>
        <w:rPr>
          <w:rFonts w:ascii="Times New Roman" w:cs="Times New Roman" w:eastAsia="Times New Roman" w:hAnsi="Times New Roman"/>
          <w:sz w:val="18"/>
          <w:szCs w:val="18"/>
          <w:color w:val="auto"/>
        </w:rPr>
        <w:t>Outstanding Balance</w:t>
      </w:r>
    </w:p>
    <w:p>
      <w:pPr>
        <w:spacing w:after="0" w:line="50" w:lineRule="exact"/>
        <w:rPr>
          <w:sz w:val="20"/>
          <w:szCs w:val="20"/>
          <w:color w:val="auto"/>
        </w:rPr>
      </w:pPr>
    </w:p>
    <w:p>
      <w:pPr>
        <w:ind w:left="1267" w:hanging="1267"/>
        <w:spacing w:after="0"/>
        <w:tabs>
          <w:tab w:leader="none" w:pos="126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2,294</w:t>
      </w:r>
    </w:p>
    <w:p>
      <w:pPr>
        <w:spacing w:after="0" w:line="38" w:lineRule="exact"/>
        <w:rPr>
          <w:rFonts w:ascii="Times New Roman" w:cs="Times New Roman" w:eastAsia="Times New Roman" w:hAnsi="Times New Roman"/>
          <w:sz w:val="17"/>
          <w:szCs w:val="17"/>
          <w:color w:val="auto"/>
        </w:rPr>
      </w:pPr>
    </w:p>
    <w:p>
      <w:pPr>
        <w:ind w:left="12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2,473</w:t>
      </w:r>
    </w:p>
    <w:p>
      <w:pPr>
        <w:spacing w:after="0" w:line="34" w:lineRule="exact"/>
        <w:rPr>
          <w:rFonts w:ascii="Times New Roman" w:cs="Times New Roman" w:eastAsia="Times New Roman" w:hAnsi="Times New Roman"/>
          <w:sz w:val="17"/>
          <w:szCs w:val="17"/>
          <w:color w:val="auto"/>
        </w:rPr>
      </w:pPr>
    </w:p>
    <w:p>
      <w:pPr>
        <w:ind w:left="13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484</w:t>
      </w:r>
    </w:p>
    <w:p>
      <w:pPr>
        <w:spacing w:after="0" w:line="45" w:lineRule="exact"/>
        <w:rPr>
          <w:sz w:val="20"/>
          <w:szCs w:val="20"/>
          <w:color w:val="auto"/>
        </w:rPr>
      </w:pPr>
    </w:p>
    <w:p>
      <w:pPr>
        <w:ind w:left="1267" w:hanging="1267"/>
        <w:spacing w:after="0"/>
        <w:tabs>
          <w:tab w:leader="none" w:pos="126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14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144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062" w:lineRule="exact"/>
        <w:rPr>
          <w:sz w:val="20"/>
          <w:szCs w:val="20"/>
          <w:color w:val="auto"/>
        </w:rPr>
      </w:pPr>
    </w:p>
    <w:p>
      <w:pPr>
        <w:sectPr>
          <w:pgSz w:w="11900" w:h="16838" w:orient="portrait"/>
          <w:cols w:equalWidth="0" w:num="2">
            <w:col w:w="7433" w:space="720"/>
            <w:col w:w="3087"/>
          </w:cols>
          <w:pgMar w:left="320" w:top="119"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related to accounts receivable and agent advances receivable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320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50"/>
        </w:trPr>
        <w:tc>
          <w:tcPr>
            <w:tcW w:w="494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credit losses allocated by financial instrument category is as follows (in thousands):</w:t>
      </w:r>
    </w:p>
    <w:p>
      <w:pPr>
        <w:sectPr>
          <w:pgSz w:w="11900" w:h="16838" w:orient="portrait"/>
          <w:cols w:equalWidth="0" w:num="1">
            <w:col w:w="11240"/>
          </w:cols>
          <w:pgMar w:left="320" w:top="119" w:right="339" w:bottom="1440" w:gutter="0" w:footer="0" w:header="0"/>
          <w:type w:val="continuous"/>
        </w:sectPr>
      </w:pP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400" w:type="dxa"/>
            <w:vAlign w:val="bottom"/>
            <w:tcBorders>
              <w:top w:val="single" w:sz="8" w:color="0000FF"/>
              <w:bottom w:val="single" w:sz="8" w:color="CCEEFF"/>
            </w:tcBorders>
          </w:tcPr>
          <w:p>
            <w:pPr>
              <w:spacing w:after="0"/>
              <w:rPr>
                <w:sz w:val="24"/>
                <w:szCs w:val="24"/>
                <w:color w:val="auto"/>
              </w:rPr>
            </w:pPr>
          </w:p>
        </w:tc>
        <w:tc>
          <w:tcPr>
            <w:tcW w:w="5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Agent advances receivable</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NOTE 5 – PREPAID EXPENSES AND OTHER ASSETS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64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9"/>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fees and services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incentive advances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Tenant allowance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 receivable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59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9"/>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origination fees</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Agent incentive advances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by seized banking entities, net of allowance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Fixed assets in process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CCEEFF"/>
            </w:tcBorders>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32,706</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fixed assets in process included approximately $0.1 million and $6.1 million, respectively, in capital expenditures related to lease hold improvements and other assets in connection with our new headquarters (see Note 7).</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2022, local banking regulators in Mexico resolved to close and liquidate a local financial institution, citing a lack of compliance with minimum capital requirements. The Company has approximately $6.0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any of the Company's funds on deposit. The Company maintains a valuation allowance of approximately $4.3 million in connection with the balance of deposits held by the financial institution as a result of its 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GOODWILL AND INTANGIBLE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and the majority of intangible assets on the condensed consolidated balance sheets of the Company were recognized from business acquisitions. Intangible assets on the condensed consolidated balance sheets of the Company consist of agent relationships, trade names, developed technology and other intangible assets. Agent relationships, trade names and developed technology are amortized over their estimated useful lives of up to 15 years using an accelerated method that correlates with the projected realization of the benefit. The agent relationships intangible represents the network of independent sending agents; trade names refers to the Intermex, La Nacional and I-Transfer names, branded on all applicable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and non-competition agreements, which are amortized over the length of the agreement, typically 5 years. The determination of our intangible fair values includes several</w:t>
      </w:r>
    </w:p>
    <w:p>
      <w:pPr>
        <w:sectPr>
          <w:pgSz w:w="11900" w:h="16838" w:orient="portrait"/>
          <w:cols w:equalWidth="0" w:num="1">
            <w:col w:w="11240"/>
          </w:cols>
          <w:pgMar w:left="320" w:top="108" w:right="339" w:bottom="1440" w:gutter="0" w:footer="0" w:header="0"/>
        </w:sectPr>
      </w:pPr>
    </w:p>
    <w:p>
      <w:pPr>
        <w:spacing w:after="0" w:line="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assumptions that are subject to various risks and uncertainties. Management believes it has made reasonable estimates and judgments concerning these risks and uncertainties, and no impairment charges were determined necessary to be recognized during the three and six months ended June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Intangibles</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 (Refer to Note 2)</w:t>
            </w:r>
          </w:p>
        </w:tc>
        <w:tc>
          <w:tcPr>
            <w:tcW w:w="3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29"/>
        </w:trPr>
        <w:tc>
          <w:tcPr>
            <w:tcW w:w="6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16,136</w:t>
            </w:r>
          </w:p>
        </w:tc>
      </w:tr>
      <w:tr>
        <w:trPr>
          <w:trHeight w:val="21"/>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for the remainder of 2024 and thereafter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54"/>
        </w:trPr>
        <w:tc>
          <w:tcPr>
            <w:tcW w:w="8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LEASES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conduct certain of our operations, the Company is a party to leases for office space, warehouses and Company-operated store locations. In December 2022, the Company entered into a lease agreement, which expires in 2033, for its new headquarters to accommodate its growing workforce. The new lease agreement provides for the Company to receive a tenant allowance amounting to approximately $3.8 million through the construction period, out of which $3.6 million has been disbursed through June 30, 2024. Also, the Company will commence making monthly lease payments on November 1, 2024. Such tenant allowance has been recorded within prepaid expenses and other current assets in the condensed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of right-of-use assets and lease liabilities in the condensed consolidated balance sheets is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7"/>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r>
      <w:tr>
        <w:trPr>
          <w:trHeight w:val="230"/>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w:t>
            </w:r>
          </w:p>
        </w:tc>
      </w:tr>
      <w:tr>
        <w:trPr>
          <w:trHeight w:val="22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r>
      <w:tr>
        <w:trPr>
          <w:trHeight w:val="270"/>
        </w:trPr>
        <w:tc>
          <w:tcPr>
            <w:tcW w:w="3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3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22,670</w:t>
            </w:r>
          </w:p>
        </w:tc>
      </w:tr>
      <w:tr>
        <w:trPr>
          <w:trHeight w:val="248"/>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Operating right-of-use assets are recorded net of accumulated amortization of $11.7 million and $10.0 million as of June 30, 2024 and December 31, 2023,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the three and six months ended June 30, 2024 and 2023, was as follows (in thousands):</w:t>
      </w:r>
    </w:p>
    <w:p>
      <w:pPr>
        <w:spacing w:after="0" w:line="2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4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54"/>
        </w:trPr>
        <w:tc>
          <w:tcPr>
            <w:tcW w:w="40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4"/>
                <w:szCs w:val="24"/>
                <w:color w:val="auto"/>
              </w:rPr>
            </w:pPr>
          </w:p>
        </w:tc>
        <w:tc>
          <w:tcPr>
            <w:tcW w:w="23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40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26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9"/>
        </w:trPr>
        <w:tc>
          <w:tcPr>
            <w:tcW w:w="1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r>
    </w:tbl>
    <w:p>
      <w:pPr>
        <w:spacing w:after="0" w:line="200" w:lineRule="exact"/>
        <w:rPr>
          <w:sz w:val="20"/>
          <w:szCs w:val="20"/>
          <w:color w:val="auto"/>
        </w:rPr>
      </w:pPr>
    </w:p>
    <w:p>
      <w:pPr>
        <w:spacing w:after="0" w:line="3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Company’s weighted-average remaining lease terms on its operating leases is 6.8 and 6.7 years, and the Company’s weighted-average discount rate is 6.18% and 6.06%, respectively, which is the Company’s incremental borrowing rate. The Company used its incremental borrowing rate for all leases, as none of the Company’s lease agreements provide a readily determinable implicit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Payments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assets under non-cancelable operating lease agreements with original terms of more than one year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(6,852)</w:t>
            </w: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NOTE 8 – WIRE TRANSFERS AND MONEY ORDERS PAYABLE, NET</w:t>
            </w:r>
          </w:p>
        </w:tc>
        <w:tc>
          <w:tcPr>
            <w:tcW w:w="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Wire transfers and money orders payable, net consisted of the following (in thousands):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transfers payable,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voided wires payable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orders payable</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9 – ACCRUED AND OTHER LIABILITIES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7"/>
        </w:trPr>
        <w:tc>
          <w:tcPr>
            <w:tcW w:w="4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9"/>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payable to sending agents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w:t>
            </w: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bank charges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professional fees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loyalty program</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related liabilities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7"/>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55"/>
        </w:trPr>
        <w:tc>
          <w:tcPr>
            <w:tcW w:w="40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54,661</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the deferred revenue loyalty program liability (in thousands):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2236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deferred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236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635" cy="16319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June 30, 2024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1241" w:hanging="1241"/>
        <w:spacing w:after="0"/>
        <w:tabs>
          <w:tab w:leader="none" w:pos="12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4,771</w:t>
      </w:r>
    </w:p>
    <w:p>
      <w:pPr>
        <w:spacing w:after="0" w:line="27" w:lineRule="exact"/>
        <w:rPr>
          <w:rFonts w:ascii="Times New Roman" w:cs="Times New Roman" w:eastAsia="Times New Roman" w:hAnsi="Times New Roman"/>
          <w:sz w:val="18"/>
          <w:szCs w:val="18"/>
          <w:color w:val="auto"/>
        </w:rPr>
      </w:pPr>
    </w:p>
    <w:p>
      <w:pPr>
        <w:ind w:left="12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1,499</w:t>
      </w:r>
    </w:p>
    <w:p>
      <w:pPr>
        <w:spacing w:after="0" w:line="23"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(1,476)</w:t>
      </w:r>
    </w:p>
    <w:p>
      <w:pPr>
        <w:spacing w:after="0" w:line="45" w:lineRule="exact"/>
        <w:rPr>
          <w:sz w:val="20"/>
          <w:szCs w:val="20"/>
          <w:color w:val="auto"/>
        </w:rPr>
      </w:pPr>
    </w:p>
    <w:p>
      <w:pPr>
        <w:ind w:left="1241" w:hanging="1241"/>
        <w:spacing w:after="0"/>
        <w:tabs>
          <w:tab w:leader="none" w:pos="12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972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97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26" w:lineRule="exact"/>
        <w:rPr>
          <w:sz w:val="20"/>
          <w:szCs w:val="20"/>
          <w:color w:val="auto"/>
        </w:rPr>
      </w:pPr>
    </w:p>
    <w:p>
      <w:pPr>
        <w:sectPr>
          <w:pgSz w:w="11900" w:h="16838" w:orient="portrait"/>
          <w:cols w:equalWidth="0" w:num="2">
            <w:col w:w="7440" w:space="659"/>
            <w:col w:w="3141"/>
          </w:cols>
          <w:pgMar w:left="320" w:top="108"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75,469</w:t>
            </w:r>
          </w:p>
        </w:tc>
      </w:tr>
      <w:tr>
        <w:trPr>
          <w:trHeight w:val="223"/>
        </w:trPr>
        <w:tc>
          <w:tcPr>
            <w:tcW w:w="6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189,469</w:t>
            </w:r>
          </w:p>
        </w:tc>
      </w:tr>
      <w:tr>
        <w:trPr>
          <w:trHeight w:val="230"/>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of long-term debt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origination costs</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9"/>
        </w:trPr>
        <w:tc>
          <w:tcPr>
            <w:tcW w:w="6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181,073</w:t>
            </w:r>
          </w:p>
        </w:tc>
      </w:tr>
      <w:tr>
        <w:trPr>
          <w:trHeight w:val="21"/>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Current portion of long-term debt is net of debt origination costs of approximately $0.5 million as of both June 30, 2024 and December 31, 2023, respectively.</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certain of its domestic subsidiaries as borrowers and the other guarantors from time to time party thereto (collectively, the “Loan Parties”) maintain an Amended and Restated Credit Agreement (as amended, the “A&amp;R Credit Agreement”) with a group of banking institutions. The A&amp;R Credit Agreement provides for a $220.0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facility under the Company’s previous credit agreement, and the revolving credit facility is available for working capital, general corporate purposes and to pay fees and expenses in connection with entry into the A&amp;R Credit Agreement. The maturity date of the A&amp;R Credit Agreement is June 24, 2026.</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unamortized portion of debt origination costs totaled approximately $2.3 million and $2.9 million at June 30, 2024 and December 31, 2023, respectively. Amortization of debt origination costs is included as a component of interest expense in the condensed consolidated statements of income and comprehensive income and amounted to approximately $0.3 million for both the three months ended June 30, 2024 and 2023, and $0.6 million and $0.5 million for the six months ended June 30, 2024 and 2023, respectively.</w:t>
      </w:r>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the election of the Company, interest on the term loan facility and revolving loans under the A&amp;R Credit Agreement may be determined by reference to the secured overnight financing rate as administered by the Federal Reserve Bank of New York ("SOFR") plus an index</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(as defined in the A&amp;R Credit Agreement), plus an applicable margin ranging between 1.50% and 2.00% based upon the Company’s consolidated leverage ratio, as so calculated. The Company is also required to pay a fee on the unused portion of the revolving credit facility equal to 0.35% per annum.</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interest rates for the term loan facility and revolving credit facility were 8.70% and 2.31%, respectively, for the six months ended June 30, 2024, and 8.03% and 1.85%, respectively, for the six months ended June 30, 2023.</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is payable (x)(i) generally on the last day of each interest period selected for SOFR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A&amp;R Credit Agreement contains financial covenants that require the Company to maintain a quarterly minimum fixed charge coverage ratio of 1.25:1.00 and a quarterly maximum consolidated leverage ratio of 3.25:1.00 and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FAIR VALUE MEASUREMENTS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determines fair value in accordance with the provisions of FASB guidance,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measured at fair value on a nonrecurring basis include goodwill and intangible assets. The determination of our intangible fair values is based on a discounted cash flows analysis that includes several assumptions and inputs to measure the economic benefit of these assets over their useful lives (Level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assets and liabilities are carried at amortized cost.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Company’s financial liabilities include its revolving credit facility and term loan facility. The fair value of the term loan facility, which approximates book value, is estimated by discounting the future cash flows using a current market interest rate (Level 3). The estimated</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of the revolving credit facility would approximate face value given the payment schedule and interest rate structure, which approximates current market interest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certain service providers and independent directors of the Company. There are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June 30, 2024, 1.5 million shares remained available for future awards under the 2020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$42.4 thousand and $119.7 thousand for the three months ended June 30, 2024 and 2023, respectively, and $86.8 thousand and $254.6 thousand for the six months ended June 30, 2024 and 2023, respectively, which are included in salaries and benefits in the condensed consolidated statements of income and comprehensive income. As of June 30, 2024, there is no unrecognized compensation expense related to stock options.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Plans during the six months ended June 30, 2024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Exercisable at June 30, 2024</w:t>
            </w:r>
            <w:r>
              <w:rPr>
                <w:rFonts w:ascii="Times New Roman" w:cs="Times New Roman" w:eastAsia="Times New Roman" w:hAnsi="Times New Roman"/>
                <w:sz w:val="23"/>
                <w:szCs w:val="23"/>
                <w:color w:val="auto"/>
                <w:vertAlign w:val="superscript"/>
              </w:rPr>
              <w:t>(2)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intrinsic value of stock options exercised during the six months ended June 30, 2024 was approximately $3.7 million.</w:t>
      </w:r>
    </w:p>
    <w:p>
      <w:pPr>
        <w:spacing w:after="0" w:line="1" w:lineRule="exact"/>
        <w:rPr>
          <w:rFonts w:ascii="Times New Roman" w:cs="Times New Roman" w:eastAsia="Times New Roman" w:hAnsi="Times New Roman"/>
          <w:sz w:val="22"/>
          <w:szCs w:val="22"/>
          <w:color w:val="auto"/>
          <w:vertAlign w:val="superscript"/>
        </w:rPr>
      </w:pPr>
    </w:p>
    <w:p>
      <w:pPr>
        <w:ind w:firstLine="8"/>
        <w:spacing w:after="0" w:line="219" w:lineRule="auto"/>
        <w:tabs>
          <w:tab w:leader="none" w:pos="18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fair value of all vested/exercisable options outstanding as of June 30, 2024 was $0.8 million, which was determined based on the market value of our stock as of that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RSUs granted under the 2020 Plan to the Company’s employees or certain service providers generally vest in four equal annual installments beginning one year after the date of the grant, while RSUs issued to the Company’s independent directors vest on the one-year anniversary from the grant date. The Company recognized compensation expense for all RSUs of approximately $0.9 million and $0.7 million for the three months ended June 30, 2024 and 2023, respectively, and $1.9 million and $1.3 million for the six months ended June 30, 2024 and 2023, respectively, which are included in salaries and benefits in the condensed consolidated statements of income and</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comprehensive income. As of June 30, 2024, unrecognized compensation expense related to RSUs of approximately $8.1 million is expected to be recognized over a weighted-average period of 2.1 years.</w:t>
      </w:r>
    </w:p>
    <w:p>
      <w:pPr>
        <w:sectPr>
          <w:pgSz w:w="11900" w:h="16838" w:orient="portrait"/>
          <w:cols w:equalWidth="0" w:num="1">
            <w:col w:w="11240"/>
          </w:cols>
          <w:pgMar w:left="320" w:top="119"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during the six months ended June 30, 2024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597471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2023</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97471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Vested (and settled)</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97471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at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84"/>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41"/>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RSUs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25"/>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2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41"/>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r>
      <w:tr>
        <w:trPr>
          <w:trHeight w:val="229"/>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1"/>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2">
            <w:col w:w="6600" w:space="60"/>
            <w:col w:w="4580"/>
          </w:cols>
          <w:pgMar w:left="320" w:top="119" w:right="339" w:bottom="1440" w:gutter="0" w:footer="0" w:header="0"/>
          <w:type w:val="continuous"/>
        </w:sectPr>
      </w:pPr>
    </w:p>
    <w:p>
      <w:pPr>
        <w:ind w:right="2340" w:firstLine="8"/>
        <w:spacing w:after="0"/>
        <w:tabs>
          <w:tab w:leader="none" w:pos="165"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The aggregate fair value of all RSUs granted during the six months ended June 30, 2024 was approximately $5.1 million. </w:t>
      </w:r>
      <w:r>
        <w:rPr>
          <w:rFonts w:ascii="Times New Roman" w:cs="Times New Roman" w:eastAsia="Times New Roman" w:hAnsi="Times New Roman"/>
          <w:sz w:val="16"/>
          <w:szCs w:val="16"/>
          <w:u w:val="single" w:color="auto"/>
          <w:color w:val="auto"/>
        </w:rPr>
        <w:t>Share Awards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911 fully vested shares were granted to the Lead Independent Director and Chairs of the Committees of the Board of Directors resulting in compensation expense of $20.1 thousand for the six months ended June 30, 2024, which is recorded and included in salaries and benefits in the condensed consolidated statements of income and comprehensive income. Effective in the second quarter of 2024, the grant of share awards to certain of the Company's independent directors was replaced with the grant of RSAs as described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RSAs issued under the 2020 Plan to the Company’s employees generally vest in four equal annual installments beginning one year after the date of grant, while RSAs issued to certain of the Company’s independent directors vest over a three-month period. The Company recognized compensation expense for RSAs granted of $0.4 million for both the three months ended June 30, 2024 and 2023, respectively, and $0.8 million and $0.6 million for the six months ended June 30, 2024 and 2023, respectively, which is included in salaries and benefits in the condensed consolidated statements of income and comprehensive income. As of June 30, 2024, there was $4.1 million of unrecognized compensation expense related to RSAs, which is expected to be recognized over a weighted-average period of 1.9 years.</w:t>
      </w:r>
    </w:p>
    <w:p>
      <w:pPr>
        <w:sectPr>
          <w:pgSz w:w="11900" w:h="16838" w:orient="portrait"/>
          <w:cols w:equalWidth="0" w:num="1">
            <w:col w:w="11240"/>
          </w:cols>
          <w:pgMar w:left="320" w:top="119"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RSA activity during the six months ended June 30, 2024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597471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2023</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97471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97471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at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75"/>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RSAs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25"/>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3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3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41"/>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2">
            <w:col w:w="6600" w:space="60"/>
            <w:col w:w="4580"/>
          </w:cols>
          <w:pgMar w:left="320" w:top="119" w:right="339" w:bottom="1440" w:gutter="0" w:footer="0" w:header="0"/>
          <w:type w:val="continuous"/>
        </w:sectPr>
      </w:pPr>
    </w:p>
    <w:p>
      <w:pPr>
        <w:ind w:right="2340" w:firstLine="8"/>
        <w:spacing w:after="0" w:line="532" w:lineRule="auto"/>
        <w:tabs>
          <w:tab w:leader="none" w:pos="165"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The aggregate fair value of all RSAs granted during the six months ended June 30, 2024 was approximately $2.1 million. </w:t>
      </w:r>
      <w:r>
        <w:rPr>
          <w:rFonts w:ascii="Times New Roman" w:cs="Times New Roman" w:eastAsia="Times New Roman" w:hAnsi="Times New Roman"/>
          <w:sz w:val="16"/>
          <w:szCs w:val="16"/>
          <w:u w:val="single" w:color="auto"/>
          <w:color w:val="auto"/>
        </w:rPr>
        <w:t>Performance Stock Units</w:t>
      </w:r>
    </w:p>
    <w:p>
      <w:pPr>
        <w:jc w:val="both"/>
        <w:spacing w:after="0" w:line="258" w:lineRule="auto"/>
        <w:rPr>
          <w:sz w:val="20"/>
          <w:szCs w:val="20"/>
          <w:color w:val="auto"/>
        </w:rPr>
      </w:pPr>
      <w:r>
        <w:rPr>
          <w:rFonts w:ascii="Times New Roman" w:cs="Times New Roman" w:eastAsia="Times New Roman" w:hAnsi="Times New Roman"/>
          <w:sz w:val="18"/>
          <w:szCs w:val="18"/>
          <w:color w:val="auto"/>
        </w:rPr>
        <w:t>PSUs granted under the 2020 Plan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adjusted earnings per share targets for a period of up to three years combined with a service period of three years. Compensation cost is recognized over the requisite service period when it is probable that the performance condition will be satisfied.</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recognized compensation expense for PSUs of $1.0 million for both the three months ended June 30, 2024 and 2023, respectively, and $1.7 million and $1.8 million for the six months ended June 30, 2024 and 2023, respectively, which is included in salaries</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benefits in the condensed consolidated statements of income and comprehensive income. As of June 30, 2024, there was $5.7 million of unrecognized compensation expense related to PSUs, which is expected to be recognized over a weighted-average period of 1.9 years.</w:t>
      </w:r>
    </w:p>
    <w:p>
      <w:pPr>
        <w:sectPr>
          <w:pgSz w:w="11900" w:h="16838" w:orient="portrait"/>
          <w:cols w:equalWidth="0" w:num="1">
            <w:col w:w="11240"/>
          </w:cols>
          <w:pgMar w:left="320" w:top="119"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during the six months ended June 30, 2024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PSUs</w:t>
            </w:r>
          </w:p>
        </w:tc>
      </w:tr>
      <w:tr>
        <w:trPr>
          <w:trHeight w:val="22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(nonvested) at December 31,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247,680</w:t>
            </w:r>
          </w:p>
        </w:tc>
      </w:tr>
      <w:tr>
        <w:trPr>
          <w:trHeight w:val="233"/>
        </w:trPr>
        <w:tc>
          <w:tcPr>
            <w:tcW w:w="522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215,197</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(nonvested) at June 30, 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458,369</w:t>
            </w:r>
          </w:p>
        </w:tc>
      </w:tr>
      <w:tr>
        <w:trPr>
          <w:trHeight w:val="20"/>
        </w:trPr>
        <w:tc>
          <w:tcPr>
            <w:tcW w:w="5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597471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597471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597471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8"/>
          <w:szCs w:val="18"/>
          <w:color w:val="auto"/>
        </w:rPr>
        <w:t>Weighted-</w:t>
      </w:r>
    </w:p>
    <w:p>
      <w:pPr>
        <w:jc w:val="center"/>
        <w:ind w:right="3260"/>
        <w:spacing w:after="0" w:line="219" w:lineRule="auto"/>
        <w:rPr>
          <w:sz w:val="20"/>
          <w:szCs w:val="20"/>
          <w:color w:val="auto"/>
        </w:rPr>
      </w:pPr>
      <w:r>
        <w:rPr>
          <w:rFonts w:ascii="Times New Roman" w:cs="Times New Roman" w:eastAsia="Times New Roman" w:hAnsi="Times New Roman"/>
          <w:sz w:val="18"/>
          <w:szCs w:val="18"/>
          <w:color w:val="auto"/>
        </w:rPr>
        <w:t>Average</w:t>
      </w:r>
    </w:p>
    <w:tbl>
      <w:tblPr>
        <w:tblLayout w:type="fixed"/>
        <w:tblInd w:w="0" w:type="dxa"/>
        <w:tblCellMar>
          <w:top w:w="0" w:type="dxa"/>
          <w:left w:w="0" w:type="dxa"/>
          <w:bottom w:w="0" w:type="dxa"/>
          <w:right w:w="0" w:type="dxa"/>
        </w:tblCellMar>
      </w:tblPr>
      <w:tr>
        <w:trPr>
          <w:trHeight w:val="160"/>
        </w:trPr>
        <w:tc>
          <w:tcPr>
            <w:tcW w:w="142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13"/>
                <w:szCs w:val="13"/>
                <w:color w:val="auto"/>
              </w:rPr>
            </w:pPr>
          </w:p>
        </w:tc>
        <w:tc>
          <w:tcPr>
            <w:tcW w:w="1160" w:type="dxa"/>
            <w:vAlign w:val="bottom"/>
          </w:tcPr>
          <w:p>
            <w:pPr>
              <w:jc w:val="center"/>
              <w:ind w:right="90"/>
              <w:spacing w:after="0" w:line="161"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176"/>
        </w:trPr>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180" w:type="dxa"/>
            <w:vAlign w:val="bottom"/>
          </w:tcPr>
          <w:p>
            <w:pPr>
              <w:spacing w:after="0"/>
              <w:rPr>
                <w:sz w:val="21"/>
                <w:szCs w:val="21"/>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25"/>
        </w:trPr>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34"/>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r>
    </w:tbl>
    <w:p>
      <w:pPr>
        <w:spacing w:after="0" w:line="103" w:lineRule="exact"/>
        <w:rPr>
          <w:sz w:val="20"/>
          <w:szCs w:val="20"/>
          <w:color w:val="auto"/>
        </w:rPr>
      </w:pPr>
    </w:p>
    <w:p>
      <w:pPr>
        <w:sectPr>
          <w:pgSz w:w="11900" w:h="16838" w:orient="portrait"/>
          <w:cols w:equalWidth="0" w:num="2">
            <w:col w:w="6580" w:space="80"/>
            <w:col w:w="4580"/>
          </w:cols>
          <w:pgMar w:left="320" w:top="119" w:right="339" w:bottom="1440" w:gutter="0" w:footer="0" w:header="0"/>
          <w:type w:val="continuous"/>
        </w:sectPr>
      </w:pPr>
    </w:p>
    <w:p>
      <w:pPr>
        <w:ind w:right="2340" w:firstLine="8"/>
        <w:spacing w:after="0" w:line="476" w:lineRule="auto"/>
        <w:tabs>
          <w:tab w:leader="none" w:pos="18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fair value of all PSUs granted during the six months ended June 30, 2024 was approximately $4.2 million. NOTE 13 – EQUITY</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18, 2021, the Company’s Board of Directors approved a stock repurchase program that authorizes the Company to purchase up to $40.0 million of outstanding shares of the Company’s common stock and which was increased on March 3, 2023 to an additional $100.0 million of its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(i) without limitation so long as the Consolidated Leverage Ratio (as defined in the A&amp;R Credit Agreement, as amended),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Separately from the Repurchase Program, on March 11, 2024 the Company entered into an agreement with Robert W. Lisy, the Company’s Chief Executive Officer, President and Chairman of the Board of Directors, for the purchase of 175,000 shares of the Company's common stock for a total purchase price of $3.3 million, in a privately-negotiated transaction. During the three and six months ended June 30, 2024, including the shares previously mentioned, the Company purchased 521,651 shares and 1,646,127 shares, respectively, for an aggregate purchase price of $11.2 million and $34.6 million, respectively. During the three and six months ended June 30, 2023, the Company purchased 916,122 shares and 1,232,581 shares for an aggregate purchase price of $22.9 million and $30.5 million, respectively. As of June 30, 2024, there was $39.4 million available for future share repurchases under the Repurchase Program.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EARNINGS PER SHARE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earnings per share for the periods indicated (in thousands, except for share data):</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797"/>
        </w:trPr>
        <w:tc>
          <w:tcPr>
            <w:tcW w:w="400" w:type="dxa"/>
            <w:vAlign w:val="bottom"/>
            <w:tcBorders>
              <w:top w:val="single" w:sz="8" w:color="0000FF"/>
            </w:tcBorders>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4"/>
                <w:szCs w:val="24"/>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6"/>
        </w:trPr>
        <w:tc>
          <w:tcPr>
            <w:tcW w:w="4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40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7"/>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w:t>
            </w:r>
          </w:p>
        </w:tc>
      </w:tr>
      <w:tr>
        <w:trPr>
          <w:trHeight w:val="257"/>
        </w:trPr>
        <w:tc>
          <w:tcPr>
            <w:tcW w:w="40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32,698,951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36,001,670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33,187,196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36,239,997</w:t>
            </w:r>
          </w:p>
        </w:tc>
      </w:tr>
      <w:tr>
        <w:trPr>
          <w:trHeight w:val="22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131,335</w:t>
            </w:r>
          </w:p>
        </w:tc>
      </w:tr>
      <w:tr>
        <w:trPr>
          <w:trHeight w:val="23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332,531</w:t>
            </w: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RSAs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61,626</w:t>
            </w:r>
          </w:p>
        </w:tc>
      </w:tr>
      <w:tr>
        <w:trPr>
          <w:trHeight w:val="249"/>
        </w:trPr>
        <w:tc>
          <w:tcPr>
            <w:tcW w:w="4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350,001</w:t>
            </w:r>
          </w:p>
        </w:tc>
      </w:tr>
      <w:tr>
        <w:trPr>
          <w:trHeight w:val="21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33,090,806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36,871,674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33,639,811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37,115,490</w:t>
            </w:r>
          </w:p>
        </w:tc>
      </w:tr>
      <w:tr>
        <w:trPr>
          <w:trHeight w:val="257"/>
        </w:trPr>
        <w:tc>
          <w:tcPr>
            <w:tcW w:w="496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3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there were approximately 213.3 thousand RSUs and 113.0 thousand RSAs excluded from the diluted earnings per share calculation because, under the treasury stock method, the inclusion of these would be anti-dilutive.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2023, there were approximately 111.9 thousand RSUs and 58.4 thousand RSAs excluded from the diluted earnings per share calculation because, under the treasury stock method, the inclusion of these would be anti-dilutive.</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discussed in Note 13, the Company repurchased 521,651 shares and 1,646,127 shares of its common stock in the three and six months ended June 30, 2024, respectively. The effect of these repurchases on the Company’s weighted-average shares outstanding for the three and six months ended June 30, 2024 was a reduction of 1,494,643 shares and 940,695 shares, respectively, due to the timing of the repurchases.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INCOME TAXES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reconciliation between the income tax provision at the U.S. statutory tax rate and the Company’s income tax provision on the condensed consolidated statements of income and comprehensive income is below (in thousands, except for tax rates):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8"/>
                <w:szCs w:val="18"/>
                <w:color w:val="auto"/>
              </w:rPr>
            </w:pPr>
          </w:p>
        </w:tc>
        <w:tc>
          <w:tcPr>
            <w:tcW w:w="29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50"/>
        </w:trPr>
        <w:tc>
          <w:tcPr>
            <w:tcW w:w="46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w:t>
            </w:r>
          </w:p>
        </w:tc>
        <w:tc>
          <w:tcPr>
            <w:tcW w:w="11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w:t>
            </w:r>
          </w:p>
        </w:tc>
        <w:tc>
          <w:tcPr>
            <w:tcW w:w="1160" w:type="dxa"/>
            <w:vAlign w:val="bottom"/>
            <w:tcBorders>
              <w:bottom w:val="single" w:sz="8" w:color="auto"/>
            </w:tcBorders>
          </w:tcPr>
          <w:p>
            <w:pPr>
              <w:spacing w:after="0"/>
              <w:rPr>
                <w:sz w:val="21"/>
                <w:szCs w:val="21"/>
                <w:color w:val="auto"/>
              </w:rPr>
            </w:pPr>
          </w:p>
        </w:tc>
      </w:tr>
      <w:tr>
        <w:trPr>
          <w:trHeight w:val="237"/>
        </w:trPr>
        <w:tc>
          <w:tcPr>
            <w:tcW w:w="46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36,693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38,739</w:t>
            </w:r>
          </w:p>
        </w:tc>
      </w:tr>
      <w:tr>
        <w:trPr>
          <w:trHeight w:val="23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statutory tax rate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8,135</w:t>
            </w:r>
          </w:p>
        </w:tc>
      </w:tr>
      <w:tr>
        <w:trPr>
          <w:trHeight w:val="256"/>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expense, net of federal benefit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3,055</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rates different from U.S. statutory rate</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(274)</w:t>
            </w: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6,669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10,554</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11,555</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With certain exceptions, these net operating loss carryforwards will expire from 2030 through 2037 for federal losses, from 2029 through 2038 for state losses, and from 2039 through 2044 for foreign losses. After consideration of all evidence, both positive and negative, management has determined that no valuation allowance is required at June 30, 2024 on the Company’s U.S. federal or state deferred tax assets; however, a valuation allowance has been recorded at June 30, 2024 on deferred tax assets associated with Canadian, Spanish, Italian, German and Dutch net operating loss carryforwards as these foreign subsidiaries have a history of incurring taxable losses in recent years. The valuation allowance will be maintained until sufficient positive evidence exists to support their future realization. Utilization of the Company’s net operating loss carryforwards is subject to limitation under Internal Revenue Code Section 382 and similar tax provisions in the foreign jurisdictions in which we operate.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presented in the income tax reconciliation above, the tax provision recognized on the condensed consolidated statements of income and comprehensive income was impacted by state taxes, non-deductible officer compensation and share-based compensation tax benefits, and foreign tax rates applicable to the Company’s foreign subsidiaries that are higher or lower than the U.S. statutory rate. Our effective state tax rate for the three and six months ended June 30, 2024 was lower than our effective state tax rate for the three and six ended June 30, 2023. The decrease in our effective state tax rate is primarily a result of a decrease in the statutory rates for certain states in which we operate.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leases for office space, warehouses and certain Company-operated store locations. Refer to Note 7 - 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 and Legal Proceedings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all 50 states in the United States, two U.S. territories and seven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Requirements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applicable licensing laws, certain domestic and foreign subsidiaries of the Company are required to maintain minimum tangible net worth and liquid assets (eligible securities) to cover the amount outstanding of wire transfers and money orders payable. As of June 30, 2024, the Company’s subsidiaries were in material compliance with these two requirements.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2023.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leading omnichannel money remittance services company focused primarily on the United States of America (“United States” or “U.S.”) to Latin America and the Caribbean (“LAC”) corridor, which includes Mexico, Central and South America and the Caribbean. We also provide our remittances services to Africa and Asia from the United States and offer sending services from Canada to Latin America and Africa. Also, through the acquisition of LAN Holdings we now provide remittance services from Spain, Italy and Germany to Africa, Asia and Latin America. We utilize our proprietary technology to deliver convenient, reliable and value-added services to consumers through a broad network of sending and paying agents as well as our own Company-operated stores and paying entities.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Africa and Asia. Our services are accessible in person through over 180,000 independent sending and paying agents and 118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or Euro can also generate revenue if we are successful in our daily management of currency exchange spreads.</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money remittance services enable consumers to send funds through our broad network of locations in the United States, Canada, Spain, Italy and Germany that are primarily operated by third-party businesses, as well as through our Company-operated stores located in those jurisdictions. Transactions are processed and payment is collected by our agents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online.i-transfer.es and via Internet-enabled mobile devices. For the six months ended June 30, 2024, we have grown our agent network by approximately 0.5%. For the six months ended June 30, 2024, principal amount sent increased by approximately 1.4% to $11.9 billion, as compared to the same period in 2023, and total remittances processed were approximately 28.7 million, representing an increase of approximately 2.7%, as compared to the same period in 2023 primarily related to increased volume generated by our agent network.</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recorded restructuring costs primarily related to certain of its foreign operations and La Nacional. These restructuring costs are part of the Company's plan, for which the objectives are to reorganize the workforce, streamline operational processes, integrate technology functionality as well as increase efficiencies within the Company.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incurred approximately $2.5 million in restructuring costs in expenses for a reduction of workforce in certain locations, closing of certain facilities, discontinuing technology and disposal of obsolete</w:t>
      </w:r>
    </w:p>
    <w:p>
      <w:pPr>
        <w:spacing w:after="0" w:line="2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These expenses include approximately $1.7 million in severance payments and related benefits, $0.4 million in software and software development costs write-offs and $0.4 million in legal and professional fees, which are included in restructuring costs in the condensed consolidated statement of income and comprehensive income.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he Company has paid out $0.7 million of the above charges during the three months ended June 30, 2024 and has a liability of $1.4 million recorded in accrued and other liabilities in the condensed consolidated balance sheet as of June 30, 2024. We expect to incur a total of approximately $[2.8] million in connection with the restructuring of La Nacional and certain of our foreign subsidiaries.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implementing this strategy, the Company expects to reduce compensation expense and certain facilities related charges in an amount of approximately [$2.0 million] a year. The anticipated effect of this reduction in expenses will be primarily realized during 2025. In addition, the Company does not expect that the execution of this strategy will result in any material reduction of revenues or increase of its ongoing operating expenses.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Various trends and other factors have affected and may continue to affect our business, financial condition and operating results, including, but not limited to:</w:t>
      </w:r>
    </w:p>
    <w:p>
      <w:pPr>
        <w:spacing w:after="0" w:line="189" w:lineRule="exact"/>
        <w:rPr>
          <w:sz w:val="20"/>
          <w:szCs w:val="20"/>
          <w:color w:val="auto"/>
        </w:rPr>
      </w:pPr>
    </w:p>
    <w:p>
      <w:pPr>
        <w:ind w:left="900" w:hanging="244"/>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business with, key sending agents;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rising interest rates;</w:t>
      </w:r>
    </w:p>
    <w:p>
      <w:pPr>
        <w:spacing w:after="0" w:line="11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political instability, tariffs, border taxes or restrictions on remittances or transfers from the outbound countries in which we operate or plan to operate;</w:t>
      </w:r>
    </w:p>
    <w:p>
      <w:pPr>
        <w:spacing w:after="0" w:line="53"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brands and in consumer money transfers generally;</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geographic markets or product markets;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manage, integrate and obtain the anticipated financial benefits of key acquisitions and mergers;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risk management and compliance policies, procedures and systems to mitigate risk related to transaction monitoring;</w:t>
      </w:r>
    </w:p>
    <w:p>
      <w:pPr>
        <w:spacing w:after="0" w:line="11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 or the improper or illegal use of our services by consumers or our sending agents;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cybersecurity-attacks or disruptions to our information technology, computer network systems, data centers and mobile device apps;</w:t>
      </w:r>
    </w:p>
    <w:p>
      <w:pPr>
        <w:spacing w:after="0" w:line="117"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money transfer and payment ecosystem, including the introduction of new digital platforms;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and introducing new products, services and infrastructure;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paying agent relationships necessary to conduct our business;</w:t>
      </w:r>
    </w:p>
    <w:p>
      <w:pPr>
        <w:spacing w:after="0" w:line="11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the clearing, cash management or custodial financial institutions with which we do business;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banking industry regulation and practice;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117"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laws and regulatory requirements including those intended to prevent use of our money remittance services for criminal activity, those related to data and cyber-security protection, and those related to new business initiatives;</w:t>
      </w:r>
    </w:p>
    <w:p>
      <w:pPr>
        <w:spacing w:after="0" w:line="10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and private litigation under regulations applicable to the money remittance services;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 the countries we operate;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brands and intellectual property rights;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 and service providers; and</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w:t>
      </w:r>
    </w:p>
    <w:p>
      <w:pPr>
        <w:spacing w:after="0" w:line="3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Political, social and economic conditions in key Latin American markets continue to exhibit instability, as evidenced by higher interest rates, high unemployment rates, restricted lending activity, higher inflation, volatility in foreign currencies and low consumer confidence, among other economic, political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Unites States to the Dominican Republic. According to the latest information available from the World Bank Remittance Matrix, the United States to Mexico remittance corridor was one of the largest in the world in 2023. Furthermore, remittances volume to low and middle income countries grew approximately 3.8% during 2023 according to the latest Migrations and Development Brief report from the World Bank.</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human trafficking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Compliance Officer.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encountered and continue to expect to encounter increasing competition as new electronic platforms emerge that enable consumers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increased consumer adoption.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w:t>
      </w:r>
    </w:p>
    <w:p>
      <w:pPr>
        <w:sectPr>
          <w:pgSz w:w="11900" w:h="16838" w:orient="portrait"/>
          <w:cols w:equalWidth="0" w:num="1">
            <w:col w:w="11240"/>
          </w:cols>
          <w:pgMar w:left="320" w:top="119" w:right="339" w:bottom="1440" w:gutter="0" w:footer="0" w:header="0"/>
        </w:sectPr>
      </w:pP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supplement to our U.S. GAAP condensed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 Also, we generate revenues from technology services provided to the independent network of agents that utilize the Company’s technology in processing transactions paid by credit or debit card, check cashing services and maintenance fees, for which revenue is derived by a fee per transaction.</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Charges from Agents and Banks</w:t>
      </w:r>
    </w:p>
    <w:p>
      <w:pPr>
        <w:spacing w:after="0" w:line="2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Service charges primarily consist of sending and paying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5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restricted stock units (“RSUs”), restricted stock awards (“RSAs”) and performance stock units (“PSUs”) of approximately $17.9 million is expected to be recognized over a weighted-average period of 2.0 years.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Selling, General and Administrative</w:t>
      </w:r>
    </w:p>
    <w:p>
      <w:pPr>
        <w:spacing w:after="0" w:line="2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fixed overhead expenses associated with our operations, such as information technology, telecommunications, rent, insurance, professional services, non-income or indirect taxes, facilities maintenance, provision for credit losses and other similar types of operating expenses. A portion of these expenses relate to our Company-operated stores; however, the majority relate to the overall business operation and compliance requirements of a regulated publicly traded financial services company. Selling expenses include expenses such as advertising and promotion, shipping, supplies and other expenses associated with serving and increasing our network of agents.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incurred costs associated with restructuring plans primarily related to our foreign operations and La Nacional. These costs included all internal and external costs directly related with the restructuring and consist primarily of severance payments, write-off of assets and certain legal and professional fees.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 Costs</w:t>
      </w:r>
    </w:p>
    <w:p>
      <w:pPr>
        <w:spacing w:after="0" w:line="25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We incurred transaction costs associated with potential acquisitions. These costs included all internal and external costs directly related to the transaction, consisting primarily of legal, consulting, accounting and advisory fees and certain incentive bonuses.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Interest expense consists primarily of interest associated with our debt, which consists of a term loan facility and a revolving credit facility. The effective interest rates for the six months ended June 30, 2024 for the term loan facility and revolving credit facility were 8.70% and 2.31%, respectively.</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is determined by subtracting operating and non-operating expenses from revenues.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Our business is organized around one reportable segment that provides money transmittal services primarily between the United States and Canada to Mexico, Guatemala and other countries in Latin America, Africa, Asia and Europe through a network of authorized agents located in various unaffiliated retail establishments and 118 Company-operated stores throughout the United States, Canada, Spain, Italy and Germany. This is based on the objectives of the business and how our chief operating decision maker, the CEO and President, monitors operating performance and allocates resources.</w:t>
      </w:r>
    </w:p>
    <w:p>
      <w:pPr>
        <w:spacing w:after="0" w:line="200" w:lineRule="exact"/>
        <w:rPr>
          <w:sz w:val="20"/>
          <w:szCs w:val="20"/>
          <w:color w:val="auto"/>
        </w:rPr>
      </w:pPr>
    </w:p>
    <w:p>
      <w:pPr>
        <w:spacing w:after="0" w:line="2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0" w:type="dxa"/>
            <w:vAlign w:val="bottom"/>
          </w:tcPr>
          <w:p>
            <w:pPr>
              <w:spacing w:after="0"/>
              <w:rPr>
                <w:sz w:val="20"/>
                <w:szCs w:val="20"/>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data)</w:t>
            </w: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272,758</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268,968</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237"/>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2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314,514</w:t>
            </w:r>
          </w:p>
        </w:tc>
      </w:tr>
      <w:tr>
        <w:trPr>
          <w:trHeight w:val="270"/>
        </w:trPr>
        <w:tc>
          <w:tcPr>
            <w:tcW w:w="4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207,113</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33,808</w:t>
            </w: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23,974</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w:t>
            </w:r>
          </w:p>
        </w:tc>
      </w:tr>
      <w:tr>
        <w:trPr>
          <w:trHeight w:val="237"/>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270,933</w:t>
            </w:r>
          </w:p>
        </w:tc>
      </w:tr>
      <w:tr>
        <w:trPr>
          <w:trHeight w:val="257"/>
        </w:trPr>
        <w:tc>
          <w:tcPr>
            <w:tcW w:w="4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43,581</w:t>
            </w:r>
          </w:p>
        </w:tc>
      </w:tr>
      <w:tr>
        <w:trPr>
          <w:trHeight w:val="270"/>
        </w:trPr>
        <w:tc>
          <w:tcPr>
            <w:tcW w:w="4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r>
      <w:tr>
        <w:trPr>
          <w:trHeight w:val="256"/>
        </w:trPr>
        <w:tc>
          <w:tcPr>
            <w:tcW w:w="4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38,739</w:t>
            </w:r>
          </w:p>
        </w:tc>
      </w:tr>
      <w:tr>
        <w:trPr>
          <w:trHeight w:val="270"/>
        </w:trPr>
        <w:tc>
          <w:tcPr>
            <w:tcW w:w="4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57"/>
        </w:trPr>
        <w:tc>
          <w:tcPr>
            <w:tcW w:w="4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2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2024</w:t>
            </w:r>
          </w:p>
        </w:tc>
        <w:tc>
          <w:tcPr>
            <w:tcW w:w="136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2023</w:t>
            </w:r>
          </w:p>
        </w:tc>
        <w:tc>
          <w:tcPr>
            <w:tcW w:w="12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145,837</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3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171,531</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300" w:firstLine="324"/>
        <w:spacing w:after="0" w:line="281" w:lineRule="auto"/>
        <w:rPr>
          <w:sz w:val="20"/>
          <w:szCs w:val="20"/>
          <w:color w:val="auto"/>
        </w:rPr>
      </w:pPr>
      <w:r>
        <w:rPr>
          <w:rFonts w:ascii="Times New Roman" w:cs="Times New Roman" w:eastAsia="Times New Roman" w:hAnsi="Times New Roman"/>
          <w:sz w:val="18"/>
          <w:szCs w:val="18"/>
          <w:color w:val="auto"/>
        </w:rPr>
        <w:t>Wire transfer and money order fees, net of $145.8 million for the three months ended June 30, 2024 increased by $1.3 million, or 1%, from $144.5 million for the three months ended June 30, 2023. The increase was primarily due to a 1% increase in transaction volume in</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second quarter of 2024 compared to the second quarter of 2023, due to the continued growth in our agent network which increased by 1%, net when compared to June 30, 2023.</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from foreign exchange gain, net of $22.8 million for the three months ended June 30, 2024 increased by $0.4 million, or 2%, from $22.4 million for the three months ended June 30, 2023. This increase was primarily due to higher transaction volume and principal amount sent by our agent network combined with a slightly higher foreign exchange spread on money transfers sent to certain countries in LAC.</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of $2.9 million for the three months ended June 30, 2024 increased by $0.6 million, or 2.6%, from $2.3 million for the three months ended June 30, 2023 primarily due to the impact of the revenue generated from ancillary services provided to a particular segment of our consumer base, an increase in fees related to a higher volume of transfers deemed abandoned property, check cashing service fees, as well as an increase in income related to money transfer transactions paid with debit or credit cards.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June 30, 2024</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113,369</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148,627</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87 %</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Service charges from agents and banks </w:t>
      </w:r>
      <w:r>
        <w:rPr>
          <w:rFonts w:ascii="Times New Roman" w:cs="Times New Roman" w:eastAsia="Times New Roman" w:hAnsi="Times New Roman"/>
          <w:sz w:val="18"/>
          <w:szCs w:val="18"/>
          <w:color w:val="auto"/>
        </w:rPr>
        <w:t>— Service charges from agents and banks were $113.4 million for the three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$111.0 million for the three months ended June 30, 2023. The increase of $2.4 million, or 2%, was primarily due to the increase in transaction volume described above and a higher sending agent fee per transaction due to an increase in total principal sent as well as an increase in fees related to money transfers processed online or by using mobile devices.</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Salaries and benefits </w:t>
      </w:r>
      <w:r>
        <w:rPr>
          <w:rFonts w:ascii="Times New Roman" w:cs="Times New Roman" w:eastAsia="Times New Roman" w:hAnsi="Times New Roman"/>
          <w:sz w:val="18"/>
          <w:szCs w:val="18"/>
          <w:color w:val="auto"/>
        </w:rPr>
        <w:t>— Salaries and benefits of $16.9 million for the three months ended June 30, 2024 decreased by $0.7 million, or 4%, from $17.6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2023. The decrease is primarily due to cost savings related to the restructuring plan of La Nacional, which was implemented in the third quarter of 2023.</w:t>
      </w:r>
    </w:p>
    <w:p>
      <w:pPr>
        <w:spacing w:after="0" w:line="20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selling, general and administrative expenses </w:t>
      </w:r>
      <w:r>
        <w:rPr>
          <w:rFonts w:ascii="Times New Roman" w:cs="Times New Roman" w:eastAsia="Times New Roman" w:hAnsi="Times New Roman"/>
          <w:sz w:val="18"/>
          <w:szCs w:val="18"/>
          <w:color w:val="auto"/>
        </w:rPr>
        <w:t>— Other selling, general and administrative expenses of $12.3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decreased by $0.3 million, or 2.4%, from $12.6 million for the three months ended June 30, 2023.</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was primarily the result of:</w:t>
      </w:r>
    </w:p>
    <w:p>
      <w:pPr>
        <w:spacing w:after="0" w:line="252" w:lineRule="exact"/>
        <w:rPr>
          <w:sz w:val="20"/>
          <w:szCs w:val="20"/>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$0.6 million - related to a gain on a legal contingency settlement that was recorded in the second quarter of 2024 and collected in July 2024; and</w:t>
      </w:r>
    </w:p>
    <w:p>
      <w:pPr>
        <w:spacing w:after="0" w:line="27" w:lineRule="exact"/>
        <w:rPr>
          <w:rFonts w:ascii="Times New Roman" w:cs="Times New Roman" w:eastAsia="Times New Roman" w:hAnsi="Times New Roman"/>
          <w:sz w:val="18"/>
          <w:szCs w:val="18"/>
          <w:i w:val="1"/>
          <w:iCs w:val="1"/>
          <w:color w:val="auto"/>
        </w:rPr>
      </w:pPr>
    </w:p>
    <w:p>
      <w:pPr>
        <w:ind w:left="740" w:hanging="246"/>
        <w:spacing w:after="0" w:line="260" w:lineRule="auto"/>
        <w:tabs>
          <w:tab w:leader="none" w:pos="7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$0.3 million - decrease in facilities related expenses during the three months ended June 30, 2024 primarily related to facility closures as a result of the restructuring of La Nacional during the third quarter of 2023.</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decrease was partially offset by:</w:t>
      </w:r>
    </w:p>
    <w:p>
      <w:pPr>
        <w:spacing w:after="0" w:line="252" w:lineRule="exact"/>
        <w:rPr>
          <w:sz w:val="20"/>
          <w:szCs w:val="20"/>
          <w:color w:val="auto"/>
        </w:rPr>
      </w:pPr>
    </w:p>
    <w:p>
      <w:pPr>
        <w:ind w:left="740" w:right="20" w:hanging="246"/>
        <w:spacing w:after="0" w:line="282" w:lineRule="auto"/>
        <w:tabs>
          <w:tab w:leader="none" w:pos="73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$0.6 million - increase in provision for credit losses primarily due to higher outstanding receivable balances from sending agents as of June 30, 2024 compared to June 30, 2023 as receivable balances tend to increase during weekends.</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 Restructuring costs of $2.7 million for the three months ended June 30, 2024 included $1.9 million in severance costs,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fixed assets impairment, and $0.4 million in legal and professional fees primarily related to the restructuring of La Nacional and our foreign operations.</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Depreciation and amortization of $3.4 million for the three months ended June 30, 2024 increased by $0.3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9.7% from $3.1 million for the three months ended June 30, 2023. The increase is the result of higher depreciation associated with additional software developed and computer equipment acquired to support our growing business and sending agent</w:t>
      </w:r>
    </w:p>
    <w:p>
      <w:pPr>
        <w:sectPr>
          <w:pgSz w:w="11900" w:h="16838" w:orient="portrait"/>
          <w:cols w:equalWidth="0" w:num="1">
            <w:col w:w="11240"/>
          </w:cols>
          <w:pgMar w:left="320" w:top="119" w:right="339" w:bottom="1440" w:gutter="0" w:footer="0" w:header="0"/>
        </w:sectPr>
      </w:pPr>
    </w:p>
    <w:p>
      <w:pPr>
        <w:spacing w:after="0" w:line="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network, as well as depreciation related to assets capitalized in connection with the Company’s new headquarters. These increases were partially offset by a decrease of approximately $0.2 million in amortization related to our Intermex trade name, developed technology and agent relationships during the three months ended June 30, 2024, as these intangibles are being amortized on an accelerated basis, which declines over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of $3.1 million for the three months ended June 30, 2024 increased by $0.4 million, or 14.8%, from $2.7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2023. The increase was primarily due to higher market interest rates and higher draws under our revolving credit facility to support the growth in our business.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 Income tax provision was $5.8 million for the three months ended June 30, 2024, which represents a decrease of $0.9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 income tax provision of $6.7 million for the three months ended June 30, 2023. The decrease in income tax provision was mainly attributable to lower income before taxes, a decrease in our effective state tax rate and higher deductible share-based compensation for the three months ended June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Net Income of $14.0 million for the three months ended June 30, 2024 compared to Net Income of $15.4 million for the three months ended June 30, 2023, which resulted in a decrease of $1.4 million, or 9.1%, due to the same factors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Earnings per Share - Basic for both the three months ended June 30, 2024 and 2023 was $0.43 due to the decrease in net income offset by a reduced share count as a result of the stock repurchases.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Earnings per Share - Diluted for both the three months ended June 30, 2024 and 2023 was $0.42 due to the decrease in net income offset by a reduced share count as a result of the stock repurchases.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acquisition activities, which varies from period to period.</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particular, Adjusted EBITDA is subject to certain limitations, including the following:</w:t>
      </w:r>
    </w:p>
    <w:p>
      <w:pPr>
        <w:spacing w:after="0" w:line="252" w:lineRule="exact"/>
        <w:rPr>
          <w:sz w:val="20"/>
          <w:szCs w:val="20"/>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amounts necessary to service interest or principal payments on our debt;</w:t>
      </w:r>
    </w:p>
    <w:p>
      <w:pPr>
        <w:spacing w:after="0" w:line="252"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88" w:lineRule="exact"/>
        <w:rPr>
          <w:rFonts w:ascii="Times New Roman" w:cs="Times New Roman" w:eastAsia="Times New Roman" w:hAnsi="Times New Roman"/>
          <w:sz w:val="18"/>
          <w:szCs w:val="18"/>
          <w:color w:val="auto"/>
        </w:rPr>
      </w:pPr>
    </w:p>
    <w:p>
      <w:pPr>
        <w:ind w:left="740" w:right="20" w:hanging="246"/>
        <w:spacing w:after="0" w:line="282" w:lineRule="auto"/>
        <w:tabs>
          <w:tab w:leader="none" w:pos="7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ectPr>
          <w:pgSz w:w="11900" w:h="16838" w:orient="portrait"/>
          <w:cols w:equalWidth="0" w:num="1">
            <w:col w:w="11240"/>
          </w:cols>
          <w:pgMar w:left="320" w:top="119" w:right="339" w:bottom="1440" w:gutter="0" w:footer="0" w:header="0"/>
        </w:sectPr>
      </w:pP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non-cash component of share-based compensation;</w:t>
      </w:r>
    </w:p>
    <w:p>
      <w:pPr>
        <w:spacing w:after="0" w:line="252"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earnings or charges resulting from matters we consider not to be reflective, on a recurring basis, of our ongoing operations; and</w:t>
      </w:r>
    </w:p>
    <w:p>
      <w:pPr>
        <w:spacing w:after="0" w:line="188" w:lineRule="exact"/>
        <w:rPr>
          <w:rFonts w:ascii="Times New Roman" w:cs="Times New Roman" w:eastAsia="Times New Roman" w:hAnsi="Times New Roman"/>
          <w:sz w:val="18"/>
          <w:szCs w:val="18"/>
          <w:color w:val="auto"/>
        </w:rPr>
      </w:pPr>
    </w:p>
    <w:p>
      <w:pPr>
        <w:ind w:left="740" w:right="20" w:hanging="246"/>
        <w:spacing w:after="0" w:line="282" w:lineRule="auto"/>
        <w:tabs>
          <w:tab w:leader="none" w:pos="7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or similarly titled measures differently than we do, limiting its usefulness as a comparative measure.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adjust for these limitations by relying primarily on our GAAP results and using Adjusted EBITDA, as well as our other non-GAAP financial measures, only as supplemental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and Diluted is calculated by dividing Adjusted Net Income by GAAP weighted-average common shares outstanding (basic and diluted).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Net Income for the three months ended June 30, 2024 was $18.1 million, representing a slight decrease of $0.3 million from Adjusted Net Income of $18.4 million for the three months ended June 30, 2023. The decrease in Adjusted Net Income was primarily due to the decrease in Net Income discussed above, offset by the higher net effect of the adjusting items detailed in the table below.</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15,422</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contingency settlement (d)</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(f)</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 (g)</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18,369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70"/>
        </w:trPr>
        <w:tc>
          <w:tcPr>
            <w:tcW w:w="6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32,698,951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36,001,670</w:t>
            </w:r>
          </w:p>
        </w:tc>
      </w:tr>
      <w:tr>
        <w:trPr>
          <w:trHeight w:val="23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33,090,806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36,871,674</w:t>
            </w:r>
          </w:p>
        </w:tc>
      </w:tr>
    </w:tbl>
    <w:p>
      <w:pPr>
        <w:spacing w:after="0" w:line="314" w:lineRule="exact"/>
        <w:rPr>
          <w:sz w:val="20"/>
          <w:szCs w:val="20"/>
          <w:color w:val="auto"/>
        </w:rPr>
      </w:pPr>
    </w:p>
    <w:p>
      <w:pPr>
        <w:ind w:left="420" w:hanging="331"/>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write-off of assets and, legal and professional fees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gain contingency related to a legal settlement.</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intangible assets that resulted from business acquisition transactions.</w:t>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420" w:hanging="331"/>
        <w:spacing w:after="0" w:line="282" w:lineRule="auto"/>
        <w:tabs>
          <w:tab w:leader="none" w:pos="4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Earnings per Share - Basic for the three months ended June 30, 2024 was $0.55, representing an increase of $0.04, or 7.8%, compared to $0.51 for the three months ended June 30, 2023. The increase in Adjusted Earnings per Share - Basic was primarily due to a lower weighted average common shares total for the period due to stock repurchases.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Earnings per Share - Diluted for the three months ended June 30, 2024 was $0.55, representing an increase of $0.05, or 10.0%, compared to $0.50 for the three months ended June 30, 2023. The increase in Adjusted Earnings per Share - Diluted was primarily due to a lower weighted average common shares total for the period due to stock repurchases.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20"/>
                <w:szCs w:val="20"/>
                <w:color w:val="auto"/>
              </w:rPr>
            </w:pPr>
          </w:p>
        </w:tc>
      </w:tr>
      <w:tr>
        <w:trPr>
          <w:trHeight w:val="230"/>
        </w:trPr>
        <w:tc>
          <w:tcPr>
            <w:tcW w:w="4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0.43</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0.42</w:t>
            </w:r>
          </w:p>
        </w:tc>
        <w:tc>
          <w:tcPr>
            <w:tcW w:w="100" w:type="dxa"/>
            <w:vAlign w:val="bottom"/>
          </w:tcPr>
          <w:p>
            <w:pPr>
              <w:spacing w:after="0"/>
              <w:rPr>
                <w:sz w:val="19"/>
                <w:szCs w:val="19"/>
                <w:color w:val="auto"/>
              </w:rPr>
            </w:pPr>
          </w:p>
        </w:tc>
        <w:tc>
          <w:tcPr>
            <w:tcW w:w="11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contingency settlement</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and expenses</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7"/>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5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Per share amounts are not meaningful.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above may contain slight summation differences due to rounding.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June 30, 2024 was $31.1 million, representing an increase of $0.2 million, or 0.6%, from $30.9 million for the three months ended June 30, 2023. The increase in Adjusted EBITDA was primarily due to the higher net effect of the adjusting items detailed in the table below offset by the decrease in Net Income discussed above.</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15,422</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27,877</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contingency settlement (d)</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31,052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30,889</w:t>
            </w:r>
          </w:p>
        </w:tc>
      </w:tr>
      <w:tr>
        <w:trPr>
          <w:trHeight w:val="21"/>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write-off of assets, and legal and professional fees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gain contingency related to a legal settlement.</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2024</w:t>
            </w:r>
          </w:p>
        </w:tc>
        <w:tc>
          <w:tcPr>
            <w:tcW w:w="136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2023</w:t>
            </w:r>
          </w:p>
        </w:tc>
        <w:tc>
          <w:tcPr>
            <w:tcW w:w="12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272,758</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268,968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43,146</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3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321,943</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314,514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Wire transfer and money order fees, net of $272.8 million for the six months ended June 30, 2024 increased by $3.8 million, or 1.4%, from $269.0 million for the six months ended June 30, 2023. The increase was primarily due to a 2.7% increase in transaction volume in the six months ended June 30, 2024 compared to the six months ended June 30, 2023, largely due to the continued growth in transactions processed by our agent network which also increased by 1.2% when compared to June 30, 2023. These increases were partially offset primarily by a lower average price per transaction on money transfers.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from foreign exchange gain, net of $43.1 million for the six months ended June 30, 2024 increased by $1.5 million, or 3.6%, from $41.6 million for the six months ended June 30, 2023. This increase was primarily due to higher transaction volume and principal amount sent by our agent network combined with a higher foreign exchange spread on money transfers sent to certain countries in the LAC.</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of $6.0 million for the six months ended June 30, 2024 increased by $2.0 million, or 50.0%, from $4.0 million for the six months ended June 30, 2023 primarily due to the effect of higher revenue generated from other ancillary services provided by our corporate-operated stores such as check-cashing fees, an increase in fees related to a higher volume of transfers deemed abandoned property, and higher fees related to advances to sending agents as well as an increase in income related to money transfer transactions paid with debit or credit cards.</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7"/>
                <w:szCs w:val="17"/>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7"/>
                <w:szCs w:val="17"/>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June 30, 2024</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June 30, 2023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211,303</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34,999</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279,453</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270,933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charges from agents and banks </w:t>
      </w:r>
      <w:r>
        <w:rPr>
          <w:rFonts w:ascii="Times New Roman" w:cs="Times New Roman" w:eastAsia="Times New Roman" w:hAnsi="Times New Roman"/>
          <w:sz w:val="18"/>
          <w:szCs w:val="18"/>
          <w:color w:val="auto"/>
        </w:rPr>
        <w:t>— Service charges from agents and banks were $211.3 million for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$207.1 million for the six months ended June 30, 2023. The increase of $4.2 million, or 2.0%, was primarily due to the increase in transaction volume described above and an increase in fees related to money transfers processed online or by using mobile devices.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Salaries and benefits </w:t>
      </w:r>
      <w:r>
        <w:rPr>
          <w:rFonts w:ascii="Times New Roman" w:cs="Times New Roman" w:eastAsia="Times New Roman" w:hAnsi="Times New Roman"/>
          <w:sz w:val="18"/>
          <w:szCs w:val="18"/>
          <w:color w:val="auto"/>
        </w:rPr>
        <w:t>— Salaries and benefits of $35.0 million for the six months ended June 30, 2024 increased by $1.2 million, or 3.6%, from $33.8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2023. The increase of $1.2 million is primarily attributable to $1.4 million related to our expanded workforce as a result of the LAN Holdings acquisition as it operates independently in the execution of certain operational functions, as well as an increase of $0.6 million in share-based compensation as a result of new awards granted throughout 2024, partially offset by cost savings of $0.9 million related to the restructuring plan of La Nacional, which was implemented in the third quarter of 2023.</w:t>
      </w:r>
    </w:p>
    <w:p>
      <w:pPr>
        <w:spacing w:after="0" w:line="21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selling, general and administrative expenses </w:t>
      </w:r>
      <w:r>
        <w:rPr>
          <w:rFonts w:ascii="Times New Roman" w:cs="Times New Roman" w:eastAsia="Times New Roman" w:hAnsi="Times New Roman"/>
          <w:sz w:val="18"/>
          <w:szCs w:val="18"/>
          <w:color w:val="auto"/>
        </w:rPr>
        <w:t>— Other selling, general and administrative expenses of $23.8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decreased by $0.2 million, or 0.8%, from $24.0 million for the six months ended June 30, 2023.</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was primarily the result of:</w:t>
      </w:r>
    </w:p>
    <w:p>
      <w:pPr>
        <w:spacing w:after="0" w:line="252" w:lineRule="exact"/>
        <w:rPr>
          <w:sz w:val="20"/>
          <w:szCs w:val="20"/>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$0.6 million - related to a gain on legal contingency settlement that was recorded in the second quarter of 2024 and collected in July 2024;</w:t>
      </w:r>
    </w:p>
    <w:p>
      <w:pPr>
        <w:spacing w:after="0" w:line="27" w:lineRule="exact"/>
        <w:rPr>
          <w:rFonts w:ascii="Times New Roman" w:cs="Times New Roman" w:eastAsia="Times New Roman" w:hAnsi="Times New Roman"/>
          <w:sz w:val="18"/>
          <w:szCs w:val="18"/>
          <w:i w:val="1"/>
          <w:iCs w:val="1"/>
          <w:color w:val="auto"/>
        </w:rPr>
      </w:pPr>
    </w:p>
    <w:p>
      <w:pPr>
        <w:ind w:left="740" w:right="20" w:hanging="246"/>
        <w:spacing w:after="0" w:line="250" w:lineRule="auto"/>
        <w:tabs>
          <w:tab w:leader="none" w:pos="7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$0.5 million - decrease in facilities related expenses during the six months ended June 30, 2024 primarily related to facility closures as a result of the restructuring of La Nacional during the third quarter of 2023;</w:t>
      </w:r>
    </w:p>
    <w:p>
      <w:pPr>
        <w:ind w:left="740" w:hanging="246"/>
        <w:spacing w:after="0"/>
        <w:tabs>
          <w:tab w:leader="none" w:pos="7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$0.4 million - lower transaction costs due to the acquisition of LAN Holdings that closed in April 2023;</w:t>
      </w:r>
    </w:p>
    <w:p>
      <w:pPr>
        <w:spacing w:after="0" w:line="9" w:lineRule="exact"/>
        <w:rPr>
          <w:rFonts w:ascii="Times New Roman" w:cs="Times New Roman" w:eastAsia="Times New Roman" w:hAnsi="Times New Roman"/>
          <w:sz w:val="18"/>
          <w:szCs w:val="18"/>
          <w:i w:val="1"/>
          <w:iCs w:val="1"/>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 related to litigation settlements incurred in the six months ended June 30, 2023; and</w:t>
      </w:r>
    </w:p>
    <w:p>
      <w:pPr>
        <w:spacing w:after="0" w:line="9" w:lineRule="exact"/>
        <w:rPr>
          <w:rFonts w:ascii="Times New Roman" w:cs="Times New Roman" w:eastAsia="Times New Roman" w:hAnsi="Times New Roman"/>
          <w:sz w:val="18"/>
          <w:szCs w:val="18"/>
          <w:color w:val="auto"/>
        </w:rPr>
      </w:pPr>
    </w:p>
    <w:p>
      <w:pPr>
        <w:ind w:left="740" w:hanging="246"/>
        <w:spacing w:after="0" w:line="260"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 related to lower shipping costs due to higher deployment of computer equipment to our sending agents during the six months ended June 30, 2023.</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decrease was partially offset by:</w:t>
      </w:r>
    </w:p>
    <w:p>
      <w:pPr>
        <w:spacing w:after="0" w:line="252" w:lineRule="exact"/>
        <w:rPr>
          <w:sz w:val="20"/>
          <w:szCs w:val="20"/>
          <w:color w:val="auto"/>
        </w:rPr>
      </w:pPr>
    </w:p>
    <w:p>
      <w:pPr>
        <w:ind w:left="740" w:hanging="246"/>
        <w:spacing w:after="0" w:line="261" w:lineRule="auto"/>
        <w:tabs>
          <w:tab w:leader="none" w:pos="7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$1.4 million - increase in provision for credit losses primarily due to a higher balance outstanding of receivable balances from sending agents as of June 30, 2024 compared to June 30, 2023.</w:t>
      </w:r>
    </w:p>
    <w:p>
      <w:pPr>
        <w:ind w:left="740" w:hanging="246"/>
        <w:spacing w:after="0"/>
        <w:tabs>
          <w:tab w:leader="none" w:pos="7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$0.4 million - higher advertising expenses incurred in the six months ended June 30, 2024 to support the growth of our business.</w:t>
      </w:r>
    </w:p>
    <w:p>
      <w:pPr>
        <w:spacing w:after="0" w:line="232" w:lineRule="exact"/>
        <w:rPr>
          <w:sz w:val="20"/>
          <w:szCs w:val="20"/>
          <w:color w:val="auto"/>
        </w:rPr>
      </w:pPr>
    </w:p>
    <w:p>
      <w:pPr>
        <w:jc w:val="both"/>
        <w:ind w:lef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 Restructuring costs of $2.7 million for the six months ended June 30, 2024 included $1.9 million in severance costs,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fixed assets impairment, and $0.4 million in legal and professional fees primarily related to the restructuring of La Nacional and our foreign operations.</w:t>
      </w:r>
    </w:p>
    <w:p>
      <w:pPr>
        <w:spacing w:after="0" w:line="20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Depreciation and amortization of $6.6 million for the six months ended June 30, 2024 increased by $0.6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$6.0 million or 10.0% for the six months ended June 30, 2023. The increase is the result of higher depreciation associated with additional software developed and computer equipment acquired to support our growing business and sending agent network, as well as depreciation related to assets capitalized in connection with the Company’s new headquarters. These increases were partially offset by a decrease of approximately $0.4 million in amortization related to our Intermex trade name, developed technology and agent relationships during the six months ended June 30, 2024, as these intangibles are being amortized on an accelerated basis, which declines over time.</w:t>
      </w:r>
    </w:p>
    <w:p>
      <w:pPr>
        <w:spacing w:after="0" w:line="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of $5.8 million for the six months ended June 30, 2024 increased by $1.0 million, or 20.8%, from $4.8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2023. The increase was primarily due to higher market interest rates, as well as higher and more frequent draws under our revolving credit facility during the six months ended June 30, 2024.</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 Income tax provision was $10.6 million for the six months ended June 30, 2024, which represents a decrease of $1.0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 income tax provision of $11.6 million for the six months ended June 30, 2023. The decrease in income tax provision was mainly attributable to a decrease in income before taxes, higher deductible share based compensation, as well as a decrease in our effective state tax rate for the six months ended June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Net Income of $26.1 million for the six months ended June 30, 2024 compared to Net Income of $27.2 million for the six months ended June 30, 2023, which resulted in a decrease of $1.1 million, or 4.0%, due to the same factors discussed above.</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 Basic for the six months ended June 30, 2024 was $0.79, representing an increase of $0.04, or 5.3%, compared to $0.75 for the six months ended June 30, 2023.</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 Diluted for the six months ended June 30, 2024 was $0.78, representing an increase of $0.05, or 6.8%, compared to $0.73 for the six months ended June 30,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both basic and diluted EPS largely reflect the decrease in net income discussed above and the effect of a reduced share count as a result of the stock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Net Income (previously defined and used as described above) for the six months ended June 30, 2024 was $32.8 million, representing an increase of $0.2 million, or 0.6%, from Adjusted Net Income of $32.6 million for the six months ended June 30, 2023. The increase in Adjusted Net Income was primarily due to the higher net effect of the adjusting items detailed in the table below offset by the decrease in net income as discussed above.</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27,184</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contingency settlement (d)</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(f)</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 (g)</w:t>
            </w: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32,585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70"/>
        </w:trPr>
        <w:tc>
          <w:tcPr>
            <w:tcW w:w="6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33,187,196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36,239,997</w:t>
            </w:r>
          </w:p>
        </w:tc>
      </w:tr>
      <w:tr>
        <w:trPr>
          <w:trHeight w:val="23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33,639,811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37,115,490</w:t>
            </w:r>
          </w:p>
        </w:tc>
      </w:tr>
    </w:tbl>
    <w:p>
      <w:pPr>
        <w:spacing w:after="0" w:line="314" w:lineRule="exact"/>
        <w:rPr>
          <w:sz w:val="20"/>
          <w:szCs w:val="20"/>
          <w:color w:val="auto"/>
        </w:rPr>
      </w:pPr>
    </w:p>
    <w:p>
      <w:pPr>
        <w:ind w:left="420" w:hanging="331"/>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write-off of assets and, legal and professional fees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gain contingency related to a legal settlement.</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intangible assets that resulted from business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line="260" w:lineRule="auto"/>
        <w:tabs>
          <w:tab w:leader="none" w:pos="4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Earnings per Share - Basic and Diluted (previously defined and used as described above) are as follows:</w:t>
      </w:r>
    </w:p>
    <w:p>
      <w:pPr>
        <w:spacing w:after="0" w:line="200" w:lineRule="exact"/>
        <w:rPr>
          <w:sz w:val="20"/>
          <w:szCs w:val="20"/>
          <w:color w:val="auto"/>
        </w:rPr>
      </w:pP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Adjusted Earnings per Share - Basic for the six months ended June 30, 2024 was $0.99, representing an increase of $0.09, or 10.0%, compared to $0.90 for the six months ended June 30, 2023. The increase in Adjusted Earnings per Share - Basic was primarily due to the higher net effect of the adjusting items detailed in the table above combined with the effect of a lower weighted average common shares total for the period due to stock repurchases.</w:t>
      </w:r>
    </w:p>
    <w:p>
      <w:pPr>
        <w:spacing w:after="0" w:line="203" w:lineRule="exact"/>
        <w:rPr>
          <w:sz w:val="20"/>
          <w:szCs w:val="20"/>
          <w:color w:val="auto"/>
        </w:rPr>
      </w:pPr>
    </w:p>
    <w:p>
      <w:pPr>
        <w:jc w:val="both"/>
        <w:ind w:firstLine="243"/>
        <w:spacing w:after="0" w:line="281" w:lineRule="auto"/>
        <w:rPr>
          <w:sz w:val="20"/>
          <w:szCs w:val="20"/>
          <w:color w:val="auto"/>
        </w:rPr>
      </w:pPr>
      <w:r>
        <w:rPr>
          <w:rFonts w:ascii="Times New Roman" w:cs="Times New Roman" w:eastAsia="Times New Roman" w:hAnsi="Times New Roman"/>
          <w:sz w:val="18"/>
          <w:szCs w:val="18"/>
          <w:color w:val="auto"/>
        </w:rPr>
        <w:t>Adjusted Earnings per Share - Diluted for the six months ended June 30, 2024 was $0.97, representing an increase of $0.09, or 10.2%, compared to $0.88 for the six months ended June 30, 2023. The increase in Adjusted Earnings per Share - Diluted was primarily due to the</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higher net effect of the adjusting items detailed in the table above combined with the effect of a lower weighted average common shares total for the period due to stock repurchases.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20"/>
                <w:szCs w:val="20"/>
                <w:color w:val="auto"/>
              </w:rPr>
            </w:pPr>
          </w:p>
        </w:tc>
      </w:tr>
      <w:tr>
        <w:trPr>
          <w:trHeight w:val="229"/>
        </w:trPr>
        <w:tc>
          <w:tcPr>
            <w:tcW w:w="4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0.79</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0.78</w:t>
            </w:r>
          </w:p>
        </w:tc>
        <w:tc>
          <w:tcPr>
            <w:tcW w:w="100" w:type="dxa"/>
            <w:vAlign w:val="bottom"/>
          </w:tcPr>
          <w:p>
            <w:pPr>
              <w:spacing w:after="0"/>
              <w:rPr>
                <w:sz w:val="19"/>
                <w:szCs w:val="19"/>
                <w:color w:val="auto"/>
              </w:rPr>
            </w:pPr>
          </w:p>
        </w:tc>
        <w:tc>
          <w:tcPr>
            <w:tcW w:w="11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0.73</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contingency settlement</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and expenses</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6"/>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5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Per share amounts are not meaningful.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above may contain slight summation differences due to rounding.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(previously defined and used as described above) for the six months ended June 30, 2024 was $56.5 million, representing an increase of $1.5 million, or 2.7%, from $55.0 million for the six months ended June 30, 2023. The increase in Adjusted EBITDA was primarily due to the higher net effect of the adjusting items detailed in the table below offset by the decrease in Net Income discussed above.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27,184</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49,619</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contingency settlement (d)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56,466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54,982</w:t>
            </w:r>
          </w:p>
        </w:tc>
      </w:tr>
      <w:tr>
        <w:trPr>
          <w:trHeight w:val="20"/>
        </w:trPr>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hanging="331"/>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write-off of assets and, legal and professional fees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gain contingency related to a legal settlement.</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 and repurchases of our common stock.</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six months ended June 30, 2024.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our expected capital expenditures and projected common stock repurchases in the short and long term.</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an Amended and Restated Credit Agreement (as amended, the “A&amp;R Credit Agreement”) with a group of banking institutions. The A&amp;R Credit Agreement provides for a $220.0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term loan under the Company’s previous credit agreement, and the revolving credit facility is available for working capital, general corporate purposes and to pay fees and expenses in connection with entry into the A&amp;R Credit Agreement. The maturity date of the A&amp;R Credit Agreement is June 24, 2026.</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we had $72.2 million of borrowings under the term loan facility excluding debt origination costs of $1.0 million. As of June 30, 2024, there were $140.0 million of outstanding amounts drawn on the revolving credit facility. There were $150.0 million of additional borrowings available under these facilities as of June 30, 2024.</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election of the Company, interest on the term loan facility and revolving loans under the A&amp;R Credit Agreement may be determined by reference to the secured overnight financing rate as administered by the Federal Reserve Bank of New York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interest rates for the six months ended June 30, 2024 for the term loan facility and revolving credit facility were 8.70% and 2.31%, respectively. Interest is payable (x)(i) generally on the last day of each interest period selected for SOFR loans, but in any event, not less frequently than every three months, and (ii) on the last business day of each quarter for base rate loans and (y) at final maturity.</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we were in compliance with the covenants of the A&amp;R Credit Agreement that require the Company to maintain a quarterly minimum fixed charge coverage ratio of 1.25:1.00 and a quarterly maximum consolidated leverage ratio of 3.25:1.00.</w:t>
      </w:r>
    </w:p>
    <w:p>
      <w:pPr>
        <w:spacing w:after="0" w:line="18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 w:cs="Times New Roman" w:eastAsia="Times New Roman" w:hAnsi="Times New Roman"/>
          <w:sz w:val="18"/>
          <w:szCs w:val="18"/>
          <w:i w:val="1"/>
          <w:iCs w:val="1"/>
          <w:color w:val="auto"/>
        </w:rPr>
        <w:t>Risk Factors—Risks Relating to Our</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Indebtedness—The Company's indebtedness may limit our operating flexibility and could adversely affect our business, financial condition and results of operations.” </w:t>
      </w:r>
      <w:r>
        <w:rPr>
          <w:rFonts w:ascii="Times New Roman" w:cs="Times New Roman" w:eastAsia="Times New Roman" w:hAnsi="Times New Roman"/>
          <w:sz w:val="18"/>
          <w:szCs w:val="18"/>
          <w:color w:val="auto"/>
        </w:rPr>
        <w:t>included in our Annual Report on Form 10-K for the year ended December 31, 2023.</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2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under a variety of tests as described in the second preceding paragraph, including, without limitation, so long as the Consolidated Leverage Ratio (as defined in the A&amp;R Credit Agreement, as amended), as of the then most recently completed four fiscal quarters of the Company, after giving pro forma effect to such restricted payments, is 2.25:1.00 or less.</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During the six months ended June 30, 2024, including the shares purchased in the privately-negotiated transaction described below, the Company purchased 1,646,127 shares for an aggregate purchase price of $34.6 million. During the six months ended June 30, 2023, the Company purchased 1,232,581 shares for an aggregate purchase price of $30.5 million. As of June 30, 2024, there was $39.4 million available for future share repurchases under the Repurchase Program.</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Privately-Negotiated Share Repurchase Transaction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11, 2024, the Company entered into an agreement with Robert W. Lisy, the Company's Chief Executive Officer, President and Chairman of the Board of Directors, for the purchase of 175,000 shares of the Company’s common stock for a total purchase price of $3.3 million, or a per share price of $19.11, in a privately-negotiated transaction.</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party to operating leases for office space, warehouses and Company-operated store locations, which we use as part of our day-to-day operations. Operating lease expenses were $1.7 million and $3.5 million for the three and six months ended June 30, 2024, respectively, which we expect to be consistent throughout the year. We have not entered into finance lease commitments. For additional information on operating lease obligations, refer to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to our cash flows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of Cash Flows Data:</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r>
      <w:tr>
        <w:trPr>
          <w:trHeight w:val="256"/>
        </w:trPr>
        <w:tc>
          <w:tcPr>
            <w:tcW w:w="6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239,203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149,493</w:t>
            </w:r>
          </w:p>
        </w:tc>
      </w:tr>
      <w:tr>
        <w:trPr>
          <w:trHeight w:val="25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8"/>
          <w:szCs w:val="18"/>
          <w:color w:val="auto"/>
        </w:rPr>
        <w:t>Net cash provided by operating activities was $28.7 million for the six months ended June 30, 2024, an increase of $28.7 million from net cash provided in operating activities of $8.0 thousand for the six months ended June 30, 2023. The increase is primarily a result of a</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$27.8 million change in working capital, which varies due to timing of remittances of consumer funds by sending agents and transmittal orders and payments, as well as prefunding of payers primarily for weekends, and additional cash generated by our operating results for the six months ended June 30, 2024, which reflected the further growth of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$20.2 million for the six months ended June 30, 2024, representing an increase of $10.2 million from net cash used in investing activities of $10.0 million for the six months ended June 30, 2023. This increase in cash used was primarily due to the capitalization of leasehold improvements, furniture and equipment related to the Company's move to the new U.S. headquarters in February 2024 of approximately $9.9 million, as well as investments in software and equipment to support our continued growth of sending agents and commitment to improve our proprietary software during the six months ended June 30, 2024 in comparison with the six months ended June 30,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$14.1 million for the six months ended June 30, 2024, which primarily consisted of $26.0 million of net borrowings from the revolving credit facility, $3.3 million in scheduled quarterly payments due on the term loan facility, $34.6 million used for repurchases of common stock and $2.2 million of payments for stock-based awards for shares withheld for tax payments in connection with share-based compensation arrangements.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$6.5 million for the six months ended June 30, 2023, which primarily consisted of $40.0 million of borrowings, net under the revolving credit facility, $2.2 million in scheduled quarterly payments due on the term loan facility, $30.5 million used for repurchases of common stock, $0.9 million of payments for stock-based awards for shares withheld for tax payments in connection with share-based compensation arrangements and $0.7 million of debt origination costs related to the A&amp;R Credit Agreement, partially offset by $0.8 million in proceeds from issuance of stock as a result of the exercise of stock options.</w:t>
      </w:r>
    </w:p>
    <w:p>
      <w:pPr>
        <w:spacing w:after="0" w:line="200" w:lineRule="exact"/>
        <w:rPr>
          <w:sz w:val="20"/>
          <w:szCs w:val="20"/>
          <w:color w:val="auto"/>
        </w:rPr>
      </w:pPr>
    </w:p>
    <w:p>
      <w:pPr>
        <w:spacing w:after="0" w:line="2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Times New Roman" w:cs="Times New Roman" w:eastAsia="Times New Roman" w:hAnsi="Times New Roman"/>
          <w:sz w:val="18"/>
          <w:szCs w:val="18"/>
          <w:i w:val="1"/>
          <w:iCs w:val="1"/>
          <w:color w:val="auto"/>
        </w:rPr>
        <w:t>Management’s Discussion and Analysis of Financial Condition and Results of Operations - Critical Accounting Policies and Estimates</w:t>
      </w:r>
      <w:r>
        <w:rPr>
          <w:rFonts w:ascii="Times New Roman" w:cs="Times New Roman" w:eastAsia="Times New Roman" w:hAnsi="Times New Roman"/>
          <w:sz w:val="18"/>
          <w:szCs w:val="18"/>
          <w:color w:val="auto"/>
        </w:rPr>
        <w:t>” in our Annual Report on Form 10-K for the year ended December 31, 2023, for which there were no material changes during the three and six months ended June 30, 2024, included the following:</w:t>
      </w:r>
    </w:p>
    <w:p>
      <w:pPr>
        <w:spacing w:after="0" w:line="214" w:lineRule="exact"/>
        <w:rPr>
          <w:sz w:val="20"/>
          <w:szCs w:val="20"/>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Business and Accounting Policies</w:t>
      </w:r>
      <w:r>
        <w:rPr>
          <w:rFonts w:ascii="Times New Roman" w:cs="Times New Roman" w:eastAsia="Times New Roman" w:hAnsi="Times New Roman"/>
          <w:sz w:val="18"/>
          <w:szCs w:val="18"/>
          <w:color w:val="auto"/>
        </w:rPr>
        <w:t>, of the Condensed Consolidated Financial Statements for information on recent accounting pronouncements.</w:t>
      </w: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$81.0 million and $56.9 million at June 30, 2024 and December 31, 2023, respectively.</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included in wire transfers and money orders payable, net in our condensed consolidated balance sheets as of June 30, 2024 and December 31, 2023, there are $56.7 million and $40.7 million, respectively, of wires payable denominated in foreign currencies, primarily Mexican pesos and Guatemalan quetzales.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included in prepaid wires, net in our condensed consolidated balance sheets as of June 30, 2024 and December 31, 2023, there are $11.8 million and $17.8 million, respectively, of prepaid wires denominated in foreign currencies, primarily Mexican pesos and Guatemalan quetzales.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3% of our consolidated revenues for the six months ended June 30, 2024. Therefore, a 10% increase or decrease in these currency rates against the U.S. Dollar would result in a de minimis change to our overall operating results.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spot and average exchange rates for the currencies in which we operate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Pr>
          <w:p>
            <w:pPr>
              <w:spacing w:after="0"/>
              <w:rPr>
                <w:sz w:val="19"/>
                <w:szCs w:val="19"/>
                <w:color w:val="auto"/>
              </w:rPr>
            </w:pPr>
          </w:p>
        </w:tc>
      </w:tr>
      <w:tr>
        <w:trPr>
          <w:trHeight w:val="247"/>
        </w:trPr>
        <w:tc>
          <w:tcPr>
            <w:tcW w:w="3940" w:type="dxa"/>
            <w:vAlign w:val="bottom"/>
          </w:tcPr>
          <w:p>
            <w:pPr>
              <w:spacing w:after="0"/>
              <w:rPr>
                <w:sz w:val="21"/>
                <w:szCs w:val="21"/>
                <w:color w:val="auto"/>
              </w:rPr>
            </w:pPr>
          </w:p>
        </w:tc>
        <w:tc>
          <w:tcPr>
            <w:tcW w:w="1480" w:type="dxa"/>
            <w:vAlign w:val="bottom"/>
            <w:gridSpan w:val="3"/>
          </w:tcPr>
          <w:p>
            <w:pPr>
              <w:jc w:val="right"/>
              <w:ind w:right="62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300" w:type="dxa"/>
            <w:vAlign w:val="bottom"/>
            <w:gridSpan w:val="2"/>
          </w:tcPr>
          <w:p>
            <w:pPr>
              <w:ind w:left="6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(2)</w:t>
            </w:r>
          </w:p>
        </w:tc>
        <w:tc>
          <w:tcPr>
            <w:tcW w:w="1480" w:type="dxa"/>
            <w:vAlign w:val="bottom"/>
            <w:gridSpan w:val="3"/>
          </w:tcPr>
          <w:p>
            <w:pPr>
              <w:jc w:val="right"/>
              <w:ind w:right="64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020" w:type="dxa"/>
            <w:vAlign w:val="bottom"/>
          </w:tcPr>
          <w:p>
            <w:pPr>
              <w:jc w:val="right"/>
              <w:ind w:right="130"/>
              <w:spacing w:after="0" w:line="240" w:lineRule="exact"/>
              <w:rPr>
                <w:sz w:val="20"/>
                <w:szCs w:val="20"/>
                <w:color w:val="auto"/>
              </w:rPr>
            </w:pPr>
            <w:r>
              <w:rPr>
                <w:rFonts w:ascii="Times New Roman" w:cs="Times New Roman" w:eastAsia="Times New Roman" w:hAnsi="Times New Roman"/>
                <w:sz w:val="18"/>
                <w:szCs w:val="18"/>
                <w:b w:val="1"/>
                <w:bCs w:val="1"/>
                <w:color w:val="auto"/>
                <w:w w:val="95"/>
              </w:rPr>
              <w:t>Average</w:t>
            </w:r>
            <w:r>
              <w:rPr>
                <w:rFonts w:ascii="Times New Roman" w:cs="Times New Roman" w:eastAsia="Times New Roman" w:hAnsi="Times New Roman"/>
                <w:sz w:val="23"/>
                <w:szCs w:val="23"/>
                <w:b w:val="1"/>
                <w:bCs w:val="1"/>
                <w:color w:val="auto"/>
                <w:w w:val="95"/>
                <w:vertAlign w:val="superscript"/>
              </w:rPr>
              <w:t>(2)</w:t>
            </w: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dollar/Guatemala Quetzal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dollar/Dominican Peso</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dollar/Euro</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r>
    </w:tbl>
    <w:p>
      <w:pPr>
        <w:spacing w:after="0" w:line="46"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Spot exchange rates are as of June 30, 2024 and December 31, 2023.</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exchange rates are for the six months ended June 30, 2024 and 2023.</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Long-term sustained appreciation of the Mexican peso or Guatemalan quetzal as compared to the U.S. dollar could affect our revenues and profit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discussed above, interest under the A&amp;R Credit Agreement is variable based on certain benchmark rates, including SOFR.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the Federal Reserve maintained the fed funds rate at 5.50% with the expectation that inflation in the United States declines in accordance with its target. As a consequence, other benchmark interest rates such as SOFR were maintained at the same level as well. The Company expects that the Federal Reserve will continue to monitor inflation indicators and will maintain the fed funds rate at the current level before considering any potential decreases in 2024. As of June 30, 2024, we had $72.2 million and $140.0 million in outstanding borrowings under the term loan facility and revolving credit facility, respectively. A hypothetical 1% increase or decrease in the interest rate on our indebtedness as of June 30, 2024 would have increased or decreased cash interest expense on our term loan facility and revolving credit facility by approximately $0.7 million and $1.4 million per annum, respectively.</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certain cash balances in various U.S. banks, which at times, may exceed federally insured limits. We have not incurred any losses on these accounts. In addition, we maintain cash in various bank accounts in Mexico, Guatemala, Canada, the Dominican Republic, Spain and Italy and short-term investment accounts in Mexico, which may not be fully insured. During the six months ended June 30, 2024,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June 30, 2024, we also had $5.3 million outstanding of agent advances receivable from sending agents. Most of the agent advances receivable are collateralized by personal guarantees from the sending agents and by assets from their businesses.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provision for credit losses was approximately $3.4 million for the six months ended June 30, 2024 (1.1% of total revenues) and $1.9 million for the six months ended June 30, 2023 (0.6% of total revenues). The increase in our provision for credit losses in the six months ended June 30, 2024 is due to a combination of higher write-offs of accounts receivable in 2024 compared to 2023 primarily as a result of sending agents that were not able to pay in accordance with the original terms and are, accordingly, subject to our normal collection procedures and higher outstanding balances of accounts receivable primarily related to the acquisition of La Nacional and LAN Holdings and higher volume growth processed by our sending agents.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Rules 13a-15(b) and 15d-15(b) under the Exchange Act, our Chief Executive Officer and President, and Chief Financial Officer, carried out an evaluation of the effectiveness of our disclosure controls and procedures as of June 30, 2024.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June 30,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Reference is made to Note 16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2023 (the “2023 Form 10-K”). Prospective investors are encouraged to consider the risks described in our 2023 Form 10-K, our Management’s Discussion and Analysis of Financial Condition and Results of Operations contained in this Quarterly Report on Form 10-Q and in our 2023 Form 10-K, and other information publicly disclosed or contained in documents we file with the Securities and Exchange Commission before purchasing our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repurchases of our common stock during the quarter ended June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7"/>
                <w:szCs w:val="17"/>
                <w:color w:val="auto"/>
              </w:rPr>
            </w:pPr>
          </w:p>
        </w:tc>
        <w:tc>
          <w:tcPr>
            <w:tcW w:w="2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Dollar Value of</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9"/>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Program</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6"/>
        </w:trPr>
        <w:tc>
          <w:tcPr>
            <w:tcW w:w="3020" w:type="dxa"/>
            <w:vAlign w:val="bottom"/>
            <w:gridSpan w:val="2"/>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30"/>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through April 30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42,531,728</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through May 31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41,581,416</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through June 30</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107,877</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39,381,693</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line="261" w:lineRule="auto"/>
        <w:tabs>
          <w:tab w:leader="none" w:pos="6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921, (ii) 77,980 and (iii) 2,265 shares withheld for income tax purposes in April 2024, May 2024 and June 2024, respectively, in connection with shares issued under compensation and benefit programs.</w:t>
      </w:r>
    </w:p>
    <w:p>
      <w:pPr>
        <w:jc w:val="both"/>
        <w:ind w:left="660" w:hanging="328"/>
        <w:spacing w:after="0" w:line="253"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authorizes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sectPr>
          <w:pgSz w:w="11900" w:h="16838" w:orient="portrait"/>
          <w:cols w:equalWidth="0" w:num="1">
            <w:col w:w="11240"/>
          </w:cols>
          <w:pgMar w:left="320" w:top="119" w:right="339" w:bottom="1440" w:gutter="0" w:footer="0" w:header="0"/>
        </w:sectPr>
      </w:pP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0" w:type="dxa"/>
            <w:vAlign w:val="bottom"/>
          </w:tcPr>
          <w:p>
            <w:pPr>
              <w:spacing w:after="0"/>
              <w:rPr>
                <w:sz w:val="1"/>
                <w:szCs w:val="1"/>
                <w:color w:val="auto"/>
              </w:rPr>
            </w:pPr>
          </w:p>
        </w:tc>
      </w:tr>
      <w:tr>
        <w:trPr>
          <w:trHeight w:val="209"/>
        </w:trPr>
        <w:tc>
          <w:tcPr>
            <w:tcW w:w="11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 Chief Executive Officer</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 Chief Financial Officer</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 1350.</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 1350.</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87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7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June 30, 2024, formatted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6266180" cy="299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66180" cy="29972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4"/>
              </w:rPr>
              <w:t>104*</w:t>
            </w:r>
          </w:p>
        </w:tc>
        <w:tc>
          <w:tcPr>
            <w:tcW w:w="48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w w:val="99"/>
              </w:rPr>
              <w:t>in Inline XBRL (included with the Exhibit 101 attachments).</w:t>
            </w:r>
          </w:p>
        </w:tc>
        <w:tc>
          <w:tcPr>
            <w:tcW w:w="0" w:type="dxa"/>
            <w:vAlign w:val="bottom"/>
          </w:tcPr>
          <w:p>
            <w:pPr>
              <w:spacing w:after="0"/>
              <w:rPr>
                <w:sz w:val="1"/>
                <w:szCs w:val="1"/>
                <w:color w:val="auto"/>
              </w:rPr>
            </w:pPr>
          </w:p>
        </w:tc>
      </w:tr>
      <w:tr>
        <w:trPr>
          <w:trHeight w:val="75"/>
        </w:trPr>
        <w:tc>
          <w:tcPr>
            <w:tcW w:w="840" w:type="dxa"/>
            <w:vAlign w:val="bottom"/>
          </w:tcPr>
          <w:p>
            <w:pPr>
              <w:spacing w:after="0"/>
              <w:rPr>
                <w:sz w:val="6"/>
                <w:szCs w:val="6"/>
                <w:color w:val="auto"/>
              </w:rPr>
            </w:pPr>
          </w:p>
        </w:tc>
        <w:tc>
          <w:tcPr>
            <w:tcW w:w="4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80" w:right="5419" w:firstLine="9"/>
        <w:spacing w:after="0" w:line="261" w:lineRule="auto"/>
        <w:tabs>
          <w:tab w:leader="none" w:pos="3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9"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Robert Lisy</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Andras Bende</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119" w:right="3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Lisy, certify that:</w:t>
      </w:r>
    </w:p>
    <w:p>
      <w:pPr>
        <w:spacing w:after="0" w:line="171"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50"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6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Andras Bende, certify that:</w:t>
      </w:r>
    </w:p>
    <w:p>
      <w:pPr>
        <w:spacing w:after="0" w:line="17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41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spacing w:after="0" w:line="516" w:lineRule="auto"/>
        <w:rPr>
          <w:sz w:val="20"/>
          <w:szCs w:val="20"/>
          <w:color w:val="auto"/>
        </w:rPr>
      </w:pPr>
      <w:r>
        <w:rPr>
          <w:rFonts w:ascii="Times New Roman" w:cs="Times New Roman" w:eastAsia="Times New Roman" w:hAnsi="Times New Roman"/>
          <w:sz w:val="18"/>
          <w:szCs w:val="18"/>
          <w:color w:val="auto"/>
        </w:rPr>
        <w:t>I, Robert Lisy, Chief Executive Officer and President of International Money Express, Inc. (the “Company”), certify, pursuant to 18 U.S.C. Section 1350, that, to my knowledge:</w:t>
      </w:r>
    </w:p>
    <w:p>
      <w:pPr>
        <w:spacing w:after="0" w:line="163" w:lineRule="exact"/>
        <w:rPr>
          <w:sz w:val="20"/>
          <w:szCs w:val="20"/>
          <w:color w:val="auto"/>
        </w:rPr>
      </w:pPr>
    </w:p>
    <w:p>
      <w:pPr>
        <w:ind w:left="660" w:hanging="652"/>
        <w:spacing w:after="0" w:line="51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2024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66"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41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spacing w:after="0" w:line="516" w:lineRule="auto"/>
        <w:rPr>
          <w:sz w:val="20"/>
          <w:szCs w:val="20"/>
          <w:color w:val="auto"/>
        </w:rPr>
      </w:pPr>
      <w:r>
        <w:rPr>
          <w:rFonts w:ascii="Times New Roman" w:cs="Times New Roman" w:eastAsia="Times New Roman" w:hAnsi="Times New Roman"/>
          <w:sz w:val="18"/>
          <w:szCs w:val="18"/>
          <w:color w:val="auto"/>
        </w:rPr>
        <w:t>I, Andras Bende, Chief Financial Officer of International Money Express, Inc. (the “Company”), certify, pursuant to 18 U.S.C. Section 1350, that, to my knowledge:</w:t>
      </w:r>
    </w:p>
    <w:p>
      <w:pPr>
        <w:spacing w:after="0" w:line="163" w:lineRule="exact"/>
        <w:rPr>
          <w:sz w:val="20"/>
          <w:szCs w:val="20"/>
          <w:color w:val="auto"/>
        </w:rPr>
      </w:pPr>
    </w:p>
    <w:p>
      <w:pPr>
        <w:ind w:left="660" w:hanging="652"/>
        <w:spacing w:after="0" w:line="51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2024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306" w:lineRule="exact"/>
        <w:rPr>
          <w:sz w:val="20"/>
          <w:szCs w:val="20"/>
          <w:color w:val="auto"/>
        </w:rPr>
      </w:pPr>
    </w:p>
    <w:tbl>
      <w:tblPr>
        <w:tblLayout w:type="fixed"/>
        <w:tblInd w:w="558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
      <w:numFmt w:val="bullet"/>
      <w:start w:val="1"/>
    </w:lvl>
    <w:lvl w:ilvl="1">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7"/>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2024-08-08T16:19:54Z</dcterms:created>
  <dcterms:modified xsi:type="dcterms:W3CDTF">2024-08-08T16:19:54Z</dcterms:modified>
</cp:coreProperties>
</file>