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(Mark One)</w:t>
      </w:r>
    </w:p>
    <w:p>
      <w:pPr>
        <w:spacing w:after="0" w:line="59" w:lineRule="exact"/>
        <w:rPr>
          <w:sz w:val="24"/>
          <w:szCs w:val="24"/>
          <w:color w:val="auto"/>
        </w:rPr>
      </w:pPr>
    </w:p>
    <w:p>
      <w:pPr>
        <w:ind w:left="520" w:hanging="343"/>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3" w:lineRule="exact"/>
        <w:rPr>
          <w:sz w:val="24"/>
          <w:szCs w:val="24"/>
          <w:color w:val="auto"/>
        </w:rPr>
      </w:pPr>
    </w:p>
    <w:p>
      <w:pPr>
        <w:ind w:left="520" w:hanging="343"/>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2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380" w:type="dxa"/>
            <w:vAlign w:val="bottom"/>
          </w:tcPr>
          <w:p>
            <w:pPr>
              <w:spacing w:after="0"/>
              <w:rPr>
                <w:sz w:val="17"/>
                <w:szCs w:val="17"/>
                <w:color w:val="auto"/>
              </w:rPr>
            </w:pPr>
          </w:p>
        </w:tc>
        <w:tc>
          <w:tcPr>
            <w:tcW w:w="2460" w:type="dxa"/>
            <w:vAlign w:val="bottom"/>
            <w:gridSpan w:val="2"/>
          </w:tcPr>
          <w:p>
            <w:pPr>
              <w:ind w:left="80"/>
              <w:spacing w:after="0"/>
              <w:rPr>
                <w:sz w:val="20"/>
                <w:szCs w:val="20"/>
                <w:color w:val="auto"/>
              </w:rPr>
            </w:pPr>
            <w:r>
              <w:rPr>
                <w:rFonts w:ascii="Arial" w:cs="Arial" w:eastAsia="Arial" w:hAnsi="Arial"/>
                <w:sz w:val="18"/>
                <w:szCs w:val="18"/>
                <w:b w:val="1"/>
                <w:bCs w:val="1"/>
                <w:color w:val="auto"/>
                <w:w w:val="93"/>
              </w:rPr>
              <w:t>For the transition period from</w:t>
            </w:r>
          </w:p>
        </w:tc>
        <w:tc>
          <w:tcPr>
            <w:tcW w:w="840" w:type="dxa"/>
            <w:vAlign w:val="bottom"/>
            <w:tcBorders>
              <w:bottom w:val="single" w:sz="8" w:color="auto"/>
            </w:tcBorders>
            <w:gridSpan w:val="2"/>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860" w:type="dxa"/>
            <w:vAlign w:val="bottom"/>
            <w:tcBorders>
              <w:bottom w:val="single" w:sz="8" w:color="auto"/>
            </w:tcBorders>
          </w:tcPr>
          <w:p>
            <w:pPr>
              <w:spacing w:after="0"/>
              <w:rPr>
                <w:sz w:val="17"/>
                <w:szCs w:val="17"/>
                <w:color w:val="auto"/>
              </w:rPr>
            </w:pPr>
          </w:p>
        </w:tc>
        <w:tc>
          <w:tcPr>
            <w:tcW w:w="3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3380" w:type="dxa"/>
            <w:vAlign w:val="bottom"/>
          </w:tcPr>
          <w:p>
            <w:pPr>
              <w:spacing w:after="0"/>
              <w:rPr>
                <w:sz w:val="24"/>
                <w:szCs w:val="24"/>
                <w:color w:val="auto"/>
              </w:rPr>
            </w:pPr>
          </w:p>
        </w:tc>
        <w:tc>
          <w:tcPr>
            <w:tcW w:w="7860" w:type="dxa"/>
            <w:vAlign w:val="bottom"/>
            <w:gridSpan w:val="7"/>
          </w:tcPr>
          <w:p>
            <w:pPr>
              <w:jc w:val="center"/>
              <w:ind w:right="3270"/>
              <w:spacing w:after="0"/>
              <w:rPr>
                <w:sz w:val="20"/>
                <w:szCs w:val="20"/>
                <w:color w:val="auto"/>
              </w:rPr>
            </w:pPr>
            <w:r>
              <w:rPr>
                <w:rFonts w:ascii="Arial" w:cs="Arial" w:eastAsia="Arial" w:hAnsi="Arial"/>
                <w:sz w:val="18"/>
                <w:szCs w:val="18"/>
                <w:b w:val="1"/>
                <w:bCs w:val="1"/>
                <w:color w:val="auto"/>
                <w:w w:val="89"/>
              </w:rPr>
              <w:t>Commission File No. 001-37986</w:t>
            </w:r>
          </w:p>
        </w:tc>
        <w:tc>
          <w:tcPr>
            <w:tcW w:w="0" w:type="dxa"/>
            <w:vAlign w:val="bottom"/>
          </w:tcPr>
          <w:p>
            <w:pPr>
              <w:spacing w:after="0"/>
              <w:rPr>
                <w:sz w:val="1"/>
                <w:szCs w:val="1"/>
                <w:color w:val="auto"/>
              </w:rPr>
            </w:pPr>
          </w:p>
        </w:tc>
      </w:tr>
      <w:tr>
        <w:trPr>
          <w:trHeight w:val="397"/>
        </w:trPr>
        <w:tc>
          <w:tcPr>
            <w:tcW w:w="11240" w:type="dxa"/>
            <w:vAlign w:val="bottom"/>
            <w:gridSpan w:val="8"/>
          </w:tcPr>
          <w:p>
            <w:pPr>
              <w:jc w:val="center"/>
              <w:spacing w:after="0"/>
              <w:rPr>
                <w:sz w:val="20"/>
                <w:szCs w:val="20"/>
                <w:color w:val="auto"/>
              </w:rPr>
            </w:pPr>
            <w:r>
              <w:rPr>
                <w:rFonts w:ascii="Arial" w:cs="Arial" w:eastAsia="Arial" w:hAnsi="Arial"/>
                <w:sz w:val="29"/>
                <w:szCs w:val="29"/>
                <w:b w:val="1"/>
                <w:bCs w:val="1"/>
                <w:color w:val="auto"/>
                <w:w w:val="99"/>
              </w:rPr>
              <w:t>INTERNATIONAL MONEY EXPRESS, INC.</w:t>
            </w:r>
          </w:p>
        </w:tc>
        <w:tc>
          <w:tcPr>
            <w:tcW w:w="0" w:type="dxa"/>
            <w:vAlign w:val="bottom"/>
          </w:tcPr>
          <w:p>
            <w:pPr>
              <w:spacing w:after="0"/>
              <w:rPr>
                <w:sz w:val="1"/>
                <w:szCs w:val="1"/>
                <w:color w:val="auto"/>
              </w:rPr>
            </w:pPr>
          </w:p>
        </w:tc>
      </w:tr>
      <w:tr>
        <w:trPr>
          <w:trHeight w:val="43"/>
        </w:trPr>
        <w:tc>
          <w:tcPr>
            <w:tcW w:w="338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gridSpan w:val="2"/>
          </w:tcPr>
          <w:p>
            <w:pPr>
              <w:spacing w:after="0"/>
              <w:rPr>
                <w:sz w:val="3"/>
                <w:szCs w:val="3"/>
                <w:color w:val="auto"/>
              </w:rPr>
            </w:pPr>
          </w:p>
        </w:tc>
        <w:tc>
          <w:tcPr>
            <w:tcW w:w="5380" w:type="dxa"/>
            <w:vAlign w:val="bottom"/>
            <w:tcBorders>
              <w:bottom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1"/>
                <w:szCs w:val="21"/>
                <w:color w:val="auto"/>
              </w:rPr>
            </w:pPr>
          </w:p>
        </w:tc>
        <w:tc>
          <w:tcPr>
            <w:tcW w:w="7860" w:type="dxa"/>
            <w:vAlign w:val="bottom"/>
            <w:gridSpan w:val="7"/>
          </w:tcPr>
          <w:p>
            <w:pPr>
              <w:jc w:val="center"/>
              <w:ind w:right="3290"/>
              <w:spacing w:after="0"/>
              <w:rPr>
                <w:sz w:val="20"/>
                <w:szCs w:val="20"/>
                <w:color w:val="auto"/>
              </w:rPr>
            </w:pPr>
            <w:r>
              <w:rPr>
                <w:rFonts w:ascii="Arial" w:cs="Arial" w:eastAsia="Arial" w:hAnsi="Arial"/>
                <w:sz w:val="18"/>
                <w:szCs w:val="18"/>
                <w:color w:val="auto"/>
                <w:w w:val="90"/>
              </w:rPr>
              <w:t>(Exact name of registrant as specified in its charter)</w:t>
            </w:r>
          </w:p>
        </w:tc>
        <w:tc>
          <w:tcPr>
            <w:tcW w:w="0" w:type="dxa"/>
            <w:vAlign w:val="bottom"/>
          </w:tcPr>
          <w:p>
            <w:pPr>
              <w:spacing w:after="0"/>
              <w:rPr>
                <w:sz w:val="1"/>
                <w:szCs w:val="1"/>
                <w:color w:val="auto"/>
              </w:rPr>
            </w:pPr>
          </w:p>
        </w:tc>
      </w:tr>
      <w:tr>
        <w:trPr>
          <w:trHeight w:val="499"/>
        </w:trPr>
        <w:tc>
          <w:tcPr>
            <w:tcW w:w="3380" w:type="dxa"/>
            <w:vAlign w:val="bottom"/>
          </w:tcPr>
          <w:p>
            <w:pPr>
              <w:jc w:val="center"/>
              <w:ind w:left="1943"/>
              <w:spacing w:after="0"/>
              <w:rPr>
                <w:sz w:val="20"/>
                <w:szCs w:val="20"/>
                <w:color w:val="auto"/>
              </w:rPr>
            </w:pPr>
            <w:r>
              <w:rPr>
                <w:rFonts w:ascii="Arial" w:cs="Arial" w:eastAsia="Arial" w:hAnsi="Arial"/>
                <w:sz w:val="18"/>
                <w:szCs w:val="18"/>
                <w:b w:val="1"/>
                <w:bCs w:val="1"/>
                <w:color w:val="auto"/>
                <w:w w:val="93"/>
              </w:rPr>
              <w:t>Delaware</w:t>
            </w:r>
          </w:p>
        </w:tc>
        <w:tc>
          <w:tcPr>
            <w:tcW w:w="2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560" w:type="dxa"/>
            <w:vAlign w:val="bottom"/>
            <w:gridSpan w:val="3"/>
          </w:tcPr>
          <w:p>
            <w:pPr>
              <w:jc w:val="right"/>
              <w:ind w:right="2170"/>
              <w:spacing w:after="0"/>
              <w:rPr>
                <w:sz w:val="20"/>
                <w:szCs w:val="20"/>
                <w:color w:val="auto"/>
              </w:rPr>
            </w:pPr>
            <w:r>
              <w:rPr>
                <w:rFonts w:ascii="Arial" w:cs="Arial" w:eastAsia="Arial" w:hAnsi="Arial"/>
                <w:sz w:val="18"/>
                <w:szCs w:val="18"/>
                <w:b w:val="1"/>
                <w:bCs w:val="1"/>
                <w:color w:val="auto"/>
              </w:rPr>
              <w:t>47-4219082</w:t>
            </w:r>
          </w:p>
        </w:tc>
        <w:tc>
          <w:tcPr>
            <w:tcW w:w="0" w:type="dxa"/>
            <w:vAlign w:val="bottom"/>
          </w:tcPr>
          <w:p>
            <w:pPr>
              <w:spacing w:after="0"/>
              <w:rPr>
                <w:sz w:val="1"/>
                <w:szCs w:val="1"/>
                <w:color w:val="auto"/>
              </w:rPr>
            </w:pPr>
          </w:p>
        </w:tc>
      </w:tr>
      <w:tr>
        <w:trPr>
          <w:trHeight w:val="34"/>
        </w:trPr>
        <w:tc>
          <w:tcPr>
            <w:tcW w:w="5400" w:type="dxa"/>
            <w:vAlign w:val="bottom"/>
            <w:tcBorders>
              <w:bottom w:val="single" w:sz="8" w:color="auto"/>
            </w:tcBorders>
            <w:gridSpan w:val="2"/>
          </w:tcPr>
          <w:p>
            <w:pPr>
              <w:spacing w:after="0"/>
              <w:rPr>
                <w:sz w:val="2"/>
                <w:szCs w:val="2"/>
                <w:color w:val="auto"/>
              </w:rPr>
            </w:pPr>
          </w:p>
        </w:tc>
        <w:tc>
          <w:tcPr>
            <w:tcW w:w="460" w:type="dxa"/>
            <w:vAlign w:val="bottom"/>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80" w:type="dxa"/>
            <w:vAlign w:val="bottom"/>
            <w:gridSpan w:val="5"/>
          </w:tcPr>
          <w:p>
            <w:pPr>
              <w:jc w:val="center"/>
              <w:ind w:right="126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40" w:type="dxa"/>
            <w:vAlign w:val="bottom"/>
          </w:tcPr>
          <w:p>
            <w:pPr>
              <w:spacing w:after="0"/>
              <w:rPr>
                <w:sz w:val="21"/>
                <w:szCs w:val="21"/>
                <w:color w:val="auto"/>
              </w:rPr>
            </w:pPr>
          </w:p>
        </w:tc>
        <w:tc>
          <w:tcPr>
            <w:tcW w:w="4320" w:type="dxa"/>
            <w:vAlign w:val="bottom"/>
            <w:gridSpan w:val="2"/>
          </w:tcPr>
          <w:p>
            <w:pPr>
              <w:ind w:left="320"/>
              <w:spacing w:after="0"/>
              <w:rPr>
                <w:sz w:val="20"/>
                <w:szCs w:val="20"/>
                <w:color w:val="auto"/>
              </w:rPr>
            </w:pPr>
            <w:r>
              <w:rPr>
                <w:rFonts w:ascii="Arial" w:cs="Arial" w:eastAsia="Arial" w:hAnsi="Arial"/>
                <w:sz w:val="18"/>
                <w:szCs w:val="18"/>
                <w:color w:val="auto"/>
              </w:rPr>
              <w:t>(I.R.S. Employer Identification No.)</w:t>
            </w:r>
          </w:p>
        </w:tc>
        <w:tc>
          <w:tcPr>
            <w:tcW w:w="0" w:type="dxa"/>
            <w:vAlign w:val="bottom"/>
          </w:tcPr>
          <w:p>
            <w:pPr>
              <w:spacing w:after="0"/>
              <w:rPr>
                <w:sz w:val="1"/>
                <w:szCs w:val="1"/>
                <w:color w:val="auto"/>
              </w:rPr>
            </w:pPr>
          </w:p>
        </w:tc>
      </w:tr>
      <w:tr>
        <w:trPr>
          <w:trHeight w:val="257"/>
        </w:trPr>
        <w:tc>
          <w:tcPr>
            <w:tcW w:w="6680" w:type="dxa"/>
            <w:vAlign w:val="bottom"/>
            <w:gridSpan w:val="5"/>
          </w:tcPr>
          <w:p>
            <w:pPr>
              <w:jc w:val="center"/>
              <w:ind w:right="1260"/>
              <w:spacing w:after="0"/>
              <w:rPr>
                <w:sz w:val="20"/>
                <w:szCs w:val="20"/>
                <w:color w:val="auto"/>
              </w:rPr>
            </w:pPr>
            <w:r>
              <w:rPr>
                <w:rFonts w:ascii="Arial" w:cs="Arial" w:eastAsia="Arial" w:hAnsi="Arial"/>
                <w:sz w:val="18"/>
                <w:szCs w:val="18"/>
                <w:b w:val="1"/>
                <w:bCs w:val="1"/>
                <w:color w:val="auto"/>
                <w:w w:val="90"/>
              </w:rPr>
              <w:t>9480 South Dixie Highway</w:t>
            </w:r>
          </w:p>
        </w:tc>
        <w:tc>
          <w:tcPr>
            <w:tcW w:w="4560" w:type="dxa"/>
            <w:vAlign w:val="bottom"/>
            <w:gridSpan w:val="3"/>
            <w:vMerge w:val="restart"/>
          </w:tcPr>
          <w:p>
            <w:pPr>
              <w:jc w:val="right"/>
              <w:ind w:right="2390"/>
              <w:spacing w:after="0"/>
              <w:rPr>
                <w:sz w:val="20"/>
                <w:szCs w:val="20"/>
                <w:color w:val="auto"/>
              </w:rPr>
            </w:pPr>
            <w:r>
              <w:rPr>
                <w:rFonts w:ascii="Arial" w:cs="Arial" w:eastAsia="Arial" w:hAnsi="Arial"/>
                <w:sz w:val="18"/>
                <w:szCs w:val="18"/>
                <w:b w:val="1"/>
                <w:bCs w:val="1"/>
                <w:color w:val="auto"/>
              </w:rPr>
              <w:t>33156</w:t>
            </w:r>
          </w:p>
        </w:tc>
        <w:tc>
          <w:tcPr>
            <w:tcW w:w="0" w:type="dxa"/>
            <w:vAlign w:val="bottom"/>
          </w:tcPr>
          <w:p>
            <w:pPr>
              <w:spacing w:after="0"/>
              <w:rPr>
                <w:sz w:val="1"/>
                <w:szCs w:val="1"/>
                <w:color w:val="auto"/>
              </w:rPr>
            </w:pPr>
          </w:p>
        </w:tc>
      </w:tr>
      <w:tr>
        <w:trPr>
          <w:trHeight w:val="237"/>
        </w:trPr>
        <w:tc>
          <w:tcPr>
            <w:tcW w:w="3380" w:type="dxa"/>
            <w:vAlign w:val="bottom"/>
            <w:tcBorders>
              <w:bottom w:val="single" w:sz="8" w:color="auto"/>
            </w:tcBorders>
          </w:tcPr>
          <w:p>
            <w:pPr>
              <w:jc w:val="center"/>
              <w:ind w:left="1943"/>
              <w:spacing w:after="0"/>
              <w:rPr>
                <w:sz w:val="20"/>
                <w:szCs w:val="20"/>
                <w:color w:val="auto"/>
              </w:rPr>
            </w:pPr>
            <w:r>
              <w:rPr>
                <w:rFonts w:ascii="Arial" w:cs="Arial" w:eastAsia="Arial" w:hAnsi="Arial"/>
                <w:sz w:val="18"/>
                <w:szCs w:val="18"/>
                <w:b w:val="1"/>
                <w:bCs w:val="1"/>
                <w:color w:val="auto"/>
                <w:w w:val="97"/>
              </w:rPr>
              <w:t>Miami, Florida</w:t>
            </w:r>
          </w:p>
        </w:tc>
        <w:tc>
          <w:tcPr>
            <w:tcW w:w="202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560" w:type="dxa"/>
            <w:vAlign w:val="bottom"/>
            <w:tcBorders>
              <w:bottom w:val="single" w:sz="8" w:color="auto"/>
            </w:tcBorders>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60" w:type="dxa"/>
            <w:vAlign w:val="bottom"/>
            <w:gridSpan w:val="2"/>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60" w:type="dxa"/>
            <w:vAlign w:val="bottom"/>
          </w:tcPr>
          <w:p>
            <w:pPr>
              <w:ind w:left="360"/>
              <w:spacing w:after="0"/>
              <w:rPr>
                <w:sz w:val="20"/>
                <w:szCs w:val="20"/>
                <w:color w:val="auto"/>
              </w:rPr>
            </w:pPr>
            <w:r>
              <w:rPr>
                <w:rFonts w:ascii="Arial" w:cs="Arial" w:eastAsia="Arial" w:hAnsi="Arial"/>
                <w:sz w:val="18"/>
                <w:szCs w:val="18"/>
                <w:color w:val="auto"/>
              </w:rPr>
              <w:t>(Zip Code)</w:t>
            </w:r>
          </w:p>
        </w:tc>
        <w:tc>
          <w:tcPr>
            <w:tcW w:w="0" w:type="dxa"/>
            <w:vAlign w:val="bottom"/>
          </w:tcPr>
          <w:p>
            <w:pPr>
              <w:spacing w:after="0"/>
              <w:rPr>
                <w:sz w:val="1"/>
                <w:szCs w:val="1"/>
                <w:color w:val="auto"/>
              </w:rPr>
            </w:pPr>
          </w:p>
        </w:tc>
      </w:tr>
      <w:tr>
        <w:trPr>
          <w:trHeight w:val="364"/>
        </w:trPr>
        <w:tc>
          <w:tcPr>
            <w:tcW w:w="3380" w:type="dxa"/>
            <w:vAlign w:val="bottom"/>
          </w:tcPr>
          <w:p>
            <w:pPr>
              <w:spacing w:after="0"/>
              <w:rPr>
                <w:sz w:val="24"/>
                <w:szCs w:val="24"/>
                <w:color w:val="auto"/>
              </w:rPr>
            </w:pPr>
          </w:p>
        </w:tc>
        <w:tc>
          <w:tcPr>
            <w:tcW w:w="3300" w:type="dxa"/>
            <w:vAlign w:val="bottom"/>
            <w:gridSpan w:val="4"/>
          </w:tcPr>
          <w:p>
            <w:pPr>
              <w:jc w:val="center"/>
              <w:ind w:left="1090"/>
              <w:spacing w:after="0"/>
              <w:rPr>
                <w:sz w:val="20"/>
                <w:szCs w:val="20"/>
                <w:color w:val="auto"/>
              </w:rPr>
            </w:pPr>
            <w:r>
              <w:rPr>
                <w:rFonts w:ascii="Arial" w:cs="Arial" w:eastAsia="Arial" w:hAnsi="Arial"/>
                <w:sz w:val="18"/>
                <w:szCs w:val="18"/>
                <w:b w:val="1"/>
                <w:bCs w:val="1"/>
                <w:color w:val="auto"/>
                <w:w w:val="90"/>
              </w:rPr>
              <w:t>(305) 671-8000</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80" w:type="dxa"/>
            <w:vAlign w:val="bottom"/>
            <w:tcBorders>
              <w:bottom w:val="single" w:sz="8" w:color="auto"/>
            </w:tcBorders>
          </w:tcPr>
          <w:p>
            <w:pPr>
              <w:spacing w:after="0"/>
              <w:rPr>
                <w:sz w:val="21"/>
                <w:szCs w:val="21"/>
                <w:color w:val="auto"/>
              </w:rPr>
            </w:pPr>
          </w:p>
        </w:tc>
        <w:tc>
          <w:tcPr>
            <w:tcW w:w="7860" w:type="dxa"/>
            <w:vAlign w:val="bottom"/>
            <w:tcBorders>
              <w:bottom w:val="single" w:sz="8" w:color="auto"/>
            </w:tcBorders>
            <w:gridSpan w:val="7"/>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80" w:type="dxa"/>
            <w:vAlign w:val="bottom"/>
          </w:tcPr>
          <w:p>
            <w:pPr>
              <w:spacing w:after="0"/>
              <w:rPr>
                <w:sz w:val="20"/>
                <w:szCs w:val="20"/>
                <w:color w:val="auto"/>
              </w:rPr>
            </w:pPr>
          </w:p>
        </w:tc>
        <w:tc>
          <w:tcPr>
            <w:tcW w:w="7860" w:type="dxa"/>
            <w:vAlign w:val="bottom"/>
            <w:gridSpan w:val="7"/>
          </w:tcPr>
          <w:p>
            <w:pPr>
              <w:jc w:val="center"/>
              <w:ind w:right="3290"/>
              <w:spacing w:after="0"/>
              <w:rPr>
                <w:sz w:val="20"/>
                <w:szCs w:val="20"/>
                <w:color w:val="auto"/>
              </w:rPr>
            </w:pPr>
            <w:r>
              <w:rPr>
                <w:rFonts w:ascii="Arial" w:cs="Arial" w:eastAsia="Arial" w:hAnsi="Arial"/>
                <w:sz w:val="18"/>
                <w:szCs w:val="18"/>
                <w:color w:val="auto"/>
                <w:w w:val="89"/>
              </w:rPr>
              <w:t>(Registrant’s telephone number, including area code)</w:t>
            </w:r>
          </w:p>
        </w:tc>
        <w:tc>
          <w:tcPr>
            <w:tcW w:w="0" w:type="dxa"/>
            <w:vAlign w:val="bottom"/>
          </w:tcPr>
          <w:p>
            <w:pPr>
              <w:spacing w:after="0"/>
              <w:rPr>
                <w:sz w:val="1"/>
                <w:szCs w:val="1"/>
                <w:color w:val="auto"/>
              </w:rPr>
            </w:pPr>
          </w:p>
        </w:tc>
      </w:tr>
      <w:tr>
        <w:trPr>
          <w:trHeight w:val="635"/>
        </w:trPr>
        <w:tc>
          <w:tcPr>
            <w:tcW w:w="3380" w:type="dxa"/>
            <w:vAlign w:val="bottom"/>
          </w:tcPr>
          <w:p>
            <w:pPr>
              <w:spacing w:after="0"/>
              <w:rPr>
                <w:sz w:val="24"/>
                <w:szCs w:val="24"/>
                <w:color w:val="auto"/>
              </w:rPr>
            </w:pPr>
          </w:p>
        </w:tc>
        <w:tc>
          <w:tcPr>
            <w:tcW w:w="7860" w:type="dxa"/>
            <w:vAlign w:val="bottom"/>
            <w:gridSpan w:val="7"/>
          </w:tcPr>
          <w:p>
            <w:pPr>
              <w:jc w:val="center"/>
              <w:ind w:right="327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0" w:type="dxa"/>
            <w:vAlign w:val="bottom"/>
          </w:tcPr>
          <w:p>
            <w:pPr>
              <w:spacing w:after="0"/>
              <w:rPr>
                <w:sz w:val="1"/>
                <w:szCs w:val="1"/>
                <w:color w:val="auto"/>
              </w:rPr>
            </w:pPr>
          </w:p>
        </w:tc>
      </w:tr>
      <w:tr>
        <w:trPr>
          <w:trHeight w:val="270"/>
        </w:trPr>
        <w:tc>
          <w:tcPr>
            <w:tcW w:w="3380" w:type="dxa"/>
            <w:vAlign w:val="bottom"/>
          </w:tcPr>
          <w:p>
            <w:pPr>
              <w:jc w:val="center"/>
              <w:ind w:left="463"/>
              <w:spacing w:after="0"/>
              <w:rPr>
                <w:sz w:val="20"/>
                <w:szCs w:val="20"/>
                <w:color w:val="auto"/>
              </w:rPr>
            </w:pPr>
            <w:r>
              <w:rPr>
                <w:rFonts w:ascii="Arial" w:cs="Arial" w:eastAsia="Arial" w:hAnsi="Arial"/>
                <w:sz w:val="18"/>
                <w:szCs w:val="18"/>
                <w:b w:val="1"/>
                <w:bCs w:val="1"/>
                <w:color w:val="auto"/>
                <w:w w:val="86"/>
              </w:rPr>
              <w:t>Title of each class</w:t>
            </w:r>
          </w:p>
        </w:tc>
        <w:tc>
          <w:tcPr>
            <w:tcW w:w="3300" w:type="dxa"/>
            <w:vAlign w:val="bottom"/>
            <w:gridSpan w:val="4"/>
          </w:tcPr>
          <w:p>
            <w:pPr>
              <w:jc w:val="center"/>
              <w:ind w:left="330"/>
              <w:spacing w:after="0"/>
              <w:rPr>
                <w:sz w:val="20"/>
                <w:szCs w:val="20"/>
                <w:color w:val="auto"/>
              </w:rPr>
            </w:pPr>
            <w:r>
              <w:rPr>
                <w:rFonts w:ascii="Arial" w:cs="Arial" w:eastAsia="Arial" w:hAnsi="Arial"/>
                <w:sz w:val="18"/>
                <w:szCs w:val="18"/>
                <w:b w:val="1"/>
                <w:bCs w:val="1"/>
                <w:color w:val="auto"/>
                <w:w w:val="91"/>
              </w:rPr>
              <w:t>Trading Symbol(s)</w:t>
            </w:r>
          </w:p>
        </w:tc>
        <w:tc>
          <w:tcPr>
            <w:tcW w:w="240" w:type="dxa"/>
            <w:vAlign w:val="bottom"/>
          </w:tcPr>
          <w:p>
            <w:pPr>
              <w:spacing w:after="0"/>
              <w:rPr>
                <w:sz w:val="23"/>
                <w:szCs w:val="23"/>
                <w:color w:val="auto"/>
              </w:rPr>
            </w:pPr>
          </w:p>
        </w:tc>
        <w:tc>
          <w:tcPr>
            <w:tcW w:w="4320" w:type="dxa"/>
            <w:vAlign w:val="bottom"/>
            <w:gridSpan w:val="2"/>
          </w:tcPr>
          <w:p>
            <w:pPr>
              <w:ind w:left="320"/>
              <w:spacing w:after="0"/>
              <w:rPr>
                <w:sz w:val="20"/>
                <w:szCs w:val="20"/>
                <w:color w:val="auto"/>
              </w:rPr>
            </w:pPr>
            <w:r>
              <w:rPr>
                <w:rFonts w:ascii="Arial" w:cs="Arial" w:eastAsia="Arial" w:hAnsi="Arial"/>
                <w:sz w:val="18"/>
                <w:szCs w:val="18"/>
                <w:b w:val="1"/>
                <w:bCs w:val="1"/>
                <w:color w:val="auto"/>
              </w:rPr>
              <w:t>Name of each exchange on which registered</w:t>
            </w:r>
          </w:p>
        </w:tc>
        <w:tc>
          <w:tcPr>
            <w:tcW w:w="0" w:type="dxa"/>
            <w:vAlign w:val="bottom"/>
          </w:tcPr>
          <w:p>
            <w:pPr>
              <w:spacing w:after="0"/>
              <w:rPr>
                <w:sz w:val="1"/>
                <w:szCs w:val="1"/>
                <w:color w:val="auto"/>
              </w:rPr>
            </w:pPr>
          </w:p>
        </w:tc>
      </w:tr>
      <w:tr>
        <w:trPr>
          <w:trHeight w:val="270"/>
        </w:trPr>
        <w:tc>
          <w:tcPr>
            <w:tcW w:w="3380" w:type="dxa"/>
            <w:vAlign w:val="bottom"/>
          </w:tcPr>
          <w:p>
            <w:pPr>
              <w:jc w:val="center"/>
              <w:ind w:left="463"/>
              <w:spacing w:after="0"/>
              <w:rPr>
                <w:sz w:val="20"/>
                <w:szCs w:val="20"/>
                <w:color w:val="auto"/>
              </w:rPr>
            </w:pPr>
            <w:r>
              <w:rPr>
                <w:rFonts w:ascii="Arial" w:cs="Arial" w:eastAsia="Arial" w:hAnsi="Arial"/>
                <w:sz w:val="18"/>
                <w:szCs w:val="18"/>
                <w:color w:val="auto"/>
                <w:w w:val="90"/>
              </w:rPr>
              <w:t>Common stock ($0.0001 par value)</w:t>
            </w:r>
          </w:p>
        </w:tc>
        <w:tc>
          <w:tcPr>
            <w:tcW w:w="3300" w:type="dxa"/>
            <w:vAlign w:val="bottom"/>
            <w:gridSpan w:val="4"/>
          </w:tcPr>
          <w:p>
            <w:pPr>
              <w:jc w:val="center"/>
              <w:ind w:left="350"/>
              <w:spacing w:after="0"/>
              <w:rPr>
                <w:sz w:val="20"/>
                <w:szCs w:val="20"/>
                <w:color w:val="auto"/>
              </w:rPr>
            </w:pPr>
            <w:r>
              <w:rPr>
                <w:rFonts w:ascii="Arial" w:cs="Arial" w:eastAsia="Arial" w:hAnsi="Arial"/>
                <w:sz w:val="18"/>
                <w:szCs w:val="18"/>
                <w:color w:val="auto"/>
              </w:rPr>
              <w:t>IMXI</w:t>
            </w: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60" w:type="dxa"/>
            <w:vAlign w:val="bottom"/>
          </w:tcPr>
          <w:p>
            <w:pPr>
              <w:ind w:left="280"/>
              <w:spacing w:after="0"/>
              <w:rPr>
                <w:sz w:val="20"/>
                <w:szCs w:val="20"/>
                <w:color w:val="auto"/>
              </w:rPr>
            </w:pPr>
            <w:r>
              <w:rPr>
                <w:rFonts w:ascii="Arial" w:cs="Arial" w:eastAsia="Arial" w:hAnsi="Arial"/>
                <w:sz w:val="18"/>
                <w:szCs w:val="18"/>
                <w:color w:val="auto"/>
              </w:rPr>
              <w:t>Nasdaq Capital Market</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39"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3"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3"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33" w:right="339" w:bottom="969" w:gutter="0" w:footer="0" w:header="0"/>
        </w:sectPr>
      </w:pPr>
    </w:p>
    <w:p>
      <w:pPr>
        <w:spacing w:after="0" w:line="220" w:lineRule="exact"/>
        <w:rPr>
          <w:sz w:val="24"/>
          <w:szCs w:val="24"/>
          <w:color w:val="auto"/>
        </w:rPr>
      </w:pPr>
    </w:p>
    <w:p>
      <w:pPr>
        <w:ind w:left="8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Large accelerated filer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jc w:val="center"/>
        <w:ind w:right="36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w:t>
      </w:r>
    </w:p>
    <w:p>
      <w:pPr>
        <w:spacing w:after="0" w:line="194" w:lineRule="exact"/>
        <w:rPr>
          <w:sz w:val="24"/>
          <w:szCs w:val="24"/>
          <w:color w:val="auto"/>
        </w:rPr>
      </w:pPr>
    </w:p>
    <w:p>
      <w:pPr>
        <w:sectPr>
          <w:pgSz w:w="11900" w:h="16838" w:orient="portrait"/>
          <w:cols w:equalWidth="0" w:num="2">
            <w:col w:w="5440" w:space="720"/>
            <w:col w:w="5080"/>
          </w:cols>
          <w:pgMar w:left="320" w:top="233" w:right="339" w:bottom="969" w:gutter="0" w:footer="0" w:header="0"/>
          <w:type w:val="continuous"/>
        </w:sectPr>
      </w:pPr>
    </w:p>
    <w:p>
      <w:pPr>
        <w:ind w:left="8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p>
      <w:pPr>
        <w:spacing w:after="0" w:line="194" w:lineRule="exact"/>
        <w:rPr>
          <w:sz w:val="24"/>
          <w:szCs w:val="24"/>
          <w:color w:val="auto"/>
        </w:rPr>
      </w:pPr>
    </w:p>
    <w:p>
      <w:pPr>
        <w:sectPr>
          <w:pgSz w:w="11900" w:h="16838" w:orient="portrait"/>
          <w:cols w:equalWidth="0" w:num="2">
            <w:col w:w="5440" w:space="720"/>
            <w:col w:w="5080"/>
          </w:cols>
          <w:pgMar w:left="320" w:top="233" w:right="339" w:bottom="969" w:gutter="0" w:footer="0" w:header="0"/>
          <w:type w:val="continuous"/>
        </w:sectPr>
      </w:pPr>
    </w:p>
    <w:p>
      <w:pPr>
        <w:ind w:left="61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w:t>
      </w:r>
    </w:p>
    <w:p>
      <w:pPr>
        <w:sectPr>
          <w:pgSz w:w="11900" w:h="16838" w:orient="portrait"/>
          <w:cols w:equalWidth="0" w:num="1">
            <w:col w:w="11240"/>
          </w:cols>
          <w:pgMar w:left="320" w:top="233" w:right="339" w:bottom="969" w:gutter="0" w:footer="0" w:header="0"/>
          <w:type w:val="continuous"/>
        </w:sectPr>
      </w:pPr>
    </w:p>
    <w:p>
      <w:pPr>
        <w:spacing w:after="0" w:line="200" w:lineRule="exact"/>
        <w:rPr>
          <w:sz w:val="24"/>
          <w:szCs w:val="24"/>
          <w:color w:val="auto"/>
        </w:rPr>
      </w:pPr>
    </w:p>
    <w:p>
      <w:pPr>
        <w:spacing w:after="0" w:line="336"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0"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As of July 31, 2023, there were 35,418,293 shares of the registrant’s common stock, $0.0001 par value per share, outstanding. The registrant has no other class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969"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80" w:type="dxa"/>
            <w:vAlign w:val="bottom"/>
            <w:gridSpan w:val="2"/>
          </w:tcPr>
          <w:p>
            <w:pPr>
              <w:ind w:left="2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43"/>
        </w:trPr>
        <w:tc>
          <w:tcPr>
            <w:tcW w:w="6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580" w:type="dxa"/>
            <w:vAlign w:val="bottom"/>
            <w:gridSpan w:val="20"/>
            <w:shd w:val="clear" w:color="auto" w:fill="CCEEFF"/>
          </w:tcPr>
          <w:p>
            <w:pPr>
              <w:spacing w:after="0" w:line="189" w:lineRule="exact"/>
              <w:rPr>
                <w:sz w:val="20"/>
                <w:szCs w:val="20"/>
                <w:color w:val="auto"/>
              </w:rPr>
            </w:pPr>
            <w:r>
              <w:rPr>
                <w:rFonts w:ascii="Arial" w:cs="Arial" w:eastAsia="Arial" w:hAnsi="Arial"/>
                <w:sz w:val="18"/>
                <w:szCs w:val="18"/>
                <w:b w:val="1"/>
                <w:bCs w:val="1"/>
                <w:color w:val="0000FF"/>
              </w:rPr>
              <w:t>SPECIAL NOTE REGARDING FORWARD-LOOKING STATEMENTS</w:t>
            </w:r>
          </w:p>
        </w:tc>
        <w:tc>
          <w:tcPr>
            <w:tcW w:w="8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0000FF"/>
                <w:w w:val="99"/>
              </w:rPr>
              <w:t>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6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66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80" w:type="dxa"/>
            <w:vAlign w:val="bottom"/>
            <w:tcBorders>
              <w:right w:val="single" w:sz="8" w:color="CCEEFF"/>
            </w:tcBorders>
          </w:tcPr>
          <w:p>
            <w:pPr>
              <w:spacing w:after="0"/>
              <w:rPr>
                <w:sz w:val="21"/>
                <w:szCs w:val="21"/>
                <w:color w:val="auto"/>
              </w:rPr>
            </w:pPr>
          </w:p>
        </w:tc>
        <w:tc>
          <w:tcPr>
            <w:tcW w:w="8580" w:type="dxa"/>
            <w:vAlign w:val="bottom"/>
            <w:gridSpan w:val="20"/>
            <w:shd w:val="clear" w:color="auto" w:fill="CCEEFF"/>
          </w:tcPr>
          <w:p>
            <w:pPr>
              <w:spacing w:after="0"/>
              <w:rPr>
                <w:sz w:val="20"/>
                <w:szCs w:val="20"/>
                <w:color w:val="auto"/>
              </w:rPr>
            </w:pPr>
            <w:r>
              <w:rPr>
                <w:rFonts w:ascii="Arial" w:cs="Arial" w:eastAsia="Arial" w:hAnsi="Arial"/>
                <w:sz w:val="18"/>
                <w:szCs w:val="18"/>
                <w:b w:val="1"/>
                <w:bCs w:val="1"/>
                <w:color w:val="auto"/>
              </w:rPr>
              <w:t>PART 1 - FINANCIAL INFORMATION</w:t>
            </w:r>
          </w:p>
        </w:tc>
        <w:tc>
          <w:tcPr>
            <w:tcW w:w="820" w:type="dxa"/>
            <w:vAlign w:val="bottom"/>
            <w:shd w:val="clear" w:color="auto" w:fill="CCEEFF"/>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Borders>
              <w:right w:val="single" w:sz="8" w:color="CCEEFF"/>
            </w:tcBorders>
          </w:tcPr>
          <w:p>
            <w:pPr>
              <w:spacing w:after="0"/>
              <w:rPr>
                <w:sz w:val="18"/>
                <w:szCs w:val="18"/>
                <w:color w:val="auto"/>
              </w:rPr>
            </w:pPr>
          </w:p>
        </w:tc>
        <w:tc>
          <w:tcPr>
            <w:tcW w:w="8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 1.</w:t>
            </w:r>
          </w:p>
        </w:tc>
        <w:tc>
          <w:tcPr>
            <w:tcW w:w="7720" w:type="dxa"/>
            <w:vAlign w:val="bottom"/>
            <w:gridSpan w:val="19"/>
            <w:shd w:val="clear" w:color="auto" w:fill="CCEEFF"/>
          </w:tcPr>
          <w:p>
            <w:pPr>
              <w:spacing w:after="0" w:line="189" w:lineRule="exact"/>
              <w:rPr>
                <w:sz w:val="20"/>
                <w:szCs w:val="20"/>
                <w:color w:val="auto"/>
              </w:rPr>
            </w:pPr>
            <w:r>
              <w:rPr>
                <w:rFonts w:ascii="Arial" w:cs="Arial" w:eastAsia="Arial" w:hAnsi="Arial"/>
                <w:sz w:val="18"/>
                <w:szCs w:val="18"/>
                <w:color w:val="0000FF"/>
              </w:rPr>
              <w:t>Financial Statements</w:t>
            </w:r>
          </w:p>
        </w:tc>
        <w:tc>
          <w:tcPr>
            <w:tcW w:w="8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0000FF"/>
                <w:w w:val="99"/>
              </w:rPr>
              <w:t>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720" w:type="dxa"/>
            <w:vAlign w:val="bottom"/>
            <w:gridSpan w:val="19"/>
            <w:shd w:val="clear" w:color="auto" w:fill="CCEEFF"/>
          </w:tcPr>
          <w:p>
            <w:pPr>
              <w:spacing w:after="0" w:line="189" w:lineRule="exact"/>
              <w:rPr>
                <w:sz w:val="20"/>
                <w:szCs w:val="20"/>
                <w:color w:val="auto"/>
              </w:rPr>
            </w:pPr>
            <w:r>
              <w:rPr>
                <w:rFonts w:ascii="Arial" w:cs="Arial" w:eastAsia="Arial" w:hAnsi="Arial"/>
                <w:sz w:val="18"/>
                <w:szCs w:val="18"/>
                <w:color w:val="0000FF"/>
              </w:rPr>
              <w:t>Condensed Consolidated Balance Sheets as of June 30, 2023 and December 31, 2022</w:t>
            </w:r>
          </w:p>
        </w:tc>
        <w:tc>
          <w:tcPr>
            <w:tcW w:w="8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0000FF"/>
                <w:w w:val="99"/>
              </w:rPr>
              <w:t>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66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1360" w:type="dxa"/>
            <w:vAlign w:val="bottom"/>
            <w:tcBorders>
              <w:top w:val="single" w:sz="8" w:color="0000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80" w:type="dxa"/>
            <w:vAlign w:val="bottom"/>
            <w:tcBorders>
              <w:right w:val="single" w:sz="8" w:color="CCEEFF"/>
            </w:tcBorders>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720" w:type="dxa"/>
            <w:vAlign w:val="bottom"/>
            <w:gridSpan w:val="19"/>
            <w:shd w:val="clear" w:color="auto" w:fill="CCEEFF"/>
          </w:tcPr>
          <w:p>
            <w:pPr>
              <w:spacing w:after="0" w:line="189" w:lineRule="exact"/>
              <w:rPr>
                <w:sz w:val="20"/>
                <w:szCs w:val="20"/>
                <w:color w:val="auto"/>
              </w:rPr>
            </w:pPr>
            <w:r>
              <w:rPr>
                <w:rFonts w:ascii="Arial" w:cs="Arial" w:eastAsia="Arial" w:hAnsi="Arial"/>
                <w:sz w:val="18"/>
                <w:szCs w:val="18"/>
                <w:color w:val="0000FF"/>
                <w:w w:val="90"/>
              </w:rPr>
              <w:t>Condensed Consolidated Statements of Income and Comprehensive Income for the Three and Six Months</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0000FF"/>
                <w:w w:val="99"/>
              </w:rPr>
              <w:t>5</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80" w:type="dxa"/>
            <w:vAlign w:val="bottom"/>
            <w:tcBorders>
              <w:right w:val="single" w:sz="8" w:color="CCEEFF"/>
            </w:tcBorders>
          </w:tcPr>
          <w:p>
            <w:pPr>
              <w:spacing w:after="0"/>
              <w:rPr>
                <w:sz w:val="16"/>
                <w:szCs w:val="16"/>
                <w:color w:val="auto"/>
              </w:rPr>
            </w:pPr>
          </w:p>
        </w:tc>
        <w:tc>
          <w:tcPr>
            <w:tcW w:w="860" w:type="dxa"/>
            <w:vAlign w:val="bottom"/>
            <w:tcBorders>
              <w:top w:val="single" w:sz="8" w:color="CCEEFF"/>
            </w:tcBorders>
            <w:shd w:val="clear" w:color="auto" w:fill="CCEEFF"/>
          </w:tcPr>
          <w:p>
            <w:pPr>
              <w:spacing w:after="0"/>
              <w:rPr>
                <w:sz w:val="16"/>
                <w:szCs w:val="16"/>
                <w:color w:val="auto"/>
              </w:rPr>
            </w:pPr>
          </w:p>
        </w:tc>
        <w:tc>
          <w:tcPr>
            <w:tcW w:w="7640" w:type="dxa"/>
            <w:vAlign w:val="bottom"/>
            <w:tcBorders>
              <w:top w:val="single" w:sz="8" w:color="0000FF"/>
            </w:tcBorders>
            <w:gridSpan w:val="18"/>
            <w:shd w:val="clear" w:color="auto" w:fill="CCEEFF"/>
          </w:tcPr>
          <w:p>
            <w:pPr>
              <w:spacing w:after="0" w:line="169" w:lineRule="exact"/>
              <w:rPr>
                <w:sz w:val="20"/>
                <w:szCs w:val="20"/>
                <w:color w:val="auto"/>
              </w:rPr>
            </w:pPr>
            <w:r>
              <w:rPr>
                <w:rFonts w:ascii="Arial" w:cs="Arial" w:eastAsia="Arial" w:hAnsi="Arial"/>
                <w:sz w:val="18"/>
                <w:szCs w:val="18"/>
                <w:color w:val="0000FF"/>
              </w:rPr>
              <w:t>Ended June 30, 2023 and 2022</w:t>
            </w:r>
          </w:p>
        </w:tc>
        <w:tc>
          <w:tcPr>
            <w:tcW w:w="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vMerge w:val="continue"/>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80" w:type="dxa"/>
            <w:vAlign w:val="bottom"/>
            <w:tcBorders>
              <w:right w:val="single" w:sz="8" w:color="CCEEFF"/>
            </w:tcBorders>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720" w:type="dxa"/>
            <w:vAlign w:val="bottom"/>
            <w:gridSpan w:val="19"/>
            <w:shd w:val="clear" w:color="auto" w:fill="CCEEFF"/>
          </w:tcPr>
          <w:p>
            <w:pPr>
              <w:spacing w:after="0" w:line="189" w:lineRule="exact"/>
              <w:rPr>
                <w:sz w:val="20"/>
                <w:szCs w:val="20"/>
                <w:color w:val="auto"/>
              </w:rPr>
            </w:pPr>
            <w:r>
              <w:rPr>
                <w:rFonts w:ascii="Arial" w:cs="Arial" w:eastAsia="Arial" w:hAnsi="Arial"/>
                <w:sz w:val="18"/>
                <w:szCs w:val="18"/>
                <w:color w:val="0000FF"/>
                <w:w w:val="93"/>
              </w:rPr>
              <w:t>Condensed Consolidated Statements of Changes in Stockholders’ Equity for the Three and Six Months</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0000FF"/>
                <w:w w:val="99"/>
              </w:rPr>
              <w:t>6</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80" w:type="dxa"/>
            <w:vAlign w:val="bottom"/>
            <w:tcBorders>
              <w:right w:val="single" w:sz="8" w:color="CCEEFF"/>
            </w:tcBorders>
          </w:tcPr>
          <w:p>
            <w:pPr>
              <w:spacing w:after="0"/>
              <w:rPr>
                <w:sz w:val="16"/>
                <w:szCs w:val="16"/>
                <w:color w:val="auto"/>
              </w:rPr>
            </w:pPr>
          </w:p>
        </w:tc>
        <w:tc>
          <w:tcPr>
            <w:tcW w:w="860" w:type="dxa"/>
            <w:vAlign w:val="bottom"/>
            <w:tcBorders>
              <w:top w:val="single" w:sz="8" w:color="CCEEFF"/>
            </w:tcBorders>
            <w:shd w:val="clear" w:color="auto" w:fill="CCEEFF"/>
          </w:tcPr>
          <w:p>
            <w:pPr>
              <w:spacing w:after="0"/>
              <w:rPr>
                <w:sz w:val="16"/>
                <w:szCs w:val="16"/>
                <w:color w:val="auto"/>
              </w:rPr>
            </w:pPr>
          </w:p>
        </w:tc>
        <w:tc>
          <w:tcPr>
            <w:tcW w:w="7400" w:type="dxa"/>
            <w:vAlign w:val="bottom"/>
            <w:tcBorders>
              <w:top w:val="single" w:sz="8" w:color="0000FF"/>
            </w:tcBorders>
            <w:gridSpan w:val="17"/>
            <w:shd w:val="clear" w:color="auto" w:fill="CCEEFF"/>
          </w:tcPr>
          <w:p>
            <w:pPr>
              <w:spacing w:after="0" w:line="156" w:lineRule="exact"/>
              <w:rPr>
                <w:sz w:val="20"/>
                <w:szCs w:val="20"/>
                <w:color w:val="auto"/>
              </w:rPr>
            </w:pPr>
            <w:r>
              <w:rPr>
                <w:rFonts w:ascii="Arial" w:cs="Arial" w:eastAsia="Arial" w:hAnsi="Arial"/>
                <w:sz w:val="18"/>
                <w:szCs w:val="18"/>
                <w:color w:val="0000FF"/>
              </w:rPr>
              <w:t>Ended June 30, 2023 and 2022</w:t>
            </w:r>
          </w:p>
        </w:tc>
        <w:tc>
          <w:tcPr>
            <w:tcW w:w="320" w:type="dxa"/>
            <w:vAlign w:val="bottom"/>
            <w:tcBorders>
              <w:top w:val="single" w:sz="8" w:color="CCEEFF"/>
            </w:tcBorders>
            <w:gridSpan w:val="2"/>
            <w:shd w:val="clear" w:color="auto" w:fill="CCEEFF"/>
          </w:tcPr>
          <w:p>
            <w:pPr>
              <w:spacing w:after="0"/>
              <w:rPr>
                <w:sz w:val="16"/>
                <w:szCs w:val="16"/>
                <w:color w:val="auto"/>
              </w:rPr>
            </w:pPr>
          </w:p>
        </w:tc>
        <w:tc>
          <w:tcPr>
            <w:tcW w:w="820" w:type="dxa"/>
            <w:vAlign w:val="bottom"/>
            <w:tcBorders>
              <w:top w:val="single" w:sz="8" w:color="CCEEFF"/>
            </w:tcBorders>
            <w:vMerge w:val="continue"/>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Borders>
              <w:right w:val="single" w:sz="8" w:color="CCEEFF"/>
            </w:tcBorders>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720" w:type="dxa"/>
            <w:vAlign w:val="bottom"/>
            <w:gridSpan w:val="19"/>
            <w:shd w:val="clear" w:color="auto" w:fill="CCEEFF"/>
          </w:tcPr>
          <w:p>
            <w:pPr>
              <w:spacing w:after="0" w:line="189" w:lineRule="exact"/>
              <w:rPr>
                <w:sz w:val="20"/>
                <w:szCs w:val="20"/>
                <w:color w:val="auto"/>
              </w:rPr>
            </w:pPr>
            <w:r>
              <w:rPr>
                <w:rFonts w:ascii="Arial" w:cs="Arial" w:eastAsia="Arial" w:hAnsi="Arial"/>
                <w:sz w:val="18"/>
                <w:szCs w:val="18"/>
                <w:color w:val="0000FF"/>
                <w:w w:val="93"/>
              </w:rPr>
              <w:t>Condensed Consolidated Statements of Cash Flows for the Six Months Ended June 30, 2023 and 2022</w:t>
            </w:r>
          </w:p>
        </w:tc>
        <w:tc>
          <w:tcPr>
            <w:tcW w:w="8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0000FF"/>
                <w:w w:val="99"/>
              </w:rPr>
              <w:t>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66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136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94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720" w:type="dxa"/>
            <w:vAlign w:val="bottom"/>
            <w:gridSpan w:val="19"/>
            <w:shd w:val="clear" w:color="auto" w:fill="CCEEFF"/>
          </w:tcPr>
          <w:p>
            <w:pPr>
              <w:spacing w:after="0" w:line="189" w:lineRule="exact"/>
              <w:rPr>
                <w:sz w:val="20"/>
                <w:szCs w:val="20"/>
                <w:color w:val="auto"/>
              </w:rPr>
            </w:pPr>
            <w:r>
              <w:rPr>
                <w:rFonts w:ascii="Arial" w:cs="Arial" w:eastAsia="Arial" w:hAnsi="Arial"/>
                <w:sz w:val="18"/>
                <w:szCs w:val="18"/>
                <w:color w:val="0000FF"/>
              </w:rPr>
              <w:t>Notes to Condensed Consolidated Financial Statements</w:t>
            </w:r>
          </w:p>
        </w:tc>
        <w:tc>
          <w:tcPr>
            <w:tcW w:w="8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10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660" w:type="dxa"/>
            <w:vAlign w:val="bottom"/>
            <w:tcBorders>
              <w:top w:val="single" w:sz="8" w:color="0000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0" w:type="dxa"/>
            <w:vAlign w:val="bottom"/>
            <w:tcBorders>
              <w:right w:val="single" w:sz="8" w:color="CCEEFF"/>
            </w:tcBorders>
          </w:tcPr>
          <w:p>
            <w:pPr>
              <w:spacing w:after="0"/>
              <w:rPr>
                <w:sz w:val="19"/>
                <w:szCs w:val="19"/>
                <w:color w:val="auto"/>
              </w:rPr>
            </w:pPr>
          </w:p>
        </w:tc>
        <w:tc>
          <w:tcPr>
            <w:tcW w:w="8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 2.</w:t>
            </w:r>
          </w:p>
        </w:tc>
        <w:tc>
          <w:tcPr>
            <w:tcW w:w="7720" w:type="dxa"/>
            <w:vAlign w:val="bottom"/>
            <w:gridSpan w:val="19"/>
            <w:shd w:val="clear" w:color="auto" w:fill="CCEEFF"/>
          </w:tcPr>
          <w:p>
            <w:pPr>
              <w:spacing w:after="0" w:line="189"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8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25</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66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136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Borders>
              <w:right w:val="single" w:sz="8" w:color="CCEEFF"/>
            </w:tcBorders>
          </w:tcPr>
          <w:p>
            <w:pPr>
              <w:spacing w:after="0"/>
              <w:rPr>
                <w:sz w:val="18"/>
                <w:szCs w:val="18"/>
                <w:color w:val="auto"/>
              </w:rPr>
            </w:pPr>
          </w:p>
        </w:tc>
        <w:tc>
          <w:tcPr>
            <w:tcW w:w="8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 3.</w:t>
            </w:r>
          </w:p>
        </w:tc>
        <w:tc>
          <w:tcPr>
            <w:tcW w:w="7720" w:type="dxa"/>
            <w:vAlign w:val="bottom"/>
            <w:gridSpan w:val="19"/>
            <w:shd w:val="clear" w:color="auto" w:fill="CCEEFF"/>
          </w:tcPr>
          <w:p>
            <w:pPr>
              <w:spacing w:after="0" w:line="189" w:lineRule="exact"/>
              <w:rPr>
                <w:sz w:val="20"/>
                <w:szCs w:val="20"/>
                <w:color w:val="auto"/>
              </w:rPr>
            </w:pPr>
            <w:r>
              <w:rPr>
                <w:rFonts w:ascii="Arial" w:cs="Arial" w:eastAsia="Arial" w:hAnsi="Arial"/>
                <w:sz w:val="18"/>
                <w:szCs w:val="18"/>
                <w:color w:val="0000FF"/>
              </w:rPr>
              <w:t>Quantitative and Qualitative Disclosures about Market Risk</w:t>
            </w:r>
          </w:p>
        </w:tc>
        <w:tc>
          <w:tcPr>
            <w:tcW w:w="8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42</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66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 4.</w:t>
            </w:r>
          </w:p>
        </w:tc>
        <w:tc>
          <w:tcPr>
            <w:tcW w:w="7720" w:type="dxa"/>
            <w:vAlign w:val="bottom"/>
            <w:gridSpan w:val="19"/>
            <w:shd w:val="clear" w:color="auto" w:fill="CCEEFF"/>
          </w:tcPr>
          <w:p>
            <w:pPr>
              <w:spacing w:after="0" w:line="189" w:lineRule="exact"/>
              <w:rPr>
                <w:sz w:val="20"/>
                <w:szCs w:val="20"/>
                <w:color w:val="auto"/>
              </w:rPr>
            </w:pPr>
            <w:r>
              <w:rPr>
                <w:rFonts w:ascii="Arial" w:cs="Arial" w:eastAsia="Arial" w:hAnsi="Arial"/>
                <w:sz w:val="18"/>
                <w:szCs w:val="18"/>
                <w:color w:val="0000FF"/>
              </w:rPr>
              <w:t>Controls and Procedures</w:t>
            </w:r>
          </w:p>
        </w:tc>
        <w:tc>
          <w:tcPr>
            <w:tcW w:w="8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44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80" w:type="dxa"/>
            <w:vAlign w:val="bottom"/>
            <w:tcBorders>
              <w:right w:val="single" w:sz="8" w:color="CCEEFF"/>
            </w:tcBorders>
          </w:tcPr>
          <w:p>
            <w:pPr>
              <w:spacing w:after="0"/>
              <w:rPr>
                <w:sz w:val="21"/>
                <w:szCs w:val="21"/>
                <w:color w:val="auto"/>
              </w:rPr>
            </w:pPr>
          </w:p>
        </w:tc>
        <w:tc>
          <w:tcPr>
            <w:tcW w:w="8580" w:type="dxa"/>
            <w:vAlign w:val="bottom"/>
            <w:gridSpan w:val="20"/>
            <w:shd w:val="clear" w:color="auto" w:fill="CCEEFF"/>
          </w:tcPr>
          <w:p>
            <w:pPr>
              <w:spacing w:after="0"/>
              <w:rPr>
                <w:sz w:val="20"/>
                <w:szCs w:val="20"/>
                <w:color w:val="auto"/>
              </w:rPr>
            </w:pPr>
            <w:r>
              <w:rPr>
                <w:rFonts w:ascii="Arial" w:cs="Arial" w:eastAsia="Arial" w:hAnsi="Arial"/>
                <w:sz w:val="18"/>
                <w:szCs w:val="18"/>
                <w:b w:val="1"/>
                <w:bCs w:val="1"/>
                <w:color w:val="auto"/>
              </w:rPr>
              <w:t>PART II - OTHER INFORMATION</w:t>
            </w:r>
          </w:p>
        </w:tc>
        <w:tc>
          <w:tcPr>
            <w:tcW w:w="820" w:type="dxa"/>
            <w:vAlign w:val="bottom"/>
            <w:shd w:val="clear" w:color="auto" w:fill="CCEEFF"/>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 1.</w:t>
            </w:r>
          </w:p>
        </w:tc>
        <w:tc>
          <w:tcPr>
            <w:tcW w:w="7720" w:type="dxa"/>
            <w:vAlign w:val="bottom"/>
            <w:gridSpan w:val="19"/>
            <w:shd w:val="clear" w:color="auto" w:fill="CCEEFF"/>
          </w:tcPr>
          <w:p>
            <w:pPr>
              <w:spacing w:after="0" w:line="189" w:lineRule="exact"/>
              <w:rPr>
                <w:sz w:val="20"/>
                <w:szCs w:val="20"/>
                <w:color w:val="auto"/>
              </w:rPr>
            </w:pPr>
            <w:r>
              <w:rPr>
                <w:rFonts w:ascii="Arial" w:cs="Arial" w:eastAsia="Arial" w:hAnsi="Arial"/>
                <w:sz w:val="18"/>
                <w:szCs w:val="18"/>
                <w:color w:val="0000FF"/>
              </w:rPr>
              <w:t>Legal Proceedings</w:t>
            </w:r>
          </w:p>
        </w:tc>
        <w:tc>
          <w:tcPr>
            <w:tcW w:w="8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45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 1A.</w:t>
            </w:r>
          </w:p>
        </w:tc>
        <w:tc>
          <w:tcPr>
            <w:tcW w:w="7720" w:type="dxa"/>
            <w:vAlign w:val="bottom"/>
            <w:gridSpan w:val="19"/>
            <w:shd w:val="clear" w:color="auto" w:fill="CCEEFF"/>
          </w:tcPr>
          <w:p>
            <w:pPr>
              <w:spacing w:after="0" w:line="189" w:lineRule="exact"/>
              <w:rPr>
                <w:sz w:val="20"/>
                <w:szCs w:val="20"/>
                <w:color w:val="auto"/>
              </w:rPr>
            </w:pPr>
            <w:r>
              <w:rPr>
                <w:rFonts w:ascii="Arial" w:cs="Arial" w:eastAsia="Arial" w:hAnsi="Arial"/>
                <w:sz w:val="18"/>
                <w:szCs w:val="18"/>
                <w:color w:val="0000FF"/>
              </w:rPr>
              <w:t>Risk Factors</w:t>
            </w:r>
          </w:p>
        </w:tc>
        <w:tc>
          <w:tcPr>
            <w:tcW w:w="8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45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0" w:type="dxa"/>
            <w:vAlign w:val="bottom"/>
            <w:tcBorders>
              <w:right w:val="single" w:sz="8" w:color="CCEEFF"/>
            </w:tcBorders>
          </w:tcPr>
          <w:p>
            <w:pPr>
              <w:spacing w:after="0"/>
              <w:rPr>
                <w:sz w:val="19"/>
                <w:szCs w:val="19"/>
                <w:color w:val="auto"/>
              </w:rPr>
            </w:pPr>
          </w:p>
        </w:tc>
        <w:tc>
          <w:tcPr>
            <w:tcW w:w="8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 2.</w:t>
            </w:r>
          </w:p>
        </w:tc>
        <w:tc>
          <w:tcPr>
            <w:tcW w:w="7720" w:type="dxa"/>
            <w:vAlign w:val="bottom"/>
            <w:gridSpan w:val="19"/>
            <w:shd w:val="clear" w:color="auto" w:fill="CCEEFF"/>
          </w:tcPr>
          <w:p>
            <w:pPr>
              <w:spacing w:after="0" w:line="189" w:lineRule="exact"/>
              <w:rPr>
                <w:sz w:val="20"/>
                <w:szCs w:val="20"/>
                <w:color w:val="auto"/>
              </w:rPr>
            </w:pPr>
            <w:r>
              <w:rPr>
                <w:rFonts w:ascii="Arial" w:cs="Arial" w:eastAsia="Arial" w:hAnsi="Arial"/>
                <w:sz w:val="18"/>
                <w:szCs w:val="18"/>
                <w:color w:val="0000FF"/>
              </w:rPr>
              <w:t>Unregistered Sales of Equity Securities and Use of Proceeds</w:t>
            </w:r>
          </w:p>
        </w:tc>
        <w:tc>
          <w:tcPr>
            <w:tcW w:w="8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45</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66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 3.</w:t>
            </w:r>
          </w:p>
        </w:tc>
        <w:tc>
          <w:tcPr>
            <w:tcW w:w="7720" w:type="dxa"/>
            <w:vAlign w:val="bottom"/>
            <w:gridSpan w:val="19"/>
            <w:shd w:val="clear" w:color="auto" w:fill="CCEEFF"/>
          </w:tcPr>
          <w:p>
            <w:pPr>
              <w:spacing w:after="0" w:line="189" w:lineRule="exact"/>
              <w:rPr>
                <w:sz w:val="20"/>
                <w:szCs w:val="20"/>
                <w:color w:val="auto"/>
              </w:rPr>
            </w:pPr>
            <w:r>
              <w:rPr>
                <w:rFonts w:ascii="Arial" w:cs="Arial" w:eastAsia="Arial" w:hAnsi="Arial"/>
                <w:sz w:val="18"/>
                <w:szCs w:val="18"/>
                <w:color w:val="0000FF"/>
              </w:rPr>
              <w:t>Defaults Upon Senior Securities</w:t>
            </w:r>
          </w:p>
        </w:tc>
        <w:tc>
          <w:tcPr>
            <w:tcW w:w="8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45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 4.</w:t>
            </w:r>
          </w:p>
        </w:tc>
        <w:tc>
          <w:tcPr>
            <w:tcW w:w="7720" w:type="dxa"/>
            <w:vAlign w:val="bottom"/>
            <w:gridSpan w:val="19"/>
            <w:shd w:val="clear" w:color="auto" w:fill="CCEEFF"/>
          </w:tcPr>
          <w:p>
            <w:pPr>
              <w:spacing w:after="0" w:line="189" w:lineRule="exact"/>
              <w:rPr>
                <w:sz w:val="20"/>
                <w:szCs w:val="20"/>
                <w:color w:val="auto"/>
              </w:rPr>
            </w:pPr>
            <w:r>
              <w:rPr>
                <w:rFonts w:ascii="Arial" w:cs="Arial" w:eastAsia="Arial" w:hAnsi="Arial"/>
                <w:sz w:val="18"/>
                <w:szCs w:val="18"/>
                <w:color w:val="0000FF"/>
              </w:rPr>
              <w:t>Mine Safety Disclosures</w:t>
            </w:r>
          </w:p>
        </w:tc>
        <w:tc>
          <w:tcPr>
            <w:tcW w:w="8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45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0" w:type="dxa"/>
            <w:vAlign w:val="bottom"/>
            <w:tcBorders>
              <w:right w:val="single" w:sz="8" w:color="CCEEFF"/>
            </w:tcBorders>
          </w:tcPr>
          <w:p>
            <w:pPr>
              <w:spacing w:after="0"/>
              <w:rPr>
                <w:sz w:val="19"/>
                <w:szCs w:val="19"/>
                <w:color w:val="auto"/>
              </w:rPr>
            </w:pPr>
          </w:p>
        </w:tc>
        <w:tc>
          <w:tcPr>
            <w:tcW w:w="8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 5.</w:t>
            </w:r>
          </w:p>
        </w:tc>
        <w:tc>
          <w:tcPr>
            <w:tcW w:w="7720" w:type="dxa"/>
            <w:vAlign w:val="bottom"/>
            <w:gridSpan w:val="19"/>
            <w:shd w:val="clear" w:color="auto" w:fill="CCEEFF"/>
          </w:tcPr>
          <w:p>
            <w:pPr>
              <w:spacing w:after="0" w:line="189" w:lineRule="exact"/>
              <w:rPr>
                <w:sz w:val="20"/>
                <w:szCs w:val="20"/>
                <w:color w:val="auto"/>
              </w:rPr>
            </w:pPr>
            <w:r>
              <w:rPr>
                <w:rFonts w:ascii="Arial" w:cs="Arial" w:eastAsia="Arial" w:hAnsi="Arial"/>
                <w:sz w:val="18"/>
                <w:szCs w:val="18"/>
                <w:color w:val="0000FF"/>
              </w:rPr>
              <w:t>Other Information</w:t>
            </w:r>
          </w:p>
        </w:tc>
        <w:tc>
          <w:tcPr>
            <w:tcW w:w="8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45</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 6.</w:t>
            </w:r>
          </w:p>
        </w:tc>
        <w:tc>
          <w:tcPr>
            <w:tcW w:w="7720" w:type="dxa"/>
            <w:vAlign w:val="bottom"/>
            <w:gridSpan w:val="19"/>
            <w:shd w:val="clear" w:color="auto" w:fill="CCEEFF"/>
          </w:tcPr>
          <w:p>
            <w:pPr>
              <w:spacing w:after="0" w:line="189" w:lineRule="exact"/>
              <w:rPr>
                <w:sz w:val="20"/>
                <w:szCs w:val="20"/>
                <w:color w:val="auto"/>
              </w:rPr>
            </w:pPr>
            <w:r>
              <w:rPr>
                <w:rFonts w:ascii="Arial" w:cs="Arial" w:eastAsia="Arial" w:hAnsi="Arial"/>
                <w:sz w:val="18"/>
                <w:szCs w:val="18"/>
                <w:color w:val="0000FF"/>
              </w:rPr>
              <w:t>Exhibits</w:t>
            </w:r>
          </w:p>
        </w:tc>
        <w:tc>
          <w:tcPr>
            <w:tcW w:w="8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47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580" w:type="dxa"/>
            <w:vAlign w:val="bottom"/>
            <w:gridSpan w:val="20"/>
            <w:shd w:val="clear" w:color="auto" w:fill="CCEEFF"/>
          </w:tcPr>
          <w:p>
            <w:pPr>
              <w:spacing w:after="0" w:line="189" w:lineRule="exact"/>
              <w:rPr>
                <w:sz w:val="20"/>
                <w:szCs w:val="20"/>
                <w:color w:val="auto"/>
              </w:rPr>
            </w:pPr>
            <w:r>
              <w:rPr>
                <w:rFonts w:ascii="Arial" w:cs="Arial" w:eastAsia="Arial" w:hAnsi="Arial"/>
                <w:sz w:val="18"/>
                <w:szCs w:val="18"/>
                <w:color w:val="0000FF"/>
              </w:rPr>
              <w:t>SIGNATURES</w:t>
            </w:r>
          </w:p>
        </w:tc>
        <w:tc>
          <w:tcPr>
            <w:tcW w:w="8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48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8"/>
        </w:trPr>
        <w:tc>
          <w:tcPr>
            <w:tcW w:w="680" w:type="dxa"/>
            <w:vAlign w:val="bottom"/>
            <w:tcBorders>
              <w:bottom w:val="single" w:sz="8" w:color="9A9A9A"/>
            </w:tcBorders>
          </w:tcPr>
          <w:p>
            <w:pPr>
              <w:spacing w:after="0"/>
              <w:rPr>
                <w:sz w:val="24"/>
                <w:szCs w:val="24"/>
                <w:color w:val="auto"/>
              </w:rPr>
            </w:pPr>
          </w:p>
        </w:tc>
        <w:tc>
          <w:tcPr>
            <w:tcW w:w="86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40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46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1660" w:type="dxa"/>
            <w:vAlign w:val="bottom"/>
            <w:tcBorders>
              <w:top w:val="single" w:sz="8" w:color="CCEEFF"/>
              <w:bottom w:val="single" w:sz="8" w:color="9A9A9A"/>
            </w:tcBorders>
          </w:tcPr>
          <w:p>
            <w:pPr>
              <w:spacing w:after="0"/>
              <w:rPr>
                <w:sz w:val="24"/>
                <w:szCs w:val="24"/>
                <w:color w:val="auto"/>
              </w:rPr>
            </w:pPr>
          </w:p>
        </w:tc>
        <w:tc>
          <w:tcPr>
            <w:tcW w:w="32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440" w:type="dxa"/>
            <w:vAlign w:val="bottom"/>
            <w:tcBorders>
              <w:top w:val="single" w:sz="8" w:color="CCEEFF"/>
              <w:bottom w:val="single" w:sz="8" w:color="9A9A9A"/>
            </w:tcBorders>
          </w:tcPr>
          <w:p>
            <w:pPr>
              <w:spacing w:after="0"/>
              <w:rPr>
                <w:sz w:val="24"/>
                <w:szCs w:val="24"/>
                <w:color w:val="auto"/>
              </w:rPr>
            </w:pPr>
          </w:p>
        </w:tc>
        <w:tc>
          <w:tcPr>
            <w:tcW w:w="136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94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820" w:type="dxa"/>
            <w:vAlign w:val="bottom"/>
            <w:tcBorders>
              <w:top w:val="single" w:sz="8" w:color="CCEEFF"/>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Quarterly Report on Form 10-Q may contain certain “forward-looking statements” within the meaning of the Private Securities Litigation Reform Act, as amended, which reflect our current views with respect to certain events that are not historical facts but could have an effect on our future performance, including but without limitation, statements regarding our plans, objectives, financial performance, business strategies, projected results of operations, and expectations for the business of the Company.</w:t>
      </w:r>
    </w:p>
    <w:p>
      <w:pPr>
        <w:spacing w:after="0" w:line="18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These statements may include and be identified by words or phrases such as, without limitation, “would,” “will,” “should,” “expects,” “believes,” “anticipates,” “continues,” “could,” “may,” “might,” “plans,” “possible,” “potential,” “predicts,” “projects,” “forecasts,” “intends,” “assumes,” “estimates,” “approximately,” “shall,” “our planning assumptions,” “future outlook,” “currently,” “target,” “guidance,” and similar expressions (including the negative and plural forms of such words and phrases). These forward-looking statements are based largely on information currently available to our management and on our current expectations, assumptions, plans, estimates, judgments, projections about our business and our industry, and macroeconomic conditions, and are subject to various risks, uncertainties, estimates, contingencies and other factors, many of which are outside our control, that could cause actual results to differ materially from those expected or implied by such forward-looking statements and could materially adversely affect our business, financial condition, results of operations, cash flows and liquidity. Factors that could cause or contribute to such differences include, but are not limited to, the following:</w:t>
      </w:r>
    </w:p>
    <w:p>
      <w:pPr>
        <w:spacing w:after="0" w:line="19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factors relating to our business, operations and financial performance, including:</w:t>
      </w:r>
    </w:p>
    <w:p>
      <w:pPr>
        <w:spacing w:after="0" w:line="9" w:lineRule="exact"/>
        <w:rPr>
          <w:rFonts w:ascii="Arial" w:cs="Arial" w:eastAsia="Arial" w:hAnsi="Arial"/>
          <w:sz w:val="18"/>
          <w:szCs w:val="18"/>
          <w:color w:val="auto"/>
        </w:rPr>
      </w:pPr>
    </w:p>
    <w:p>
      <w:pPr>
        <w:ind w:left="980" w:right="40" w:hanging="324"/>
        <w:spacing w:after="0" w:line="265" w:lineRule="auto"/>
        <w:tabs>
          <w:tab w:leader="none" w:pos="980" w:val="left"/>
        </w:tabs>
        <w:numPr>
          <w:ilvl w:val="1"/>
          <w:numId w:val="3"/>
        </w:numPr>
        <w:rPr>
          <w:rFonts w:ascii="Arial" w:cs="Arial" w:eastAsia="Arial" w:hAnsi="Arial"/>
          <w:sz w:val="17"/>
          <w:szCs w:val="17"/>
          <w:color w:val="auto"/>
        </w:rPr>
      </w:pPr>
      <w:r>
        <w:rPr>
          <w:rFonts w:ascii="Arial" w:cs="Arial" w:eastAsia="Arial" w:hAnsi="Arial"/>
          <w:sz w:val="17"/>
          <w:szCs w:val="17"/>
          <w:color w:val="auto"/>
        </w:rPr>
        <w:t>the Company’s ability to successfully execute, manage, integrate and obtain the anticipated financial benefits of key acquisitions and mergers, including the acquisitions of Envios de Valores La Nacional Corp. (“La Nacional”) and LAN Holdings, Corp. (“LAN Holdings”);</w:t>
      </w:r>
    </w:p>
    <w:p>
      <w:pPr>
        <w:ind w:left="980" w:hanging="324"/>
        <w:spacing w:after="0"/>
        <w:tabs>
          <w:tab w:leader="none" w:pos="980" w:val="left"/>
        </w:tabs>
        <w:numPr>
          <w:ilvl w:val="1"/>
          <w:numId w:val="3"/>
        </w:numPr>
        <w:rPr>
          <w:rFonts w:ascii="Arial" w:cs="Arial" w:eastAsia="Arial" w:hAnsi="Arial"/>
          <w:sz w:val="16"/>
          <w:szCs w:val="16"/>
          <w:color w:val="auto"/>
        </w:rPr>
      </w:pPr>
      <w:r>
        <w:rPr>
          <w:rFonts w:ascii="Arial" w:cs="Arial" w:eastAsia="Arial" w:hAnsi="Arial"/>
          <w:sz w:val="16"/>
          <w:szCs w:val="16"/>
          <w:color w:val="auto"/>
        </w:rPr>
        <w:t>economic factors such as inflation, the level of economic activity, recession risks and labor market conditions, as well as rising interest rates;</w:t>
      </w:r>
    </w:p>
    <w:p>
      <w:pPr>
        <w:spacing w:after="0" w:line="32" w:lineRule="exact"/>
        <w:rPr>
          <w:rFonts w:ascii="Arial" w:cs="Arial" w:eastAsia="Arial" w:hAnsi="Arial"/>
          <w:sz w:val="16"/>
          <w:szCs w:val="16"/>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public health conditions, responses thereto and the economic and market effects thereof;</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competition in the markets in which we operate;</w:t>
      </w:r>
    </w:p>
    <w:p>
      <w:pPr>
        <w:spacing w:after="0" w:line="9" w:lineRule="exact"/>
        <w:rPr>
          <w:rFonts w:ascii="Arial" w:cs="Arial" w:eastAsia="Arial" w:hAnsi="Arial"/>
          <w:sz w:val="18"/>
          <w:szCs w:val="18"/>
          <w:color w:val="auto"/>
        </w:rPr>
      </w:pPr>
    </w:p>
    <w:p>
      <w:pPr>
        <w:ind w:left="980" w:right="300" w:hanging="324"/>
        <w:spacing w:after="0" w:line="250"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volatility in foreign exchange rates that could affect the volume of consumer remittance activity and/or affect our foreign exchange related gains and losses;</w:t>
      </w: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maintain favorable banking and agent relationships necessary to conduct our business;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credit risks from our agents and the financial institutions with which we do business;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bank failures, sustained financial illiquidity, or illiquidity at our clearing, cash management or custodial financial institutions;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new technology or competitors that disrupt the current ecosystem, including the introduction of new digital platforms;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cyber-attacks or disruptions to our information technology, computer network systems, data centers and mobile devices apps;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satisfy our debt obligations and remain in compliance with our credit facility requirements;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success in developing and introducing new products, services and infrastructure;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consumer confidence in our brands and in consumer money transfers generally;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maintain compliance with applicable regulatory requirements;</w:t>
      </w:r>
    </w:p>
    <w:p>
      <w:pPr>
        <w:spacing w:after="0" w:line="9" w:lineRule="exact"/>
        <w:rPr>
          <w:rFonts w:ascii="Arial" w:cs="Arial" w:eastAsia="Arial" w:hAnsi="Arial"/>
          <w:sz w:val="18"/>
          <w:szCs w:val="18"/>
          <w:color w:val="auto"/>
        </w:rPr>
      </w:pPr>
    </w:p>
    <w:p>
      <w:pPr>
        <w:ind w:left="980" w:right="60" w:hanging="324"/>
        <w:spacing w:after="0" w:line="250"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international political factors, political stability, tariffs, border taxes or restrictions on remittances or transfers out of the outbound countries in which we operate;</w:t>
      </w: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currency restrictions and volatility in countries in which we operate or plan to operate;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consumer fraud and other risks relating to the authenticity of customers’ orders;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changes in immigration laws and their enforcement;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protect our brands and intellectual property rights;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weakness in U.S. or international economic conditions;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changes in tax laws in the countries in which we operate;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recruit and retain key personnel; and</w:t>
      </w:r>
    </w:p>
    <w:p>
      <w:pPr>
        <w:spacing w:after="0" w:line="9" w:lineRule="exact"/>
        <w:rPr>
          <w:rFonts w:ascii="Arial" w:cs="Arial" w:eastAsia="Arial" w:hAnsi="Arial"/>
          <w:sz w:val="18"/>
          <w:szCs w:val="18"/>
          <w:color w:val="auto"/>
        </w:rPr>
      </w:pPr>
    </w:p>
    <w:p>
      <w:pPr>
        <w:ind w:left="660" w:right="16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economic, business and/or competitive factors, risks and uncertainties, including those described in the “</w:t>
      </w:r>
      <w:r>
        <w:rPr>
          <w:rFonts w:ascii="Arial" w:cs="Arial" w:eastAsia="Arial" w:hAnsi="Arial"/>
          <w:sz w:val="18"/>
          <w:szCs w:val="18"/>
          <w:i w:val="1"/>
          <w:iCs w:val="1"/>
          <w:color w:val="auto"/>
        </w:rPr>
        <w:t>Risk Factors</w:t>
      </w:r>
      <w:r>
        <w:rPr>
          <w:rFonts w:ascii="Arial" w:cs="Arial" w:eastAsia="Arial" w:hAnsi="Arial"/>
          <w:sz w:val="18"/>
          <w:szCs w:val="18"/>
          <w:color w:val="auto"/>
        </w:rPr>
        <w:t>” and “</w:t>
      </w:r>
      <w:r>
        <w:rPr>
          <w:rFonts w:ascii="Arial" w:cs="Arial" w:eastAsia="Arial" w:hAnsi="Arial"/>
          <w:sz w:val="18"/>
          <w:szCs w:val="18"/>
          <w:i w:val="1"/>
          <w:iCs w:val="1"/>
          <w:color w:val="auto"/>
        </w:rPr>
        <w:t>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 of Financial Condition and Results of Operations</w:t>
      </w:r>
      <w:r>
        <w:rPr>
          <w:rFonts w:ascii="Arial" w:cs="Arial" w:eastAsia="Arial" w:hAnsi="Arial"/>
          <w:sz w:val="18"/>
          <w:szCs w:val="18"/>
          <w:color w:val="auto"/>
        </w:rPr>
        <w:t>” sections in our Annual Report on Form 10-K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2022.</w:t>
      </w:r>
    </w:p>
    <w:p>
      <w:pPr>
        <w:spacing w:after="0" w:line="19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All forward-looking statements that are made or attributable to us are expressly qualified in their entirety by this cautionary notice. The forward-looking statements included herein are only made as of the date of this Quarterly Report on Form 10-Q. We undertake no obligation to update or revise any forward-looking statements, whether as a result of new information, future events or otherwise.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 FINANCIAL INFORMATION</w:t>
      </w:r>
    </w:p>
    <w:p>
      <w:pPr>
        <w:spacing w:after="0" w:line="2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FINANCIAL STATEMENTS</w:t>
      </w:r>
    </w:p>
    <w:p>
      <w:pPr>
        <w:spacing w:after="0" w:line="207"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(in thousands, except for share data)</w:t>
      </w:r>
    </w:p>
    <w:p>
      <w:pPr>
        <w:spacing w:after="0" w:line="251"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6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June 30, 2023</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89"/>
              </w:rPr>
              <w:t>December 31, 2022</w:t>
            </w:r>
          </w:p>
        </w:tc>
        <w:tc>
          <w:tcPr>
            <w:tcW w:w="0" w:type="dxa"/>
            <w:vAlign w:val="bottom"/>
          </w:tcPr>
          <w:p>
            <w:pPr>
              <w:spacing w:after="0"/>
              <w:rPr>
                <w:sz w:val="1"/>
                <w:szCs w:val="1"/>
                <w:color w:val="auto"/>
              </w:rPr>
            </w:pPr>
          </w:p>
        </w:tc>
      </w:tr>
      <w:tr>
        <w:trPr>
          <w:trHeight w:val="237"/>
        </w:trPr>
        <w:tc>
          <w:tcPr>
            <w:tcW w:w="6500" w:type="dxa"/>
            <w:vAlign w:val="bottom"/>
          </w:tcPr>
          <w:p>
            <w:pPr>
              <w:ind w:left="2920"/>
              <w:spacing w:after="0"/>
              <w:rPr>
                <w:sz w:val="20"/>
                <w:szCs w:val="20"/>
                <w:color w:val="auto"/>
              </w:rPr>
            </w:pPr>
            <w:r>
              <w:rPr>
                <w:rFonts w:ascii="Arial" w:cs="Arial" w:eastAsia="Arial" w:hAnsi="Arial"/>
                <w:sz w:val="18"/>
                <w:szCs w:val="18"/>
                <w:color w:val="auto"/>
              </w:rPr>
              <w:t>ASSETS</w:t>
            </w:r>
          </w:p>
        </w:tc>
        <w:tc>
          <w:tcPr>
            <w:tcW w:w="240" w:type="dxa"/>
            <w:vAlign w:val="bottom"/>
          </w:tcPr>
          <w:p>
            <w:pPr>
              <w:spacing w:after="0"/>
              <w:rPr>
                <w:sz w:val="20"/>
                <w:szCs w:val="20"/>
                <w:color w:val="auto"/>
              </w:rPr>
            </w:pPr>
          </w:p>
        </w:tc>
        <w:tc>
          <w:tcPr>
            <w:tcW w:w="1540" w:type="dxa"/>
            <w:vAlign w:val="bottom"/>
          </w:tcPr>
          <w:p>
            <w:pPr>
              <w:jc w:val="right"/>
              <w:ind w:right="390"/>
              <w:spacing w:after="0"/>
              <w:rPr>
                <w:sz w:val="20"/>
                <w:szCs w:val="20"/>
                <w:color w:val="auto"/>
              </w:rPr>
            </w:pPr>
            <w:r>
              <w:rPr>
                <w:rFonts w:ascii="Arial" w:cs="Arial" w:eastAsia="Arial" w:hAnsi="Arial"/>
                <w:sz w:val="18"/>
                <w:szCs w:val="18"/>
                <w:color w:val="auto"/>
              </w:rPr>
              <w:t>(unaudited)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0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147,372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149,493</w:t>
            </w:r>
          </w:p>
        </w:tc>
        <w:tc>
          <w:tcPr>
            <w:tcW w:w="0" w:type="dxa"/>
            <w:vAlign w:val="bottom"/>
          </w:tcPr>
          <w:p>
            <w:pPr>
              <w:spacing w:after="0"/>
              <w:rPr>
                <w:sz w:val="1"/>
                <w:szCs w:val="1"/>
                <w:color w:val="auto"/>
              </w:rPr>
            </w:pPr>
          </w:p>
        </w:tc>
      </w:tr>
      <w:tr>
        <w:trPr>
          <w:trHeight w:val="243"/>
        </w:trPr>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129,808</w:t>
            </w:r>
          </w:p>
        </w:tc>
        <w:tc>
          <w:tcPr>
            <w:tcW w:w="0" w:type="dxa"/>
            <w:vAlign w:val="bottom"/>
          </w:tcPr>
          <w:p>
            <w:pPr>
              <w:spacing w:after="0"/>
              <w:rPr>
                <w:sz w:val="1"/>
                <w:szCs w:val="1"/>
                <w:color w:val="auto"/>
              </w:rPr>
            </w:pPr>
          </w:p>
        </w:tc>
      </w:tr>
      <w:tr>
        <w:trPr>
          <w:trHeight w:val="230"/>
        </w:trPr>
        <w:tc>
          <w:tcPr>
            <w:tcW w:w="6500" w:type="dxa"/>
            <w:vAlign w:val="bottom"/>
          </w:tcPr>
          <w:p>
            <w:pPr>
              <w:ind w:left="140"/>
              <w:spacing w:after="0"/>
              <w:rPr>
                <w:sz w:val="20"/>
                <w:szCs w:val="20"/>
                <w:color w:val="auto"/>
              </w:rPr>
            </w:pPr>
            <w:r>
              <w:rPr>
                <w:rFonts w:ascii="Arial" w:cs="Arial" w:eastAsia="Arial" w:hAnsi="Arial"/>
                <w:sz w:val="18"/>
                <w:szCs w:val="18"/>
                <w:color w:val="auto"/>
              </w:rPr>
              <w:t>Prepaid wires, net</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119,169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90,386</w:t>
            </w:r>
          </w:p>
        </w:tc>
        <w:tc>
          <w:tcPr>
            <w:tcW w:w="0" w:type="dxa"/>
            <w:vAlign w:val="bottom"/>
          </w:tcPr>
          <w:p>
            <w:pPr>
              <w:spacing w:after="0"/>
              <w:rPr>
                <w:sz w:val="1"/>
                <w:szCs w:val="1"/>
                <w:color w:val="auto"/>
              </w:rPr>
            </w:pPr>
          </w:p>
        </w:tc>
      </w:tr>
      <w:tr>
        <w:trPr>
          <w:trHeight w:val="249"/>
        </w:trPr>
        <w:tc>
          <w:tcPr>
            <w:tcW w:w="6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12,749</w:t>
            </w:r>
          </w:p>
        </w:tc>
        <w:tc>
          <w:tcPr>
            <w:tcW w:w="0" w:type="dxa"/>
            <w:vAlign w:val="bottom"/>
          </w:tcPr>
          <w:p>
            <w:pPr>
              <w:spacing w:after="0"/>
              <w:rPr>
                <w:sz w:val="1"/>
                <w:szCs w:val="1"/>
                <w:color w:val="auto"/>
              </w:rPr>
            </w:pPr>
          </w:p>
        </w:tc>
      </w:tr>
      <w:tr>
        <w:trPr>
          <w:trHeight w:val="224"/>
        </w:trPr>
        <w:tc>
          <w:tcPr>
            <w:tcW w:w="650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402,561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382,436</w:t>
            </w:r>
          </w:p>
        </w:tc>
        <w:tc>
          <w:tcPr>
            <w:tcW w:w="0" w:type="dxa"/>
            <w:vAlign w:val="bottom"/>
          </w:tcPr>
          <w:p>
            <w:pPr>
              <w:spacing w:after="0"/>
              <w:rPr>
                <w:sz w:val="1"/>
                <w:szCs w:val="1"/>
                <w:color w:val="auto"/>
              </w:rPr>
            </w:pPr>
          </w:p>
        </w:tc>
      </w:tr>
      <w:tr>
        <w:trPr>
          <w:trHeight w:val="276"/>
        </w:trPr>
        <w:tc>
          <w:tcPr>
            <w:tcW w:w="65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5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28,670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28,160</w:t>
            </w:r>
          </w:p>
        </w:tc>
        <w:tc>
          <w:tcPr>
            <w:tcW w:w="0" w:type="dxa"/>
            <w:vAlign w:val="bottom"/>
          </w:tcPr>
          <w:p>
            <w:pPr>
              <w:spacing w:after="0"/>
              <w:rPr>
                <w:sz w:val="1"/>
                <w:szCs w:val="1"/>
                <w:color w:val="auto"/>
              </w:rPr>
            </w:pPr>
          </w:p>
        </w:tc>
      </w:tr>
      <w:tr>
        <w:trPr>
          <w:trHeight w:val="229"/>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49,774</w:t>
            </w:r>
          </w:p>
        </w:tc>
        <w:tc>
          <w:tcPr>
            <w:tcW w:w="0" w:type="dxa"/>
            <w:vAlign w:val="bottom"/>
          </w:tcPr>
          <w:p>
            <w:pPr>
              <w:spacing w:after="0"/>
              <w:rPr>
                <w:sz w:val="1"/>
                <w:szCs w:val="1"/>
                <w:color w:val="auto"/>
              </w:rPr>
            </w:pPr>
          </w:p>
        </w:tc>
      </w:tr>
      <w:tr>
        <w:trPr>
          <w:trHeight w:val="237"/>
        </w:trPr>
        <w:tc>
          <w:tcPr>
            <w:tcW w:w="650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20,622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19,826</w:t>
            </w:r>
          </w:p>
        </w:tc>
        <w:tc>
          <w:tcPr>
            <w:tcW w:w="0" w:type="dxa"/>
            <w:vAlign w:val="bottom"/>
          </w:tcPr>
          <w:p>
            <w:pPr>
              <w:spacing w:after="0"/>
              <w:rPr>
                <w:sz w:val="1"/>
                <w:szCs w:val="1"/>
                <w:color w:val="auto"/>
              </w:rPr>
            </w:pPr>
          </w:p>
        </w:tc>
      </w:tr>
      <w:tr>
        <w:trPr>
          <w:trHeight w:val="256"/>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34,461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31,876</w:t>
            </w:r>
          </w:p>
        </w:tc>
        <w:tc>
          <w:tcPr>
            <w:tcW w:w="0" w:type="dxa"/>
            <w:vAlign w:val="bottom"/>
          </w:tcPr>
          <w:p>
            <w:pPr>
              <w:spacing w:after="0"/>
              <w:rPr>
                <w:sz w:val="1"/>
                <w:szCs w:val="1"/>
                <w:color w:val="auto"/>
              </w:rPr>
            </w:pPr>
          </w:p>
        </w:tc>
      </w:tr>
      <w:tr>
        <w:trPr>
          <w:trHeight w:val="217"/>
        </w:trPr>
        <w:tc>
          <w:tcPr>
            <w:tcW w:w="650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539,801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512,072</w:t>
            </w:r>
          </w:p>
        </w:tc>
        <w:tc>
          <w:tcPr>
            <w:tcW w:w="0" w:type="dxa"/>
            <w:vAlign w:val="bottom"/>
          </w:tcPr>
          <w:p>
            <w:pPr>
              <w:spacing w:after="0"/>
              <w:rPr>
                <w:sz w:val="1"/>
                <w:szCs w:val="1"/>
                <w:color w:val="auto"/>
              </w:rPr>
            </w:pP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500" w:type="dxa"/>
            <w:vAlign w:val="bottom"/>
          </w:tcPr>
          <w:p>
            <w:pPr>
              <w:ind w:left="1420"/>
              <w:spacing w:after="0"/>
              <w:rPr>
                <w:sz w:val="20"/>
                <w:szCs w:val="20"/>
                <w:color w:val="auto"/>
              </w:rPr>
            </w:pPr>
            <w:r>
              <w:rPr>
                <w:rFonts w:ascii="Arial" w:cs="Arial" w:eastAsia="Arial" w:hAnsi="Arial"/>
                <w:sz w:val="18"/>
                <w:szCs w:val="18"/>
                <w:color w:val="auto"/>
              </w:rPr>
              <w:t>LIABILITIES AND STOCKHOLDERS’ EQUITY</w:t>
            </w: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00" w:type="dxa"/>
            <w:vAlign w:val="bottom"/>
          </w:tcPr>
          <w:p>
            <w:pPr>
              <w:ind w:left="140"/>
              <w:spacing w:after="0"/>
              <w:rPr>
                <w:sz w:val="20"/>
                <w:szCs w:val="20"/>
                <w:color w:val="auto"/>
              </w:rPr>
            </w:pPr>
            <w:r>
              <w:rPr>
                <w:rFonts w:ascii="Arial" w:cs="Arial" w:eastAsia="Arial" w:hAnsi="Arial"/>
                <w:sz w:val="18"/>
                <w:szCs w:val="18"/>
                <w:color w:val="auto"/>
              </w:rPr>
              <w:t>Current portion of long-term debt, net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6,069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4,975</w:t>
            </w:r>
          </w:p>
        </w:tc>
        <w:tc>
          <w:tcPr>
            <w:tcW w:w="0" w:type="dxa"/>
            <w:vAlign w:val="bottom"/>
          </w:tcPr>
          <w:p>
            <w:pPr>
              <w:spacing w:after="0"/>
              <w:rPr>
                <w:sz w:val="1"/>
                <w:szCs w:val="1"/>
                <w:color w:val="auto"/>
              </w:rPr>
            </w:pPr>
          </w:p>
        </w:tc>
      </w:tr>
      <w:tr>
        <w:trPr>
          <w:trHeight w:val="243"/>
        </w:trPr>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25,686</w:t>
            </w:r>
          </w:p>
        </w:tc>
        <w:tc>
          <w:tcPr>
            <w:tcW w:w="0" w:type="dxa"/>
            <w:vAlign w:val="bottom"/>
          </w:tcPr>
          <w:p>
            <w:pPr>
              <w:spacing w:after="0"/>
              <w:rPr>
                <w:sz w:val="1"/>
                <w:szCs w:val="1"/>
                <w:color w:val="auto"/>
              </w:rPr>
            </w:pPr>
          </w:p>
        </w:tc>
      </w:tr>
      <w:tr>
        <w:trPr>
          <w:trHeight w:val="230"/>
        </w:trPr>
        <w:tc>
          <w:tcPr>
            <w:tcW w:w="6500" w:type="dxa"/>
            <w:vAlign w:val="bottom"/>
          </w:tcPr>
          <w:p>
            <w:pPr>
              <w:ind w:left="140"/>
              <w:spacing w:after="0"/>
              <w:rPr>
                <w:sz w:val="20"/>
                <w:szCs w:val="20"/>
                <w:color w:val="auto"/>
              </w:rPr>
            </w:pPr>
            <w:r>
              <w:rPr>
                <w:rFonts w:ascii="Arial" w:cs="Arial" w:eastAsia="Arial" w:hAnsi="Arial"/>
                <w:sz w:val="18"/>
                <w:szCs w:val="18"/>
                <w:color w:val="auto"/>
              </w:rPr>
              <w:t>Wire transfers and money orders payable, net</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106,271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112,251</w:t>
            </w:r>
          </w:p>
        </w:tc>
        <w:tc>
          <w:tcPr>
            <w:tcW w:w="0" w:type="dxa"/>
            <w:vAlign w:val="bottom"/>
          </w:tcPr>
          <w:p>
            <w:pPr>
              <w:spacing w:after="0"/>
              <w:rPr>
                <w:sz w:val="1"/>
                <w:szCs w:val="1"/>
                <w:color w:val="auto"/>
              </w:rPr>
            </w:pPr>
          </w:p>
        </w:tc>
      </w:tr>
      <w:tr>
        <w:trPr>
          <w:trHeight w:val="250"/>
        </w:trPr>
        <w:tc>
          <w:tcPr>
            <w:tcW w:w="6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Accrued and other liabilities</w:t>
            </w:r>
          </w:p>
        </w:tc>
        <w:tc>
          <w:tcPr>
            <w:tcW w:w="24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41,855</w:t>
            </w:r>
          </w:p>
        </w:tc>
        <w:tc>
          <w:tcPr>
            <w:tcW w:w="0" w:type="dxa"/>
            <w:vAlign w:val="bottom"/>
          </w:tcPr>
          <w:p>
            <w:pPr>
              <w:spacing w:after="0"/>
              <w:rPr>
                <w:sz w:val="1"/>
                <w:szCs w:val="1"/>
                <w:color w:val="auto"/>
              </w:rPr>
            </w:pPr>
          </w:p>
        </w:tc>
      </w:tr>
      <w:tr>
        <w:trPr>
          <w:trHeight w:val="224"/>
        </w:trPr>
        <w:tc>
          <w:tcPr>
            <w:tcW w:w="650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175,957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184,767</w:t>
            </w:r>
          </w:p>
        </w:tc>
        <w:tc>
          <w:tcPr>
            <w:tcW w:w="0" w:type="dxa"/>
            <w:vAlign w:val="bottom"/>
          </w:tcPr>
          <w:p>
            <w:pPr>
              <w:spacing w:after="0"/>
              <w:rPr>
                <w:sz w:val="1"/>
                <w:szCs w:val="1"/>
                <w:color w:val="auto"/>
              </w:rPr>
            </w:pPr>
          </w:p>
        </w:tc>
      </w:tr>
      <w:tr>
        <w:trPr>
          <w:trHeight w:val="23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liabilities:</w:t>
            </w:r>
          </w:p>
        </w:tc>
        <w:tc>
          <w:tcPr>
            <w:tcW w:w="2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500" w:type="dxa"/>
            <w:vAlign w:val="bottom"/>
          </w:tcPr>
          <w:p>
            <w:pPr>
              <w:ind w:left="140"/>
              <w:spacing w:after="0"/>
              <w:rPr>
                <w:sz w:val="20"/>
                <w:szCs w:val="20"/>
                <w:color w:val="auto"/>
              </w:rPr>
            </w:pPr>
            <w:r>
              <w:rPr>
                <w:rFonts w:ascii="Arial" w:cs="Arial" w:eastAsia="Arial" w:hAnsi="Arial"/>
                <w:sz w:val="18"/>
                <w:szCs w:val="18"/>
                <w:color w:val="auto"/>
              </w:rPr>
              <w:t>Debt, net</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187,201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150,235</w:t>
            </w:r>
          </w:p>
        </w:tc>
        <w:tc>
          <w:tcPr>
            <w:tcW w:w="0" w:type="dxa"/>
            <w:vAlign w:val="bottom"/>
          </w:tcPr>
          <w:p>
            <w:pPr>
              <w:spacing w:after="0"/>
              <w:rPr>
                <w:sz w:val="1"/>
                <w:szCs w:val="1"/>
                <w:color w:val="auto"/>
              </w:rPr>
            </w:pPr>
          </w:p>
        </w:tc>
      </w:tr>
      <w:tr>
        <w:trPr>
          <w:trHeight w:val="243"/>
        </w:trPr>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Lease liabilities, net</w:t>
            </w: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23,272</w:t>
            </w:r>
          </w:p>
        </w:tc>
        <w:tc>
          <w:tcPr>
            <w:tcW w:w="0" w:type="dxa"/>
            <w:vAlign w:val="bottom"/>
          </w:tcPr>
          <w:p>
            <w:pPr>
              <w:spacing w:after="0"/>
              <w:rPr>
                <w:sz w:val="1"/>
                <w:szCs w:val="1"/>
                <w:color w:val="auto"/>
              </w:rPr>
            </w:pPr>
          </w:p>
        </w:tc>
      </w:tr>
      <w:tr>
        <w:trPr>
          <w:trHeight w:val="236"/>
        </w:trPr>
        <w:tc>
          <w:tcPr>
            <w:tcW w:w="6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Deferred tax liability, net</w:t>
            </w: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3,892</w:t>
            </w:r>
          </w:p>
        </w:tc>
        <w:tc>
          <w:tcPr>
            <w:tcW w:w="0" w:type="dxa"/>
            <w:vAlign w:val="bottom"/>
          </w:tcPr>
          <w:p>
            <w:pPr>
              <w:spacing w:after="0"/>
              <w:rPr>
                <w:sz w:val="1"/>
                <w:szCs w:val="1"/>
                <w:color w:val="auto"/>
              </w:rPr>
            </w:pPr>
          </w:p>
        </w:tc>
      </w:tr>
      <w:tr>
        <w:trPr>
          <w:trHeight w:val="230"/>
        </w:trPr>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long-term liabilities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177,399</w:t>
            </w:r>
          </w:p>
        </w:tc>
        <w:tc>
          <w:tcPr>
            <w:tcW w:w="0" w:type="dxa"/>
            <w:vAlign w:val="bottom"/>
          </w:tcPr>
          <w:p>
            <w:pPr>
              <w:spacing w:after="0"/>
              <w:rPr>
                <w:sz w:val="1"/>
                <w:szCs w:val="1"/>
                <w:color w:val="auto"/>
              </w:rPr>
            </w:pPr>
          </w:p>
        </w:tc>
      </w:tr>
      <w:tr>
        <w:trPr>
          <w:trHeight w:val="270"/>
        </w:trPr>
        <w:tc>
          <w:tcPr>
            <w:tcW w:w="6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see Note 16</w:t>
            </w: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6500" w:type="dxa"/>
            <w:vAlign w:val="bottom"/>
          </w:tcPr>
          <w:p>
            <w:pPr>
              <w:ind w:left="140"/>
              <w:spacing w:after="0" w:line="176" w:lineRule="exact"/>
              <w:rPr>
                <w:sz w:val="20"/>
                <w:szCs w:val="20"/>
                <w:color w:val="auto"/>
              </w:rPr>
            </w:pPr>
            <w:r>
              <w:rPr>
                <w:rFonts w:ascii="Arial" w:cs="Arial" w:eastAsia="Arial" w:hAnsi="Arial"/>
                <w:sz w:val="18"/>
                <w:szCs w:val="18"/>
                <w:color w:val="auto"/>
                <w:w w:val="95"/>
              </w:rPr>
              <w:t>Common stock $0.0001 par value; 230,000,000 shares authorized, 39,571,073 and</w:t>
            </w:r>
          </w:p>
        </w:tc>
        <w:tc>
          <w:tcPr>
            <w:tcW w:w="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00" w:type="dxa"/>
            <w:vAlign w:val="bottom"/>
          </w:tcPr>
          <w:p>
            <w:pPr>
              <w:ind w:left="300"/>
              <w:spacing w:after="0" w:line="176" w:lineRule="exact"/>
              <w:rPr>
                <w:sz w:val="20"/>
                <w:szCs w:val="20"/>
                <w:color w:val="auto"/>
              </w:rPr>
            </w:pPr>
            <w:r>
              <w:rPr>
                <w:rFonts w:ascii="Arial" w:cs="Arial" w:eastAsia="Arial" w:hAnsi="Arial"/>
                <w:sz w:val="18"/>
                <w:szCs w:val="18"/>
                <w:color w:val="auto"/>
                <w:w w:val="92"/>
              </w:rPr>
              <w:t>39,453,236 shares issued and 35,516,226 and 36,630,970 shares outstanding as of</w:t>
            </w:r>
          </w:p>
        </w:tc>
        <w:tc>
          <w:tcPr>
            <w:tcW w:w="240" w:type="dxa"/>
            <w:vAlign w:val="bottom"/>
          </w:tcPr>
          <w:p>
            <w:pPr>
              <w:spacing w:after="0"/>
              <w:rPr>
                <w:sz w:val="15"/>
                <w:szCs w:val="15"/>
                <w:color w:val="auto"/>
              </w:rPr>
            </w:pP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6500" w:type="dxa"/>
            <w:vAlign w:val="bottom"/>
          </w:tcPr>
          <w:p>
            <w:pPr>
              <w:ind w:left="300"/>
              <w:spacing w:after="0"/>
              <w:rPr>
                <w:sz w:val="20"/>
                <w:szCs w:val="20"/>
                <w:color w:val="auto"/>
              </w:rPr>
            </w:pPr>
            <w:r>
              <w:rPr>
                <w:rFonts w:ascii="Arial" w:cs="Arial" w:eastAsia="Arial" w:hAnsi="Arial"/>
                <w:sz w:val="18"/>
                <w:szCs w:val="18"/>
                <w:color w:val="auto"/>
              </w:rPr>
              <w:t>June 30, 2023 and December 31, 2022, respectively.</w:t>
            </w:r>
          </w:p>
        </w:tc>
        <w:tc>
          <w:tcPr>
            <w:tcW w:w="240" w:type="dxa"/>
            <w:vAlign w:val="bottom"/>
          </w:tcPr>
          <w:p>
            <w:pPr>
              <w:spacing w:after="0"/>
              <w:rPr>
                <w:sz w:val="20"/>
                <w:szCs w:val="20"/>
                <w:color w:val="auto"/>
              </w:rPr>
            </w:pPr>
          </w:p>
        </w:tc>
        <w:tc>
          <w:tcPr>
            <w:tcW w:w="15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74,103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70,210</w:t>
            </w:r>
          </w:p>
        </w:tc>
        <w:tc>
          <w:tcPr>
            <w:tcW w:w="0" w:type="dxa"/>
            <w:vAlign w:val="bottom"/>
          </w:tcPr>
          <w:p>
            <w:pPr>
              <w:spacing w:after="0"/>
              <w:rPr>
                <w:sz w:val="1"/>
                <w:szCs w:val="1"/>
                <w:color w:val="auto"/>
              </w:rPr>
            </w:pPr>
          </w:p>
        </w:tc>
      </w:tr>
      <w:tr>
        <w:trPr>
          <w:trHeight w:val="230"/>
        </w:trPr>
        <w:tc>
          <w:tcPr>
            <w:tcW w:w="650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166,318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139,134</w:t>
            </w:r>
          </w:p>
        </w:tc>
        <w:tc>
          <w:tcPr>
            <w:tcW w:w="0" w:type="dxa"/>
            <w:vAlign w:val="bottom"/>
          </w:tcPr>
          <w:p>
            <w:pPr>
              <w:spacing w:after="0"/>
              <w:rPr>
                <w:sz w:val="1"/>
                <w:szCs w:val="1"/>
                <w:color w:val="auto"/>
              </w:rPr>
            </w:pPr>
          </w:p>
        </w:tc>
      </w:tr>
      <w:tr>
        <w:trPr>
          <w:trHeight w:val="243"/>
        </w:trPr>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income (loss)</w:t>
            </w: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175"/>
        </w:trPr>
        <w:tc>
          <w:tcPr>
            <w:tcW w:w="6500" w:type="dxa"/>
            <w:vAlign w:val="bottom"/>
          </w:tcPr>
          <w:p>
            <w:pPr>
              <w:ind w:left="140"/>
              <w:spacing w:after="0" w:line="176" w:lineRule="exact"/>
              <w:rPr>
                <w:sz w:val="20"/>
                <w:szCs w:val="20"/>
                <w:color w:val="auto"/>
              </w:rPr>
            </w:pPr>
            <w:r>
              <w:rPr>
                <w:rFonts w:ascii="Arial" w:cs="Arial" w:eastAsia="Arial" w:hAnsi="Arial"/>
                <w:sz w:val="18"/>
                <w:szCs w:val="18"/>
                <w:color w:val="auto"/>
                <w:w w:val="97"/>
              </w:rPr>
              <w:t>Treasury stock, at cost; 4,054,847 and 2,822,266 shares as of June 30, 2023 and</w:t>
            </w:r>
          </w:p>
        </w:tc>
        <w:tc>
          <w:tcPr>
            <w:tcW w:w="240" w:type="dxa"/>
            <w:vAlign w:val="bottom"/>
          </w:tcPr>
          <w:p>
            <w:pPr>
              <w:spacing w:after="0"/>
              <w:rPr>
                <w:sz w:val="15"/>
                <w:szCs w:val="15"/>
                <w:color w:val="auto"/>
              </w:rPr>
            </w:pP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(89,815)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(59,300)</w:t>
            </w:r>
          </w:p>
        </w:tc>
        <w:tc>
          <w:tcPr>
            <w:tcW w:w="0" w:type="dxa"/>
            <w:vAlign w:val="bottom"/>
          </w:tcPr>
          <w:p>
            <w:pPr>
              <w:spacing w:after="0"/>
              <w:rPr>
                <w:sz w:val="1"/>
                <w:szCs w:val="1"/>
                <w:color w:val="auto"/>
              </w:rPr>
            </w:pPr>
          </w:p>
        </w:tc>
      </w:tr>
      <w:tr>
        <w:trPr>
          <w:trHeight w:val="223"/>
        </w:trPr>
        <w:tc>
          <w:tcPr>
            <w:tcW w:w="650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December 31, 2022, respectively.</w:t>
            </w: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149,906</w:t>
            </w:r>
          </w:p>
        </w:tc>
        <w:tc>
          <w:tcPr>
            <w:tcW w:w="0" w:type="dxa"/>
            <w:vAlign w:val="bottom"/>
          </w:tcPr>
          <w:p>
            <w:pPr>
              <w:spacing w:after="0"/>
              <w:rPr>
                <w:sz w:val="1"/>
                <w:szCs w:val="1"/>
                <w:color w:val="auto"/>
              </w:rPr>
            </w:pPr>
          </w:p>
        </w:tc>
      </w:tr>
      <w:tr>
        <w:trPr>
          <w:trHeight w:val="230"/>
        </w:trPr>
        <w:tc>
          <w:tcPr>
            <w:tcW w:w="6500" w:type="dxa"/>
            <w:vAlign w:val="bottom"/>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539,801</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512,072</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0800"/>
          </w:cols>
          <w:pgMar w:left="320" w:top="125" w:right="779" w:bottom="1440" w:gutter="0" w:footer="0" w:header="0"/>
        </w:sectPr>
      </w:pP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25" w:right="77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3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CONDENSED CONSOLIDATED STATEMENTS OF INCOME AND COMPREHENSIVE INCOME</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(in thousands, except for share data, unaudited)</w:t>
      </w:r>
    </w:p>
    <w:p>
      <w:pPr>
        <w:spacing w:after="0" w:line="251"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4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color w:val="auto"/>
                <w:w w:val="94"/>
              </w:rPr>
              <w:t>Three Months Ended June 30,</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color w:val="auto"/>
                <w:w w:val="98"/>
              </w:rPr>
              <w:t>Six Months Ended June 30,</w:t>
            </w:r>
          </w:p>
        </w:tc>
      </w:tr>
      <w:tr>
        <w:trPr>
          <w:trHeight w:val="250"/>
        </w:trPr>
        <w:tc>
          <w:tcPr>
            <w:tcW w:w="4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r>
      <w:tr>
        <w:trPr>
          <w:trHeight w:val="216"/>
        </w:trPr>
        <w:tc>
          <w:tcPr>
            <w:tcW w:w="4220" w:type="dxa"/>
            <w:vAlign w:val="bottom"/>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9"/>
        </w:trPr>
        <w:tc>
          <w:tcPr>
            <w:tcW w:w="4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Wire transfer and money order fees, net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144,518</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117,622</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268,968</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215,621</w:t>
            </w:r>
          </w:p>
        </w:tc>
      </w:tr>
      <w:tr>
        <w:trPr>
          <w:trHeight w:val="237"/>
        </w:trPr>
        <w:tc>
          <w:tcPr>
            <w:tcW w:w="4220" w:type="dxa"/>
            <w:vAlign w:val="bottom"/>
          </w:tcPr>
          <w:p>
            <w:pPr>
              <w:ind w:left="140"/>
              <w:spacing w:after="0"/>
              <w:rPr>
                <w:sz w:val="20"/>
                <w:szCs w:val="20"/>
                <w:color w:val="auto"/>
              </w:rPr>
            </w:pPr>
            <w:r>
              <w:rPr>
                <w:rFonts w:ascii="Arial" w:cs="Arial" w:eastAsia="Arial" w:hAnsi="Arial"/>
                <w:sz w:val="18"/>
                <w:szCs w:val="18"/>
                <w:color w:val="auto"/>
              </w:rPr>
              <w:t>Foreign exchange gain, net</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22,382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18,195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41,550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33,868</w:t>
            </w:r>
          </w:p>
        </w:tc>
      </w:tr>
      <w:tr>
        <w:trPr>
          <w:trHeight w:val="243"/>
        </w:trPr>
        <w:tc>
          <w:tcPr>
            <w:tcW w:w="4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income</w:t>
            </w:r>
          </w:p>
        </w:tc>
        <w:tc>
          <w:tcPr>
            <w:tcW w:w="2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w:t>
            </w:r>
          </w:p>
        </w:tc>
      </w:tr>
      <w:tr>
        <w:trPr>
          <w:trHeight w:val="237"/>
        </w:trPr>
        <w:tc>
          <w:tcPr>
            <w:tcW w:w="42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169,150</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136,935</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314,514</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251,600</w:t>
            </w:r>
          </w:p>
        </w:tc>
      </w:tr>
      <w:tr>
        <w:trPr>
          <w:trHeight w:val="243"/>
        </w:trPr>
        <w:tc>
          <w:tcPr>
            <w:tcW w:w="4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43"/>
        </w:trPr>
        <w:tc>
          <w:tcPr>
            <w:tcW w:w="4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 charges from agents and banks</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110,996</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92,066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207,113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169,060</w:t>
            </w:r>
          </w:p>
        </w:tc>
      </w:tr>
      <w:tr>
        <w:trPr>
          <w:trHeight w:val="230"/>
        </w:trPr>
        <w:tc>
          <w:tcPr>
            <w:tcW w:w="4220" w:type="dxa"/>
            <w:vAlign w:val="bottom"/>
          </w:tcPr>
          <w:p>
            <w:pPr>
              <w:ind w:left="140"/>
              <w:spacing w:after="0"/>
              <w:rPr>
                <w:sz w:val="20"/>
                <w:szCs w:val="20"/>
                <w:color w:val="auto"/>
              </w:rPr>
            </w:pPr>
            <w:r>
              <w:rPr>
                <w:rFonts w:ascii="Arial" w:cs="Arial" w:eastAsia="Arial" w:hAnsi="Arial"/>
                <w:sz w:val="18"/>
                <w:szCs w:val="18"/>
                <w:color w:val="auto"/>
              </w:rPr>
              <w:t>Salaries and benefits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17,640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33,808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23,058</w:t>
            </w:r>
          </w:p>
        </w:tc>
      </w:tr>
      <w:tr>
        <w:trPr>
          <w:trHeight w:val="229"/>
        </w:trPr>
        <w:tc>
          <w:tcPr>
            <w:tcW w:w="4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selling, general and administrative expenses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14,730</w:t>
            </w:r>
          </w:p>
        </w:tc>
      </w:tr>
      <w:tr>
        <w:trPr>
          <w:trHeight w:val="250"/>
        </w:trPr>
        <w:tc>
          <w:tcPr>
            <w:tcW w:w="4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3,135</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2,251</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6,038</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4,434</w:t>
            </w:r>
          </w:p>
        </w:tc>
      </w:tr>
      <w:tr>
        <w:trPr>
          <w:trHeight w:val="237"/>
        </w:trPr>
        <w:tc>
          <w:tcPr>
            <w:tcW w:w="4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144,408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113,728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270,933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211,282</w:t>
            </w:r>
          </w:p>
        </w:tc>
      </w:tr>
      <w:tr>
        <w:trPr>
          <w:trHeight w:val="243"/>
        </w:trPr>
        <w:tc>
          <w:tcPr>
            <w:tcW w:w="4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43,581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40,318</w:t>
            </w:r>
          </w:p>
        </w:tc>
      </w:tr>
      <w:tr>
        <w:trPr>
          <w:trHeight w:val="257"/>
        </w:trPr>
        <w:tc>
          <w:tcPr>
            <w:tcW w:w="4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6"/>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2,064</w:t>
            </w:r>
          </w:p>
        </w:tc>
      </w:tr>
      <w:tr>
        <w:trPr>
          <w:trHeight w:val="243"/>
        </w:trPr>
        <w:tc>
          <w:tcPr>
            <w:tcW w:w="4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29"/>
        </w:trPr>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38,739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38,254</w:t>
            </w:r>
          </w:p>
        </w:tc>
      </w:tr>
      <w:tr>
        <w:trPr>
          <w:trHeight w:val="257"/>
        </w:trPr>
        <w:tc>
          <w:tcPr>
            <w:tcW w:w="4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7"/>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2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10,616</w:t>
            </w:r>
          </w:p>
        </w:tc>
      </w:tr>
      <w:tr>
        <w:trPr>
          <w:trHeight w:val="243"/>
        </w:trPr>
        <w:tc>
          <w:tcPr>
            <w:tcW w:w="4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30"/>
        </w:trPr>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27,638</w:t>
            </w:r>
          </w:p>
        </w:tc>
      </w:tr>
      <w:tr>
        <w:trPr>
          <w:trHeight w:val="256"/>
        </w:trPr>
        <w:tc>
          <w:tcPr>
            <w:tcW w:w="4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7"/>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4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63"/>
        </w:trPr>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Comprehensive income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15,597</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15,883</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27,541</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27,649</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90"/>
        </w:trPr>
        <w:tc>
          <w:tcPr>
            <w:tcW w:w="4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3"/>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common share:</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30"/>
        </w:trPr>
        <w:tc>
          <w:tcPr>
            <w:tcW w:w="4220" w:type="dxa"/>
            <w:vAlign w:val="bottom"/>
          </w:tcPr>
          <w:p>
            <w:pPr>
              <w:ind w:left="34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0.43</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0.42</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0.75</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0.72</w:t>
            </w:r>
          </w:p>
        </w:tc>
      </w:tr>
      <w:tr>
        <w:trPr>
          <w:trHeight w:val="230"/>
        </w:trPr>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r>
      <w:tr>
        <w:trPr>
          <w:trHeight w:val="256"/>
        </w:trPr>
        <w:tc>
          <w:tcPr>
            <w:tcW w:w="4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7"/>
        </w:trPr>
        <w:tc>
          <w:tcPr>
            <w:tcW w:w="4220" w:type="dxa"/>
            <w:vAlign w:val="bottom"/>
          </w:tcPr>
          <w:p>
            <w:pPr>
              <w:ind w:left="34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36,001,670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38,257,156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36,239,997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38,309,295</w:t>
            </w:r>
          </w:p>
        </w:tc>
      </w:tr>
      <w:tr>
        <w:trPr>
          <w:trHeight w:val="236"/>
        </w:trPr>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36,871,674</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39,228,991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37,115,490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39,153,039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25" w:right="7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37"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(in thousands, except for share data, unaudited)</w:t>
      </w:r>
    </w:p>
    <w:p>
      <w:pPr>
        <w:spacing w:after="0" w:line="243" w:lineRule="exact"/>
        <w:rPr>
          <w:sz w:val="20"/>
          <w:szCs w:val="20"/>
          <w:color w:val="auto"/>
        </w:rPr>
      </w:pPr>
    </w:p>
    <w:tbl>
      <w:tblPr>
        <w:tblLayout w:type="fixed"/>
        <w:tblInd w:w="160" w:type="dxa"/>
        <w:tblCellMar>
          <w:top w:w="0" w:type="dxa"/>
          <w:left w:w="0" w:type="dxa"/>
          <w:bottom w:w="0" w:type="dxa"/>
          <w:right w:w="0" w:type="dxa"/>
        </w:tblCellMar>
      </w:tblPr>
      <w:tr>
        <w:trPr>
          <w:trHeight w:val="186"/>
        </w:trPr>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80" w:type="dxa"/>
            <w:vAlign w:val="bottom"/>
            <w:gridSpan w:val="13"/>
          </w:tcPr>
          <w:p>
            <w:pPr>
              <w:jc w:val="right"/>
              <w:spacing w:after="0"/>
              <w:rPr>
                <w:sz w:val="20"/>
                <w:szCs w:val="20"/>
                <w:color w:val="auto"/>
              </w:rPr>
            </w:pPr>
            <w:r>
              <w:rPr>
                <w:rFonts w:ascii="Arial" w:cs="Arial" w:eastAsia="Arial" w:hAnsi="Arial"/>
                <w:sz w:val="14"/>
                <w:szCs w:val="14"/>
                <w:b w:val="1"/>
                <w:bCs w:val="1"/>
                <w:color w:val="auto"/>
              </w:rPr>
              <w:t>Three Months Ended June 30, 2023</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22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40" w:type="dxa"/>
            <w:vAlign w:val="bottom"/>
            <w:gridSpan w:val="5"/>
          </w:tcPr>
          <w:p>
            <w:pPr>
              <w:jc w:val="right"/>
              <w:ind w:right="412"/>
              <w:spacing w:after="0" w:line="135" w:lineRule="exact"/>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80" w:type="dxa"/>
            <w:vAlign w:val="bottom"/>
            <w:gridSpan w:val="4"/>
          </w:tcPr>
          <w:p>
            <w:pPr>
              <w:jc w:val="right"/>
              <w:ind w:right="392"/>
              <w:spacing w:after="0" w:line="135" w:lineRule="exact"/>
              <w:rPr>
                <w:sz w:val="20"/>
                <w:szCs w:val="20"/>
                <w:color w:val="auto"/>
              </w:rPr>
            </w:pPr>
            <w:r>
              <w:rPr>
                <w:rFonts w:ascii="Arial" w:cs="Arial" w:eastAsia="Arial" w:hAnsi="Arial"/>
                <w:sz w:val="14"/>
                <w:szCs w:val="14"/>
                <w:b w:val="1"/>
                <w:bCs w:val="1"/>
                <w:color w:val="auto"/>
              </w:rPr>
              <w:t>Treasury Stock</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4"/>
          </w:tcPr>
          <w:p>
            <w:pPr>
              <w:jc w:val="center"/>
              <w:ind w:right="12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228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 w:type="dxa"/>
            <w:vAlign w:val="bottom"/>
            <w:vMerge w:val="restart"/>
          </w:tcPr>
          <w:p>
            <w:pPr>
              <w:spacing w:after="0"/>
              <w:rPr>
                <w:sz w:val="5"/>
                <w:szCs w:val="5"/>
                <w:color w:val="auto"/>
              </w:rPr>
            </w:pPr>
          </w:p>
        </w:tc>
        <w:tc>
          <w:tcPr>
            <w:tcW w:w="60" w:type="dxa"/>
            <w:vAlign w:val="bottom"/>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860" w:type="dxa"/>
            <w:vAlign w:val="bottom"/>
            <w:gridSpan w:val="2"/>
            <w:vMerge w:val="restart"/>
          </w:tcPr>
          <w:p>
            <w:pPr>
              <w:jc w:val="center"/>
              <w:spacing w:after="0" w:line="139" w:lineRule="exact"/>
              <w:rPr>
                <w:sz w:val="20"/>
                <w:szCs w:val="20"/>
                <w:color w:val="auto"/>
              </w:rPr>
            </w:pPr>
            <w:r>
              <w:rPr>
                <w:rFonts w:ascii="Arial" w:cs="Arial" w:eastAsia="Arial" w:hAnsi="Arial"/>
                <w:sz w:val="14"/>
                <w:szCs w:val="14"/>
                <w:b w:val="1"/>
                <w:bCs w:val="1"/>
                <w:color w:val="auto"/>
                <w:w w:val="96"/>
              </w:rPr>
              <w:t>Additional</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1"/>
              </w:rPr>
              <w:t>Retained</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gridSpan w:val="3"/>
            <w:vMerge w:val="restart"/>
          </w:tcPr>
          <w:p>
            <w:pPr>
              <w:jc w:val="center"/>
              <w:ind w:right="280"/>
              <w:spacing w:after="0" w:line="139"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vMerge w:val="restart"/>
          </w:tcPr>
          <w:p>
            <w:pPr>
              <w:jc w:val="right"/>
              <w:ind w:right="233"/>
              <w:spacing w:after="0" w:line="139"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8"/>
        </w:trPr>
        <w:tc>
          <w:tcPr>
            <w:tcW w:w="2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8"/>
              </w:rPr>
              <w:t>Amount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4"/>
              </w:rPr>
              <w:t>Paid-in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4"/>
              </w:rPr>
              <w:t>Stockholders’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center"/>
              <w:ind w:right="54"/>
              <w:spacing w:after="0"/>
              <w:rPr>
                <w:sz w:val="20"/>
                <w:szCs w:val="20"/>
                <w:color w:val="auto"/>
              </w:rPr>
            </w:pPr>
            <w:r>
              <w:rPr>
                <w:rFonts w:ascii="Arial" w:cs="Arial" w:eastAsia="Arial" w:hAnsi="Arial"/>
                <w:sz w:val="14"/>
                <w:szCs w:val="14"/>
                <w:b w:val="1"/>
                <w:bCs w:val="1"/>
                <w:color w:val="auto"/>
                <w:w w:val="98"/>
              </w:rPr>
              <w:t>Capital</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93"/>
              <w:spacing w:after="0"/>
              <w:rPr>
                <w:sz w:val="20"/>
                <w:szCs w:val="20"/>
                <w:color w:val="auto"/>
              </w:rPr>
            </w:pPr>
            <w:r>
              <w:rPr>
                <w:rFonts w:ascii="Arial" w:cs="Arial" w:eastAsia="Arial" w:hAnsi="Arial"/>
                <w:sz w:val="14"/>
                <w:szCs w:val="14"/>
                <w:b w:val="1"/>
                <w:bCs w:val="1"/>
                <w:color w:val="auto"/>
                <w:w w:val="90"/>
              </w:rPr>
              <w:t>Earnings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Income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173"/>
              <w:spacing w:after="0"/>
              <w:rPr>
                <w:sz w:val="20"/>
                <w:szCs w:val="20"/>
                <w:color w:val="auto"/>
              </w:rPr>
            </w:pPr>
            <w:r>
              <w:rPr>
                <w:rFonts w:ascii="Arial" w:cs="Arial" w:eastAsia="Arial" w:hAnsi="Arial"/>
                <w:sz w:val="14"/>
                <w:szCs w:val="14"/>
                <w:b w:val="1"/>
                <w:bCs w:val="1"/>
                <w:color w:val="auto"/>
              </w:rPr>
              <w:t>Equity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2023</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39,556,217</w:t>
            </w:r>
          </w:p>
        </w:tc>
        <w:tc>
          <w:tcPr>
            <w:tcW w:w="2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(3,138,725)</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(66,884)</w:t>
            </w:r>
          </w:p>
        </w:tc>
        <w:tc>
          <w:tcPr>
            <w:tcW w:w="2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71,797</w:t>
            </w:r>
          </w:p>
        </w:tc>
        <w:tc>
          <w:tcPr>
            <w:tcW w:w="2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150,896</w:t>
            </w:r>
          </w:p>
        </w:tc>
        <w:tc>
          <w:tcPr>
            <w:tcW w:w="2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155,853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2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15,422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15,422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common stock:</w:t>
            </w:r>
          </w:p>
        </w:tc>
        <w:tc>
          <w:tcPr>
            <w:tcW w:w="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280" w:type="dxa"/>
            <w:vAlign w:val="bottom"/>
          </w:tcPr>
          <w:p>
            <w:pPr>
              <w:ind w:left="100"/>
              <w:spacing w:after="0" w:line="189" w:lineRule="exact"/>
              <w:rPr>
                <w:sz w:val="20"/>
                <w:szCs w:val="20"/>
                <w:color w:val="auto"/>
              </w:rPr>
            </w:pPr>
            <w:r>
              <w:rPr>
                <w:rFonts w:ascii="Arial" w:cs="Arial" w:eastAsia="Arial" w:hAnsi="Arial"/>
                <w:sz w:val="18"/>
                <w:szCs w:val="18"/>
                <w:color w:val="auto"/>
                <w:w w:val="92"/>
              </w:rPr>
              <w:t>Exercise of stock options, net</w:t>
            </w: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280" w:type="dxa"/>
            <w:vAlign w:val="bottom"/>
          </w:tcPr>
          <w:p>
            <w:pPr>
              <w:ind w:left="280"/>
              <w:spacing w:after="0" w:line="176" w:lineRule="exact"/>
              <w:rPr>
                <w:sz w:val="20"/>
                <w:szCs w:val="20"/>
                <w:color w:val="auto"/>
              </w:rPr>
            </w:pPr>
            <w:r>
              <w:rPr>
                <w:rFonts w:ascii="Arial" w:cs="Arial" w:eastAsia="Arial" w:hAnsi="Arial"/>
                <w:sz w:val="18"/>
                <w:szCs w:val="18"/>
                <w:color w:val="auto"/>
              </w:rPr>
              <w:t>of shares withheld for</w:t>
            </w: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280" w:type="dxa"/>
            <w:vAlign w:val="bottom"/>
          </w:tcPr>
          <w:p>
            <w:pPr>
              <w:ind w:left="280"/>
              <w:spacing w:after="0"/>
              <w:rPr>
                <w:sz w:val="20"/>
                <w:szCs w:val="20"/>
                <w:color w:val="auto"/>
              </w:rPr>
            </w:pPr>
            <w:r>
              <w:rPr>
                <w:rFonts w:ascii="Arial" w:cs="Arial" w:eastAsia="Arial" w:hAnsi="Arial"/>
                <w:sz w:val="18"/>
                <w:szCs w:val="18"/>
                <w:color w:val="auto"/>
              </w:rPr>
              <w:t>taxes</w:t>
            </w:r>
          </w:p>
        </w:tc>
        <w:tc>
          <w:tcPr>
            <w:tcW w:w="102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28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Restricted stock units and</w:t>
            </w:r>
          </w:p>
        </w:tc>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2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rPr>
              <w:t>awards, net of shares</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4,075</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withheld for taxes</w:t>
            </w:r>
          </w:p>
        </w:tc>
        <w:tc>
          <w:tcPr>
            <w:tcW w:w="1020" w:type="dxa"/>
            <w:vAlign w:val="bottom"/>
            <w:gridSpan w:val="2"/>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3"/>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80" w:type="dxa"/>
            <w:vAlign w:val="bottom"/>
          </w:tcPr>
          <w:p>
            <w:pPr>
              <w:ind w:left="100"/>
              <w:spacing w:after="0"/>
              <w:rPr>
                <w:sz w:val="20"/>
                <w:szCs w:val="20"/>
                <w:color w:val="auto"/>
              </w:rPr>
            </w:pPr>
            <w:r>
              <w:rPr>
                <w:rFonts w:ascii="Arial" w:cs="Arial" w:eastAsia="Arial" w:hAnsi="Arial"/>
                <w:sz w:val="18"/>
                <w:szCs w:val="18"/>
                <w:color w:val="auto"/>
              </w:rPr>
              <w:t>Fully vested shares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781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280" w:type="dxa"/>
            <w:vAlign w:val="bottom"/>
          </w:tcPr>
          <w:p>
            <w:pPr>
              <w:ind w:left="20"/>
              <w:spacing w:after="0" w:line="176" w:lineRule="exact"/>
              <w:rPr>
                <w:sz w:val="20"/>
                <w:szCs w:val="20"/>
                <w:color w:val="auto"/>
              </w:rPr>
            </w:pPr>
            <w:r>
              <w:rPr>
                <w:rFonts w:ascii="Arial" w:cs="Arial" w:eastAsia="Arial" w:hAnsi="Arial"/>
                <w:sz w:val="18"/>
                <w:szCs w:val="18"/>
                <w:color w:val="auto"/>
              </w:rPr>
              <w:t>Adjustment from foreign</w:t>
            </w:r>
          </w:p>
        </w:tc>
        <w:tc>
          <w:tcPr>
            <w:tcW w:w="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175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280" w:type="dxa"/>
            <w:vAlign w:val="bottom"/>
          </w:tcPr>
          <w:p>
            <w:pPr>
              <w:ind w:left="200"/>
              <w:spacing w:after="0"/>
              <w:rPr>
                <w:sz w:val="20"/>
                <w:szCs w:val="20"/>
                <w:color w:val="auto"/>
              </w:rPr>
            </w:pPr>
            <w:r>
              <w:rPr>
                <w:rFonts w:ascii="Arial" w:cs="Arial" w:eastAsia="Arial" w:hAnsi="Arial"/>
                <w:sz w:val="18"/>
                <w:szCs w:val="18"/>
                <w:color w:val="auto"/>
              </w:rPr>
              <w:t>currency translation, net</w:t>
            </w:r>
          </w:p>
        </w:tc>
        <w:tc>
          <w:tcPr>
            <w:tcW w:w="2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28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7"/>
              </w:rPr>
              <w:t>Acquisition of treasury stock,</w:t>
            </w:r>
          </w:p>
        </w:tc>
        <w:tc>
          <w:tcPr>
            <w:tcW w:w="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rPr>
              <w:t>(916,122)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(22,931)</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(22,931)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at cost</w:t>
            </w:r>
          </w:p>
        </w:tc>
        <w:tc>
          <w:tcPr>
            <w:tcW w:w="20" w:type="dxa"/>
            <w:vAlign w:val="bottom"/>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vMerge w:val="continue"/>
            <w:shd w:val="clear" w:color="auto" w:fill="CCEEFF"/>
          </w:tcPr>
          <w:p>
            <w:pPr>
              <w:spacing w:after="0"/>
              <w:rPr>
                <w:sz w:val="20"/>
                <w:szCs w:val="20"/>
                <w:color w:val="auto"/>
              </w:rPr>
            </w:pPr>
          </w:p>
        </w:tc>
        <w:tc>
          <w:tcPr>
            <w:tcW w:w="1040" w:type="dxa"/>
            <w:vAlign w:val="bottom"/>
            <w:gridSpan w:val="4"/>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3"/>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2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Balance, June 30, 2023</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39,571,073</w:t>
            </w:r>
          </w:p>
        </w:tc>
        <w:tc>
          <w:tcPr>
            <w:tcW w:w="2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(4,054,847)</w:t>
            </w:r>
          </w:p>
        </w:tc>
        <w:tc>
          <w:tcPr>
            <w:tcW w:w="80" w:type="dxa"/>
            <w:vAlign w:val="bottom"/>
            <w:tcBorders>
              <w:top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(89,815)</w:t>
            </w:r>
          </w:p>
        </w:tc>
        <w:tc>
          <w:tcPr>
            <w:tcW w:w="80" w:type="dxa"/>
            <w:vAlign w:val="bottom"/>
            <w:tcBorders>
              <w:top w:val="single" w:sz="8" w:color="auto"/>
            </w:tcBorders>
            <w:gridSpan w:val="2"/>
          </w:tcPr>
          <w:p>
            <w:pPr>
              <w:spacing w:after="0"/>
              <w:rPr>
                <w:sz w:val="20"/>
                <w:szCs w:val="20"/>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74,103</w:t>
            </w:r>
          </w:p>
        </w:tc>
        <w:tc>
          <w:tcPr>
            <w:tcW w:w="2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166,318</w:t>
            </w:r>
          </w:p>
        </w:tc>
        <w:tc>
          <w:tcPr>
            <w:tcW w:w="2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200" w:type="dxa"/>
            <w:vAlign w:val="bottom"/>
            <w:tcBorders>
              <w:top w:val="single" w:sz="8" w:color="auto"/>
              <w:bottom w:val="single" w:sz="8" w:color="auto"/>
            </w:tcBorders>
            <w:gridSpan w:val="2"/>
          </w:tcPr>
          <w:p>
            <w:pPr>
              <w:jc w:val="right"/>
              <w:ind w:right="21"/>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2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200" w:type="dxa"/>
            <w:vAlign w:val="bottom"/>
            <w:tcBorders>
              <w:top w:val="single" w:sz="8" w:color="auto"/>
              <w:bottom w:val="single" w:sz="8" w:color="auto"/>
            </w:tcBorders>
            <w:gridSpan w:val="2"/>
          </w:tcPr>
          <w:p>
            <w:pPr>
              <w:jc w:val="right"/>
              <w:ind w:right="1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150,825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4"/>
        </w:trPr>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80" w:type="dxa"/>
            <w:vAlign w:val="bottom"/>
            <w:gridSpan w:val="13"/>
          </w:tcPr>
          <w:p>
            <w:pPr>
              <w:jc w:val="right"/>
              <w:spacing w:after="0"/>
              <w:rPr>
                <w:sz w:val="20"/>
                <w:szCs w:val="20"/>
                <w:color w:val="auto"/>
              </w:rPr>
            </w:pPr>
            <w:r>
              <w:rPr>
                <w:rFonts w:ascii="Arial" w:cs="Arial" w:eastAsia="Arial" w:hAnsi="Arial"/>
                <w:sz w:val="14"/>
                <w:szCs w:val="14"/>
                <w:b w:val="1"/>
                <w:bCs w:val="1"/>
                <w:color w:val="auto"/>
              </w:rPr>
              <w:t>Three Months Ended June 30, 2022</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2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40" w:type="dxa"/>
            <w:vAlign w:val="bottom"/>
            <w:gridSpan w:val="5"/>
          </w:tcPr>
          <w:p>
            <w:pPr>
              <w:jc w:val="right"/>
              <w:ind w:right="412"/>
              <w:spacing w:after="0" w:line="139" w:lineRule="exact"/>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80" w:type="dxa"/>
            <w:vAlign w:val="bottom"/>
            <w:gridSpan w:val="4"/>
          </w:tcPr>
          <w:p>
            <w:pPr>
              <w:jc w:val="right"/>
              <w:ind w:right="392"/>
              <w:spacing w:after="0" w:line="139" w:lineRule="exact"/>
              <w:rPr>
                <w:sz w:val="20"/>
                <w:szCs w:val="20"/>
                <w:color w:val="auto"/>
              </w:rPr>
            </w:pPr>
            <w:r>
              <w:rPr>
                <w:rFonts w:ascii="Arial" w:cs="Arial" w:eastAsia="Arial" w:hAnsi="Arial"/>
                <w:sz w:val="14"/>
                <w:szCs w:val="14"/>
                <w:b w:val="1"/>
                <w:bCs w:val="1"/>
                <w:color w:val="auto"/>
              </w:rPr>
              <w:t>Treasury Stock</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4"/>
          </w:tcPr>
          <w:p>
            <w:pPr>
              <w:jc w:val="center"/>
              <w:ind w:right="60"/>
              <w:spacing w:after="0" w:line="139" w:lineRule="exact"/>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0"/>
        </w:trPr>
        <w:tc>
          <w:tcPr>
            <w:tcW w:w="2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vMerge w:val="restart"/>
          </w:tcPr>
          <w:p>
            <w:pPr>
              <w:jc w:val="center"/>
              <w:spacing w:after="0" w:line="144" w:lineRule="exact"/>
              <w:rPr>
                <w:sz w:val="20"/>
                <w:szCs w:val="20"/>
                <w:color w:val="auto"/>
              </w:rPr>
            </w:pPr>
            <w:r>
              <w:rPr>
                <w:rFonts w:ascii="Arial" w:cs="Arial" w:eastAsia="Arial" w:hAnsi="Arial"/>
                <w:sz w:val="14"/>
                <w:szCs w:val="14"/>
                <w:b w:val="1"/>
                <w:bCs w:val="1"/>
                <w:color w:val="auto"/>
                <w:w w:val="93"/>
              </w:rPr>
              <w:t>Additional</w:t>
            </w: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4"/>
              </w:rPr>
              <w:t>Retained</w:t>
            </w: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gridSpan w:val="3"/>
            <w:vMerge w:val="restart"/>
          </w:tcPr>
          <w:p>
            <w:pPr>
              <w:jc w:val="center"/>
              <w:ind w:right="240"/>
              <w:spacing w:after="0" w:line="144"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vMerge w:val="restart"/>
          </w:tcPr>
          <w:p>
            <w:pPr>
              <w:jc w:val="center"/>
              <w:ind w:right="73"/>
              <w:spacing w:after="0" w:line="144" w:lineRule="exact"/>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2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2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8"/>
              </w:rPr>
              <w:t>Amount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4"/>
              </w:rPr>
              <w:t>Paid-in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4"/>
          </w:tcPr>
          <w:p>
            <w:pPr>
              <w:jc w:val="center"/>
              <w:ind w:right="6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12"/>
                <w:szCs w:val="12"/>
                <w:color w:val="auto"/>
              </w:rPr>
            </w:pPr>
          </w:p>
        </w:tc>
        <w:tc>
          <w:tcPr>
            <w:tcW w:w="92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w w:val="92"/>
              </w:rPr>
              <w:t>Stockholders’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Earnings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center"/>
              <w:ind w:right="73"/>
              <w:spacing w:after="0"/>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2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2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2022</w:t>
            </w:r>
          </w:p>
        </w:tc>
        <w:tc>
          <w:tcPr>
            <w:tcW w:w="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38,885,736</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gridSpan w:val="2"/>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(565,910)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(9,194)</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gridSpan w:val="2"/>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68,431</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gridSpan w:val="2"/>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93,457</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gridSpan w:val="2"/>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152,734</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15,984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15,984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common stock:</w:t>
            </w:r>
          </w:p>
        </w:tc>
        <w:tc>
          <w:tcPr>
            <w:tcW w:w="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280" w:type="dxa"/>
            <w:vAlign w:val="bottom"/>
          </w:tcPr>
          <w:p>
            <w:pPr>
              <w:ind w:left="100"/>
              <w:spacing w:after="0" w:line="189" w:lineRule="exact"/>
              <w:rPr>
                <w:sz w:val="20"/>
                <w:szCs w:val="20"/>
                <w:color w:val="auto"/>
              </w:rPr>
            </w:pPr>
            <w:r>
              <w:rPr>
                <w:rFonts w:ascii="Arial" w:cs="Arial" w:eastAsia="Arial" w:hAnsi="Arial"/>
                <w:sz w:val="18"/>
                <w:szCs w:val="18"/>
                <w:color w:val="auto"/>
                <w:w w:val="92"/>
              </w:rPr>
              <w:t>Exercise of stock options, net</w:t>
            </w: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280"/>
              <w:spacing w:after="0"/>
              <w:rPr>
                <w:sz w:val="20"/>
                <w:szCs w:val="20"/>
                <w:color w:val="auto"/>
              </w:rPr>
            </w:pPr>
            <w:r>
              <w:rPr>
                <w:rFonts w:ascii="Arial" w:cs="Arial" w:eastAsia="Arial" w:hAnsi="Arial"/>
                <w:sz w:val="18"/>
                <w:szCs w:val="18"/>
                <w:color w:val="auto"/>
                <w:w w:val="90"/>
              </w:rPr>
              <w:t>of shares withheld for taxes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29,990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28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Restricted stock units and</w:t>
            </w:r>
          </w:p>
        </w:tc>
        <w:tc>
          <w:tcPr>
            <w:tcW w:w="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280" w:type="dxa"/>
            <w:vAlign w:val="bottom"/>
            <w:shd w:val="clear" w:color="auto" w:fill="CCEEFF"/>
          </w:tcPr>
          <w:p>
            <w:pPr>
              <w:ind w:left="280"/>
              <w:spacing w:after="0" w:line="189" w:lineRule="exact"/>
              <w:rPr>
                <w:sz w:val="20"/>
                <w:szCs w:val="20"/>
                <w:color w:val="auto"/>
              </w:rPr>
            </w:pPr>
            <w:r>
              <w:rPr>
                <w:rFonts w:ascii="Arial" w:cs="Arial" w:eastAsia="Arial" w:hAnsi="Arial"/>
                <w:sz w:val="18"/>
                <w:szCs w:val="18"/>
                <w:color w:val="auto"/>
              </w:rPr>
              <w:t>awards, net of shares</w:t>
            </w:r>
          </w:p>
        </w:tc>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withheld for taxes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94,540</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140"/>
              <w:spacing w:after="0"/>
              <w:rPr>
                <w:sz w:val="20"/>
                <w:szCs w:val="20"/>
                <w:color w:val="auto"/>
              </w:rPr>
            </w:pPr>
            <w:r>
              <w:rPr>
                <w:rFonts w:ascii="Arial" w:cs="Arial" w:eastAsia="Arial" w:hAnsi="Arial"/>
                <w:sz w:val="18"/>
                <w:szCs w:val="18"/>
                <w:color w:val="auto"/>
              </w:rPr>
              <w:t>Fully vested shares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776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280" w:type="dxa"/>
            <w:vAlign w:val="bottom"/>
          </w:tcPr>
          <w:p>
            <w:pPr>
              <w:ind w:left="20"/>
              <w:spacing w:after="0" w:line="176" w:lineRule="exact"/>
              <w:rPr>
                <w:sz w:val="20"/>
                <w:szCs w:val="20"/>
                <w:color w:val="auto"/>
              </w:rPr>
            </w:pPr>
            <w:r>
              <w:rPr>
                <w:rFonts w:ascii="Arial" w:cs="Arial" w:eastAsia="Arial" w:hAnsi="Arial"/>
                <w:sz w:val="18"/>
                <w:szCs w:val="18"/>
                <w:color w:val="auto"/>
              </w:rPr>
              <w:t>Adjustment from foreign</w:t>
            </w:r>
          </w:p>
        </w:tc>
        <w:tc>
          <w:tcPr>
            <w:tcW w:w="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200"/>
              <w:spacing w:after="0"/>
              <w:rPr>
                <w:sz w:val="20"/>
                <w:szCs w:val="20"/>
                <w:color w:val="auto"/>
              </w:rPr>
            </w:pPr>
            <w:r>
              <w:rPr>
                <w:rFonts w:ascii="Arial" w:cs="Arial" w:eastAsia="Arial" w:hAnsi="Arial"/>
                <w:sz w:val="18"/>
                <w:szCs w:val="18"/>
                <w:color w:val="auto"/>
              </w:rPr>
              <w:t>currency translation, net</w:t>
            </w:r>
          </w:p>
        </w:tc>
        <w:tc>
          <w:tcPr>
            <w:tcW w:w="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28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rPr>
              <w:t>Acquisition of treasury</w:t>
            </w:r>
          </w:p>
        </w:tc>
        <w:tc>
          <w:tcPr>
            <w:tcW w:w="2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rPr>
              <w:t>(503,513)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at cost</w:t>
            </w:r>
          </w:p>
        </w:tc>
        <w:tc>
          <w:tcPr>
            <w:tcW w:w="20" w:type="dxa"/>
            <w:vAlign w:val="bottom"/>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vMerge w:val="continue"/>
            <w:shd w:val="clear" w:color="auto" w:fill="CCEEFF"/>
          </w:tcPr>
          <w:p>
            <w:pPr>
              <w:spacing w:after="0"/>
              <w:rPr>
                <w:sz w:val="20"/>
                <w:szCs w:val="20"/>
                <w:color w:val="auto"/>
              </w:rPr>
            </w:pPr>
          </w:p>
        </w:tc>
        <w:tc>
          <w:tcPr>
            <w:tcW w:w="1040" w:type="dxa"/>
            <w:vAlign w:val="bottom"/>
            <w:gridSpan w:val="4"/>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3"/>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Balance, June 30, 2022</w:t>
            </w:r>
          </w:p>
        </w:tc>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39,011,042</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CEEFF"/>
            </w:tcBorders>
            <w:gridSpan w:val="2"/>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(1,069,423)</w:t>
            </w: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(19,194)</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70,012</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109,441</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CCEEFF"/>
            </w:tcBorders>
            <w:gridSpan w:val="2"/>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160,198</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3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20" w:top="125" w:right="111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37"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CONDENSED CONSOLIDATED STATEMENTS OF CHANGES IN STOCKHOLDERS’ EQUITY (CONTINUED)</w:t>
      </w:r>
    </w:p>
    <w:p>
      <w:pPr>
        <w:spacing w:after="0" w:line="9"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(in thousands, except for share data, unaudited)</w:t>
      </w:r>
    </w:p>
    <w:p>
      <w:pPr>
        <w:spacing w:after="0" w:line="243" w:lineRule="exact"/>
        <w:rPr>
          <w:sz w:val="20"/>
          <w:szCs w:val="20"/>
          <w:color w:val="auto"/>
        </w:rPr>
      </w:pPr>
    </w:p>
    <w:tbl>
      <w:tblPr>
        <w:tblLayout w:type="fixed"/>
        <w:tblInd w:w="160" w:type="dxa"/>
        <w:tblCellMar>
          <w:top w:w="0" w:type="dxa"/>
          <w:left w:w="0" w:type="dxa"/>
          <w:bottom w:w="0" w:type="dxa"/>
          <w:right w:w="0" w:type="dxa"/>
        </w:tblCellMar>
      </w:tblPr>
      <w:tr>
        <w:trPr>
          <w:trHeight w:val="186"/>
        </w:trPr>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40" w:type="dxa"/>
            <w:vAlign w:val="bottom"/>
            <w:gridSpan w:val="13"/>
          </w:tcPr>
          <w:p>
            <w:pPr>
              <w:spacing w:after="0"/>
              <w:rPr>
                <w:sz w:val="20"/>
                <w:szCs w:val="20"/>
                <w:color w:val="auto"/>
              </w:rPr>
            </w:pPr>
            <w:r>
              <w:rPr>
                <w:rFonts w:ascii="Arial" w:cs="Arial" w:eastAsia="Arial" w:hAnsi="Arial"/>
                <w:sz w:val="14"/>
                <w:szCs w:val="14"/>
                <w:b w:val="1"/>
                <w:bCs w:val="1"/>
                <w:color w:val="auto"/>
                <w:w w:val="93"/>
              </w:rPr>
              <w:t>Six Months Ended June 30, 2023</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22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40" w:type="dxa"/>
            <w:vAlign w:val="bottom"/>
            <w:gridSpan w:val="5"/>
          </w:tcPr>
          <w:p>
            <w:pPr>
              <w:jc w:val="right"/>
              <w:ind w:right="412"/>
              <w:spacing w:after="0" w:line="135" w:lineRule="exact"/>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80" w:type="dxa"/>
            <w:vAlign w:val="bottom"/>
            <w:gridSpan w:val="6"/>
          </w:tcPr>
          <w:p>
            <w:pPr>
              <w:jc w:val="right"/>
              <w:ind w:right="392"/>
              <w:spacing w:after="0" w:line="135" w:lineRule="exact"/>
              <w:rPr>
                <w:sz w:val="20"/>
                <w:szCs w:val="20"/>
                <w:color w:val="auto"/>
              </w:rPr>
            </w:pPr>
            <w:r>
              <w:rPr>
                <w:rFonts w:ascii="Arial" w:cs="Arial" w:eastAsia="Arial" w:hAnsi="Arial"/>
                <w:sz w:val="14"/>
                <w:szCs w:val="14"/>
                <w:b w:val="1"/>
                <w:bCs w:val="1"/>
                <w:color w:val="auto"/>
              </w:rPr>
              <w:t>Treasury Stock</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4"/>
          </w:tcPr>
          <w:p>
            <w:pPr>
              <w:jc w:val="center"/>
              <w:ind w:right="12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228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 w:type="dxa"/>
            <w:vAlign w:val="bottom"/>
            <w:vMerge w:val="restart"/>
          </w:tcPr>
          <w:p>
            <w:pPr>
              <w:spacing w:after="0"/>
              <w:rPr>
                <w:sz w:val="5"/>
                <w:szCs w:val="5"/>
                <w:color w:val="auto"/>
              </w:rPr>
            </w:pPr>
          </w:p>
        </w:tc>
        <w:tc>
          <w:tcPr>
            <w:tcW w:w="60" w:type="dxa"/>
            <w:vAlign w:val="bottom"/>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960" w:type="dxa"/>
            <w:vAlign w:val="bottom"/>
            <w:gridSpan w:val="5"/>
            <w:vMerge w:val="restart"/>
          </w:tcPr>
          <w:p>
            <w:pPr>
              <w:jc w:val="center"/>
              <w:ind w:right="140"/>
              <w:spacing w:after="0" w:line="139"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5"/>
                <w:szCs w:val="5"/>
                <w:color w:val="auto"/>
              </w:rPr>
            </w:pPr>
          </w:p>
        </w:tc>
        <w:tc>
          <w:tcPr>
            <w:tcW w:w="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gridSpan w:val="3"/>
            <w:vMerge w:val="restart"/>
          </w:tcPr>
          <w:p>
            <w:pPr>
              <w:jc w:val="center"/>
              <w:ind w:right="280"/>
              <w:spacing w:after="0" w:line="139"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vMerge w:val="restart"/>
          </w:tcPr>
          <w:p>
            <w:pPr>
              <w:jc w:val="right"/>
              <w:ind w:right="233"/>
              <w:spacing w:after="0" w:line="139"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8"/>
        </w:trPr>
        <w:tc>
          <w:tcPr>
            <w:tcW w:w="2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960" w:type="dxa"/>
            <w:vAlign w:val="bottom"/>
            <w:gridSpan w:val="5"/>
            <w:vMerge w:val="continue"/>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8"/>
              </w:rPr>
              <w:t>Amount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4"/>
              </w:rPr>
              <w:t>Stockholders’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7"/>
                <w:szCs w:val="17"/>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Earnings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Income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173"/>
              <w:spacing w:after="0"/>
              <w:rPr>
                <w:sz w:val="20"/>
                <w:szCs w:val="20"/>
                <w:color w:val="auto"/>
              </w:rPr>
            </w:pPr>
            <w:r>
              <w:rPr>
                <w:rFonts w:ascii="Arial" w:cs="Arial" w:eastAsia="Arial" w:hAnsi="Arial"/>
                <w:sz w:val="14"/>
                <w:szCs w:val="14"/>
                <w:b w:val="1"/>
                <w:bCs w:val="1"/>
                <w:color w:val="auto"/>
              </w:rPr>
              <w:t>Equity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Balance, December 31, 2022</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39,453,236</w:t>
            </w:r>
          </w:p>
        </w:tc>
        <w:tc>
          <w:tcPr>
            <w:tcW w:w="2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(2,822,266)</w:t>
            </w:r>
          </w:p>
        </w:tc>
        <w:tc>
          <w:tcPr>
            <w:tcW w:w="2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(59,300)</w:t>
            </w:r>
          </w:p>
        </w:tc>
        <w:tc>
          <w:tcPr>
            <w:tcW w:w="2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70,210</w:t>
            </w:r>
          </w:p>
        </w:tc>
        <w:tc>
          <w:tcPr>
            <w:tcW w:w="2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139,134</w:t>
            </w:r>
          </w:p>
        </w:tc>
        <w:tc>
          <w:tcPr>
            <w:tcW w:w="2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149,906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2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27,184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27,184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common stock:</w:t>
            </w:r>
          </w:p>
        </w:tc>
        <w:tc>
          <w:tcPr>
            <w:tcW w:w="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280" w:type="dxa"/>
            <w:vAlign w:val="bottom"/>
          </w:tcPr>
          <w:p>
            <w:pPr>
              <w:ind w:left="140"/>
              <w:spacing w:after="0" w:line="189" w:lineRule="exact"/>
              <w:rPr>
                <w:sz w:val="20"/>
                <w:szCs w:val="20"/>
                <w:color w:val="auto"/>
              </w:rPr>
            </w:pPr>
            <w:r>
              <w:rPr>
                <w:rFonts w:ascii="Arial" w:cs="Arial" w:eastAsia="Arial" w:hAnsi="Arial"/>
                <w:sz w:val="18"/>
                <w:szCs w:val="18"/>
                <w:color w:val="auto"/>
              </w:rPr>
              <w:t>Exercise of stock options,</w:t>
            </w: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280" w:type="dxa"/>
            <w:vAlign w:val="bottom"/>
          </w:tcPr>
          <w:p>
            <w:pPr>
              <w:ind w:left="140"/>
              <w:spacing w:after="0" w:line="176" w:lineRule="exact"/>
              <w:rPr>
                <w:sz w:val="20"/>
                <w:szCs w:val="20"/>
                <w:color w:val="auto"/>
              </w:rPr>
            </w:pPr>
            <w:r>
              <w:rPr>
                <w:rFonts w:ascii="Arial" w:cs="Arial" w:eastAsia="Arial" w:hAnsi="Arial"/>
                <w:sz w:val="18"/>
                <w:szCs w:val="18"/>
                <w:color w:val="auto"/>
              </w:rPr>
              <w:t>net of shares withheld for</w:t>
            </w: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67,250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822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822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280" w:type="dxa"/>
            <w:vAlign w:val="bottom"/>
          </w:tcPr>
          <w:p>
            <w:pPr>
              <w:ind w:left="140"/>
              <w:spacing w:after="0"/>
              <w:rPr>
                <w:sz w:val="20"/>
                <w:szCs w:val="20"/>
                <w:color w:val="auto"/>
              </w:rPr>
            </w:pPr>
            <w:r>
              <w:rPr>
                <w:rFonts w:ascii="Arial" w:cs="Arial" w:eastAsia="Arial" w:hAnsi="Arial"/>
                <w:sz w:val="18"/>
                <w:szCs w:val="18"/>
                <w:color w:val="auto"/>
              </w:rPr>
              <w:t>taxes</w:t>
            </w:r>
          </w:p>
        </w:tc>
        <w:tc>
          <w:tcPr>
            <w:tcW w:w="102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28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Restricted stock units and</w:t>
            </w:r>
          </w:p>
        </w:tc>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2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awards, net of shares</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48,980</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withheld for taxes</w:t>
            </w:r>
          </w:p>
        </w:tc>
        <w:tc>
          <w:tcPr>
            <w:tcW w:w="1020" w:type="dxa"/>
            <w:vAlign w:val="bottom"/>
            <w:gridSpan w:val="2"/>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3"/>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80" w:type="dxa"/>
            <w:vAlign w:val="bottom"/>
          </w:tcPr>
          <w:p>
            <w:pPr>
              <w:ind w:left="140"/>
              <w:spacing w:after="0"/>
              <w:rPr>
                <w:sz w:val="20"/>
                <w:szCs w:val="20"/>
                <w:color w:val="auto"/>
              </w:rPr>
            </w:pPr>
            <w:r>
              <w:rPr>
                <w:rFonts w:ascii="Arial" w:cs="Arial" w:eastAsia="Arial" w:hAnsi="Arial"/>
                <w:sz w:val="18"/>
                <w:szCs w:val="18"/>
                <w:color w:val="auto"/>
              </w:rPr>
              <w:t>Fully vested shares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1,607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3,943</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280" w:type="dxa"/>
            <w:vAlign w:val="bottom"/>
          </w:tcPr>
          <w:p>
            <w:pPr>
              <w:ind w:left="20"/>
              <w:spacing w:after="0" w:line="176" w:lineRule="exact"/>
              <w:rPr>
                <w:sz w:val="20"/>
                <w:szCs w:val="20"/>
                <w:color w:val="auto"/>
              </w:rPr>
            </w:pPr>
            <w:r>
              <w:rPr>
                <w:rFonts w:ascii="Arial" w:cs="Arial" w:eastAsia="Arial" w:hAnsi="Arial"/>
                <w:sz w:val="18"/>
                <w:szCs w:val="18"/>
                <w:color w:val="auto"/>
              </w:rPr>
              <w:t>Adjustment from foreign</w:t>
            </w:r>
          </w:p>
        </w:tc>
        <w:tc>
          <w:tcPr>
            <w:tcW w:w="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4"/>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357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280" w:type="dxa"/>
            <w:vAlign w:val="bottom"/>
          </w:tcPr>
          <w:p>
            <w:pPr>
              <w:ind w:left="200"/>
              <w:spacing w:after="0"/>
              <w:rPr>
                <w:sz w:val="20"/>
                <w:szCs w:val="20"/>
                <w:color w:val="auto"/>
              </w:rPr>
            </w:pPr>
            <w:r>
              <w:rPr>
                <w:rFonts w:ascii="Arial" w:cs="Arial" w:eastAsia="Arial" w:hAnsi="Arial"/>
                <w:sz w:val="18"/>
                <w:szCs w:val="18"/>
                <w:color w:val="auto"/>
              </w:rPr>
              <w:t>currency translation, net</w:t>
            </w:r>
          </w:p>
        </w:tc>
        <w:tc>
          <w:tcPr>
            <w:tcW w:w="2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4"/>
            <w:vMerge w:val="continue"/>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28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7"/>
              </w:rPr>
              <w:t>Acquisition of treasury stock,</w:t>
            </w:r>
          </w:p>
        </w:tc>
        <w:tc>
          <w:tcPr>
            <w:tcW w:w="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rPr>
              <w:t>(1,232,581)</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(30,515)</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(30,515)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at cost</w:t>
            </w:r>
          </w:p>
        </w:tc>
        <w:tc>
          <w:tcPr>
            <w:tcW w:w="20" w:type="dxa"/>
            <w:vAlign w:val="bottom"/>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vMerge w:val="continue"/>
            <w:shd w:val="clear" w:color="auto" w:fill="CCEEFF"/>
          </w:tcPr>
          <w:p>
            <w:pPr>
              <w:spacing w:after="0"/>
              <w:rPr>
                <w:sz w:val="20"/>
                <w:szCs w:val="20"/>
                <w:color w:val="auto"/>
              </w:rPr>
            </w:pPr>
          </w:p>
        </w:tc>
        <w:tc>
          <w:tcPr>
            <w:tcW w:w="1020" w:type="dxa"/>
            <w:vAlign w:val="bottom"/>
            <w:gridSpan w:val="4"/>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4"/>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3"/>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2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Balance, June 30, 2023</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39,571,073</w:t>
            </w: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(4,054,847)</w:t>
            </w: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(89,815)</w:t>
            </w:r>
          </w:p>
        </w:tc>
        <w:tc>
          <w:tcPr>
            <w:tcW w:w="80" w:type="dxa"/>
            <w:vAlign w:val="bottom"/>
            <w:tcBorders>
              <w:top w:val="single" w:sz="8" w:color="auto"/>
            </w:tcBorders>
            <w:gridSpan w:val="2"/>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74,103</w:t>
            </w: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166,318</w:t>
            </w: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21"/>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1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150,825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94"/>
        </w:trPr>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gridSpan w:val="12"/>
          </w:tcPr>
          <w:p>
            <w:pPr>
              <w:spacing w:after="0"/>
              <w:rPr>
                <w:sz w:val="20"/>
                <w:szCs w:val="20"/>
                <w:color w:val="auto"/>
              </w:rPr>
            </w:pPr>
            <w:r>
              <w:rPr>
                <w:rFonts w:ascii="Arial" w:cs="Arial" w:eastAsia="Arial" w:hAnsi="Arial"/>
                <w:sz w:val="14"/>
                <w:szCs w:val="14"/>
                <w:b w:val="1"/>
                <w:bCs w:val="1"/>
                <w:color w:val="auto"/>
                <w:w w:val="92"/>
              </w:rPr>
              <w:t>Six Months Ended June 30, 2022</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2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40" w:type="dxa"/>
            <w:vAlign w:val="bottom"/>
            <w:gridSpan w:val="5"/>
          </w:tcPr>
          <w:p>
            <w:pPr>
              <w:jc w:val="right"/>
              <w:ind w:right="412"/>
              <w:spacing w:after="0" w:line="139" w:lineRule="exact"/>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80" w:type="dxa"/>
            <w:vAlign w:val="bottom"/>
            <w:gridSpan w:val="6"/>
          </w:tcPr>
          <w:p>
            <w:pPr>
              <w:jc w:val="right"/>
              <w:ind w:right="392"/>
              <w:spacing w:after="0" w:line="139" w:lineRule="exact"/>
              <w:rPr>
                <w:sz w:val="20"/>
                <w:szCs w:val="20"/>
                <w:color w:val="auto"/>
              </w:rPr>
            </w:pPr>
            <w:r>
              <w:rPr>
                <w:rFonts w:ascii="Arial" w:cs="Arial" w:eastAsia="Arial" w:hAnsi="Arial"/>
                <w:sz w:val="14"/>
                <w:szCs w:val="14"/>
                <w:b w:val="1"/>
                <w:bCs w:val="1"/>
                <w:color w:val="auto"/>
              </w:rPr>
              <w:t>Treasury Stock</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4"/>
          </w:tcPr>
          <w:p>
            <w:pPr>
              <w:jc w:val="center"/>
              <w:ind w:right="60"/>
              <w:spacing w:after="0" w:line="139" w:lineRule="exact"/>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0"/>
        </w:trPr>
        <w:tc>
          <w:tcPr>
            <w:tcW w:w="2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gridSpan w:val="4"/>
            <w:vMerge w:val="restart"/>
          </w:tcPr>
          <w:p>
            <w:pPr>
              <w:jc w:val="center"/>
              <w:ind w:right="200"/>
              <w:spacing w:after="0" w:line="144"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6"/>
                <w:szCs w:val="6"/>
                <w:color w:val="auto"/>
              </w:rPr>
            </w:pPr>
          </w:p>
        </w:tc>
        <w:tc>
          <w:tcPr>
            <w:tcW w:w="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gridSpan w:val="3"/>
            <w:vMerge w:val="restart"/>
          </w:tcPr>
          <w:p>
            <w:pPr>
              <w:jc w:val="center"/>
              <w:ind w:right="240"/>
              <w:spacing w:after="0" w:line="144"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vMerge w:val="restart"/>
          </w:tcPr>
          <w:p>
            <w:pPr>
              <w:jc w:val="center"/>
              <w:ind w:right="73"/>
              <w:spacing w:after="0" w:line="144" w:lineRule="exact"/>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2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2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8"/>
              </w:rPr>
              <w:t>Amount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4"/>
          </w:tcPr>
          <w:p>
            <w:pPr>
              <w:jc w:val="center"/>
              <w:ind w:right="180"/>
              <w:spacing w:after="0" w:line="139"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4"/>
          </w:tcPr>
          <w:p>
            <w:pPr>
              <w:jc w:val="center"/>
              <w:ind w:right="6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12"/>
                <w:szCs w:val="12"/>
                <w:color w:val="auto"/>
              </w:rPr>
            </w:pPr>
          </w:p>
        </w:tc>
        <w:tc>
          <w:tcPr>
            <w:tcW w:w="92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w w:val="92"/>
              </w:rPr>
              <w:t>Stockholders’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740" w:type="dxa"/>
            <w:vAlign w:val="bottom"/>
          </w:tcPr>
          <w:p>
            <w:pPr>
              <w:ind w:left="40"/>
              <w:spacing w:after="0"/>
              <w:rPr>
                <w:sz w:val="20"/>
                <w:szCs w:val="20"/>
                <w:color w:val="auto"/>
              </w:rPr>
            </w:pPr>
            <w:r>
              <w:rPr>
                <w:rFonts w:ascii="Arial" w:cs="Arial" w:eastAsia="Arial" w:hAnsi="Arial"/>
                <w:sz w:val="14"/>
                <w:szCs w:val="14"/>
                <w:b w:val="1"/>
                <w:bCs w:val="1"/>
                <w:color w:val="auto"/>
              </w:rPr>
              <w:t>Earnings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center"/>
              <w:ind w:right="73"/>
              <w:spacing w:after="0"/>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2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2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Balance, December 31, 2021</w:t>
            </w:r>
          </w:p>
        </w:tc>
        <w:tc>
          <w:tcPr>
            <w:tcW w:w="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38,820,222</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gridSpan w:val="2"/>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(341,522)</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(5,566)</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gridSpan w:val="2"/>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66,875</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81,803</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gridSpan w:val="2"/>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143,040</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27,638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27,638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common stock:</w:t>
            </w:r>
          </w:p>
        </w:tc>
        <w:tc>
          <w:tcPr>
            <w:tcW w:w="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280" w:type="dxa"/>
            <w:vAlign w:val="bottom"/>
          </w:tcPr>
          <w:p>
            <w:pPr>
              <w:ind w:left="100"/>
              <w:spacing w:after="0" w:line="189" w:lineRule="exact"/>
              <w:rPr>
                <w:sz w:val="20"/>
                <w:szCs w:val="20"/>
                <w:color w:val="auto"/>
              </w:rPr>
            </w:pPr>
            <w:r>
              <w:rPr>
                <w:rFonts w:ascii="Arial" w:cs="Arial" w:eastAsia="Arial" w:hAnsi="Arial"/>
                <w:sz w:val="18"/>
                <w:szCs w:val="18"/>
                <w:color w:val="auto"/>
                <w:w w:val="92"/>
              </w:rPr>
              <w:t>Exercise of stock options, net</w:t>
            </w: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280"/>
              <w:spacing w:after="0"/>
              <w:rPr>
                <w:sz w:val="20"/>
                <w:szCs w:val="20"/>
                <w:color w:val="auto"/>
              </w:rPr>
            </w:pPr>
            <w:r>
              <w:rPr>
                <w:rFonts w:ascii="Arial" w:cs="Arial" w:eastAsia="Arial" w:hAnsi="Arial"/>
                <w:sz w:val="18"/>
                <w:szCs w:val="18"/>
                <w:color w:val="auto"/>
                <w:w w:val="90"/>
              </w:rPr>
              <w:t>of shares withheld for taxes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73,715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28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Restricted stock units and</w:t>
            </w:r>
          </w:p>
        </w:tc>
        <w:tc>
          <w:tcPr>
            <w:tcW w:w="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280" w:type="dxa"/>
            <w:vAlign w:val="bottom"/>
            <w:shd w:val="clear" w:color="auto" w:fill="CCEEFF"/>
          </w:tcPr>
          <w:p>
            <w:pPr>
              <w:ind w:left="280"/>
              <w:spacing w:after="0" w:line="189" w:lineRule="exact"/>
              <w:rPr>
                <w:sz w:val="20"/>
                <w:szCs w:val="20"/>
                <w:color w:val="auto"/>
              </w:rPr>
            </w:pPr>
            <w:r>
              <w:rPr>
                <w:rFonts w:ascii="Arial" w:cs="Arial" w:eastAsia="Arial" w:hAnsi="Arial"/>
                <w:sz w:val="18"/>
                <w:szCs w:val="18"/>
                <w:color w:val="auto"/>
              </w:rPr>
              <w:t>awards, net of shares</w:t>
            </w:r>
          </w:p>
        </w:tc>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withheld for taxes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115,327</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140"/>
              <w:spacing w:after="0"/>
              <w:rPr>
                <w:sz w:val="20"/>
                <w:szCs w:val="20"/>
                <w:color w:val="auto"/>
              </w:rPr>
            </w:pPr>
            <w:r>
              <w:rPr>
                <w:rFonts w:ascii="Arial" w:cs="Arial" w:eastAsia="Arial" w:hAnsi="Arial"/>
                <w:sz w:val="18"/>
                <w:szCs w:val="18"/>
                <w:color w:val="auto"/>
              </w:rPr>
              <w:t>Fully vested shares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1,778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280" w:type="dxa"/>
            <w:vAlign w:val="bottom"/>
          </w:tcPr>
          <w:p>
            <w:pPr>
              <w:ind w:left="20"/>
              <w:spacing w:after="0" w:line="176" w:lineRule="exact"/>
              <w:rPr>
                <w:sz w:val="20"/>
                <w:szCs w:val="20"/>
                <w:color w:val="auto"/>
              </w:rPr>
            </w:pPr>
            <w:r>
              <w:rPr>
                <w:rFonts w:ascii="Arial" w:cs="Arial" w:eastAsia="Arial" w:hAnsi="Arial"/>
                <w:sz w:val="18"/>
                <w:szCs w:val="18"/>
                <w:color w:val="auto"/>
              </w:rPr>
              <w:t>Adjustment from foreign</w:t>
            </w:r>
          </w:p>
        </w:tc>
        <w:tc>
          <w:tcPr>
            <w:tcW w:w="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4"/>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restart"/>
          </w:tcPr>
          <w:p>
            <w:pPr>
              <w:ind w:left="56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200"/>
              <w:spacing w:after="0"/>
              <w:rPr>
                <w:sz w:val="20"/>
                <w:szCs w:val="20"/>
                <w:color w:val="auto"/>
              </w:rPr>
            </w:pPr>
            <w:r>
              <w:rPr>
                <w:rFonts w:ascii="Arial" w:cs="Arial" w:eastAsia="Arial" w:hAnsi="Arial"/>
                <w:sz w:val="18"/>
                <w:szCs w:val="18"/>
                <w:color w:val="auto"/>
              </w:rPr>
              <w:t>currency translation, net</w:t>
            </w:r>
          </w:p>
        </w:tc>
        <w:tc>
          <w:tcPr>
            <w:tcW w:w="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4"/>
            <w:vMerge w:val="continue"/>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2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7"/>
              </w:rPr>
              <w:t>Acquisition of treasury stock,</w:t>
            </w:r>
          </w:p>
        </w:tc>
        <w:tc>
          <w:tcPr>
            <w:tcW w:w="2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rPr>
              <w:t>(727,901)</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(13,628)</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4"/>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3"/>
            <w:vMerge w:val="restart"/>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(13,628)</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at cost</w:t>
            </w:r>
          </w:p>
        </w:tc>
        <w:tc>
          <w:tcPr>
            <w:tcW w:w="20" w:type="dxa"/>
            <w:vAlign w:val="bottom"/>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vMerge w:val="continue"/>
            <w:shd w:val="clear" w:color="auto" w:fill="CCEEFF"/>
          </w:tcPr>
          <w:p>
            <w:pPr>
              <w:spacing w:after="0"/>
              <w:rPr>
                <w:sz w:val="20"/>
                <w:szCs w:val="20"/>
                <w:color w:val="auto"/>
              </w:rPr>
            </w:pPr>
          </w:p>
        </w:tc>
        <w:tc>
          <w:tcPr>
            <w:tcW w:w="1020" w:type="dxa"/>
            <w:vAlign w:val="bottom"/>
            <w:gridSpan w:val="4"/>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4"/>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3"/>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Balance, June 30, 2022</w:t>
            </w:r>
          </w:p>
        </w:tc>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39,011,042</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CEEFF"/>
            </w:tcBorders>
            <w:gridSpan w:val="2"/>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(1,069,423)</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(19,194)</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70,012</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109,441</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CCEEFF"/>
            </w:tcBorders>
            <w:gridSpan w:val="2"/>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160,198</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3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20" w:top="125" w:right="111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37" w:lineRule="exact"/>
        <w:rPr>
          <w:sz w:val="20"/>
          <w:szCs w:val="20"/>
          <w:color w:val="auto"/>
        </w:rPr>
      </w:pPr>
    </w:p>
    <w:p>
      <w:pPr>
        <w:jc w:val="center"/>
        <w:ind w:left="1000" w:right="2240"/>
        <w:spacing w:after="0" w:line="266" w:lineRule="auto"/>
        <w:rPr>
          <w:sz w:val="20"/>
          <w:szCs w:val="20"/>
          <w:color w:val="auto"/>
        </w:rPr>
      </w:pPr>
      <w:r>
        <w:rPr>
          <w:rFonts w:ascii="Arial" w:cs="Arial" w:eastAsia="Arial" w:hAnsi="Arial"/>
          <w:sz w:val="18"/>
          <w:szCs w:val="18"/>
          <w:b w:val="1"/>
          <w:bCs w:val="1"/>
          <w:color w:val="auto"/>
        </w:rPr>
        <w:t>INTERNATIONAL MONEY EXPRESS, INC. CONDENSED CONSOLIDATED STATEMENTS OF CASH FLOWS (in thousands, unaudited)</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6280" w:type="dxa"/>
            <w:vAlign w:val="bottom"/>
          </w:tcPr>
          <w:p>
            <w:pPr>
              <w:spacing w:after="0"/>
              <w:rPr>
                <w:sz w:val="20"/>
                <w:szCs w:val="20"/>
                <w:color w:val="auto"/>
              </w:rPr>
            </w:pPr>
          </w:p>
        </w:tc>
        <w:tc>
          <w:tcPr>
            <w:tcW w:w="29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color w:val="auto"/>
              </w:rPr>
              <w:t>Six Months Ended June 30,</w:t>
            </w:r>
          </w:p>
        </w:tc>
        <w:tc>
          <w:tcPr>
            <w:tcW w:w="680" w:type="dxa"/>
            <w:vAlign w:val="bottom"/>
            <w:tcBorders>
              <w:bottom w:val="single" w:sz="8" w:color="auto"/>
            </w:tcBorders>
          </w:tcPr>
          <w:p>
            <w:pPr>
              <w:spacing w:after="0"/>
              <w:rPr>
                <w:sz w:val="20"/>
                <w:szCs w:val="20"/>
                <w:color w:val="auto"/>
              </w:rPr>
            </w:pPr>
          </w:p>
        </w:tc>
      </w:tr>
      <w:tr>
        <w:trPr>
          <w:trHeight w:val="250"/>
        </w:trPr>
        <w:tc>
          <w:tcPr>
            <w:tcW w:w="6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2023</w:t>
            </w:r>
          </w:p>
        </w:tc>
        <w:tc>
          <w:tcPr>
            <w:tcW w:w="68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2022</w:t>
            </w:r>
          </w:p>
        </w:tc>
        <w:tc>
          <w:tcPr>
            <w:tcW w:w="680" w:type="dxa"/>
            <w:vAlign w:val="bottom"/>
          </w:tcPr>
          <w:p>
            <w:pPr>
              <w:spacing w:after="0"/>
              <w:rPr>
                <w:sz w:val="21"/>
                <w:szCs w:val="21"/>
                <w:color w:val="auto"/>
              </w:rPr>
            </w:pPr>
          </w:p>
        </w:tc>
      </w:tr>
      <w:tr>
        <w:trPr>
          <w:trHeight w:val="216"/>
        </w:trPr>
        <w:tc>
          <w:tcPr>
            <w:tcW w:w="6280" w:type="dxa"/>
            <w:vAlign w:val="bottom"/>
          </w:tcPr>
          <w:p>
            <w:pPr>
              <w:ind w:left="20"/>
              <w:spacing w:after="0"/>
              <w:rPr>
                <w:sz w:val="20"/>
                <w:szCs w:val="20"/>
                <w:color w:val="auto"/>
              </w:rPr>
            </w:pPr>
            <w:r>
              <w:rPr>
                <w:rFonts w:ascii="Arial" w:cs="Arial" w:eastAsia="Arial" w:hAnsi="Arial"/>
                <w:sz w:val="18"/>
                <w:szCs w:val="18"/>
                <w:color w:val="auto"/>
              </w:rPr>
              <w:t>Cash flows from operating activities:</w:t>
            </w:r>
          </w:p>
        </w:tc>
        <w:tc>
          <w:tcPr>
            <w:tcW w:w="10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r>
      <w:tr>
        <w:trPr>
          <w:trHeight w:val="230"/>
        </w:trPr>
        <w:tc>
          <w:tcPr>
            <w:tcW w:w="6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27,184</w:t>
            </w:r>
          </w:p>
        </w:tc>
        <w:tc>
          <w:tcPr>
            <w:tcW w:w="12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27,638</w:t>
            </w:r>
          </w:p>
        </w:tc>
      </w:tr>
      <w:tr>
        <w:trPr>
          <w:trHeight w:val="237"/>
        </w:trPr>
        <w:tc>
          <w:tcPr>
            <w:tcW w:w="6280" w:type="dxa"/>
            <w:vAlign w:val="bottom"/>
          </w:tcPr>
          <w:p>
            <w:pPr>
              <w:ind w:left="140"/>
              <w:spacing w:after="0"/>
              <w:rPr>
                <w:sz w:val="20"/>
                <w:szCs w:val="20"/>
                <w:color w:val="auto"/>
              </w:rPr>
            </w:pPr>
            <w:r>
              <w:rPr>
                <w:rFonts w:ascii="Arial" w:cs="Arial" w:eastAsia="Arial" w:hAnsi="Arial"/>
                <w:sz w:val="18"/>
                <w:szCs w:val="18"/>
                <w:color w:val="auto"/>
                <w:w w:val="95"/>
              </w:rPr>
              <w:t>Adjustments to reconcile net income to net cash provided by operating activities:</w:t>
            </w: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6"/>
        </w:trPr>
        <w:tc>
          <w:tcPr>
            <w:tcW w:w="6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0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6,038</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4,434</w:t>
            </w:r>
          </w:p>
        </w:tc>
      </w:tr>
      <w:tr>
        <w:trPr>
          <w:trHeight w:val="229"/>
        </w:trPr>
        <w:tc>
          <w:tcPr>
            <w:tcW w:w="628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3,943</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2,933</w:t>
            </w:r>
          </w:p>
        </w:tc>
      </w:tr>
      <w:tr>
        <w:trPr>
          <w:trHeight w:val="243"/>
        </w:trPr>
        <w:tc>
          <w:tcPr>
            <w:tcW w:w="6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credit losses</w:t>
            </w:r>
          </w:p>
        </w:tc>
        <w:tc>
          <w:tcPr>
            <w:tcW w:w="10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w:t>
            </w:r>
          </w:p>
        </w:tc>
      </w:tr>
      <w:tr>
        <w:trPr>
          <w:trHeight w:val="229"/>
        </w:trPr>
        <w:tc>
          <w:tcPr>
            <w:tcW w:w="6280" w:type="dxa"/>
            <w:vAlign w:val="bottom"/>
          </w:tcPr>
          <w:p>
            <w:pPr>
              <w:ind w:left="340"/>
              <w:spacing w:after="0"/>
              <w:rPr>
                <w:sz w:val="20"/>
                <w:szCs w:val="20"/>
                <w:color w:val="auto"/>
              </w:rPr>
            </w:pPr>
            <w:r>
              <w:rPr>
                <w:rFonts w:ascii="Arial" w:cs="Arial" w:eastAsia="Arial" w:hAnsi="Arial"/>
                <w:sz w:val="18"/>
                <w:szCs w:val="18"/>
                <w:color w:val="auto"/>
              </w:rPr>
              <w:t>Fair value of contingent consideration</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origination costs amortization</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r>
      <w:tr>
        <w:trPr>
          <w:trHeight w:val="237"/>
        </w:trPr>
        <w:tc>
          <w:tcPr>
            <w:tcW w:w="6280" w:type="dxa"/>
            <w:vAlign w:val="bottom"/>
          </w:tcPr>
          <w:p>
            <w:pPr>
              <w:ind w:left="340"/>
              <w:spacing w:after="0"/>
              <w:rPr>
                <w:sz w:val="20"/>
                <w:szCs w:val="20"/>
                <w:color w:val="auto"/>
              </w:rPr>
            </w:pPr>
            <w:r>
              <w:rPr>
                <w:rFonts w:ascii="Arial" w:cs="Arial" w:eastAsia="Arial" w:hAnsi="Arial"/>
                <w:sz w:val="18"/>
                <w:szCs w:val="18"/>
                <w:color w:val="auto"/>
              </w:rPr>
              <w:t>Deferred income tax benefit, net</w:t>
            </w:r>
          </w:p>
        </w:tc>
        <w:tc>
          <w:tcPr>
            <w:tcW w:w="10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(745)</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(330)</w:t>
            </w:r>
          </w:p>
        </w:tc>
      </w:tr>
      <w:tr>
        <w:trPr>
          <w:trHeight w:val="236"/>
        </w:trPr>
        <w:tc>
          <w:tcPr>
            <w:tcW w:w="6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lease expense</w:t>
            </w:r>
          </w:p>
        </w:tc>
        <w:tc>
          <w:tcPr>
            <w:tcW w:w="10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r>
      <w:tr>
        <w:trPr>
          <w:trHeight w:val="237"/>
        </w:trPr>
        <w:tc>
          <w:tcPr>
            <w:tcW w:w="62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Loss on disposal of property and equipment</w:t>
            </w:r>
          </w:p>
        </w:tc>
        <w:tc>
          <w:tcPr>
            <w:tcW w:w="10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w:t>
            </w:r>
          </w:p>
        </w:tc>
        <w:tc>
          <w:tcPr>
            <w:tcW w:w="12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r>
      <w:tr>
        <w:trPr>
          <w:trHeight w:val="243"/>
        </w:trPr>
        <w:tc>
          <w:tcPr>
            <w:tcW w:w="62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adjustments</w:t>
            </w:r>
          </w:p>
        </w:tc>
        <w:tc>
          <w:tcPr>
            <w:tcW w:w="10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16,497</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10,475</w:t>
            </w:r>
          </w:p>
        </w:tc>
      </w:tr>
      <w:tr>
        <w:trPr>
          <w:trHeight w:val="229"/>
        </w:trPr>
        <w:tc>
          <w:tcPr>
            <w:tcW w:w="628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6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Accounts receivable, net</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5,314</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(31,339)</w:t>
            </w:r>
          </w:p>
        </w:tc>
      </w:tr>
      <w:tr>
        <w:trPr>
          <w:trHeight w:val="237"/>
        </w:trPr>
        <w:tc>
          <w:tcPr>
            <w:tcW w:w="6280" w:type="dxa"/>
            <w:vAlign w:val="bottom"/>
          </w:tcPr>
          <w:p>
            <w:pPr>
              <w:ind w:left="460"/>
              <w:spacing w:after="0"/>
              <w:rPr>
                <w:sz w:val="20"/>
                <w:szCs w:val="20"/>
                <w:color w:val="auto"/>
              </w:rPr>
            </w:pPr>
            <w:r>
              <w:rPr>
                <w:rFonts w:ascii="Arial" w:cs="Arial" w:eastAsia="Arial" w:hAnsi="Arial"/>
                <w:sz w:val="18"/>
                <w:szCs w:val="18"/>
                <w:color w:val="auto"/>
              </w:rPr>
              <w:t>Prepaid wires, net</w:t>
            </w:r>
          </w:p>
        </w:tc>
        <w:tc>
          <w:tcPr>
            <w:tcW w:w="10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(22,227)</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36"/>
        </w:trPr>
        <w:tc>
          <w:tcPr>
            <w:tcW w:w="6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Prepaid expenses and other assets</w:t>
            </w:r>
          </w:p>
        </w:tc>
        <w:tc>
          <w:tcPr>
            <w:tcW w:w="10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r>
      <w:tr>
        <w:trPr>
          <w:trHeight w:val="230"/>
        </w:trPr>
        <w:tc>
          <w:tcPr>
            <w:tcW w:w="6280" w:type="dxa"/>
            <w:vAlign w:val="bottom"/>
          </w:tcPr>
          <w:p>
            <w:pPr>
              <w:ind w:left="460"/>
              <w:spacing w:after="0"/>
              <w:rPr>
                <w:sz w:val="20"/>
                <w:szCs w:val="20"/>
                <w:color w:val="auto"/>
              </w:rPr>
            </w:pPr>
            <w:r>
              <w:rPr>
                <w:rFonts w:ascii="Arial" w:cs="Arial" w:eastAsia="Arial" w:hAnsi="Arial"/>
                <w:sz w:val="18"/>
                <w:szCs w:val="18"/>
                <w:color w:val="auto"/>
              </w:rPr>
              <w:t>Wire transfers and money orders payable, net</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(14,965)</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5,550</w:t>
            </w:r>
          </w:p>
        </w:tc>
      </w:tr>
      <w:tr>
        <w:trPr>
          <w:trHeight w:val="243"/>
        </w:trPr>
        <w:tc>
          <w:tcPr>
            <w:tcW w:w="6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Lease liabilities</w:t>
            </w:r>
          </w:p>
        </w:tc>
        <w:tc>
          <w:tcPr>
            <w:tcW w:w="10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(4,161)</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r>
      <w:tr>
        <w:trPr>
          <w:trHeight w:val="237"/>
        </w:trPr>
        <w:tc>
          <w:tcPr>
            <w:tcW w:w="62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Accounts payable and accrued and other liabilities</w:t>
            </w:r>
          </w:p>
        </w:tc>
        <w:tc>
          <w:tcPr>
            <w:tcW w:w="10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(6,861)</w:t>
            </w:r>
          </w:p>
        </w:tc>
        <w:tc>
          <w:tcPr>
            <w:tcW w:w="12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(7,434)</w:t>
            </w:r>
          </w:p>
        </w:tc>
      </w:tr>
      <w:tr>
        <w:trPr>
          <w:trHeight w:val="237"/>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4,560</w:t>
            </w:r>
          </w:p>
        </w:tc>
      </w:tr>
      <w:tr>
        <w:trPr>
          <w:trHeight w:val="148"/>
        </w:trPr>
        <w:tc>
          <w:tcPr>
            <w:tcW w:w="6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24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10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r>
      <w:tr>
        <w:trPr>
          <w:trHeight w:val="229"/>
        </w:trPr>
        <w:tc>
          <w:tcPr>
            <w:tcW w:w="6280" w:type="dxa"/>
            <w:vAlign w:val="bottom"/>
          </w:tcPr>
          <w:p>
            <w:pPr>
              <w:ind w:left="140"/>
              <w:spacing w:after="0"/>
              <w:rPr>
                <w:sz w:val="20"/>
                <w:szCs w:val="20"/>
                <w:color w:val="auto"/>
              </w:rPr>
            </w:pPr>
            <w:r>
              <w:rPr>
                <w:rFonts w:ascii="Arial" w:cs="Arial" w:eastAsia="Arial" w:hAnsi="Arial"/>
                <w:sz w:val="18"/>
                <w:szCs w:val="18"/>
                <w:color w:val="auto"/>
              </w:rPr>
              <w:t>Purchases of property and equipment</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(4,551)</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(6,642)</w:t>
            </w:r>
          </w:p>
        </w:tc>
      </w:tr>
      <w:tr>
        <w:trPr>
          <w:trHeight w:val="230"/>
        </w:trPr>
        <w:tc>
          <w:tcPr>
            <w:tcW w:w="62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Cash used in business acquisition, net of cash and cash equivalents acquired</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(5,477)</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6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Acquisition of agent locations</w:t>
            </w:r>
          </w:p>
        </w:tc>
        <w:tc>
          <w:tcPr>
            <w:tcW w:w="10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(10,028)</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(6,867)</w:t>
            </w:r>
          </w:p>
        </w:tc>
      </w:tr>
      <w:tr>
        <w:trPr>
          <w:trHeight w:val="162"/>
        </w:trPr>
        <w:tc>
          <w:tcPr>
            <w:tcW w:w="6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7"/>
        </w:trPr>
        <w:tc>
          <w:tcPr>
            <w:tcW w:w="6280" w:type="dxa"/>
            <w:vAlign w:val="bottom"/>
          </w:tcPr>
          <w:p>
            <w:pPr>
              <w:ind w:left="140"/>
              <w:spacing w:after="0"/>
              <w:rPr>
                <w:sz w:val="20"/>
                <w:szCs w:val="20"/>
                <w:color w:val="auto"/>
              </w:rPr>
            </w:pPr>
            <w:r>
              <w:rPr>
                <w:rFonts w:ascii="Arial" w:cs="Arial" w:eastAsia="Arial" w:hAnsi="Arial"/>
                <w:sz w:val="18"/>
                <w:szCs w:val="18"/>
                <w:color w:val="auto"/>
              </w:rPr>
              <w:t>Repayments of term loan facility</w:t>
            </w:r>
          </w:p>
        </w:tc>
        <w:tc>
          <w:tcPr>
            <w:tcW w:w="10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(2,188)</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(2,188)</w:t>
            </w:r>
          </w:p>
        </w:tc>
      </w:tr>
      <w:tr>
        <w:trPr>
          <w:trHeight w:val="236"/>
        </w:trPr>
        <w:tc>
          <w:tcPr>
            <w:tcW w:w="6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Borrowings under revolving credit facility, net</w:t>
            </w:r>
          </w:p>
        </w:tc>
        <w:tc>
          <w:tcPr>
            <w:tcW w:w="10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80" w:type="dxa"/>
            <w:vAlign w:val="bottom"/>
          </w:tcPr>
          <w:p>
            <w:pPr>
              <w:ind w:left="140"/>
              <w:spacing w:after="0"/>
              <w:rPr>
                <w:sz w:val="20"/>
                <w:szCs w:val="20"/>
                <w:color w:val="auto"/>
              </w:rPr>
            </w:pPr>
            <w:r>
              <w:rPr>
                <w:rFonts w:ascii="Arial" w:cs="Arial" w:eastAsia="Arial" w:hAnsi="Arial"/>
                <w:sz w:val="18"/>
                <w:szCs w:val="18"/>
                <w:color w:val="auto"/>
              </w:rPr>
              <w:t>Debt origination costs</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(701)</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exercise of stock options</w:t>
            </w:r>
          </w:p>
        </w:tc>
        <w:tc>
          <w:tcPr>
            <w:tcW w:w="10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r>
      <w:tr>
        <w:trPr>
          <w:trHeight w:val="230"/>
        </w:trPr>
        <w:tc>
          <w:tcPr>
            <w:tcW w:w="6280" w:type="dxa"/>
            <w:vAlign w:val="bottom"/>
          </w:tcPr>
          <w:p>
            <w:pPr>
              <w:ind w:left="140"/>
              <w:spacing w:after="0"/>
              <w:rPr>
                <w:sz w:val="20"/>
                <w:szCs w:val="20"/>
                <w:color w:val="auto"/>
              </w:rPr>
            </w:pPr>
            <w:r>
              <w:rPr>
                <w:rFonts w:ascii="Arial" w:cs="Arial" w:eastAsia="Arial" w:hAnsi="Arial"/>
                <w:sz w:val="18"/>
                <w:szCs w:val="18"/>
                <w:color w:val="auto"/>
              </w:rPr>
              <w:t>Payments for stock awards</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(872)</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(283)</w:t>
            </w:r>
          </w:p>
        </w:tc>
      </w:tr>
      <w:tr>
        <w:trPr>
          <w:trHeight w:val="237"/>
        </w:trPr>
        <w:tc>
          <w:tcPr>
            <w:tcW w:w="6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Repurchases of common stock</w:t>
            </w:r>
          </w:p>
        </w:tc>
        <w:tc>
          <w:tcPr>
            <w:tcW w:w="10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(30,515)</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(13,628)</w:t>
            </w:r>
          </w:p>
        </w:tc>
      </w:tr>
      <w:tr>
        <w:trPr>
          <w:trHeight w:val="236"/>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10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6,546</w:t>
            </w:r>
          </w:p>
        </w:tc>
        <w:tc>
          <w:tcPr>
            <w:tcW w:w="12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(15,612)</w:t>
            </w:r>
          </w:p>
        </w:tc>
      </w:tr>
      <w:tr>
        <w:trPr>
          <w:trHeight w:val="149"/>
        </w:trPr>
        <w:tc>
          <w:tcPr>
            <w:tcW w:w="62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250"/>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10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w:t>
            </w:r>
          </w:p>
        </w:tc>
        <w:tc>
          <w:tcPr>
            <w:tcW w:w="12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148"/>
        </w:trPr>
        <w:tc>
          <w:tcPr>
            <w:tcW w:w="62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(2,121)</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(17,874)</w:t>
            </w:r>
          </w:p>
        </w:tc>
      </w:tr>
      <w:tr>
        <w:trPr>
          <w:trHeight w:val="162"/>
        </w:trPr>
        <w:tc>
          <w:tcPr>
            <w:tcW w:w="62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236"/>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10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149,493</w:t>
            </w:r>
          </w:p>
        </w:tc>
        <w:tc>
          <w:tcPr>
            <w:tcW w:w="12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132,474</w:t>
            </w:r>
          </w:p>
        </w:tc>
      </w:tr>
      <w:tr>
        <w:trPr>
          <w:trHeight w:val="149"/>
        </w:trPr>
        <w:tc>
          <w:tcPr>
            <w:tcW w:w="62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147,372</w:t>
            </w:r>
          </w:p>
        </w:tc>
        <w:tc>
          <w:tcPr>
            <w:tcW w:w="120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114,600</w:t>
            </w:r>
          </w:p>
        </w:tc>
      </w:tr>
      <w:tr>
        <w:trPr>
          <w:trHeight w:val="20"/>
        </w:trPr>
        <w:tc>
          <w:tcPr>
            <w:tcW w:w="62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ind w:right="-67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25" w:right="101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37" w:lineRule="exact"/>
        <w:rPr>
          <w:sz w:val="20"/>
          <w:szCs w:val="20"/>
          <w:color w:val="auto"/>
        </w:rPr>
      </w:pPr>
    </w:p>
    <w:p>
      <w:pPr>
        <w:jc w:val="center"/>
        <w:ind w:left="1140" w:right="1480"/>
        <w:spacing w:after="0" w:line="275" w:lineRule="auto"/>
        <w:rPr>
          <w:sz w:val="20"/>
          <w:szCs w:val="20"/>
          <w:color w:val="auto"/>
        </w:rPr>
      </w:pPr>
      <w:r>
        <w:rPr>
          <w:rFonts w:ascii="Arial" w:cs="Arial" w:eastAsia="Arial" w:hAnsi="Arial"/>
          <w:sz w:val="18"/>
          <w:szCs w:val="18"/>
          <w:b w:val="1"/>
          <w:bCs w:val="1"/>
          <w:color w:val="auto"/>
        </w:rPr>
        <w:t>INTERNATIONAL MONEY EXPRESS, INC. CONDENSED CONSOLIDATED STATEMENTS OF CASH FLOWS (CONTINUED) (in thousands, unaudited)</w:t>
      </w:r>
    </w:p>
    <w:p>
      <w:pPr>
        <w:spacing w:after="0" w:line="200" w:lineRule="exact"/>
        <w:rPr>
          <w:sz w:val="20"/>
          <w:szCs w:val="20"/>
          <w:color w:val="auto"/>
        </w:rPr>
      </w:pPr>
    </w:p>
    <w:p>
      <w:pPr>
        <w:spacing w:after="0" w:line="234"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62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color w:val="auto"/>
              </w:rPr>
              <w:t>Six Months Ended June 30,</w:t>
            </w:r>
          </w:p>
        </w:tc>
      </w:tr>
      <w:tr>
        <w:trPr>
          <w:trHeight w:val="250"/>
        </w:trPr>
        <w:tc>
          <w:tcPr>
            <w:tcW w:w="62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2022</w:t>
            </w:r>
          </w:p>
        </w:tc>
      </w:tr>
      <w:tr>
        <w:trPr>
          <w:trHeight w:val="216"/>
        </w:trPr>
        <w:tc>
          <w:tcPr>
            <w:tcW w:w="626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50"/>
        </w:trPr>
        <w:tc>
          <w:tcPr>
            <w:tcW w:w="6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paid for interest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4,285</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w:t>
            </w:r>
          </w:p>
        </w:tc>
      </w:tr>
      <w:tr>
        <w:trPr>
          <w:trHeight w:val="237"/>
        </w:trPr>
        <w:tc>
          <w:tcPr>
            <w:tcW w:w="6260" w:type="dxa"/>
            <w:vAlign w:val="bottom"/>
            <w:tcBorders>
              <w:top w:val="single" w:sz="8" w:color="CCEEFF"/>
              <w:bottom w:val="single" w:sz="8" w:color="CCEEFF"/>
            </w:tcBorders>
          </w:tcPr>
          <w:p>
            <w:pPr>
              <w:ind w:left="140"/>
              <w:spacing w:after="0"/>
              <w:rPr>
                <w:sz w:val="20"/>
                <w:szCs w:val="20"/>
                <w:color w:val="auto"/>
              </w:rPr>
            </w:pPr>
            <w:r>
              <w:rPr>
                <w:rFonts w:ascii="Arial" w:cs="Arial" w:eastAsia="Arial" w:hAnsi="Arial"/>
                <w:sz w:val="18"/>
                <w:szCs w:val="18"/>
                <w:color w:val="auto"/>
              </w:rPr>
              <w:t>Cash paid for income taxes</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13,257</w:t>
            </w:r>
          </w:p>
        </w:tc>
        <w:tc>
          <w:tcPr>
            <w:tcW w:w="120" w:type="dxa"/>
            <w:vAlign w:val="bottom"/>
            <w:tcBorders>
              <w:top w:val="single" w:sz="8" w:color="CCEEFF"/>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8,767</w:t>
            </w:r>
          </w:p>
        </w:tc>
      </w:tr>
      <w:tr>
        <w:trPr>
          <w:trHeight w:val="257"/>
        </w:trPr>
        <w:tc>
          <w:tcPr>
            <w:tcW w:w="62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23"/>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Supplemental disclosure of non-cash investing activities:</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50"/>
        </w:trPr>
        <w:tc>
          <w:tcPr>
            <w:tcW w:w="6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Lease liabilities arising from obtaining right-of-use assets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37"/>
        </w:trPr>
        <w:tc>
          <w:tcPr>
            <w:tcW w:w="6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Contingent consideration liability</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6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Settlement of receivable balance from LAN Holdings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6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36"/>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non-cash financing activities:</w:t>
            </w:r>
          </w:p>
        </w:tc>
        <w:tc>
          <w:tcPr>
            <w:tcW w:w="4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spacing w:after="0"/>
              <w:rPr>
                <w:sz w:val="20"/>
                <w:szCs w:val="20"/>
                <w:color w:val="auto"/>
              </w:rPr>
            </w:pPr>
          </w:p>
        </w:tc>
      </w:tr>
      <w:tr>
        <w:trPr>
          <w:trHeight w:val="237"/>
        </w:trPr>
        <w:tc>
          <w:tcPr>
            <w:tcW w:w="6260" w:type="dxa"/>
            <w:vAlign w:val="bottom"/>
          </w:tcPr>
          <w:p>
            <w:pPr>
              <w:ind w:left="140"/>
              <w:spacing w:after="0"/>
              <w:rPr>
                <w:sz w:val="20"/>
                <w:szCs w:val="20"/>
                <w:color w:val="auto"/>
              </w:rPr>
            </w:pPr>
            <w:r>
              <w:rPr>
                <w:rFonts w:ascii="Arial" w:cs="Arial" w:eastAsia="Arial" w:hAnsi="Arial"/>
                <w:sz w:val="18"/>
                <w:szCs w:val="18"/>
                <w:color w:val="auto"/>
              </w:rPr>
              <w:t>Issuance of common stock for cashless exercise of options</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3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320" w:top="125" w:right="11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ind w:left="5520" w:right="2680" w:hanging="2827"/>
        <w:spacing w:after="0" w:line="260" w:lineRule="auto"/>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NOTE 1 – BUSINESS AND ACCOUNTING POLICIES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International Money Express, Inc. (the “Company” or “us” or “we”) operates as a money transmitter between the United States of America (“United States” or “U.S.”), Canada, Spain, Italy and Germany to Mexico, Guatemala and other countries in Latin America, Africa, Asia and Europe through a network of authorized agents located in various unaffiliated retail establishments and 124 Company-operated stores throughout the United States, Canada, Spain, Italy and Germany.</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condensed consolidated financial statements of the Company include International Money Express, Inc. and its majority-owned subsidiaries. The condensed consolidated financial statements are prepared in accordance with accounting principles generally accepted in the United States (“GAAP”). All significant inter-company balances and transactions have been eliminated from the condensed consolidated financial statements.</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interim condensed consolidated financial statements and related notes are unaudited. In the opinion of management, all adjustments (including normal recurring adjustments) and disclosures necessary for a fair presentation of these interim condensed consolidated financial statements have been included. The results reported in these interim condensed consolidated financial statements are not necessarily indicative of the results that may be reported for the entire year. Certain information and footnote disclosures required by GAAP have been condensed or omitted. These interim condensed consolidated financial statements should be read in conjunction with the consolidated financial statements and related notes thereto included in the Company’s Annual Report on Form 10-K for the year ended December 31, 2022.</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2022, the Company entered into a definitive purchase agreement to acquire Envios de Valores La Nacional Corp. (“La Nacional”) and LAN Holdings, Corp. (“LAN Holdings”), which either directly or indirectly operate as money remittance companies in the United States, Canada and certain countries in Europe. The acquisition of La Nacional was closed effective November 1, 2022 and the acquisition of LAN Holdings was closed effective April 5, 2023. Refer to Note 2 for additional information on these acquisitions.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maintains certain of its cash balances in various U.S. banks, which at times, may exceed federally insured limits. The Company has not incurred any losses on these accounts. In addition, the Company maintains various bank accounts in Mexico, Guatemala, Canada and certain countries in Europe, which may not be fully insured. During the three and six months ended June 30, 2023, the Company has not incurred any losses on these uninsured foreign bank accounts.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a substantial portion of our paying agents are concentrated in a few large banks and financial institutions and large retail chains in Latin American countries.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Pronouncements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FASB issued guidance, ASU 2021-08, Business Combinations (Topic 805): Accounting for Contract Assets and Contract Liabilities from Contracts with Customers, which requires entities to apply Topic 606: Revenue from Contracts with Customers to recognize and measure contract assets and contract liabilities in a business combination. This guidance improves comparability after the business combination by providing consistent recognition and measurement guidance for revenue contracts with customers acquired in a business combination and revenue contracts with customers not acquired in a business combination. The Company adopted this guidance on January 1, 2023 prospectively for business combinations that occur after the adoption date. The adoption of this accounting standard did not have a material impact on the Company’s condensed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NOTE 2 –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Envios de Valores La Nacional Corp.</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November 1, 2022, the Company completed the acquisition of 100% of the voting interest of La Nacional (the “La Nacional Acquisition”) and on April 5, 2023, the Company completed the acquisition of 100% of the voting interest of LAN Holdings (the “LAN Acquisition”) (the “LAN Acquisition,” and together with the La Nacional Acquisition, the “Acquisitions”). See “LAN Holdings, Corp.” section below.</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paid cash consideration of $39.7 million upon consummation of the La Nacional Acquisition (subject to customary purchase price adjustments) and could be required to pay up to $2.4 million in contingent consideration in 2023 as a result of La Nacional achieving certain transaction volume and financial targets during 2023. The contingent consideration fair value as of June 30, 2023 and December 31,</w:t>
      </w:r>
    </w:p>
    <w:p>
      <w:pPr>
        <w:sectPr>
          <w:pgSz w:w="11900" w:h="16838" w:orient="portrait"/>
          <w:cols w:equalWidth="0" w:num="1">
            <w:col w:w="11240"/>
          </w:cols>
          <w:pgMar w:left="320" w:top="125" w:right="339" w:bottom="1440" w:gutter="0" w:footer="0" w:header="0"/>
        </w:sectPr>
      </w:pPr>
    </w:p>
    <w:p>
      <w:pPr>
        <w:spacing w:after="0" w:line="238"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2022 was approximately $1.2 million and $1.3 million, respectively. During the three and six months ended June 30, 2023, the Company recorded a fair value adjustment of $0.1 million based on the expected achievement of the financial targets.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summarizes the fair values of consideration transferred and identifiable net assets acquired in the La Nacional Acquisition on November 1, 2022, the measurement period adjustments in the six months ended June 30, 2023 and the fair values of consideration transferred and identifiable net assets acquired as of June 30, 2023.</w:t>
      </w: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right"/>
              <w:ind w:right="130"/>
              <w:spacing w:after="0" w:line="184" w:lineRule="exact"/>
              <w:rPr>
                <w:sz w:val="20"/>
                <w:szCs w:val="20"/>
                <w:color w:val="auto"/>
              </w:rPr>
            </w:pPr>
            <w:r>
              <w:rPr>
                <w:rFonts w:ascii="Arial" w:cs="Arial" w:eastAsia="Arial" w:hAnsi="Arial"/>
                <w:sz w:val="18"/>
                <w:szCs w:val="18"/>
                <w:b w:val="1"/>
                <w:bCs w:val="1"/>
                <w:color w:val="auto"/>
                <w:w w:val="91"/>
              </w:rPr>
              <w:t>November 1, 2022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jc w:val="right"/>
              <w:ind w:right="10"/>
              <w:spacing w:after="0" w:line="184" w:lineRule="exact"/>
              <w:rPr>
                <w:sz w:val="20"/>
                <w:szCs w:val="20"/>
                <w:color w:val="auto"/>
              </w:rPr>
            </w:pPr>
            <w:r>
              <w:rPr>
                <w:rFonts w:ascii="Arial" w:cs="Arial" w:eastAsia="Arial" w:hAnsi="Arial"/>
                <w:sz w:val="18"/>
                <w:szCs w:val="18"/>
                <w:b w:val="1"/>
                <w:bCs w:val="1"/>
                <w:color w:val="auto"/>
                <w:w w:val="90"/>
              </w:rPr>
              <w:t>Measurement Period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right"/>
              <w:ind w:right="290"/>
              <w:spacing w:after="0" w:line="184" w:lineRule="exact"/>
              <w:rPr>
                <w:sz w:val="20"/>
                <w:szCs w:val="20"/>
                <w:color w:val="auto"/>
              </w:rPr>
            </w:pPr>
            <w:r>
              <w:rPr>
                <w:rFonts w:ascii="Arial" w:cs="Arial" w:eastAsia="Arial" w:hAnsi="Arial"/>
                <w:sz w:val="18"/>
                <w:szCs w:val="18"/>
                <w:b w:val="1"/>
                <w:bCs w:val="1"/>
                <w:color w:val="auto"/>
                <w:w w:val="99"/>
              </w:rPr>
              <w:t>June 30, 2023</w:t>
            </w:r>
          </w:p>
        </w:tc>
      </w:tr>
      <w:tr>
        <w:trPr>
          <w:trHeight w:val="239"/>
        </w:trPr>
        <w:tc>
          <w:tcPr>
            <w:tcW w:w="4660" w:type="dxa"/>
            <w:vAlign w:val="bottom"/>
            <w:tcBorders>
              <w:bottom w:val="single" w:sz="8" w:color="CCEEFF"/>
            </w:tcBorders>
          </w:tcPr>
          <w:p>
            <w:pPr>
              <w:spacing w:after="0"/>
              <w:rPr>
                <w:sz w:val="20"/>
                <w:szCs w:val="20"/>
                <w:color w:val="auto"/>
              </w:rPr>
            </w:pP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(As initially reported)</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Adjustments</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(As Adjusted)</w:t>
            </w:r>
          </w:p>
        </w:tc>
      </w:tr>
      <w:tr>
        <w:trPr>
          <w:trHeight w:val="214"/>
        </w:trPr>
        <w:tc>
          <w:tcPr>
            <w:tcW w:w="4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Assets acquired:</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7"/>
        </w:trPr>
        <w:tc>
          <w:tcPr>
            <w:tcW w:w="466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39,569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39,569</w:t>
            </w:r>
          </w:p>
        </w:tc>
      </w:tr>
      <w:tr>
        <w:trPr>
          <w:trHeight w:val="236"/>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16,504</w:t>
            </w:r>
          </w:p>
        </w:tc>
      </w:tr>
      <w:tr>
        <w:trPr>
          <w:trHeight w:val="229"/>
        </w:trPr>
        <w:tc>
          <w:tcPr>
            <w:tcW w:w="4660" w:type="dxa"/>
            <w:vAlign w:val="bottom"/>
          </w:tcPr>
          <w:p>
            <w:pPr>
              <w:ind w:left="240"/>
              <w:spacing w:after="0"/>
              <w:rPr>
                <w:sz w:val="20"/>
                <w:szCs w:val="20"/>
                <w:color w:val="auto"/>
              </w:rPr>
            </w:pPr>
            <w:r>
              <w:rPr>
                <w:rFonts w:ascii="Arial" w:cs="Arial" w:eastAsia="Arial" w:hAnsi="Arial"/>
                <w:sz w:val="18"/>
                <w:szCs w:val="18"/>
                <w:color w:val="auto"/>
              </w:rPr>
              <w:t>Prepaid wires</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571</w:t>
            </w:r>
          </w:p>
        </w:tc>
      </w:tr>
      <w:tr>
        <w:trPr>
          <w:trHeight w:val="243"/>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r>
      <w:tr>
        <w:trPr>
          <w:trHeight w:val="229"/>
        </w:trPr>
        <w:tc>
          <w:tcPr>
            <w:tcW w:w="4660" w:type="dxa"/>
            <w:vAlign w:val="bottom"/>
          </w:tcPr>
          <w:p>
            <w:pPr>
              <w:ind w:left="240"/>
              <w:spacing w:after="0"/>
              <w:rPr>
                <w:sz w:val="20"/>
                <w:szCs w:val="20"/>
                <w:color w:val="auto"/>
              </w:rPr>
            </w:pPr>
            <w:r>
              <w:rPr>
                <w:rFonts w:ascii="Arial" w:cs="Arial" w:eastAsia="Arial" w:hAnsi="Arial"/>
                <w:sz w:val="18"/>
                <w:szCs w:val="18"/>
                <w:color w:val="auto"/>
              </w:rPr>
              <w:t>Property and Equipment</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4,077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4,077</w:t>
            </w:r>
          </w:p>
        </w:tc>
      </w:tr>
      <w:tr>
        <w:trPr>
          <w:trHeight w:val="229"/>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Intangible assets</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8,450</w:t>
            </w:r>
          </w:p>
        </w:tc>
      </w:tr>
      <w:tr>
        <w:trPr>
          <w:trHeight w:val="243"/>
        </w:trPr>
        <w:tc>
          <w:tcPr>
            <w:tcW w:w="46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13,659</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13,659</w:t>
            </w:r>
          </w:p>
        </w:tc>
      </w:tr>
      <w:tr>
        <w:trPr>
          <w:trHeight w:val="223"/>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identifiable assets acquired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84,479</w:t>
            </w:r>
          </w:p>
        </w:tc>
      </w:tr>
      <w:tr>
        <w:trPr>
          <w:trHeight w:val="270"/>
        </w:trPr>
        <w:tc>
          <w:tcPr>
            <w:tcW w:w="4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29"/>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Liabilities assumed:</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7"/>
        </w:trPr>
        <w:tc>
          <w:tcPr>
            <w:tcW w:w="466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(1,260)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(1,260)</w:t>
            </w:r>
          </w:p>
        </w:tc>
      </w:tr>
      <w:tr>
        <w:trPr>
          <w:trHeight w:val="236"/>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Wire transfers and money orders payable</w:t>
            </w:r>
          </w:p>
        </w:tc>
        <w:tc>
          <w:tcPr>
            <w:tcW w:w="16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(35,595)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(35,595)</w:t>
            </w:r>
          </w:p>
        </w:tc>
      </w:tr>
      <w:tr>
        <w:trPr>
          <w:trHeight w:val="229"/>
        </w:trPr>
        <w:tc>
          <w:tcPr>
            <w:tcW w:w="4660" w:type="dxa"/>
            <w:vAlign w:val="bottom"/>
          </w:tcPr>
          <w:p>
            <w:pPr>
              <w:ind w:left="240"/>
              <w:spacing w:after="0"/>
              <w:rPr>
                <w:sz w:val="20"/>
                <w:szCs w:val="20"/>
                <w:color w:val="auto"/>
              </w:rPr>
            </w:pPr>
            <w:r>
              <w:rPr>
                <w:rFonts w:ascii="Arial" w:cs="Arial" w:eastAsia="Arial" w:hAnsi="Arial"/>
                <w:sz w:val="18"/>
                <w:szCs w:val="18"/>
                <w:color w:val="auto"/>
              </w:rPr>
              <w:t>Accrued and other liabilities</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(3,651)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(3,285)</w:t>
            </w:r>
          </w:p>
        </w:tc>
      </w:tr>
      <w:tr>
        <w:trPr>
          <w:trHeight w:val="243"/>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Lease liabilities</w:t>
            </w:r>
          </w:p>
        </w:tc>
        <w:tc>
          <w:tcPr>
            <w:tcW w:w="16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(13,067)</w:t>
            </w:r>
          </w:p>
        </w:tc>
      </w:tr>
      <w:tr>
        <w:trPr>
          <w:trHeight w:val="229"/>
        </w:trPr>
        <w:tc>
          <w:tcPr>
            <w:tcW w:w="4660" w:type="dxa"/>
            <w:vAlign w:val="bottom"/>
          </w:tcPr>
          <w:p>
            <w:pPr>
              <w:ind w:left="240"/>
              <w:spacing w:after="0"/>
              <w:rPr>
                <w:sz w:val="20"/>
                <w:szCs w:val="20"/>
                <w:color w:val="auto"/>
              </w:rPr>
            </w:pPr>
            <w:r>
              <w:rPr>
                <w:rFonts w:ascii="Arial" w:cs="Arial" w:eastAsia="Arial" w:hAnsi="Arial"/>
                <w:sz w:val="18"/>
                <w:szCs w:val="18"/>
                <w:color w:val="auto"/>
              </w:rPr>
              <w:t>Deferred tax liability</w:t>
            </w: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(2,969)</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(2,631)</w:t>
            </w:r>
          </w:p>
        </w:tc>
      </w:tr>
      <w:tr>
        <w:trPr>
          <w:trHeight w:val="223"/>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 assumed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(56,542)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(55,838)</w:t>
            </w:r>
          </w:p>
        </w:tc>
      </w:tr>
      <w:tr>
        <w:trPr>
          <w:trHeight w:val="270"/>
        </w:trPr>
        <w:tc>
          <w:tcPr>
            <w:tcW w:w="4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43"/>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identifiable assets acquired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28,641</w:t>
            </w:r>
          </w:p>
        </w:tc>
      </w:tr>
      <w:tr>
        <w:trPr>
          <w:trHeight w:val="230"/>
        </w:trPr>
        <w:tc>
          <w:tcPr>
            <w:tcW w:w="4660" w:type="dxa"/>
            <w:vAlign w:val="bottom"/>
          </w:tcPr>
          <w:p>
            <w:pPr>
              <w:ind w:left="140"/>
              <w:spacing w:after="0"/>
              <w:rPr>
                <w:sz w:val="20"/>
                <w:szCs w:val="20"/>
                <w:color w:val="auto"/>
              </w:rPr>
            </w:pPr>
            <w:r>
              <w:rPr>
                <w:rFonts w:ascii="Arial" w:cs="Arial" w:eastAsia="Arial" w:hAnsi="Arial"/>
                <w:sz w:val="18"/>
                <w:szCs w:val="18"/>
                <w:color w:val="auto"/>
              </w:rPr>
              <w:t>Consideration transferred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41,021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41,021</w:t>
            </w:r>
          </w:p>
        </w:tc>
      </w:tr>
      <w:tr>
        <w:trPr>
          <w:trHeight w:val="243"/>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12,380</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LAN Holdings, Corp.</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5, 2023, the Company completed the acquisition of 100% of the voting interest of LAN Holdings. LAN Holdings provides the Company the opportunity to enter into markets in which it did not have a presence previously, such as the ability to provide outbound remittance services from Spain, Italy, and Germany.</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total consideration transferred by the Company in connection with the LAN Acquisition was $13.4 million, which included $10.3 million in cash, subject to customary purchase price adjustments. The Company will also pay an additional $0.6 million in cash as a result of LAN Holdings’ achievement of certain operational milestones during 2023, which the parties have agreed have been achieved; accordingly, the earn-out will be paid under the terms of the definitive purchase agreement. Prior to the acquisition, the Company maintained a receivable balance of approximately $2.5 million related to money transfers paid by Intermex on behalf of LAN Holdings. Upon the closing of the LAN Acquisition, the receivable balance was effectively settled and, therefore, included in the determination of the total consideration transferred. The LAN Acquisition was funded with cash on hand.</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the date of these condensed consolidated financial statements, due to the recent closing of the LAN Acquisition, the initial accounting for the LAN Acquisition is incomplete. The preliminary allocation of the consideration transferred resulted in net identifiable assets acquired of approximately $8.5 million, including $3.2 million in intangible assets, and goodwill of approximately $4.9 million, which is subject to customary purchase price adjustments. The measurement period of the LAN Acquisition extends up to one year from April 5, 2023. The Company engaged an independent third party to assist with the valuation of identifiable net assets acquired. In addition, due to the timing of the LAN Acquisition, the potential income tax consequences of this transaction have not been fully determined.</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3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LAN Holdings results of operations have been included in the Company's results of operations from the date of its acquisition. For both the three and six months ended June 30, 2023, the Company’s condensed consolidated statement of income and comprehensive income includes $4.7 million and $28.5 thousand of revenue and net income, respectively, from LAN Holdings.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Transaction Costs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Transaction costs include all internal and external costs directly related to the Company’s acquisition activity, consisting primarily of legal, consulting, accounting and financial advisory fees. Transaction costs for the three and six months ended June 30, 2023 amounted to $0.3 million and $0.4 million, respectively, and are included in other selling, general and administrative expenses on the condensed consolidated statement of income and comprehensive income. Transaction costs for both the three and six months ended June 30, 2022 amounted to $0.2 million.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Supplemental Pro Forma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six months ended June 30, 2023 and 2022, unaudited supplemental pro forma revenue and net income is shown below.</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color w:val="auto"/>
                <w:w w:val="96"/>
              </w:rPr>
              <w:t>Three Months Ended June 30,</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color w:val="auto"/>
              </w:rPr>
              <w:t>Six Months Ended June 30,</w:t>
            </w:r>
          </w:p>
        </w:tc>
      </w:tr>
      <w:tr>
        <w:trPr>
          <w:trHeight w:val="230"/>
        </w:trPr>
        <w:tc>
          <w:tcPr>
            <w:tcW w:w="39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r>
      <w:tr>
        <w:trPr>
          <w:trHeight w:val="229"/>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258,991</w:t>
            </w: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15,814</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16,079</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27,698</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27,827</w:t>
            </w:r>
          </w:p>
        </w:tc>
      </w:tr>
    </w:tbl>
    <w:p>
      <w:pPr>
        <w:spacing w:after="0" w:line="32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These unaudited pro forma financial results include the results of operations of LAN Holdings as if it had been consolidated as of January 1, 2022, the beginning of the year prior to its acquisition, and are provided for illustrative purposes only. These unaudited pro forma financial results do not purport to be indicative of the actual results that would have been achieved by the combined companies for the periods indicated, or of the results that may be achieved by the combined companies in the future. The Company’s unaudited pro forma financial results were prepared by adding the unaudited historical results of the acquired business to the historical results of the Company, and then adjusting those combined results for transaction costs of $0.3 million and $0.4 million for the three and six months ended June 30, 2023, respectively, and the incremental depreciation and amortization expense related to the property and equipment and intangible assets acquired. Transaction costs were included in the pro forma results for the three and six months ended June 30, 2022 but removed from the pro forma results for the three and six months ended June 30, 2023. These unaudited pro forma financial results do not include adjustments to reflect other cost savings or synergies that may have resulted from this acquisition. Future results may vary significantly due to future events and other factors, many of which are beyond the Company’s control.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NOTE 3 – REVENUES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recognized revenues from contracts with customers for the three and six months ended June 30, 2023 and 2022, as follows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color w:val="auto"/>
                <w:w w:val="95"/>
              </w:rPr>
              <w:t>Three Months Ended June 30,</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color w:val="auto"/>
                <w:w w:val="99"/>
              </w:rPr>
              <w:t>Six Months Ended June 30,</w:t>
            </w:r>
          </w:p>
        </w:tc>
      </w:tr>
      <w:tr>
        <w:trPr>
          <w:trHeight w:val="250"/>
        </w:trPr>
        <w:tc>
          <w:tcPr>
            <w:tcW w:w="32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r>
      <w:tr>
        <w:trPr>
          <w:trHeight w:val="230"/>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Wire transfer and money order fees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118,788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217,191</w:t>
            </w:r>
          </w:p>
        </w:tc>
      </w:tr>
      <w:tr>
        <w:trPr>
          <w:trHeight w:val="237"/>
        </w:trPr>
        <w:tc>
          <w:tcPr>
            <w:tcW w:w="3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Discounts and promotions</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w:t>
            </w:r>
          </w:p>
        </w:tc>
      </w:tr>
      <w:tr>
        <w:trPr>
          <w:trHeight w:val="243"/>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Wire transfer and money order fees, net</w:t>
            </w: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144,518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117,622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268,968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215,621</w:t>
            </w:r>
          </w:p>
        </w:tc>
      </w:tr>
      <w:tr>
        <w:trPr>
          <w:trHeight w:val="230"/>
        </w:trPr>
        <w:tc>
          <w:tcPr>
            <w:tcW w:w="3220" w:type="dxa"/>
            <w:vAlign w:val="bottom"/>
          </w:tcPr>
          <w:p>
            <w:pPr>
              <w:ind w:left="20"/>
              <w:spacing w:after="0"/>
              <w:rPr>
                <w:sz w:val="20"/>
                <w:szCs w:val="20"/>
                <w:color w:val="auto"/>
              </w:rPr>
            </w:pPr>
            <w:r>
              <w:rPr>
                <w:rFonts w:ascii="Arial" w:cs="Arial" w:eastAsia="Arial" w:hAnsi="Arial"/>
                <w:sz w:val="18"/>
                <w:szCs w:val="18"/>
                <w:color w:val="auto"/>
              </w:rPr>
              <w:t>Foreign exchange gain, net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22,382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18,195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41,550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33,868</w:t>
            </w:r>
          </w:p>
        </w:tc>
      </w:tr>
      <w:tr>
        <w:trPr>
          <w:trHeight w:val="249"/>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w:t>
            </w:r>
          </w:p>
        </w:tc>
      </w:tr>
      <w:tr>
        <w:trPr>
          <w:trHeight w:val="230"/>
        </w:trPr>
        <w:tc>
          <w:tcPr>
            <w:tcW w:w="322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169,150</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136,935</w:t>
            </w:r>
          </w:p>
        </w:tc>
        <w:tc>
          <w:tcPr>
            <w:tcW w:w="8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314,514</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251,600</w:t>
            </w:r>
          </w:p>
        </w:tc>
      </w:tr>
      <w:tr>
        <w:trPr>
          <w:trHeight w:val="21"/>
        </w:trPr>
        <w:tc>
          <w:tcPr>
            <w:tcW w:w="3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There are no significant initial costs incurred to obtain contracts with customers, although the Company has a loyalty program under which customers in the United States earn one point for each wire transfer completed. Points can be redeemed for a discounted wire transaction fee or a foreign exchange rate that is more favorable to the customer. The customer benefits vary by country, and the earned points expire if the customer has not initiated and completed an eligible wire transfer transaction within the immediately preceding 180-day period. In addition, earned points will expire 30 days after the end of the program. Because the loyalty program benefits represent a future performance obligation, a portion of the initial consideration is recorded as deferred revenue loyalty program (see Note 9) and a corresponding loyalty program expense is recorded as contra revenue. Revenue from this performance obligation is recognized upon customers redeeming points or upon expiration of any points outstanding.</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for the loyalty program discussed above, our revenues include only one performance obligation, which is to collect the consumer’s money and make funds available for payment, generally on the same day, to a designated recipient in the currency requested.</w:t>
      </w:r>
    </w:p>
    <w:p>
      <w:pPr>
        <w:spacing w:after="0" w:line="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3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also offers several other services, including money orders and check cashing through its sending agents, for which revenue is derived from a fee per transaction. For substantially all of the Company’s revenues, the Company acts as principal in the transaction and reports revenue on a gross basis because the Company controls the service at all times prior to transfer to the customer, is primarily responsible for fulfilling the customer contracts, has the risk of loss and has the ability to establish transaction prices.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Wire transfers and money order fees include money order fees of $0.5 million and $0.4 million for the three months ended June 30, 2023 and 2022, respectively, and $1.1 million and $0.8 million for the six months ended June 30, 2023 and 2022,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NOTE 4 – ACCOUNTS RECEIVABLE AND AGENT ADVANCES RECEIVABLE, NET OF ALLOWANCE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Accounts receivable represents primarily outstanding balances from sending agents for pending wire transfers or money orders from consumers. The outstanding balance of accounts receivable, net of allowance for credit losses, consists of the following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8"/>
              </w:rPr>
              <w:t>June 30, 2023</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1"/>
              </w:rPr>
              <w:t>December 31, 2022</w:t>
            </w:r>
          </w:p>
        </w:tc>
      </w:tr>
      <w:tr>
        <w:trPr>
          <w:trHeight w:val="24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126,248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132,363</w:t>
            </w:r>
          </w:p>
        </w:tc>
      </w:tr>
      <w:tr>
        <w:trPr>
          <w:trHeight w:val="237"/>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credit losses</w:t>
            </w: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(2,548)</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(2,555)</w:t>
            </w:r>
          </w:p>
        </w:tc>
      </w:tr>
      <w:tr>
        <w:trPr>
          <w:trHeight w:val="255"/>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129,808</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Agent Advances Receivable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Agent advances receivable, net of allowance for credit losses, from sending agents is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8"/>
              </w:rPr>
              <w:t>June 30, 2023</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89"/>
              </w:rPr>
              <w:t>December 31, 2022</w:t>
            </w:r>
          </w:p>
        </w:tc>
      </w:tr>
      <w:tr>
        <w:trPr>
          <w:trHeight w:val="24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Agent advances receivable, current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w:t>
            </w:r>
          </w:p>
        </w:tc>
      </w:tr>
      <w:tr>
        <w:trPr>
          <w:trHeight w:val="236"/>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credit losses</w:t>
            </w: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55"/>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current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4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Agent advances receivable, long-term</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w:t>
            </w:r>
          </w:p>
        </w:tc>
      </w:tr>
      <w:tr>
        <w:trPr>
          <w:trHeight w:val="236"/>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credit losses</w:t>
            </w: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55"/>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long-term</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net current portion of agent advances receivable is included in prepaid expenses and other current assets (see Note 5), and the net long-term portion is included in other assets in the condensed consolidated balance sheets. Some agent advances receivable have interest rates ranging from 0% to 10.5% per annum. The Company had an immaterial amount of accrued interest receivable as of June 30, 2023 and December 31, 2022, which was included in the allowance for credit losses calculation. At June 30, 2023 and December 31, 2022, there were $3.1 million and $2.8 million, respectively, of agent advances receivable collateralized by personal guarantees from sending agents and assets from their businesses in case of a default by the agent.</w:t>
      </w:r>
    </w:p>
    <w:p>
      <w:pPr>
        <w:sectPr>
          <w:pgSz w:w="11900" w:h="16838" w:orient="portrait"/>
          <w:cols w:equalWidth="0" w:num="1">
            <w:col w:w="11240"/>
          </w:cols>
          <w:pgMar w:left="320" w:top="125" w:right="339" w:bottom="1440" w:gutter="0" w:footer="0" w:header="0"/>
        </w:sectPr>
      </w:pP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maturities of agent advances receivable at June 30, 2023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312420</wp:posOffset>
            </wp:positionV>
            <wp:extent cx="626618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66180" cy="16319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Under 1 year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Between 1 and 2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2661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66180" cy="171450"/>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More than 2 years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jc w:val="center"/>
        <w:ind w:right="1377"/>
        <w:spacing w:after="0"/>
        <w:rPr>
          <w:sz w:val="20"/>
          <w:szCs w:val="20"/>
          <w:color w:val="auto"/>
        </w:rPr>
      </w:pPr>
      <w:r>
        <w:rPr>
          <w:rFonts w:ascii="Arial" w:cs="Arial" w:eastAsia="Arial" w:hAnsi="Arial"/>
          <w:sz w:val="18"/>
          <w:szCs w:val="18"/>
          <w:color w:val="auto"/>
        </w:rPr>
        <w:t>Unpaid Advance</w:t>
      </w:r>
    </w:p>
    <w:p>
      <w:pPr>
        <w:jc w:val="center"/>
        <w:ind w:right="1377"/>
        <w:spacing w:after="0"/>
        <w:rPr>
          <w:sz w:val="20"/>
          <w:szCs w:val="20"/>
          <w:color w:val="auto"/>
        </w:rPr>
      </w:pPr>
      <w:r>
        <w:rPr>
          <w:rFonts w:ascii="Arial" w:cs="Arial" w:eastAsia="Arial" w:hAnsi="Arial"/>
          <w:sz w:val="18"/>
          <w:szCs w:val="18"/>
          <w:color w:val="auto"/>
        </w:rPr>
        <w:t>Balance</w:t>
      </w:r>
    </w:p>
    <w:p>
      <w:pPr>
        <w:spacing w:after="0" w:line="47" w:lineRule="exact"/>
        <w:rPr>
          <w:sz w:val="20"/>
          <w:szCs w:val="20"/>
          <w:color w:val="auto"/>
        </w:rPr>
      </w:pPr>
    </w:p>
    <w:p>
      <w:pPr>
        <w:ind w:left="1263" w:hanging="1263"/>
        <w:spacing w:after="0"/>
        <w:tabs>
          <w:tab w:leader="none" w:pos="1263" w:val="left"/>
        </w:tabs>
        <w:numPr>
          <w:ilvl w:val="0"/>
          <w:numId w:val="4"/>
        </w:numPr>
        <w:rPr>
          <w:rFonts w:ascii="Arial" w:cs="Arial" w:eastAsia="Arial" w:hAnsi="Arial"/>
          <w:sz w:val="15"/>
          <w:szCs w:val="15"/>
          <w:color w:val="auto"/>
        </w:rPr>
      </w:pPr>
      <w:r>
        <w:rPr>
          <w:rFonts w:ascii="Arial" w:cs="Arial" w:eastAsia="Arial" w:hAnsi="Arial"/>
          <w:sz w:val="15"/>
          <w:szCs w:val="15"/>
          <w:color w:val="auto"/>
        </w:rPr>
        <w:t>1,513</w:t>
      </w:r>
    </w:p>
    <w:p>
      <w:pPr>
        <w:spacing w:after="0" w:line="57" w:lineRule="exact"/>
        <w:rPr>
          <w:rFonts w:ascii="Arial" w:cs="Arial" w:eastAsia="Arial" w:hAnsi="Arial"/>
          <w:sz w:val="15"/>
          <w:szCs w:val="15"/>
          <w:color w:val="auto"/>
        </w:rPr>
      </w:pPr>
    </w:p>
    <w:p>
      <w:pPr>
        <w:ind w:left="1263"/>
        <w:spacing w:after="0"/>
        <w:rPr>
          <w:rFonts w:ascii="Arial" w:cs="Arial" w:eastAsia="Arial" w:hAnsi="Arial"/>
          <w:sz w:val="15"/>
          <w:szCs w:val="15"/>
          <w:color w:val="auto"/>
        </w:rPr>
      </w:pPr>
      <w:r>
        <w:rPr>
          <w:rFonts w:ascii="Arial" w:cs="Arial" w:eastAsia="Arial" w:hAnsi="Arial"/>
          <w:sz w:val="15"/>
          <w:szCs w:val="15"/>
          <w:color w:val="auto"/>
        </w:rPr>
        <w:t>1,137</w:t>
      </w:r>
    </w:p>
    <w:p>
      <w:pPr>
        <w:spacing w:after="0" w:line="57" w:lineRule="exact"/>
        <w:rPr>
          <w:rFonts w:ascii="Arial" w:cs="Arial" w:eastAsia="Arial" w:hAnsi="Arial"/>
          <w:sz w:val="15"/>
          <w:szCs w:val="15"/>
          <w:color w:val="auto"/>
        </w:rPr>
      </w:pPr>
    </w:p>
    <w:p>
      <w:pPr>
        <w:ind w:left="1403"/>
        <w:spacing w:after="0"/>
        <w:rPr>
          <w:rFonts w:ascii="Arial" w:cs="Arial" w:eastAsia="Arial" w:hAnsi="Arial"/>
          <w:sz w:val="15"/>
          <w:szCs w:val="15"/>
          <w:color w:val="auto"/>
        </w:rPr>
      </w:pPr>
      <w:r>
        <w:rPr>
          <w:rFonts w:ascii="Arial" w:cs="Arial" w:eastAsia="Arial" w:hAnsi="Arial"/>
          <w:sz w:val="15"/>
          <w:szCs w:val="15"/>
          <w:color w:val="auto"/>
        </w:rPr>
        <w:t>409</w:t>
      </w:r>
    </w:p>
    <w:p>
      <w:pPr>
        <w:spacing w:after="0" w:line="97" w:lineRule="exact"/>
        <w:rPr>
          <w:sz w:val="20"/>
          <w:szCs w:val="20"/>
          <w:color w:val="auto"/>
        </w:rPr>
      </w:pPr>
    </w:p>
    <w:p>
      <w:pPr>
        <w:ind w:left="1263" w:hanging="1263"/>
        <w:spacing w:after="0"/>
        <w:tabs>
          <w:tab w:leader="none" w:pos="1263" w:val="left"/>
        </w:tabs>
        <w:numPr>
          <w:ilvl w:val="0"/>
          <w:numId w:val="5"/>
        </w:numPr>
        <w:rPr>
          <w:rFonts w:ascii="Arial" w:cs="Arial" w:eastAsia="Arial" w:hAnsi="Arial"/>
          <w:sz w:val="15"/>
          <w:szCs w:val="15"/>
          <w:color w:val="auto"/>
        </w:rPr>
      </w:pPr>
      <w:r>
        <w:rPr>
          <w:rFonts w:ascii="Arial" w:cs="Arial" w:eastAsia="Arial" w:hAnsi="Arial"/>
          <w:sz w:val="15"/>
          <w:szCs w:val="15"/>
          <w:color w:val="auto"/>
        </w:rPr>
        <w:t>3,059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36830</wp:posOffset>
            </wp:positionV>
            <wp:extent cx="11144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14425"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62230</wp:posOffset>
            </wp:positionV>
            <wp:extent cx="11144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61" w:lineRule="exact"/>
        <w:rPr>
          <w:sz w:val="20"/>
          <w:szCs w:val="20"/>
          <w:color w:val="auto"/>
        </w:rPr>
      </w:pPr>
    </w:p>
    <w:p>
      <w:pPr>
        <w:sectPr>
          <w:pgSz w:w="11900" w:h="16838" w:orient="portrait"/>
          <w:cols w:equalWidth="0" w:num="2">
            <w:col w:w="7417" w:space="720"/>
            <w:col w:w="3103"/>
          </w:cols>
          <w:pgMar w:left="320" w:top="125" w:right="339" w:bottom="144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Allowance for Credit Losses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allowance for credit losses related to accounts receivable and agent advances receivable are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60" w:type="dxa"/>
            <w:vAlign w:val="bottom"/>
            <w:tcBorders>
              <w:bottom w:val="single" w:sz="8" w:color="CCEEFF"/>
            </w:tcBorders>
          </w:tcPr>
          <w:p>
            <w:pPr>
              <w:spacing w:after="0"/>
              <w:rPr>
                <w:sz w:val="20"/>
                <w:szCs w:val="20"/>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Three Months Ended June 30,</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color w:val="auto"/>
                <w:w w:val="99"/>
              </w:rPr>
              <w:t>Six Months Ended June 30,</w:t>
            </w:r>
          </w:p>
        </w:tc>
      </w:tr>
      <w:tr>
        <w:trPr>
          <w:trHeight w:val="257"/>
        </w:trPr>
        <w:tc>
          <w:tcPr>
            <w:tcW w:w="42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58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2022</w:t>
            </w:r>
          </w:p>
        </w:tc>
        <w:tc>
          <w:tcPr>
            <w:tcW w:w="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2023</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2022</w:t>
            </w:r>
          </w:p>
        </w:tc>
      </w:tr>
      <w:tr>
        <w:trPr>
          <w:trHeight w:val="223"/>
        </w:trPr>
        <w:tc>
          <w:tcPr>
            <w:tcW w:w="426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Beginning balance</w:t>
            </w:r>
          </w:p>
        </w:tc>
        <w:tc>
          <w:tcPr>
            <w:tcW w:w="940" w:type="dxa"/>
            <w:vAlign w:val="bottom"/>
            <w:tcBorders>
              <w:top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2,657</w:t>
            </w:r>
          </w:p>
        </w:tc>
        <w:tc>
          <w:tcPr>
            <w:tcW w:w="100" w:type="dxa"/>
            <w:vAlign w:val="bottom"/>
            <w:tcBorders>
              <w:top w:val="single" w:sz="8" w:color="CCEEFF"/>
            </w:tcBorders>
          </w:tcPr>
          <w:p>
            <w:pPr>
              <w:spacing w:after="0"/>
              <w:rPr>
                <w:sz w:val="19"/>
                <w:szCs w:val="19"/>
                <w:color w:val="auto"/>
              </w:rPr>
            </w:pPr>
          </w:p>
        </w:tc>
        <w:tc>
          <w:tcPr>
            <w:tcW w:w="102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2,256</w:t>
            </w:r>
          </w:p>
        </w:tc>
        <w:tc>
          <w:tcPr>
            <w:tcW w:w="10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2,648</w:t>
            </w:r>
          </w:p>
        </w:tc>
        <w:tc>
          <w:tcPr>
            <w:tcW w:w="80" w:type="dxa"/>
            <w:vAlign w:val="bottom"/>
            <w:tcBorders>
              <w:top w:val="single" w:sz="8" w:color="CCEEFF"/>
            </w:tcBorders>
          </w:tcPr>
          <w:p>
            <w:pPr>
              <w:spacing w:after="0"/>
              <w:rPr>
                <w:sz w:val="19"/>
                <w:szCs w:val="19"/>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2,249</w:t>
            </w: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w:t>
            </w:r>
          </w:p>
        </w:tc>
      </w:tr>
      <w:tr>
        <w:trPr>
          <w:trHeight w:val="237"/>
        </w:trPr>
        <w:tc>
          <w:tcPr>
            <w:tcW w:w="4260" w:type="dxa"/>
            <w:vAlign w:val="bottom"/>
          </w:tcPr>
          <w:p>
            <w:pPr>
              <w:ind w:left="20"/>
              <w:spacing w:after="0"/>
              <w:rPr>
                <w:sz w:val="20"/>
                <w:szCs w:val="20"/>
                <w:color w:val="auto"/>
              </w:rPr>
            </w:pPr>
            <w:r>
              <w:rPr>
                <w:rFonts w:ascii="Arial" w:cs="Arial" w:eastAsia="Arial" w:hAnsi="Arial"/>
                <w:sz w:val="18"/>
                <w:szCs w:val="18"/>
                <w:color w:val="auto"/>
              </w:rPr>
              <w:t>Charge-offs</w:t>
            </w:r>
          </w:p>
        </w:tc>
        <w:tc>
          <w:tcPr>
            <w:tcW w:w="9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(1,426)</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(2,434)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(1,502)</w:t>
            </w:r>
          </w:p>
        </w:tc>
      </w:tr>
      <w:tr>
        <w:trPr>
          <w:trHeight w:val="256"/>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Recoveries</w:t>
            </w:r>
          </w:p>
        </w:tc>
        <w:tc>
          <w:tcPr>
            <w:tcW w:w="94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17"/>
        </w:trPr>
        <w:tc>
          <w:tcPr>
            <w:tcW w:w="42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9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2,690</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2,442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2,690</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2,442</w:t>
            </w:r>
          </w:p>
        </w:tc>
      </w:tr>
      <w:tr>
        <w:trPr>
          <w:trHeight w:val="20"/>
        </w:trPr>
        <w:tc>
          <w:tcPr>
            <w:tcW w:w="4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allowance for credit losses allocated by financial instrument category is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8"/>
              </w:rPr>
              <w:t>June 30, 2023</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98"/>
              </w:rPr>
              <w:t>December 31, 2022</w:t>
            </w:r>
          </w:p>
        </w:tc>
        <w:tc>
          <w:tcPr>
            <w:tcW w:w="0" w:type="dxa"/>
            <w:vAlign w:val="bottom"/>
          </w:tcPr>
          <w:p>
            <w:pPr>
              <w:spacing w:after="0"/>
              <w:rPr>
                <w:sz w:val="1"/>
                <w:szCs w:val="1"/>
                <w:color w:val="auto"/>
              </w:rPr>
            </w:pPr>
          </w:p>
        </w:tc>
      </w:tr>
      <w:tr>
        <w:trPr>
          <w:trHeight w:val="24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Agent advances receivable</w:t>
            </w: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for credit losses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NOTE 5 – PREPAID EXPENSES AND OTHER ASSETS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1"/>
        </w:trPr>
        <w:tc>
          <w:tcPr>
            <w:tcW w:w="62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80" w:type="dxa"/>
            <w:vAlign w:val="bottom"/>
          </w:tcPr>
          <w:p>
            <w:pPr>
              <w:spacing w:after="0"/>
              <w:rPr>
                <w:sz w:val="20"/>
                <w:szCs w:val="20"/>
                <w:color w:val="auto"/>
              </w:rPr>
            </w:pPr>
            <w:r>
              <w:rPr>
                <w:rFonts w:ascii="Arial" w:cs="Arial" w:eastAsia="Arial" w:hAnsi="Arial"/>
                <w:sz w:val="18"/>
                <w:szCs w:val="18"/>
                <w:color w:val="auto"/>
                <w:w w:val="92"/>
              </w:rPr>
              <w:t>Prepaid expenses and other current assets consisted of the following (in thousands):</w:t>
            </w: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6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jc w:val="right"/>
              <w:ind w:right="290"/>
              <w:spacing w:after="0"/>
              <w:rPr>
                <w:sz w:val="20"/>
                <w:szCs w:val="20"/>
                <w:color w:val="auto"/>
              </w:rPr>
            </w:pPr>
            <w:r>
              <w:rPr>
                <w:rFonts w:ascii="Arial" w:cs="Arial" w:eastAsia="Arial" w:hAnsi="Arial"/>
                <w:sz w:val="18"/>
                <w:szCs w:val="18"/>
                <w:color w:val="auto"/>
                <w:w w:val="98"/>
              </w:rPr>
              <w:t>June 30, 2023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gridSpan w:val="2"/>
          </w:tcPr>
          <w:p>
            <w:pPr>
              <w:ind w:left="20"/>
              <w:spacing w:after="0"/>
              <w:rPr>
                <w:sz w:val="20"/>
                <w:szCs w:val="20"/>
                <w:color w:val="auto"/>
              </w:rPr>
            </w:pPr>
            <w:r>
              <w:rPr>
                <w:rFonts w:ascii="Arial" w:cs="Arial" w:eastAsia="Arial" w:hAnsi="Arial"/>
                <w:sz w:val="18"/>
                <w:szCs w:val="18"/>
                <w:color w:val="auto"/>
                <w:w w:val="99"/>
              </w:rPr>
              <w:t>December 31, 2022</w:t>
            </w:r>
          </w:p>
        </w:tc>
        <w:tc>
          <w:tcPr>
            <w:tcW w:w="0" w:type="dxa"/>
            <w:vAlign w:val="bottom"/>
          </w:tcPr>
          <w:p>
            <w:pPr>
              <w:spacing w:after="0"/>
              <w:rPr>
                <w:sz w:val="1"/>
                <w:szCs w:val="1"/>
                <w:color w:val="auto"/>
              </w:rPr>
            </w:pPr>
          </w:p>
        </w:tc>
      </w:tr>
      <w:tr>
        <w:trPr>
          <w:trHeight w:val="243"/>
        </w:trPr>
        <w:tc>
          <w:tcPr>
            <w:tcW w:w="6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insurance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Prepaid fees and services</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1,986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Agent incentives advances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280" w:type="dxa"/>
            <w:vAlign w:val="bottom"/>
          </w:tcPr>
          <w:p>
            <w:pPr>
              <w:ind w:left="20"/>
              <w:spacing w:after="0"/>
              <w:rPr>
                <w:sz w:val="20"/>
                <w:szCs w:val="20"/>
                <w:color w:val="auto"/>
              </w:rPr>
            </w:pPr>
            <w:r>
              <w:rPr>
                <w:rFonts w:ascii="Arial" w:cs="Arial" w:eastAsia="Arial" w:hAnsi="Arial"/>
                <w:sz w:val="18"/>
                <w:szCs w:val="18"/>
                <w:color w:val="auto"/>
              </w:rPr>
              <w:t>Agent advances receivable, net of allowance</w:t>
            </w:r>
          </w:p>
        </w:tc>
        <w:tc>
          <w:tcPr>
            <w:tcW w:w="2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1,311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Tenant allowance</w:t>
            </w:r>
          </w:p>
        </w:tc>
        <w:tc>
          <w:tcPr>
            <w:tcW w:w="2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Prepaid income taxes</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3,430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 and current assets - other</w:t>
            </w:r>
          </w:p>
        </w:tc>
        <w:tc>
          <w:tcPr>
            <w:tcW w:w="22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280" w:type="dxa"/>
            <w:vAlign w:val="bottom"/>
            <w:vMerge w:val="restart"/>
          </w:tcPr>
          <w:p>
            <w:pPr>
              <w:spacing w:after="0"/>
              <w:rPr>
                <w:sz w:val="20"/>
                <w:szCs w:val="20"/>
                <w:color w:val="auto"/>
              </w:rPr>
            </w:pPr>
            <w:r>
              <w:rPr>
                <w:rFonts w:ascii="Arial" w:cs="Arial" w:eastAsia="Arial" w:hAnsi="Arial"/>
                <w:sz w:val="18"/>
                <w:szCs w:val="18"/>
                <w:color w:val="auto"/>
              </w:rPr>
              <w:t>Other assets consisted of the following (in thousands):</w:t>
            </w: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62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6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jc w:val="right"/>
              <w:ind w:right="290"/>
              <w:spacing w:after="0"/>
              <w:rPr>
                <w:sz w:val="20"/>
                <w:szCs w:val="20"/>
                <w:color w:val="auto"/>
              </w:rPr>
            </w:pPr>
            <w:r>
              <w:rPr>
                <w:rFonts w:ascii="Arial" w:cs="Arial" w:eastAsia="Arial" w:hAnsi="Arial"/>
                <w:sz w:val="18"/>
                <w:szCs w:val="18"/>
                <w:color w:val="auto"/>
                <w:w w:val="98"/>
              </w:rPr>
              <w:t>June 30, 2023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gridSpan w:val="2"/>
          </w:tcPr>
          <w:p>
            <w:pPr>
              <w:ind w:left="20"/>
              <w:spacing w:after="0"/>
              <w:rPr>
                <w:sz w:val="20"/>
                <w:szCs w:val="20"/>
                <w:color w:val="auto"/>
              </w:rPr>
            </w:pPr>
            <w:r>
              <w:rPr>
                <w:rFonts w:ascii="Arial" w:cs="Arial" w:eastAsia="Arial" w:hAnsi="Arial"/>
                <w:sz w:val="18"/>
                <w:szCs w:val="18"/>
                <w:color w:val="auto"/>
                <w:w w:val="99"/>
              </w:rPr>
              <w:t>December 31, 2022</w:t>
            </w:r>
          </w:p>
        </w:tc>
        <w:tc>
          <w:tcPr>
            <w:tcW w:w="0" w:type="dxa"/>
            <w:vAlign w:val="bottom"/>
          </w:tcPr>
          <w:p>
            <w:pPr>
              <w:spacing w:after="0"/>
              <w:rPr>
                <w:sz w:val="1"/>
                <w:szCs w:val="1"/>
                <w:color w:val="auto"/>
              </w:rPr>
            </w:pPr>
          </w:p>
        </w:tc>
      </w:tr>
      <w:tr>
        <w:trPr>
          <w:trHeight w:val="230"/>
        </w:trPr>
        <w:tc>
          <w:tcPr>
            <w:tcW w:w="6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Revolving line origination fees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280" w:type="dxa"/>
            <w:vAlign w:val="bottom"/>
          </w:tcPr>
          <w:p>
            <w:pPr>
              <w:ind w:left="20"/>
              <w:spacing w:after="0"/>
              <w:rPr>
                <w:sz w:val="20"/>
                <w:szCs w:val="20"/>
                <w:color w:val="auto"/>
              </w:rPr>
            </w:pPr>
            <w:r>
              <w:rPr>
                <w:rFonts w:ascii="Arial" w:cs="Arial" w:eastAsia="Arial" w:hAnsi="Arial"/>
                <w:sz w:val="18"/>
                <w:szCs w:val="18"/>
                <w:color w:val="auto"/>
              </w:rPr>
              <w:t>Agent incentives advances</w:t>
            </w:r>
          </w:p>
        </w:tc>
        <w:tc>
          <w:tcPr>
            <w:tcW w:w="2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2,063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1,062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Agent advances receivable, net of allowance</w:t>
            </w:r>
          </w:p>
        </w:tc>
        <w:tc>
          <w:tcPr>
            <w:tcW w:w="2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Right-of-use assets, net</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24,446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24,768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Funds held by seized banking entities, net of allowance</w:t>
            </w:r>
          </w:p>
        </w:tc>
        <w:tc>
          <w:tcPr>
            <w:tcW w:w="2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2,604</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6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31,876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 to 2022, local banking regulators in Mexico resolved to close and liquidate a local financial institution, citing a lack of compliance with minimum capital requirements. The Company has approximately $5.2 million of exposure from deposits it held with this bank when it was closed. In accordance with the banking regulations in Mexico, large depositors such as the Company will be paid once the assets of the financial institution are liquidated. Currently, it is difficult to predict the length of the liquidation process or if the proceeds from the asset liquidation will be sufficient to recover any of the Company's funds on deposit. The Company maintains a valuation allowance of approximately $3.6 million in connection with the balance of deposits held by the financial institution as a result of its closure.</w:t>
      </w:r>
    </w:p>
    <w:p>
      <w:pPr>
        <w:sectPr>
          <w:pgSz w:w="11900" w:h="16838" w:orient="portrait"/>
          <w:cols w:equalWidth="0" w:num="1">
            <w:col w:w="11240"/>
          </w:cols>
          <w:pgMar w:left="320" w:top="125" w:right="339" w:bottom="1440" w:gutter="0" w:footer="0" w:header="0"/>
        </w:sectPr>
      </w:pPr>
    </w:p>
    <w:p>
      <w:pPr>
        <w:spacing w:after="0" w:line="273"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NOTE 6 – GOODWILL AND INTANGIBLE ASSETS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Goodwill and the majority of intangible assets on the condensed consolidated balance sheets of the Company were recognized from business acquisitions. Intangible assets on the condensed consolidated balance sheets of the Company consist of agent relationships, trade names, developed technology and other intangible assets. Agent relationships, trade names and developed technology are amortized over their estimated useful lives of up to 15 years using an accelerated method that correlates with the projected realization of the benefit. The agent relationships intangible represents the network of independent sending agents; trade names refers to the Intermex, La Nacional and I-Transfer names, branded on all applicable agent locations and well recognized in the market; and developed technology includes the state-of-the-art system that the Company has continued to develop and improve over the past 20 years. Other intangible assets relate to the acquisition of Company-operated stores, which are amortized on a straight line basis over 10 years, and non-competition agreements, which are amortized over the length of the agreement, typically 5 years. The determination of our intangible fair values includes several assumptions that are subject to various risks and uncertainties. Management believes it has made reasonable estimates and judgments concerning these risks and uncertainties, and no impairment charges were determined necessary to be recognized during the three and six months ended June 30, 2023.</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goodwill and intangible assets (in thousands):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6214745"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14745" cy="16319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Measurement period adjustment (Refer to Note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6214745"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14745" cy="14605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Acquisition of LAN Holdings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21474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14745" cy="17145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June 30, 2023</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Intangibles</w:t>
            </w:r>
          </w:p>
        </w:tc>
      </w:tr>
      <w:tr>
        <w:trPr>
          <w:trHeight w:val="230"/>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49,774</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19,826</w:t>
            </w:r>
          </w:p>
        </w:tc>
      </w:tr>
      <w:tr>
        <w:trPr>
          <w:trHeight w:val="241"/>
        </w:trPr>
        <w:tc>
          <w:tcPr>
            <w:tcW w:w="3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(1,134)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3,200</w:t>
            </w:r>
          </w:p>
        </w:tc>
      </w:tr>
      <w:tr>
        <w:trPr>
          <w:trHeight w:val="251"/>
        </w:trPr>
        <w:tc>
          <w:tcPr>
            <w:tcW w:w="3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(2,404)</w:t>
            </w:r>
          </w:p>
        </w:tc>
      </w:tr>
      <w:tr>
        <w:trPr>
          <w:trHeight w:val="229"/>
        </w:trPr>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53,487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20,622</w:t>
            </w: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540" w:space="720"/>
            <w:col w:w="4980"/>
          </w:cols>
          <w:pgMar w:left="320" w:top="125" w:right="339" w:bottom="1440" w:gutter="0" w:footer="0" w:header="0"/>
          <w:type w:val="continuous"/>
        </w:sect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related to intangible assets for the remainder of 2023 and thereafter is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2024</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3,965</w:t>
            </w:r>
          </w:p>
        </w:tc>
      </w:tr>
      <w:tr>
        <w:trPr>
          <w:trHeight w:val="24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2026</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2,521</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w:t>
            </w:r>
          </w:p>
        </w:tc>
      </w:tr>
      <w:tr>
        <w:trPr>
          <w:trHeight w:val="25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6,478</w:t>
            </w:r>
          </w:p>
        </w:tc>
      </w:tr>
      <w:tr>
        <w:trPr>
          <w:trHeight w:val="254"/>
        </w:trPr>
        <w:tc>
          <w:tcPr>
            <w:tcW w:w="8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NOTE 7 – LEASES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conduct certain of our operations, the Company is a party to leases for office space, warehouses and Company-operated store locations. In December 2022, the Company entered into a lease agreement, which expires in 2033, for its new headquarters to accommodate its growing workforce. The Company expects to complete the move to the new headquarters in the second half of 2023 following the completion of leasehold improvements. The new lease agreement provides for the Company to receive a tenant allowance amounting to approximately $3.8 million through the construction period and the Company will commence making monthly lease payments on November 1, 2024. Such tenant allowance has been recorded within prepaid expenses and other current assets in the condensed consolidated balance sheet.</w:t>
      </w:r>
    </w:p>
    <w:p>
      <w:pPr>
        <w:spacing w:after="0" w:line="200" w:lineRule="exact"/>
        <w:rPr>
          <w:sz w:val="20"/>
          <w:szCs w:val="20"/>
          <w:color w:val="auto"/>
        </w:rPr>
      </w:pPr>
    </w:p>
    <w:p>
      <w:pPr>
        <w:spacing w:after="0" w:line="31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presentation of right-of-use assets and lease liabilities in the condensed consolidated balance sheet is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Leases</w:t>
            </w:r>
          </w:p>
        </w:tc>
        <w:tc>
          <w:tcPr>
            <w:tcW w:w="100" w:type="dxa"/>
            <w:vAlign w:val="bottom"/>
            <w:tcBorders>
              <w:bottom w:val="single" w:sz="8" w:color="CCEEFF"/>
            </w:tcBorders>
            <w:shd w:val="clear" w:color="auto" w:fill="CCEEFF"/>
          </w:tcPr>
          <w:p>
            <w:pPr>
              <w:spacing w:after="0"/>
              <w:rPr>
                <w:sz w:val="20"/>
                <w:szCs w:val="20"/>
                <w:color w:val="auto"/>
              </w:rPr>
            </w:pPr>
          </w:p>
        </w:tc>
        <w:tc>
          <w:tcPr>
            <w:tcW w:w="3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Classification</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June 30, 2023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2"/>
              </w:rPr>
              <w:t>December 31, 2022</w:t>
            </w:r>
          </w:p>
        </w:tc>
      </w:tr>
      <w:tr>
        <w:trPr>
          <w:trHeight w:val="239"/>
        </w:trPr>
        <w:tc>
          <w:tcPr>
            <w:tcW w:w="310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34"/>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Right-of-use assets</w:t>
            </w:r>
          </w:p>
        </w:tc>
        <w:tc>
          <w:tcPr>
            <w:tcW w:w="100" w:type="dxa"/>
            <w:vAlign w:val="bottom"/>
            <w:shd w:val="clear" w:color="auto" w:fill="CCEEFF"/>
          </w:tcPr>
          <w:p>
            <w:pPr>
              <w:spacing w:after="0"/>
              <w:rPr>
                <w:sz w:val="20"/>
                <w:szCs w:val="20"/>
                <w:color w:val="auto"/>
              </w:rPr>
            </w:pPr>
          </w:p>
        </w:tc>
        <w:tc>
          <w:tcPr>
            <w:tcW w:w="3900" w:type="dxa"/>
            <w:vAlign w:val="bottom"/>
            <w:shd w:val="clear" w:color="auto" w:fill="CCEEFF"/>
          </w:tcPr>
          <w:p>
            <w:pPr>
              <w:ind w:left="20"/>
              <w:spacing w:after="0" w:line="234" w:lineRule="exact"/>
              <w:rPr>
                <w:sz w:val="20"/>
                <w:szCs w:val="20"/>
                <w:color w:val="auto"/>
              </w:rPr>
            </w:pPr>
            <w:r>
              <w:rPr>
                <w:rFonts w:ascii="Arial" w:cs="Arial" w:eastAsia="Arial" w:hAnsi="Arial"/>
                <w:sz w:val="18"/>
                <w:szCs w:val="18"/>
                <w:color w:val="auto"/>
              </w:rPr>
              <w:t>Other assets</w:t>
            </w:r>
            <w:r>
              <w:rPr>
                <w:rFonts w:ascii="Arial" w:cs="Arial" w:eastAsia="Arial" w:hAnsi="Arial"/>
                <w:sz w:val="23"/>
                <w:szCs w:val="23"/>
                <w:color w:val="auto"/>
                <w:vertAlign w:val="superscript"/>
              </w:rPr>
              <w:t>(1)</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24,768</w:t>
            </w:r>
          </w:p>
        </w:tc>
      </w:tr>
      <w:tr>
        <w:trPr>
          <w:trHeight w:val="223"/>
        </w:trPr>
        <w:tc>
          <w:tcPr>
            <w:tcW w:w="3100" w:type="dxa"/>
            <w:vAlign w:val="bottom"/>
          </w:tcPr>
          <w:p>
            <w:pPr>
              <w:ind w:left="20"/>
              <w:spacing w:after="0"/>
              <w:rPr>
                <w:sz w:val="20"/>
                <w:szCs w:val="20"/>
                <w:color w:val="auto"/>
              </w:rPr>
            </w:pPr>
            <w:r>
              <w:rPr>
                <w:rFonts w:ascii="Arial" w:cs="Arial" w:eastAsia="Arial" w:hAnsi="Arial"/>
                <w:sz w:val="18"/>
                <w:szCs w:val="18"/>
                <w:b w:val="1"/>
                <w:bCs w:val="1"/>
                <w:color w:val="auto"/>
              </w:rPr>
              <w:t>Total leased assets</w:t>
            </w:r>
          </w:p>
        </w:tc>
        <w:tc>
          <w:tcPr>
            <w:tcW w:w="10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24,446</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24,768</w:t>
            </w:r>
          </w:p>
        </w:tc>
      </w:tr>
      <w:tr>
        <w:trPr>
          <w:trHeight w:val="270"/>
        </w:trPr>
        <w:tc>
          <w:tcPr>
            <w:tcW w:w="3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9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r>
      <w:tr>
        <w:trPr>
          <w:trHeight w:val="239"/>
        </w:trPr>
        <w:tc>
          <w:tcPr>
            <w:tcW w:w="31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34"/>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00" w:type="dxa"/>
            <w:vAlign w:val="bottom"/>
            <w:shd w:val="clear" w:color="auto" w:fill="CCEEFF"/>
          </w:tcPr>
          <w:p>
            <w:pPr>
              <w:spacing w:after="0"/>
              <w:rPr>
                <w:sz w:val="20"/>
                <w:szCs w:val="20"/>
                <w:color w:val="auto"/>
              </w:rPr>
            </w:pPr>
          </w:p>
        </w:tc>
        <w:tc>
          <w:tcPr>
            <w:tcW w:w="3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r>
      <w:tr>
        <w:trPr>
          <w:trHeight w:val="229"/>
        </w:trPr>
        <w:tc>
          <w:tcPr>
            <w:tcW w:w="3100" w:type="dxa"/>
            <w:vAlign w:val="bottom"/>
          </w:tcPr>
          <w:p>
            <w:pPr>
              <w:ind w:left="180"/>
              <w:spacing w:after="0"/>
              <w:rPr>
                <w:sz w:val="20"/>
                <w:szCs w:val="20"/>
                <w:color w:val="auto"/>
              </w:rPr>
            </w:pPr>
            <w:r>
              <w:rPr>
                <w:rFonts w:ascii="Arial" w:cs="Arial" w:eastAsia="Arial" w:hAnsi="Arial"/>
                <w:sz w:val="18"/>
                <w:szCs w:val="18"/>
                <w:color w:val="auto"/>
              </w:rPr>
              <w:t>Operating</w:t>
            </w:r>
          </w:p>
        </w:tc>
        <w:tc>
          <w:tcPr>
            <w:tcW w:w="100" w:type="dxa"/>
            <w:vAlign w:val="bottom"/>
          </w:tcPr>
          <w:p>
            <w:pPr>
              <w:spacing w:after="0"/>
              <w:rPr>
                <w:sz w:val="19"/>
                <w:szCs w:val="19"/>
                <w:color w:val="auto"/>
              </w:rPr>
            </w:pPr>
          </w:p>
        </w:tc>
        <w:tc>
          <w:tcPr>
            <w:tcW w:w="3900" w:type="dxa"/>
            <w:vAlign w:val="bottom"/>
          </w:tcPr>
          <w:p>
            <w:pPr>
              <w:ind w:left="20"/>
              <w:spacing w:after="0"/>
              <w:rPr>
                <w:sz w:val="20"/>
                <w:szCs w:val="20"/>
                <w:color w:val="auto"/>
              </w:rPr>
            </w:pPr>
            <w:r>
              <w:rPr>
                <w:rFonts w:ascii="Arial" w:cs="Arial" w:eastAsia="Arial" w:hAnsi="Arial"/>
                <w:sz w:val="18"/>
                <w:szCs w:val="18"/>
                <w:color w:val="auto"/>
              </w:rPr>
              <w:t>Accrued and other liabilities</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5,341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5,258</w:t>
            </w:r>
          </w:p>
        </w:tc>
      </w:tr>
      <w:tr>
        <w:trPr>
          <w:trHeight w:val="243"/>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w:t>
            </w:r>
          </w:p>
        </w:tc>
        <w:tc>
          <w:tcPr>
            <w:tcW w:w="100" w:type="dxa"/>
            <w:vAlign w:val="bottom"/>
            <w:shd w:val="clear" w:color="auto" w:fill="CCEEFF"/>
          </w:tcPr>
          <w:p>
            <w:pPr>
              <w:spacing w:after="0"/>
              <w:rPr>
                <w:sz w:val="21"/>
                <w:szCs w:val="21"/>
                <w:color w:val="auto"/>
              </w:rPr>
            </w:pPr>
          </w:p>
        </w:tc>
        <w:tc>
          <w:tcPr>
            <w:tcW w:w="3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r>
      <w:tr>
        <w:trPr>
          <w:trHeight w:val="229"/>
        </w:trPr>
        <w:tc>
          <w:tcPr>
            <w:tcW w:w="3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Operating</w:t>
            </w:r>
          </w:p>
        </w:tc>
        <w:tc>
          <w:tcPr>
            <w:tcW w:w="100" w:type="dxa"/>
            <w:vAlign w:val="bottom"/>
            <w:tcBorders>
              <w:bottom w:val="single" w:sz="8" w:color="CCEEFF"/>
            </w:tcBorders>
          </w:tcPr>
          <w:p>
            <w:pPr>
              <w:spacing w:after="0"/>
              <w:rPr>
                <w:sz w:val="19"/>
                <w:szCs w:val="19"/>
                <w:color w:val="auto"/>
              </w:rPr>
            </w:pPr>
          </w:p>
        </w:tc>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 liabilities</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22,918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23,272</w:t>
            </w:r>
          </w:p>
        </w:tc>
      </w:tr>
      <w:tr>
        <w:trPr>
          <w:trHeight w:val="248"/>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Lease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3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28,530</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5"/>
          <w:szCs w:val="15"/>
          <w:color w:val="auto"/>
        </w:rPr>
        <w:t>(1) Operating right of-use assets are recorded net of accumulated amortization of $7.9 million and $5.6 million as of June 30, 2023 and December 31, 2022, respectively.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Lease expense for the three and six months ended June 30, 2023 and 2022, was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w w:val="90"/>
              </w:rPr>
              <w:t>Three Months Ended June 30,</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37"/>
        </w:trPr>
        <w:tc>
          <w:tcPr>
            <w:tcW w:w="1700" w:type="dxa"/>
            <w:vAlign w:val="bottom"/>
          </w:tcPr>
          <w:p>
            <w:pPr>
              <w:ind w:left="440"/>
              <w:spacing w:after="0"/>
              <w:rPr>
                <w:sz w:val="20"/>
                <w:szCs w:val="20"/>
                <w:color w:val="auto"/>
              </w:rPr>
            </w:pPr>
            <w:r>
              <w:rPr>
                <w:rFonts w:ascii="Arial" w:cs="Arial" w:eastAsia="Arial" w:hAnsi="Arial"/>
                <w:sz w:val="18"/>
                <w:szCs w:val="18"/>
                <w:b w:val="1"/>
                <w:bCs w:val="1"/>
                <w:color w:val="auto"/>
              </w:rPr>
              <w:t>Lease Cost</w:t>
            </w:r>
          </w:p>
        </w:tc>
        <w:tc>
          <w:tcPr>
            <w:tcW w:w="100" w:type="dxa"/>
            <w:vAlign w:val="bottom"/>
          </w:tcPr>
          <w:p>
            <w:pPr>
              <w:spacing w:after="0"/>
              <w:rPr>
                <w:sz w:val="20"/>
                <w:szCs w:val="20"/>
                <w:color w:val="auto"/>
              </w:rPr>
            </w:pPr>
          </w:p>
        </w:tc>
        <w:tc>
          <w:tcPr>
            <w:tcW w:w="4180" w:type="dxa"/>
            <w:vAlign w:val="bottom"/>
            <w:gridSpan w:val="2"/>
          </w:tcPr>
          <w:p>
            <w:pPr>
              <w:ind w:left="1520"/>
              <w:spacing w:after="0"/>
              <w:rPr>
                <w:sz w:val="20"/>
                <w:szCs w:val="20"/>
                <w:color w:val="auto"/>
              </w:rPr>
            </w:pPr>
            <w:r>
              <w:rPr>
                <w:rFonts w:ascii="Arial" w:cs="Arial" w:eastAsia="Arial" w:hAnsi="Arial"/>
                <w:sz w:val="18"/>
                <w:szCs w:val="18"/>
                <w:b w:val="1"/>
                <w:bCs w:val="1"/>
                <w:color w:val="auto"/>
              </w:rPr>
              <w:t>Classification</w:t>
            </w:r>
          </w:p>
        </w:tc>
        <w:tc>
          <w:tcPr>
            <w:tcW w:w="12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3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3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2022</w:t>
            </w:r>
          </w:p>
        </w:tc>
      </w:tr>
      <w:tr>
        <w:trPr>
          <w:trHeight w:val="229"/>
        </w:trPr>
        <w:tc>
          <w:tcPr>
            <w:tcW w:w="1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00" w:type="dxa"/>
            <w:vAlign w:val="bottom"/>
            <w:tcBorders>
              <w:top w:val="single" w:sz="8" w:color="CCEEFF"/>
            </w:tcBorders>
            <w:shd w:val="clear" w:color="auto" w:fill="CCEEFF"/>
          </w:tcPr>
          <w:p>
            <w:pPr>
              <w:spacing w:after="0"/>
              <w:rPr>
                <w:sz w:val="19"/>
                <w:szCs w:val="19"/>
                <w:color w:val="auto"/>
              </w:rPr>
            </w:pPr>
          </w:p>
        </w:tc>
        <w:tc>
          <w:tcPr>
            <w:tcW w:w="40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7"/>
              </w:rPr>
              <w:t>Other selling, general and administrative expenses</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2,010</w:t>
            </w:r>
          </w:p>
        </w:tc>
        <w:tc>
          <w:tcPr>
            <w:tcW w:w="36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2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4,074</w:t>
            </w:r>
          </w:p>
        </w:tc>
        <w:tc>
          <w:tcPr>
            <w:tcW w:w="36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w:t>
            </w:r>
          </w:p>
        </w:tc>
      </w:tr>
    </w:tbl>
    <w:p>
      <w:pPr>
        <w:spacing w:after="0" w:line="200" w:lineRule="exact"/>
        <w:rPr>
          <w:sz w:val="20"/>
          <w:szCs w:val="20"/>
          <w:color w:val="auto"/>
        </w:rPr>
      </w:pPr>
    </w:p>
    <w:p>
      <w:pPr>
        <w:spacing w:after="0" w:line="36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As of June 30, 2023 and </w:t>
      </w:r>
      <w:r>
        <w:rPr>
          <w:rFonts w:ascii="Arial" w:cs="Arial" w:eastAsia="Arial" w:hAnsi="Arial"/>
          <w:sz w:val="14"/>
          <w:szCs w:val="14"/>
          <w:color w:val="auto"/>
        </w:rPr>
        <w:t>December 31, 2022</w:t>
      </w:r>
      <w:r>
        <w:rPr>
          <w:rFonts w:ascii="Arial" w:cs="Arial" w:eastAsia="Arial" w:hAnsi="Arial"/>
          <w:sz w:val="16"/>
          <w:szCs w:val="16"/>
          <w:color w:val="auto"/>
        </w:rPr>
        <w:t>, the Company’s weighted-average remaining lease terms on its operating leases is 6.5 years and 6.6 years, and the Company’s weighted-average discount rate is 5.95% and 5.67%, respectively, which is the Company’s incremental borrowing rate. The Company used its incremental borrowing rate for all leases, as none of the Company’s lease agreements provide a readily determinable implicit rate.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Payments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Future minimum lease payments for assets under non-cancelable operating lease agreements with original terms of more than one year for the remainder of 2023 and thereafter are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76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3,137</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2024</w:t>
            </w:r>
          </w:p>
        </w:tc>
        <w:tc>
          <w:tcPr>
            <w:tcW w:w="4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5,760</w:t>
            </w: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2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6,229</w:t>
            </w: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2026</w:t>
            </w:r>
          </w:p>
        </w:tc>
        <w:tc>
          <w:tcPr>
            <w:tcW w:w="4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4,867</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42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3,607</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26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14,978</w:t>
            </w: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4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38,578</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426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(10,319)</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4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28,259</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bottom w:val="single" w:sz="8" w:color="CCEEFF"/>
            </w:tcBorders>
            <w:vMerge w:val="restart"/>
          </w:tcPr>
          <w:p>
            <w:pPr>
              <w:jc w:val="right"/>
              <w:ind w:right="2210"/>
              <w:spacing w:after="0"/>
              <w:rPr>
                <w:sz w:val="20"/>
                <w:szCs w:val="20"/>
                <w:color w:val="auto"/>
              </w:rPr>
            </w:pPr>
            <w:r>
              <w:rPr>
                <w:rFonts w:ascii="Arial" w:cs="Arial" w:eastAsia="Arial" w:hAnsi="Arial"/>
                <w:sz w:val="18"/>
                <w:szCs w:val="18"/>
                <w:color w:val="auto"/>
              </w:rPr>
              <w:t>16</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2"/>
        </w:trPr>
        <w:tc>
          <w:tcPr>
            <w:tcW w:w="4080" w:type="dxa"/>
            <w:vAlign w:val="bottom"/>
          </w:tcPr>
          <w:p>
            <w:pPr>
              <w:spacing w:after="0"/>
              <w:rPr>
                <w:sz w:val="24"/>
                <w:szCs w:val="24"/>
                <w:color w:val="auto"/>
              </w:rPr>
            </w:pPr>
          </w:p>
        </w:tc>
        <w:tc>
          <w:tcPr>
            <w:tcW w:w="42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08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NOTE 8 – WIRE TRANSFERS AND MONEY ORDERS PAYABLE,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Wire transfers and money orders payable, net consisted of the following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6"/>
              </w:rPr>
              <w:t>June 30, 2023</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88"/>
              </w:rPr>
              <w:t>December 31, 2022</w:t>
            </w:r>
          </w:p>
        </w:tc>
      </w:tr>
      <w:tr>
        <w:trPr>
          <w:trHeight w:val="24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Wire transfers payable, net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49,252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55,572</w:t>
            </w: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Customer voided wires payable</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27,860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27,236</w:t>
            </w:r>
          </w:p>
        </w:tc>
      </w:tr>
      <w:tr>
        <w:trPr>
          <w:trHeight w:val="249"/>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orders payable</w:t>
            </w:r>
          </w:p>
        </w:tc>
        <w:tc>
          <w:tcPr>
            <w:tcW w:w="2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29,443</w:t>
            </w:r>
          </w:p>
        </w:tc>
      </w:tr>
      <w:tr>
        <w:trPr>
          <w:trHeight w:val="224"/>
        </w:trPr>
        <w:tc>
          <w:tcPr>
            <w:tcW w:w="62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106,271</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112,251</w:t>
            </w:r>
          </w:p>
        </w:tc>
      </w:tr>
      <w:tr>
        <w:trPr>
          <w:trHeight w:val="27"/>
        </w:trPr>
        <w:tc>
          <w:tcPr>
            <w:tcW w:w="6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Customer voided wires payable consist primarily of wire transfers that were not completed because the recipient did not collect the funds within 30 days and the sender has not claimed the funds and, therefore, are considered unclaimed property. Unclaimed property laws of each state in the United States in which we operate, the District of Columbia, and Puerto Rico require us to track certain information for all of our money remittances and payment instruments and, if the funds underlying such remittances and instruments are unclaimed at the end of an applicable statutory abandonment period, require us to remit the proceeds of the unclaimed property to the appropriate jurisdiction. Applicable statutory abandonment periods range from three to seven years.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NOTE 9 – ACCRUED AND OTHER LIABILITIES</w:t>
            </w: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32"/>
        </w:trPr>
        <w:tc>
          <w:tcPr>
            <w:tcW w:w="6280" w:type="dxa"/>
            <w:vAlign w:val="bottom"/>
          </w:tcPr>
          <w:p>
            <w:pPr>
              <w:spacing w:after="0"/>
              <w:rPr>
                <w:sz w:val="20"/>
                <w:szCs w:val="20"/>
                <w:color w:val="auto"/>
              </w:rPr>
            </w:pPr>
            <w:r>
              <w:rPr>
                <w:rFonts w:ascii="Arial" w:cs="Arial" w:eastAsia="Arial" w:hAnsi="Arial"/>
                <w:sz w:val="18"/>
                <w:szCs w:val="18"/>
                <w:color w:val="auto"/>
              </w:rPr>
              <w:t>Accrued and other liabilities consisted of the following (in thousands):</w:t>
            </w: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527"/>
        </w:trPr>
        <w:tc>
          <w:tcPr>
            <w:tcW w:w="62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6"/>
              </w:rPr>
              <w:t>June 30, 2023</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1"/>
              </w:rPr>
              <w:t>December 31, 2022</w:t>
            </w: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Commissions payable to sending agents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19,141</w:t>
            </w: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Accrued salaries and benefits</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4,024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5,578</w:t>
            </w:r>
          </w:p>
        </w:tc>
      </w:tr>
      <w:tr>
        <w:trPr>
          <w:trHeight w:val="24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bank charges</w:t>
            </w: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w:t>
            </w: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Accrued other professional fees</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1,169</w:t>
            </w: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taxes</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w:t>
            </w:r>
          </w:p>
        </w:tc>
      </w:tr>
      <w:tr>
        <w:trPr>
          <w:trHeight w:val="237"/>
        </w:trPr>
        <w:tc>
          <w:tcPr>
            <w:tcW w:w="6280" w:type="dxa"/>
            <w:vAlign w:val="bottom"/>
          </w:tcPr>
          <w:p>
            <w:pPr>
              <w:ind w:left="20"/>
              <w:spacing w:after="0"/>
              <w:rPr>
                <w:sz w:val="20"/>
                <w:szCs w:val="20"/>
                <w:color w:val="auto"/>
              </w:rPr>
            </w:pPr>
            <w:r>
              <w:rPr>
                <w:rFonts w:ascii="Arial" w:cs="Arial" w:eastAsia="Arial" w:hAnsi="Arial"/>
                <w:sz w:val="18"/>
                <w:szCs w:val="18"/>
                <w:color w:val="auto"/>
              </w:rPr>
              <w:t>Lease liabilities, current portion</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5,341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5,258</w:t>
            </w:r>
          </w:p>
        </w:tc>
      </w:tr>
      <w:tr>
        <w:trPr>
          <w:trHeight w:val="23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 liability</w:t>
            </w:r>
          </w:p>
        </w:tc>
        <w:tc>
          <w:tcPr>
            <w:tcW w:w="24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Deferred revenue loyalty program</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4,393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4,212</w:t>
            </w:r>
          </w:p>
        </w:tc>
      </w:tr>
      <w:tr>
        <w:trPr>
          <w:trHeight w:val="263"/>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w:t>
            </w:r>
          </w:p>
        </w:tc>
      </w:tr>
      <w:tr>
        <w:trPr>
          <w:trHeight w:val="217"/>
        </w:trPr>
        <w:tc>
          <w:tcPr>
            <w:tcW w:w="62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41,959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41,855</w:t>
            </w:r>
          </w:p>
        </w:tc>
      </w:tr>
      <w:tr>
        <w:trPr>
          <w:trHeight w:val="20"/>
        </w:trPr>
        <w:tc>
          <w:tcPr>
            <w:tcW w:w="6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changes in the deferred revenue loyalty program liability (in thousands):</w:t>
      </w:r>
    </w:p>
    <w:p>
      <w:pPr>
        <w:sectPr>
          <w:pgSz w:w="11900" w:h="16838" w:orient="portrait"/>
          <w:cols w:equalWidth="0" w:num="1">
            <w:col w:w="11240"/>
          </w:cols>
          <w:pgMar w:left="320" w:top="125" w:right="339" w:bottom="1440" w:gutter="0" w:footer="0" w:header="0"/>
        </w:sect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623189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3189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 deferred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23189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31890" cy="171450"/>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 recognized during the period</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June 30, 2023</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NOTE 10 – DEBT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Debt consisted of the following (in thousands):</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ind w:left="1228" w:hanging="1228"/>
        <w:spacing w:after="0"/>
        <w:tabs>
          <w:tab w:leader="none" w:pos="1228" w:val="left"/>
        </w:tabs>
        <w:numPr>
          <w:ilvl w:val="0"/>
          <w:numId w:val="6"/>
        </w:numPr>
        <w:rPr>
          <w:rFonts w:ascii="Arial" w:cs="Arial" w:eastAsia="Arial" w:hAnsi="Arial"/>
          <w:sz w:val="18"/>
          <w:szCs w:val="18"/>
          <w:color w:val="auto"/>
        </w:rPr>
      </w:pPr>
      <w:r>
        <w:rPr>
          <w:rFonts w:ascii="Arial" w:cs="Arial" w:eastAsia="Arial" w:hAnsi="Arial"/>
          <w:sz w:val="18"/>
          <w:szCs w:val="18"/>
          <w:color w:val="auto"/>
        </w:rPr>
        <w:t>4,212</w:t>
      </w:r>
    </w:p>
    <w:p>
      <w:pPr>
        <w:spacing w:after="0" w:line="23" w:lineRule="exact"/>
        <w:rPr>
          <w:rFonts w:ascii="Arial" w:cs="Arial" w:eastAsia="Arial" w:hAnsi="Arial"/>
          <w:sz w:val="18"/>
          <w:szCs w:val="18"/>
          <w:color w:val="auto"/>
        </w:rPr>
      </w:pPr>
    </w:p>
    <w:p>
      <w:pPr>
        <w:ind w:left="1228"/>
        <w:spacing w:after="0"/>
        <w:rPr>
          <w:rFonts w:ascii="Arial" w:cs="Arial" w:eastAsia="Arial" w:hAnsi="Arial"/>
          <w:sz w:val="18"/>
          <w:szCs w:val="18"/>
          <w:color w:val="auto"/>
        </w:rPr>
      </w:pPr>
      <w:r>
        <w:rPr>
          <w:rFonts w:ascii="Arial" w:cs="Arial" w:eastAsia="Arial" w:hAnsi="Arial"/>
          <w:sz w:val="18"/>
          <w:szCs w:val="18"/>
          <w:color w:val="auto"/>
        </w:rPr>
        <w:t>1,493</w:t>
      </w:r>
    </w:p>
    <w:p>
      <w:pPr>
        <w:spacing w:after="0" w:line="23" w:lineRule="exact"/>
        <w:rPr>
          <w:sz w:val="20"/>
          <w:szCs w:val="20"/>
          <w:color w:val="auto"/>
        </w:rPr>
      </w:pPr>
    </w:p>
    <w:p>
      <w:pPr>
        <w:jc w:val="right"/>
        <w:ind w:right="1440"/>
        <w:spacing w:after="0"/>
        <w:rPr>
          <w:sz w:val="20"/>
          <w:szCs w:val="20"/>
          <w:color w:val="auto"/>
        </w:rPr>
      </w:pPr>
      <w:r>
        <w:rPr>
          <w:rFonts w:ascii="Arial" w:cs="Arial" w:eastAsia="Arial" w:hAnsi="Arial"/>
          <w:sz w:val="18"/>
          <w:szCs w:val="18"/>
          <w:color w:val="auto"/>
        </w:rPr>
        <w:t>(1,312)</w:t>
      </w:r>
    </w:p>
    <w:p>
      <w:pPr>
        <w:spacing w:after="0" w:line="62" w:lineRule="exact"/>
        <w:rPr>
          <w:sz w:val="20"/>
          <w:szCs w:val="20"/>
          <w:color w:val="auto"/>
        </w:rPr>
      </w:pPr>
    </w:p>
    <w:p>
      <w:pPr>
        <w:ind w:left="1228" w:hanging="1228"/>
        <w:spacing w:after="0"/>
        <w:tabs>
          <w:tab w:leader="none" w:pos="1228" w:val="left"/>
        </w:tabs>
        <w:numPr>
          <w:ilvl w:val="0"/>
          <w:numId w:val="7"/>
        </w:numPr>
        <w:rPr>
          <w:rFonts w:ascii="Arial" w:cs="Arial" w:eastAsia="Arial" w:hAnsi="Arial"/>
          <w:sz w:val="18"/>
          <w:szCs w:val="18"/>
          <w:color w:val="auto"/>
        </w:rPr>
      </w:pPr>
      <w:r>
        <w:rPr>
          <w:rFonts w:ascii="Arial" w:cs="Arial" w:eastAsia="Arial" w:hAnsi="Arial"/>
          <w:sz w:val="18"/>
          <w:szCs w:val="18"/>
          <w:color w:val="auto"/>
        </w:rPr>
        <w:t>4,393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14605</wp:posOffset>
            </wp:positionV>
            <wp:extent cx="10972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97280" cy="889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40640</wp:posOffset>
            </wp:positionV>
            <wp:extent cx="10972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216" w:lineRule="exact"/>
        <w:rPr>
          <w:sz w:val="20"/>
          <w:szCs w:val="20"/>
          <w:color w:val="auto"/>
        </w:rPr>
      </w:pPr>
    </w:p>
    <w:p>
      <w:pPr>
        <w:sectPr>
          <w:pgSz w:w="11900" w:h="16838" w:orient="portrait"/>
          <w:cols w:equalWidth="0" w:num="2">
            <w:col w:w="7392" w:space="720"/>
            <w:col w:w="3128"/>
          </w:cols>
          <w:pgMar w:left="320" w:top="125" w:right="339" w:bottom="1440" w:gutter="0" w:footer="0" w:header="0"/>
          <w:type w:val="continuous"/>
        </w:sectPr>
      </w:pP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8"/>
              </w:rPr>
              <w:t>June 30, 2023</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1"/>
              </w:rPr>
              <w:t>December 31, 2022</w:t>
            </w: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76,000</w:t>
            </w:r>
          </w:p>
        </w:tc>
      </w:tr>
      <w:tr>
        <w:trPr>
          <w:trHeight w:val="243"/>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Term loan facility</w:t>
            </w:r>
          </w:p>
        </w:tc>
        <w:tc>
          <w:tcPr>
            <w:tcW w:w="2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78,750</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80,938</w:t>
            </w:r>
          </w:p>
        </w:tc>
      </w:tr>
      <w:tr>
        <w:trPr>
          <w:trHeight w:val="223"/>
        </w:trPr>
        <w:tc>
          <w:tcPr>
            <w:tcW w:w="6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194,750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156,938</w:t>
            </w:r>
          </w:p>
        </w:tc>
      </w:tr>
      <w:tr>
        <w:trPr>
          <w:trHeight w:val="230"/>
        </w:trPr>
        <w:tc>
          <w:tcPr>
            <w:tcW w:w="62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Less: Current portion of long-term debt </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(6,069)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(4,975)</w:t>
            </w:r>
          </w:p>
        </w:tc>
      </w:tr>
      <w:tr>
        <w:trPr>
          <w:trHeight w:val="263"/>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Debt origination costs</w:t>
            </w:r>
          </w:p>
        </w:tc>
        <w:tc>
          <w:tcPr>
            <w:tcW w:w="24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w:t>
            </w:r>
          </w:p>
        </w:tc>
      </w:tr>
      <w:tr>
        <w:trPr>
          <w:trHeight w:val="217"/>
        </w:trPr>
        <w:tc>
          <w:tcPr>
            <w:tcW w:w="62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187,201</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150,235</w:t>
            </w:r>
          </w:p>
        </w:tc>
      </w:tr>
      <w:tr>
        <w:trPr>
          <w:trHeight w:val="20"/>
        </w:trPr>
        <w:tc>
          <w:tcPr>
            <w:tcW w:w="6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(1) Current portion of long-term debt is net of debt origination costs of approximately $0.5 million both at June 30, 2023 and December 31, 2022, respectively.</w:t>
      </w:r>
    </w:p>
    <w:p>
      <w:pPr>
        <w:sectPr>
          <w:pgSz w:w="11900" w:h="16838" w:orient="portrait"/>
          <w:cols w:equalWidth="0" w:num="1">
            <w:col w:w="11240"/>
          </w:cols>
          <w:pgMar w:left="320" w:top="125" w:right="339" w:bottom="1440" w:gutter="0" w:footer="0" w:header="0"/>
          <w:type w:val="continuous"/>
        </w:sectPr>
      </w:pPr>
    </w:p>
    <w:p>
      <w:pPr>
        <w:spacing w:after="0" w:line="9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32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The Company and certain of its domestic subsidiaries as borrowers and the other guarantors from time to time party thereto (collectively, the “Loan Parties”) entered into an Amended and Restated Credit Agreement (the “A&amp;R Credit Agreement”) with a group of banking institutions. The A&amp;R Credit Agreement amended and restated in its entirety the Company’s previous credit agreement. The A&amp;R Credit Agreement provided for a </w:t>
      </w:r>
      <w:r>
        <w:rPr>
          <w:rFonts w:ascii="Arial" w:cs="Arial" w:eastAsia="Arial" w:hAnsi="Arial"/>
          <w:sz w:val="15"/>
          <w:szCs w:val="15"/>
          <w:color w:val="auto"/>
        </w:rPr>
        <w:t>$150.0 million</w:t>
      </w:r>
      <w:r>
        <w:rPr>
          <w:rFonts w:ascii="Arial" w:cs="Arial" w:eastAsia="Arial" w:hAnsi="Arial"/>
          <w:sz w:val="17"/>
          <w:szCs w:val="17"/>
          <w:color w:val="auto"/>
        </w:rPr>
        <w:t xml:space="preserve"> revolving credit facility, an </w:t>
      </w:r>
      <w:r>
        <w:rPr>
          <w:rFonts w:ascii="Arial" w:cs="Arial" w:eastAsia="Arial" w:hAnsi="Arial"/>
          <w:sz w:val="15"/>
          <w:szCs w:val="15"/>
          <w:color w:val="auto"/>
        </w:rPr>
        <w:t>$87.5 million</w:t>
      </w:r>
      <w:r>
        <w:rPr>
          <w:rFonts w:ascii="Arial" w:cs="Arial" w:eastAsia="Arial" w:hAnsi="Arial"/>
          <w:sz w:val="17"/>
          <w:szCs w:val="17"/>
          <w:color w:val="auto"/>
        </w:rPr>
        <w:t xml:space="preserve"> term loan facility and an uncommitted incremental facility, which may be utilized for additional revolving or term loans, of up to </w:t>
      </w:r>
      <w:r>
        <w:rPr>
          <w:rFonts w:ascii="Arial" w:cs="Arial" w:eastAsia="Arial" w:hAnsi="Arial"/>
          <w:sz w:val="15"/>
          <w:szCs w:val="15"/>
          <w:color w:val="auto"/>
        </w:rPr>
        <w:t>$70.0 million</w:t>
      </w:r>
      <w:r>
        <w:rPr>
          <w:rFonts w:ascii="Arial" w:cs="Arial" w:eastAsia="Arial" w:hAnsi="Arial"/>
          <w:sz w:val="17"/>
          <w:szCs w:val="17"/>
          <w:color w:val="auto"/>
        </w:rPr>
        <w:t>. The A&amp;R Credit Agreement also provides for the issuance of letters of credit, which would reduce availability under the revolving credit facility. The proceeds of the term loan were used to refinance the existing term loan facility under the Company’s previous credit agreement, and the revolving credit facility is available for working capital, general corporate purposes and to pay fees and expenses in connection with this transaction. The maturity date of the A&amp;R Credit Agreement is June 24, 2026.</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11, 2022, the Loan Parties entered into a First Amendment Agreement (the “First Amendment”) to the A&amp;R Credit Agreement. The Amendment replaces LIBOR as a benchmark interest rate for loans under the A&amp;R Credit Agreement with the secured overnight financing rate as administered by the Federal Reserve Bank of New York (“SOFR”), and amends all applicable provisions of the A&amp;R Credit Agreement with respect to such replacement of LIBOR as the benchmark interest rate. Except as amended by the First Amendment, the A&amp;R Credit Agreement remains in full force and effect.</w:t>
      </w:r>
    </w:p>
    <w:p>
      <w:pPr>
        <w:spacing w:after="0" w:line="21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Effective as of April 18, 2023, the Company amended its A&amp;R Credit Agreement to increase the revolving credit commitments available thereunder from an aggregate of $150.0 million to $220.0 million. The credit commitments are available for general corporate purposes to support the Company’s growth and to fund working capital needs and will be subject to the same interest rate and other terms applicable to the outstanding revolving credit commitments under the A&amp;R Credit Agreement. In addition, as amended, the A&amp;R Credit Agreement provides the Company with a refreshed uncommitted incremental facility which may be utilized for new revolving credit facilities or term loans in an aggregate amount of up to $70.0 million. The amendment was accounted for as a debt modification. The balance of the unamortized debt origination costs in connection with the A&amp;R Credit Agreement and the additional debt origination costs of approximately $0.7 million incurred in connection with this amendment will be amortized over the remaining life of the A&amp;R Credit Agreement using the straight-line method, as it is not significantly different than the effective interest method. Debt origination costs paid to third parties in connection with the amendment were expensed as incurred during the second quarter of 2023.</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unamortized portion of debt origination costs totaled approximately $3.5 million and $3.3 million at June 30, 2023 and December 31, 2022, respectively. Amortization of debt origination costs is included as a component of interest expense in the condensed consolidated statements of income and comprehensive income and amounted to approximately $0.3 million for both the three months ended June 30, 2023 and 2022, and $0.5 million for both the six months ended June 30, 2023 and 2022.</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the election of the Company, interest on the term loan facility and revolving loans under the A&amp;R Credit Agreement, as amended, may be determined by reference to SOFR plus an index adjustment of 0.10% and an applicable margin ranging between 2.50% and 3.00% based upon the Company’s consolidated leverage ratio, as calculated pursuant to the terms of the A&amp;R Credit Agreement. Loans (other than Term Loans, as defined in the A&amp;R Credit Agreement), may also bear interest at the Base Rate, plus an applicable margin ranging between 1.50% and 2.00% based upon the Company’s consolidated leverage ratio, as so calculated. The Company is also required to pay a fee on the unused portion of the revolving credit facility equal to 0.35% per annum. The effective interest rates for the six months ended June 30, 2023 for the term loan facility and revolving credit facility were 8.03% and 1.85%, respectively, and 3.59% and 0.75% for the six months ended June 30, 2022, respectively.</w:t>
      </w:r>
    </w:p>
    <w:p>
      <w:pPr>
        <w:spacing w:after="0" w:line="20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Interest is payable (x)(i) generally on the last day of each interest period selected for SOFR loans, but in any event, not less frequently than every three months, and (ii) on the last business day of each quarter for base rate loans and (y) at final maturity. The principal amount of the term loan facility under the A&amp;R Credit Agreement must be repaid in consecutive quarterly installments of 5.0% in years 1 and 2, 7.5% in year 3, and 10.0% in years 4 and 5, in each case on the last day of each quarter, which commenced in September 2021 with a final balloon payment at maturity. The term loans under the A&amp;R Credit Agreement may be prepaid at any time without premium or penalty. Revolving loans may be borrowed, repaid and reborrowed from time to time in accordance with the terms and conditions of the A&amp;R Credit Agreement. The Company is also required to repay the loans upon receipt of net proceeds from certain casualty events, upon the disposition of certain property and upon incurrence of indebtedness not permitted by the A&amp;R Credit Agreement. In addition, the Company is required to make mandatory prepayments annually from excess cash flow if the Company’s consolidated leverage ratio (as calculated under the A&amp;R Credit Agreement) is greater than or equal to 3.0, and the remainder of any such excess cash flow is contributed to the available amount which may be used for a variety of purposes, including investments and distributions.</w:t>
      </w: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A&amp;R Credit Agreement, as amended, contains financial covenants that require the Company to maintain a quarterly minimum fixed charge coverage ratio of 1.25:1.00 and a quarterly maximum consolidated leverage ratio of 3.25:1.00 and generally restricts the ability of the Company to make certain restricted payments, including the repurchase of shares of its common stock, provided that the Company may make restricted payments, among others, (i) without limitation so long as the Consolidated Leverage Ratio (as defined in the A&amp;R Credit Agreement), as of the then most recently completed four fiscal quarters of the Company, after giving pro forma effect to such restricted payments, is 2.25:1.00 or less, (ii) that do not exceed, in the aggregate during any fiscal year, the greater of (x) $23.8 million and (y) 25.00% of Consolidated EBITDA (as defined in the A&amp;R Credit Agreement) for the then most recently completed four fiscal quarters of</w:t>
      </w:r>
    </w:p>
    <w:p>
      <w:pPr>
        <w:spacing w:after="0" w:line="3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and (iii) to repurchase Company common stock from current or former employees in an aggregate amount of up to $10.0 million per calendar year. The A&amp;R Credit Agreement also contains covenants that limit the Company’s and its subsidiaries’ ability to, among other things, grant liens, incur additional indebtedness, make acquisitions or investments, dispose of certain assets, change the nature of their businesses, enter into certain transactions with affiliates or amend the terms of material indebtedness.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obligations under the A&amp;R Credit Agreement are guaranteed by the Company and certain domestic subsidiaries of the Company and secured by liens on substantially all of the assets of the Loan Parties, subject to certain exclusions and limitations.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NOTE 11 – FAIR VALUE MEASUREMENTS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Company determines fair value in accordance with the provisions of FASB guidance,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which defines fair value as an exit price, representing the amount that would be received from the sale of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As a basis for considering such assumptions, a three-level fair value hierarchy that prioritizes the inputs used to measure fair value was established. There are three levels of inputs used to measure fair value and for disclosure purposes. Level 1 relates to quoted market prices for identical assets or liabilities in active markets. Level 2 relates to observable inputs other than quoted prices included in Level 1. Level 3 relates to unobservable inputs that are supported by little or no market activity and that are significant to the fair value of the assets or liabilities.</w:t>
      </w:r>
    </w:p>
    <w:p>
      <w:pPr>
        <w:spacing w:after="0" w:line="21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Company’s non-financial assets measured at fair value on a nonrecurring basis include goodwill and intangible assets. The determination of our intangible fair values includes several assumptions and inputs (Level 3) that are subject to various risks and uncertainties. Management believes it has made reasonable estimates and judgments concerning these risks and uncertainties. All other financial assets and liabilities are carried at amortized cost.</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cash and cash equivalents balances are representative of their fair values as these balances are comprised of deposits available on demand or overnight. The carrying amounts of accounts receivable, prepaid wires, accounts payable and wire transfers and money orders payable are representative of their fair values because of the short turnover of these instruments.</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financial liabilities include its revolving credit facility and term loan facility. The fair value of the term loan facility, which approximates book value, is estimated by discounting the future cash flows using a current market interest rate. The estimated fair value of the revolving credit facility would approximate face value given the payment schedule and interest rate structure, which approximates current market interest rates.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NOTE 12 – SHARE-BASED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International Money Express, Inc. Omnibus Equity Compensation Plans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International Money Express, Inc. 2020 Omnibus Equity Compensation Plan (the “2020 Plan”) provides for the granting of stock-based incentive awards, including stock options, restricted stock units (“RSUs”), restricted stock awards (“RSAs”) and performance stock units (“PSUs”) to employees and independent directors of the Company. There are 3.7 million shares of the Company’s common stock approved for issuance under the 2020 Plan, which includes 0.4 million shares that were previously subject to awards granted under the International Money Express, Inc. 2018 Omnibus Equity Compensation Plan (the “2018 Plan” and together with the 2020 Plan, the “Plans”). Although awards remain outstanding under the 2018 Plan, which was terminated effective June 26, 2020, no additional awards may be granted under the 2018 Plan. As of June 30, 2023, 2.1 million shares remained available for future awards under the 2020 Plan.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Share-based compensation is recognized as an expense on a straight-line basis over the requisite service period, which is generally the vesting period. The stock options issued under the Plans have 10-year terms and generally vest in four equal annual installments beginning one year after the date of the grant. The Company recognized compensation expense for stock options of approximately $0.1 million and $0.5 million for the three months ended June 30, 2023 and 2022, respectively, and $0.3 million and $1.1 million for the six months ended June 30, 2023 and 2022, respectively, which are included in salaries and benefits in the condensed consolidated statements of income and comprehensive income. As of June 30, 2023, unrecognized compensation expense related to stock options of approximately $0.3 million is expected to be recognized over a weighted-average period of 0.9 years.</w:t>
      </w:r>
    </w:p>
    <w:p>
      <w:pPr>
        <w:spacing w:after="0" w:line="24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under the Plans during the six months ended June 30, 2023 is presented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Weighted-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vMerge w:val="restart"/>
          </w:tcPr>
          <w:p>
            <w:pPr>
              <w:jc w:val="center"/>
              <w:ind w:right="110"/>
              <w:spacing w:after="0"/>
              <w:rPr>
                <w:sz w:val="20"/>
                <w:szCs w:val="20"/>
                <w:color w:val="auto"/>
              </w:rPr>
            </w:pPr>
            <w:r>
              <w:rPr>
                <w:rFonts w:ascii="Arial" w:cs="Arial" w:eastAsia="Arial" w:hAnsi="Arial"/>
                <w:sz w:val="18"/>
                <w:szCs w:val="18"/>
                <w:color w:val="auto"/>
                <w:w w:val="92"/>
              </w:rPr>
              <w:t>Weighted-</w:t>
            </w:r>
          </w:p>
        </w:tc>
        <w:tc>
          <w:tcPr>
            <w:tcW w:w="0" w:type="dxa"/>
            <w:vAlign w:val="bottom"/>
          </w:tcPr>
          <w:p>
            <w:pPr>
              <w:spacing w:after="0"/>
              <w:rPr>
                <w:sz w:val="1"/>
                <w:szCs w:val="1"/>
                <w:color w:val="auto"/>
              </w:rPr>
            </w:pPr>
          </w:p>
        </w:tc>
      </w:tr>
      <w:tr>
        <w:trPr>
          <w:trHeight w:val="188"/>
        </w:trPr>
        <w:tc>
          <w:tcPr>
            <w:tcW w:w="3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center"/>
              <w:spacing w:after="0" w:line="189" w:lineRule="exact"/>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820" w:type="dxa"/>
            <w:vAlign w:val="bottom"/>
          </w:tcPr>
          <w:p>
            <w:pPr>
              <w:spacing w:after="0"/>
              <w:rPr>
                <w:sz w:val="15"/>
                <w:szCs w:val="15"/>
                <w:color w:val="auto"/>
              </w:rPr>
            </w:pPr>
          </w:p>
        </w:tc>
        <w:tc>
          <w:tcPr>
            <w:tcW w:w="1300" w:type="dxa"/>
            <w:vAlign w:val="bottom"/>
            <w:vMerge w:val="restart"/>
          </w:tcPr>
          <w:p>
            <w:pPr>
              <w:jc w:val="right"/>
              <w:ind w:right="170"/>
              <w:spacing w:after="0"/>
              <w:rPr>
                <w:sz w:val="20"/>
                <w:szCs w:val="20"/>
                <w:color w:val="auto"/>
              </w:rPr>
            </w:pPr>
            <w:r>
              <w:rPr>
                <w:rFonts w:ascii="Arial" w:cs="Arial" w:eastAsia="Arial" w:hAnsi="Arial"/>
                <w:sz w:val="18"/>
                <w:szCs w:val="18"/>
                <w:color w:val="auto"/>
              </w:rPr>
              <w:t>Number of</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90"/>
              </w:rPr>
              <w:t>Weighted-</w:t>
            </w:r>
          </w:p>
        </w:tc>
        <w:tc>
          <w:tcPr>
            <w:tcW w:w="100" w:type="dxa"/>
            <w:vAlign w:val="bottom"/>
          </w:tcPr>
          <w:p>
            <w:pPr>
              <w:spacing w:after="0"/>
              <w:rPr>
                <w:sz w:val="15"/>
                <w:szCs w:val="15"/>
                <w:color w:val="auto"/>
              </w:rPr>
            </w:pPr>
          </w:p>
        </w:tc>
        <w:tc>
          <w:tcPr>
            <w:tcW w:w="1320" w:type="dxa"/>
            <w:vAlign w:val="bottom"/>
          </w:tcPr>
          <w:p>
            <w:pPr>
              <w:jc w:val="center"/>
              <w:spacing w:after="0" w:line="176" w:lineRule="exact"/>
              <w:rPr>
                <w:sz w:val="20"/>
                <w:szCs w:val="20"/>
                <w:color w:val="auto"/>
              </w:rPr>
            </w:pPr>
            <w:r>
              <w:rPr>
                <w:rFonts w:ascii="Arial" w:cs="Arial" w:eastAsia="Arial" w:hAnsi="Arial"/>
                <w:sz w:val="18"/>
                <w:szCs w:val="18"/>
                <w:color w:val="auto"/>
                <w:w w:val="92"/>
              </w:rPr>
              <w:t>Remaining</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86"/>
              </w:rPr>
              <w:t>Average</w:t>
            </w:r>
          </w:p>
        </w:tc>
        <w:tc>
          <w:tcPr>
            <w:tcW w:w="100" w:type="dxa"/>
            <w:vAlign w:val="bottom"/>
          </w:tcPr>
          <w:p>
            <w:pPr>
              <w:spacing w:after="0"/>
              <w:rPr>
                <w:sz w:val="15"/>
                <w:szCs w:val="15"/>
                <w:color w:val="auto"/>
              </w:rPr>
            </w:pPr>
          </w:p>
        </w:tc>
        <w:tc>
          <w:tcPr>
            <w:tcW w:w="1320" w:type="dxa"/>
            <w:vAlign w:val="bottom"/>
          </w:tcPr>
          <w:p>
            <w:pPr>
              <w:jc w:val="center"/>
              <w:spacing w:after="0" w:line="176" w:lineRule="exact"/>
              <w:rPr>
                <w:sz w:val="20"/>
                <w:szCs w:val="20"/>
                <w:color w:val="auto"/>
              </w:rPr>
            </w:pPr>
            <w:r>
              <w:rPr>
                <w:rFonts w:ascii="Arial" w:cs="Arial" w:eastAsia="Arial" w:hAnsi="Arial"/>
                <w:sz w:val="18"/>
                <w:szCs w:val="18"/>
                <w:color w:val="auto"/>
                <w:w w:val="91"/>
              </w:rPr>
              <w:t>Contractual</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90"/>
              </w:rPr>
              <w:t>Grant Date</w:t>
            </w:r>
          </w:p>
        </w:tc>
        <w:tc>
          <w:tcPr>
            <w:tcW w:w="0" w:type="dxa"/>
            <w:vAlign w:val="bottom"/>
          </w:tcPr>
          <w:p>
            <w:pPr>
              <w:spacing w:after="0"/>
              <w:rPr>
                <w:sz w:val="1"/>
                <w:szCs w:val="1"/>
                <w:color w:val="auto"/>
              </w:rPr>
            </w:pPr>
          </w:p>
        </w:tc>
      </w:tr>
      <w:tr>
        <w:trPr>
          <w:trHeight w:val="250"/>
        </w:trPr>
        <w:tc>
          <w:tcPr>
            <w:tcW w:w="382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Options</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8"/>
              </w:rPr>
              <w:t>Exercise Price</w:t>
            </w:r>
          </w:p>
        </w:tc>
        <w:tc>
          <w:tcPr>
            <w:tcW w:w="10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Term (Years)</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0"/>
              </w:rPr>
              <w:t>Fair Value</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2022</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711,050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(11,250)</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14.07</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June 30, 2023</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632,550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June 30, 2023</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531,300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Units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RSUs granted under the Plans to the Company’s employees generally vest in four equal annual installments beginning one year after the date set forth in the applicable grant agreement, while RSUs issued to the Company’s independent directors vest on the one-year anniversary from the grant date. The Company recognized compensation expense for RSUs of approximately $0.7 million and $0.5 million for the three months ended June 30, 2023 and 2022, respectively, and $1.3 million and $0.8 million for the six months ended June 30, 2023 and 2022, respectively, which are included in salaries and benefits in the condensed consolidated statements of income and comprehensive income. As of June 30, 2023, unrecognized compensation expense related to RSUs of approximately $6.7 million is expected to be recognized over a weighted-average period of 1.9 years.</w:t>
      </w:r>
    </w:p>
    <w:p>
      <w:pPr>
        <w:sectPr>
          <w:pgSz w:w="11900" w:h="16838" w:orient="portrait"/>
          <w:cols w:equalWidth="0" w:num="1">
            <w:col w:w="11240"/>
          </w:cols>
          <w:pgMar w:left="320" w:top="125" w:right="339" w:bottom="1440" w:gutter="0" w:footer="0" w:header="0"/>
        </w:sectPr>
      </w:pP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A summary of RSU activity during the six months ended June 30, 2023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586740</wp:posOffset>
            </wp:positionV>
            <wp:extent cx="5983605" cy="162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83605"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Outstanding (nonvested) at December 31, 2022</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Granted</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5983605"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83605" cy="1460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Vested</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98360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83605" cy="17145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Outstanding (nonvested) at June 30,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110"/>
              <w:spacing w:after="0"/>
              <w:rPr>
                <w:sz w:val="20"/>
                <w:szCs w:val="20"/>
                <w:color w:val="auto"/>
              </w:rPr>
            </w:pPr>
            <w:r>
              <w:rPr>
                <w:rFonts w:ascii="Arial" w:cs="Arial" w:eastAsia="Arial" w:hAnsi="Arial"/>
                <w:sz w:val="18"/>
                <w:szCs w:val="18"/>
                <w:color w:val="auto"/>
                <w:w w:val="90"/>
              </w:rPr>
              <w:t>Weighted-</w:t>
            </w:r>
          </w:p>
        </w:tc>
        <w:tc>
          <w:tcPr>
            <w:tcW w:w="0" w:type="dxa"/>
            <w:vAlign w:val="bottom"/>
          </w:tcPr>
          <w:p>
            <w:pPr>
              <w:spacing w:after="0"/>
              <w:rPr>
                <w:sz w:val="1"/>
                <w:szCs w:val="1"/>
                <w:color w:val="auto"/>
              </w:rPr>
            </w:pPr>
          </w:p>
        </w:tc>
      </w:tr>
      <w:tr>
        <w:trPr>
          <w:trHeight w:val="176"/>
        </w:trPr>
        <w:tc>
          <w:tcPr>
            <w:tcW w:w="1320" w:type="dxa"/>
            <w:vAlign w:val="bottom"/>
            <w:vMerge w:val="restart"/>
          </w:tcPr>
          <w:p>
            <w:pPr>
              <w:jc w:val="right"/>
              <w:spacing w:after="0"/>
              <w:rPr>
                <w:sz w:val="20"/>
                <w:szCs w:val="20"/>
                <w:color w:val="auto"/>
              </w:rPr>
            </w:pPr>
            <w:r>
              <w:rPr>
                <w:rFonts w:ascii="Arial" w:cs="Arial" w:eastAsia="Arial" w:hAnsi="Arial"/>
                <w:sz w:val="18"/>
                <w:szCs w:val="18"/>
                <w:color w:val="auto"/>
                <w:w w:val="92"/>
              </w:rPr>
              <w:t>Number of RSUs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37"/>
        </w:trPr>
        <w:tc>
          <w:tcPr>
            <w:tcW w:w="13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0"/>
              </w:rPr>
              <w:t>Grant Price</w:t>
            </w:r>
          </w:p>
        </w:tc>
        <w:tc>
          <w:tcPr>
            <w:tcW w:w="0" w:type="dxa"/>
            <w:vAlign w:val="bottom"/>
          </w:tcPr>
          <w:p>
            <w:pPr>
              <w:spacing w:after="0"/>
              <w:rPr>
                <w:sz w:val="1"/>
                <w:szCs w:val="1"/>
                <w:color w:val="auto"/>
              </w:rPr>
            </w:pPr>
          </w:p>
        </w:tc>
      </w:tr>
      <w:tr>
        <w:trPr>
          <w:trHeight w:val="230"/>
        </w:trPr>
        <w:tc>
          <w:tcPr>
            <w:tcW w:w="1320" w:type="dxa"/>
            <w:vAlign w:val="bottom"/>
          </w:tcPr>
          <w:p>
            <w:pPr>
              <w:jc w:val="right"/>
              <w:spacing w:after="0"/>
              <w:rPr>
                <w:sz w:val="20"/>
                <w:szCs w:val="20"/>
                <w:color w:val="auto"/>
              </w:rPr>
            </w:pPr>
            <w:r>
              <w:rPr>
                <w:rFonts w:ascii="Arial" w:cs="Arial" w:eastAsia="Arial" w:hAnsi="Arial"/>
                <w:sz w:val="18"/>
                <w:szCs w:val="18"/>
                <w:color w:val="auto"/>
              </w:rPr>
              <w:t>316,902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241"/>
        </w:trPr>
        <w:tc>
          <w:tcPr>
            <w:tcW w:w="1320" w:type="dxa"/>
            <w:vAlign w:val="bottom"/>
          </w:tcPr>
          <w:p>
            <w:pPr>
              <w:jc w:val="right"/>
              <w:spacing w:after="0"/>
              <w:rPr>
                <w:sz w:val="20"/>
                <w:szCs w:val="20"/>
                <w:color w:val="auto"/>
              </w:rPr>
            </w:pPr>
            <w:r>
              <w:rPr>
                <w:rFonts w:ascii="Arial" w:cs="Arial" w:eastAsia="Arial" w:hAnsi="Arial"/>
                <w:sz w:val="18"/>
                <w:szCs w:val="18"/>
                <w:color w:val="auto"/>
              </w:rPr>
              <w:t>175,121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24.80</w:t>
            </w:r>
          </w:p>
        </w:tc>
        <w:tc>
          <w:tcPr>
            <w:tcW w:w="0" w:type="dxa"/>
            <w:vAlign w:val="bottom"/>
          </w:tcPr>
          <w:p>
            <w:pPr>
              <w:spacing w:after="0"/>
              <w:rPr>
                <w:sz w:val="1"/>
                <w:szCs w:val="1"/>
                <w:color w:val="auto"/>
              </w:rPr>
            </w:pPr>
          </w:p>
        </w:tc>
      </w:tr>
      <w:tr>
        <w:trPr>
          <w:trHeight w:val="230"/>
        </w:trPr>
        <w:tc>
          <w:tcPr>
            <w:tcW w:w="1320" w:type="dxa"/>
            <w:vAlign w:val="bottom"/>
          </w:tcPr>
          <w:p>
            <w:pPr>
              <w:jc w:val="right"/>
              <w:spacing w:after="0"/>
              <w:rPr>
                <w:sz w:val="20"/>
                <w:szCs w:val="20"/>
                <w:color w:val="auto"/>
              </w:rPr>
            </w:pPr>
            <w:r>
              <w:rPr>
                <w:rFonts w:ascii="Arial" w:cs="Arial" w:eastAsia="Arial" w:hAnsi="Arial"/>
                <w:sz w:val="18"/>
                <w:szCs w:val="18"/>
                <w:color w:val="auto"/>
              </w:rPr>
              <w:t>(101,700)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r>
        <w:trPr>
          <w:trHeight w:val="251"/>
        </w:trPr>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(17,319)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19.40</w:t>
            </w:r>
          </w:p>
        </w:tc>
        <w:tc>
          <w:tcPr>
            <w:tcW w:w="0" w:type="dxa"/>
            <w:vAlign w:val="bottom"/>
          </w:tcPr>
          <w:p>
            <w:pPr>
              <w:spacing w:after="0"/>
              <w:rPr>
                <w:sz w:val="1"/>
                <w:szCs w:val="1"/>
                <w:color w:val="auto"/>
              </w:rPr>
            </w:pPr>
          </w:p>
        </w:tc>
      </w:tr>
      <w:tr>
        <w:trPr>
          <w:trHeight w:val="230"/>
        </w:trPr>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373,004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0"/>
        </w:trPr>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ectPr>
          <w:pgSz w:w="11900" w:h="16838" w:orient="portrait"/>
          <w:cols w:equalWidth="0" w:num="2">
            <w:col w:w="6580" w:space="80"/>
            <w:col w:w="4580"/>
          </w:cols>
          <w:pgMar w:left="320" w:top="125" w:right="339" w:bottom="1440" w:gutter="0" w:footer="0" w:header="0"/>
          <w:type w:val="continuous"/>
        </w:sectPr>
      </w:pPr>
    </w:p>
    <w:p>
      <w:pPr>
        <w:ind w:right="2340" w:firstLine="8"/>
        <w:spacing w:after="0" w:line="563" w:lineRule="auto"/>
        <w:tabs>
          <w:tab w:leader="none" w:pos="166"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 xml:space="preserve">The aggregate fair value of all RSUs granted during the six months ended June 30, 2023 was approximately $4.3 million. </w:t>
      </w:r>
      <w:r>
        <w:rPr>
          <w:rFonts w:ascii="Arial" w:cs="Arial" w:eastAsia="Arial" w:hAnsi="Arial"/>
          <w:sz w:val="15"/>
          <w:szCs w:val="15"/>
          <w:u w:val="single" w:color="auto"/>
          <w:color w:val="auto"/>
        </w:rPr>
        <w:t>Share Awards</w:t>
      </w:r>
    </w:p>
    <w:p>
      <w:pPr>
        <w:spacing w:after="0" w:line="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Lead Independent Director and Chairs of the Committees of the Board of Directors are granted, in aggregate, $80.5 thousand in awards of fully vested shares of the Company’s common stock, payable on a quarterly basis at the end of each quarter in payment of fees earned in such capacities. During the three and six months ended June 30, 2023, 781 and 1,607 fully vested shares, respectively, were granted to the Lead Independent Director and Chairs of the Committees of the Board of Directors resulting in compensation expense of $20.1 thousand and $40.3 thousand, respectively, recorded and included in salaries and benefits in the condensed consolidated statements of income and comprehensive income.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Awards</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RSAs issued under the Plans to the Company’s employees generally vest in four equal annual installments beginning one year after the date set forth in the applicable grant agreement. The Company recognized compensation expense for RSAs granted of $0.4 million and $0.2 million for the three months ended June 30, 2023 and 2022, respectively, and $0.6 million and $0.3 million for the six months ended June 30, 2023 and 2022, respectively, which are included in salaries and benefits in the condensed consolidated statements of income and comprehensive income. As of June 30, 2023, there was $3.4 million of unrecognized compensation expense related to RSAs, which is expected to be recognized over a weighted-average period of 2.0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 summary of RSA activity during the six months ended June 30, 2023 is presented below:</w:t>
      </w:r>
    </w:p>
    <w:p>
      <w:pPr>
        <w:spacing w:after="0" w:line="30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6660" w:type="dxa"/>
            <w:vAlign w:val="bottom"/>
            <w:gridSpan w:val="2"/>
          </w:tcPr>
          <w:p>
            <w:pPr>
              <w:spacing w:after="0"/>
              <w:rPr>
                <w:sz w:val="20"/>
                <w:szCs w:val="20"/>
                <w:color w:val="auto"/>
              </w:rPr>
            </w:pPr>
            <w:r>
              <w:rPr>
                <w:rFonts w:ascii="Arial" w:cs="Arial" w:eastAsia="Arial" w:hAnsi="Arial"/>
                <w:sz w:val="18"/>
                <w:szCs w:val="18"/>
                <w:i w:val="1"/>
                <w:iCs w:val="1"/>
                <w:color w:val="0000FF"/>
              </w:rPr>
              <w:t>Index</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493"/>
        </w:trPr>
        <w:tc>
          <w:tcPr>
            <w:tcW w:w="400" w:type="dxa"/>
            <w:vAlign w:val="bottom"/>
            <w:tcBorders>
              <w:top w:val="single" w:sz="8" w:color="0000FF"/>
            </w:tcBorders>
          </w:tcPr>
          <w:p>
            <w:pPr>
              <w:spacing w:after="0"/>
              <w:rPr>
                <w:sz w:val="24"/>
                <w:szCs w:val="24"/>
                <w:color w:val="auto"/>
              </w:rPr>
            </w:pPr>
          </w:p>
        </w:tc>
        <w:tc>
          <w:tcPr>
            <w:tcW w:w="6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center"/>
              <w:ind w:right="110"/>
              <w:spacing w:after="0"/>
              <w:rPr>
                <w:sz w:val="20"/>
                <w:szCs w:val="20"/>
                <w:color w:val="auto"/>
              </w:rPr>
            </w:pPr>
            <w:r>
              <w:rPr>
                <w:rFonts w:ascii="Arial" w:cs="Arial" w:eastAsia="Arial" w:hAnsi="Arial"/>
                <w:sz w:val="18"/>
                <w:szCs w:val="18"/>
                <w:color w:val="auto"/>
                <w:w w:val="90"/>
              </w:rPr>
              <w:t>Weighted-</w:t>
            </w:r>
          </w:p>
        </w:tc>
      </w:tr>
      <w:tr>
        <w:trPr>
          <w:trHeight w:val="188"/>
        </w:trPr>
        <w:tc>
          <w:tcPr>
            <w:tcW w:w="40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90"/>
              <w:spacing w:after="0" w:line="189" w:lineRule="exact"/>
              <w:rPr>
                <w:sz w:val="20"/>
                <w:szCs w:val="20"/>
                <w:color w:val="auto"/>
              </w:rPr>
            </w:pPr>
            <w:r>
              <w:rPr>
                <w:rFonts w:ascii="Arial" w:cs="Arial" w:eastAsia="Arial" w:hAnsi="Arial"/>
                <w:sz w:val="18"/>
                <w:szCs w:val="18"/>
                <w:color w:val="auto"/>
                <w:w w:val="89"/>
              </w:rPr>
              <w:t>Average</w:t>
            </w:r>
          </w:p>
        </w:tc>
      </w:tr>
      <w:tr>
        <w:trPr>
          <w:trHeight w:val="237"/>
        </w:trPr>
        <w:tc>
          <w:tcPr>
            <w:tcW w:w="400" w:type="dxa"/>
            <w:vAlign w:val="bottom"/>
            <w:tcBorders>
              <w:bottom w:val="single" w:sz="8" w:color="CCEEFF"/>
            </w:tcBorders>
          </w:tcPr>
          <w:p>
            <w:pPr>
              <w:spacing w:after="0"/>
              <w:rPr>
                <w:sz w:val="20"/>
                <w:szCs w:val="20"/>
                <w:color w:val="auto"/>
              </w:rPr>
            </w:pPr>
          </w:p>
        </w:tc>
        <w:tc>
          <w:tcPr>
            <w:tcW w:w="626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Number of RSAs</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0"/>
              </w:rPr>
              <w:t>Grant Price</w:t>
            </w:r>
          </w:p>
        </w:tc>
      </w:tr>
      <w:tr>
        <w:trPr>
          <w:trHeight w:val="230"/>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(nonvested) at December 31, 2022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w:t>
            </w:r>
          </w:p>
        </w:tc>
      </w:tr>
      <w:tr>
        <w:trPr>
          <w:trHeight w:val="243"/>
        </w:trPr>
        <w:tc>
          <w:tcPr>
            <w:tcW w:w="6660" w:type="dxa"/>
            <w:vAlign w:val="bottom"/>
            <w:gridSpan w:val="2"/>
          </w:tcPr>
          <w:p>
            <w:pPr>
              <w:ind w:left="20"/>
              <w:spacing w:after="0" w:line="243" w:lineRule="exact"/>
              <w:rPr>
                <w:sz w:val="20"/>
                <w:szCs w:val="20"/>
                <w:color w:val="auto"/>
              </w:rPr>
            </w:pPr>
            <w:r>
              <w:rPr>
                <w:rFonts w:ascii="Arial" w:cs="Arial" w:eastAsia="Arial" w:hAnsi="Arial"/>
                <w:sz w:val="18"/>
                <w:szCs w:val="18"/>
                <w:color w:val="auto"/>
              </w:rPr>
              <w:t>Granted</w:t>
            </w:r>
            <w:r>
              <w:rPr>
                <w:rFonts w:ascii="Arial" w:cs="Arial" w:eastAsia="Arial" w:hAnsi="Arial"/>
                <w:sz w:val="23"/>
                <w:szCs w:val="23"/>
                <w:color w:val="auto"/>
                <w:vertAlign w:val="superscript"/>
              </w:rPr>
              <w:t>(1)</w:t>
            </w:r>
          </w:p>
        </w:tc>
        <w:tc>
          <w:tcPr>
            <w:tcW w:w="1320" w:type="dxa"/>
            <w:vAlign w:val="bottom"/>
          </w:tcPr>
          <w:p>
            <w:pPr>
              <w:jc w:val="right"/>
              <w:spacing w:after="0"/>
              <w:rPr>
                <w:sz w:val="20"/>
                <w:szCs w:val="20"/>
                <w:color w:val="auto"/>
              </w:rPr>
            </w:pPr>
            <w:r>
              <w:rPr>
                <w:rFonts w:ascii="Arial" w:cs="Arial" w:eastAsia="Arial" w:hAnsi="Arial"/>
                <w:sz w:val="18"/>
                <w:szCs w:val="18"/>
                <w:color w:val="auto"/>
              </w:rPr>
              <w:t>80,402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25.68</w:t>
            </w:r>
          </w:p>
        </w:tc>
      </w:tr>
      <w:tr>
        <w:trPr>
          <w:trHeight w:val="230"/>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(47,984)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w:t>
            </w:r>
          </w:p>
        </w:tc>
      </w:tr>
      <w:tr>
        <w:trPr>
          <w:trHeight w:val="236"/>
        </w:trPr>
        <w:tc>
          <w:tcPr>
            <w:tcW w:w="6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r>
      <w:tr>
        <w:trPr>
          <w:trHeight w:val="268"/>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(nonvested) at June 30, 2023</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191,980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19.53</w:t>
            </w: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62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bl>
    <w:p>
      <w:pPr>
        <w:spacing w:after="0" w:line="67" w:lineRule="exact"/>
        <w:rPr>
          <w:sz w:val="20"/>
          <w:szCs w:val="20"/>
          <w:color w:val="auto"/>
        </w:rPr>
      </w:pPr>
    </w:p>
    <w:p>
      <w:pPr>
        <w:ind w:right="2340" w:firstLine="8"/>
        <w:spacing w:after="0" w:line="563" w:lineRule="auto"/>
        <w:tabs>
          <w:tab w:leader="none" w:pos="166" w:val="left"/>
        </w:tabs>
        <w:numPr>
          <w:ilvl w:val="0"/>
          <w:numId w:val="9"/>
        </w:numPr>
        <w:rPr>
          <w:rFonts w:ascii="Arial" w:cs="Arial" w:eastAsia="Arial" w:hAnsi="Arial"/>
          <w:sz w:val="19"/>
          <w:szCs w:val="19"/>
          <w:color w:val="auto"/>
          <w:vertAlign w:val="superscript"/>
        </w:rPr>
      </w:pPr>
      <w:r>
        <w:rPr>
          <w:rFonts w:ascii="Arial" w:cs="Arial" w:eastAsia="Arial" w:hAnsi="Arial"/>
          <w:sz w:val="15"/>
          <w:szCs w:val="15"/>
          <w:color w:val="auto"/>
        </w:rPr>
        <w:t xml:space="preserve">The aggregate fair value of all RSAs granted during the six months ended June 30, 2023 was approximately $2.1 million. </w:t>
      </w:r>
      <w:r>
        <w:rPr>
          <w:rFonts w:ascii="Arial" w:cs="Arial" w:eastAsia="Arial" w:hAnsi="Arial"/>
          <w:sz w:val="15"/>
          <w:szCs w:val="15"/>
          <w:u w:val="single" w:color="auto"/>
          <w:color w:val="auto"/>
        </w:rPr>
        <w:t>Performance Stock Units</w:t>
      </w:r>
    </w:p>
    <w:p>
      <w:pPr>
        <w:spacing w:after="0" w:line="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PSUs granted to the Company’s employees generally vest subject to attainment of performance criteria during the service period established by the Compensation Committee. Each PSU represents the right to receive one share of common stock, and the actual number of shares issuable upon vesting is determined based upon performance compared to financial performance targets. The PSUs vest based on the achievement of certain revenue or adjusted earnings per share parameters for a period of up to three years combined with a service period of three years. Compensation cost is recognized over the requisite service period when it is probable that the performance condition will be satisfied. During the third quarter of 2022, the Company reassessed the probability of vesting for PSU awards and determined that it was probable that a higher performance target will be achieved. Therefore, the Company recognized a cumulative catch-up adjustment of approximately $1.1 million as additional compensation expense for the three months ended September 30, 2022 (none in 2023). On February 28, 2023, the Compensation Committee determined that the higher performance target was achieved and approved the incremental grant of PSUs.</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recognized compensation expense for PSUs of $1.0 million and $0.5 million for the three months ended June 30, 2023 and 2022, respectively, and $1.8 million and $0.7 million for the six months ended June 30, 2023 and 2022, respectively, which are included in salaries and benefits in the condensed consolidated statements of income and comprehensive income. As of June 30, 2023, there was $5.7 million of unrecognized compensation expense related to PSUs, which is expected to be recognized over a weighted-average period of 1.9 years.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 summary of PSU activity during the six months ended June 30, 2023 is presented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Weighted-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center"/>
              <w:spacing w:after="0" w:line="176" w:lineRule="exact"/>
              <w:rPr>
                <w:sz w:val="20"/>
                <w:szCs w:val="20"/>
                <w:color w:val="auto"/>
              </w:rPr>
            </w:pPr>
            <w:r>
              <w:rPr>
                <w:rFonts w:ascii="Arial" w:cs="Arial" w:eastAsia="Arial" w:hAnsi="Arial"/>
                <w:sz w:val="18"/>
                <w:szCs w:val="18"/>
                <w:color w:val="auto"/>
                <w:w w:val="89"/>
              </w:rPr>
              <w:t>Average</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restart"/>
          </w:tcPr>
          <w:p>
            <w:pPr>
              <w:jc w:val="center"/>
              <w:ind w:right="110"/>
              <w:spacing w:after="0"/>
              <w:rPr>
                <w:sz w:val="20"/>
                <w:szCs w:val="20"/>
                <w:color w:val="auto"/>
              </w:rPr>
            </w:pPr>
            <w:r>
              <w:rPr>
                <w:rFonts w:ascii="Arial" w:cs="Arial" w:eastAsia="Arial" w:hAnsi="Arial"/>
                <w:sz w:val="18"/>
                <w:szCs w:val="18"/>
                <w:color w:val="auto"/>
                <w:w w:val="90"/>
              </w:rPr>
              <w:t>Weighted-</w:t>
            </w:r>
          </w:p>
        </w:tc>
        <w:tc>
          <w:tcPr>
            <w:tcW w:w="0" w:type="dxa"/>
            <w:vAlign w:val="bottom"/>
          </w:tcPr>
          <w:p>
            <w:pPr>
              <w:spacing w:after="0"/>
              <w:rPr>
                <w:sz w:val="1"/>
                <w:szCs w:val="1"/>
                <w:color w:val="auto"/>
              </w:rPr>
            </w:pPr>
          </w:p>
        </w:tc>
      </w:tr>
      <w:tr>
        <w:trPr>
          <w:trHeight w:val="175"/>
        </w:trPr>
        <w:tc>
          <w:tcPr>
            <w:tcW w:w="5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center"/>
              <w:spacing w:after="0" w:line="176" w:lineRule="exact"/>
              <w:rPr>
                <w:sz w:val="20"/>
                <w:szCs w:val="20"/>
                <w:color w:val="auto"/>
              </w:rPr>
            </w:pPr>
            <w:r>
              <w:rPr>
                <w:rFonts w:ascii="Arial" w:cs="Arial" w:eastAsia="Arial" w:hAnsi="Arial"/>
                <w:sz w:val="18"/>
                <w:szCs w:val="18"/>
                <w:color w:val="auto"/>
                <w:w w:val="90"/>
              </w:rPr>
              <w:t>Remaining</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spacing w:after="0" w:line="189" w:lineRule="exact"/>
              <w:rPr>
                <w:sz w:val="20"/>
                <w:szCs w:val="20"/>
                <w:color w:val="auto"/>
              </w:rPr>
            </w:pPr>
            <w:r>
              <w:rPr>
                <w:rFonts w:ascii="Arial" w:cs="Arial" w:eastAsia="Arial" w:hAnsi="Arial"/>
                <w:sz w:val="18"/>
                <w:szCs w:val="18"/>
                <w:color w:val="auto"/>
                <w:w w:val="91"/>
              </w:rPr>
              <w:t>Contractual</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90"/>
              <w:spacing w:after="0" w:line="189" w:lineRule="exact"/>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37"/>
        </w:trPr>
        <w:tc>
          <w:tcPr>
            <w:tcW w:w="524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Number of PSUs</w:t>
            </w:r>
          </w:p>
        </w:tc>
        <w:tc>
          <w:tcPr>
            <w:tcW w:w="1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Term (Years)</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0"/>
              </w:rPr>
              <w:t>Grant Price</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(nonvested) at December 31, 2022</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300,871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line="243" w:lineRule="exact"/>
              <w:rPr>
                <w:sz w:val="20"/>
                <w:szCs w:val="20"/>
                <w:color w:val="auto"/>
              </w:rPr>
            </w:pPr>
            <w:r>
              <w:rPr>
                <w:rFonts w:ascii="Arial" w:cs="Arial" w:eastAsia="Arial" w:hAnsi="Arial"/>
                <w:sz w:val="18"/>
                <w:szCs w:val="18"/>
                <w:color w:val="auto"/>
              </w:rPr>
              <w:t>Granted</w:t>
            </w:r>
            <w:r>
              <w:rPr>
                <w:rFonts w:ascii="Arial" w:cs="Arial" w:eastAsia="Arial" w:hAnsi="Arial"/>
                <w:sz w:val="23"/>
                <w:szCs w:val="23"/>
                <w:color w:val="auto"/>
                <w:vertAlign w:val="superscript"/>
              </w:rPr>
              <w:t>(1)</w:t>
            </w:r>
          </w:p>
        </w:tc>
        <w:tc>
          <w:tcPr>
            <w:tcW w:w="1300" w:type="dxa"/>
            <w:vAlign w:val="bottom"/>
          </w:tcPr>
          <w:p>
            <w:pPr>
              <w:jc w:val="right"/>
              <w:spacing w:after="0"/>
              <w:rPr>
                <w:sz w:val="20"/>
                <w:szCs w:val="20"/>
                <w:color w:val="auto"/>
              </w:rPr>
            </w:pPr>
            <w:r>
              <w:rPr>
                <w:rFonts w:ascii="Arial" w:cs="Arial" w:eastAsia="Arial" w:hAnsi="Arial"/>
                <w:sz w:val="18"/>
                <w:szCs w:val="18"/>
                <w:color w:val="auto"/>
              </w:rPr>
              <w:t>318,386</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19.49</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0"/>
                <w:szCs w:val="20"/>
                <w:color w:val="auto"/>
              </w:rPr>
            </w:pPr>
          </w:p>
        </w:tc>
        <w:tc>
          <w:tcPr>
            <w:tcW w:w="132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8"/>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(nonvested) at June 30, 2023</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619,257</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right="2340" w:firstLine="8"/>
        <w:spacing w:after="0" w:line="516" w:lineRule="auto"/>
        <w:tabs>
          <w:tab w:leader="none" w:pos="178" w:val="left"/>
        </w:tabs>
        <w:numPr>
          <w:ilvl w:val="0"/>
          <w:numId w:val="10"/>
        </w:numPr>
        <w:rPr>
          <w:rFonts w:ascii="Arial" w:cs="Arial" w:eastAsia="Arial" w:hAnsi="Arial"/>
          <w:sz w:val="20"/>
          <w:szCs w:val="20"/>
          <w:color w:val="auto"/>
          <w:vertAlign w:val="superscript"/>
        </w:rPr>
      </w:pPr>
      <w:r>
        <w:rPr>
          <w:rFonts w:ascii="Arial" w:cs="Arial" w:eastAsia="Arial" w:hAnsi="Arial"/>
          <w:sz w:val="16"/>
          <w:szCs w:val="16"/>
          <w:color w:val="auto"/>
        </w:rPr>
        <w:t>The aggregate fair value of all PSUs granted during the six months ended June 30, 2023 was approximately $6.2 million. NOTE 13 – EQUITY</w:t>
      </w:r>
    </w:p>
    <w:p>
      <w:pPr>
        <w:spacing w:after="0" w:line="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August 2021, the Company’s Board of Directors approved a stock repurchase program (the “Repurchase Program”) that authorizes the Company to purchase up to $40.0 million of outstanding shares of the Company’s common stock. On March 3, 2023 the Board of Directors approved an increase to the Repurchase Program that authorizes the Company to purchase an additional $100.0 million of its outstanding shares. Under the Repurchase Program, the Company is authorized to repurchase shares from time to time in accordance with applicable laws, both on the open market and in privately negotiated transactions and may include the use of derivative contracts or structured share repurchase agreements. The timing and amount of repurchases depends on several factors, including market and business conditions, the trading price of the Company’s common stock and the nature of other investment opportunities. The Repurchase Program may be limited, suspended or discontinued at any time without prior notice. The Repurchase Program does not have an expiration date. The A&amp;R Credit Agreement, as amended, permits the Company to make restricted payments (including share repurchases, among others), (i) without limitation so long as the Consolidated Leverage Ratio (as defined in the A&amp;R Credit Agreement, as amended), as of the then most recently completed four fiscal quarters of the Company, after giving pro forma effect to such restricted payments, is 2.25:1.00 or less, (ii) that do not exceed, in the aggregate during any fiscal year, the greater of (x) $23.8 million and (y) 25.00% of Consolidated EBITDA</w:t>
      </w:r>
    </w:p>
    <w:p>
      <w:pPr>
        <w:spacing w:after="0" w:line="1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defined in the A&amp;R Credit Agreement) for the then most recently completed four fiscal quarters of the Company and (iii) to repurchase Company common stock from current or former employees in an aggregate amount of up to $10.0 million per calendar year.</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accounts for purchases of treasury stock under the cost method. Any direct costs incurred to acquire treasury stock are considered stock issue costs and added to the cost of the treasury stock. On May 5, 2023, the Company entered into an agreement with SPC Intermex, LP, a related party, for the purchase of 500,000 shares of the Company’s common stock for a total purchase price of $12.6 million, in a privately-negotiated transaction. During the three and six months ended June 30, 2023, including the shares previously mentioned, the Company purchased 916,122 shares and 1,232,581 shares for an aggregate purchase price of $22.9 million and $30.5 million, respectively. During the three and six months ended June 30, 2022, the Company purchased 503,513 shares and 727,901 shares for an aggregate purchase price of $10.0 million and $13.6 million, respectively. As of June 30, 2023, there was $90.7 million available for future share repurchases under the Repurchase Program.</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NOTE 14 – EARNINGS PER SHARE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Basic earnings per share is calculated by dividing net income for the period by the weighted-average number of common shares outstanding for the period. In computing dilutive earnings per share, basic earnings per share is adjusted for the assumed issuance of all applicable potentially dilutive share-based awards, including common stock options, RSUs, RSAs and PSUs.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Below are basic and diluted earnings per share for the periods indicated (in thousands, except for share data):</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9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color w:val="auto"/>
                <w:w w:val="95"/>
              </w:rPr>
              <w:t>Three Months Ended June 30,</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color w:val="auto"/>
                <w:w w:val="99"/>
              </w:rPr>
              <w:t>Six Months Ended June 30,</w:t>
            </w:r>
          </w:p>
        </w:tc>
      </w:tr>
      <w:tr>
        <w:trPr>
          <w:trHeight w:val="250"/>
        </w:trPr>
        <w:tc>
          <w:tcPr>
            <w:tcW w:w="49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r>
      <w:tr>
        <w:trPr>
          <w:trHeight w:val="257"/>
        </w:trPr>
        <w:tc>
          <w:tcPr>
            <w:tcW w:w="4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37"/>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for basic and diluted earnings per common share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15,422</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15,984</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27,184</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27,638</w:t>
            </w:r>
          </w:p>
        </w:tc>
      </w:tr>
      <w:tr>
        <w:trPr>
          <w:trHeight w:val="257"/>
        </w:trPr>
        <w:tc>
          <w:tcPr>
            <w:tcW w:w="4940" w:type="dxa"/>
            <w:vAlign w:val="bottom"/>
            <w:tcBorders>
              <w:top w:val="single" w:sz="8" w:color="CCEEFF"/>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7"/>
        </w:trPr>
        <w:tc>
          <w:tcPr>
            <w:tcW w:w="494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 – basic</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36,001,670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38,257,156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36,239,997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38,309,295</w:t>
            </w:r>
          </w:p>
        </w:tc>
      </w:tr>
      <w:tr>
        <w:trPr>
          <w:trHeight w:val="23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30"/>
        </w:trPr>
        <w:tc>
          <w:tcPr>
            <w:tcW w:w="4940" w:type="dxa"/>
            <w:vAlign w:val="bottom"/>
          </w:tcPr>
          <w:p>
            <w:pPr>
              <w:ind w:left="140"/>
              <w:spacing w:after="0"/>
              <w:rPr>
                <w:sz w:val="20"/>
                <w:szCs w:val="20"/>
                <w:color w:val="auto"/>
              </w:rPr>
            </w:pPr>
            <w:r>
              <w:rPr>
                <w:rFonts w:ascii="Arial" w:cs="Arial" w:eastAsia="Arial" w:hAnsi="Arial"/>
                <w:sz w:val="18"/>
                <w:szCs w:val="18"/>
                <w:color w:val="auto"/>
              </w:rPr>
              <w:t>RSUs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122,030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111,918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131,335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86,988</w:t>
            </w:r>
          </w:p>
        </w:tc>
      </w:tr>
      <w:tr>
        <w:trPr>
          <w:trHeight w:val="243"/>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options</w:t>
            </w: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329,196</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713,109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332,531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631,525</w:t>
            </w:r>
          </w:p>
        </w:tc>
      </w:tr>
      <w:tr>
        <w:trPr>
          <w:trHeight w:val="230"/>
        </w:trPr>
        <w:tc>
          <w:tcPr>
            <w:tcW w:w="4940" w:type="dxa"/>
            <w:vAlign w:val="bottom"/>
          </w:tcPr>
          <w:p>
            <w:pPr>
              <w:ind w:left="140"/>
              <w:spacing w:after="0"/>
              <w:rPr>
                <w:sz w:val="20"/>
                <w:szCs w:val="20"/>
                <w:color w:val="auto"/>
              </w:rPr>
            </w:pPr>
            <w:r>
              <w:rPr>
                <w:rFonts w:ascii="Arial" w:cs="Arial" w:eastAsia="Arial" w:hAnsi="Arial"/>
                <w:sz w:val="18"/>
                <w:szCs w:val="18"/>
                <w:color w:val="auto"/>
              </w:rPr>
              <w:t>RSAs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52,046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45,064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61,626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35,500</w:t>
            </w:r>
          </w:p>
        </w:tc>
      </w:tr>
      <w:tr>
        <w:trPr>
          <w:trHeight w:val="249"/>
        </w:trPr>
        <w:tc>
          <w:tcPr>
            <w:tcW w:w="4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PSUs</w:t>
            </w: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366,732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101,744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89,731</w:t>
            </w:r>
          </w:p>
        </w:tc>
      </w:tr>
      <w:tr>
        <w:trPr>
          <w:trHeight w:val="224"/>
        </w:trPr>
        <w:tc>
          <w:tcPr>
            <w:tcW w:w="494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 – diluted</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36,871,674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39,228,991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37,115,490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39,153,039</w:t>
            </w:r>
          </w:p>
        </w:tc>
      </w:tr>
      <w:tr>
        <w:trPr>
          <w:trHeight w:val="249"/>
        </w:trPr>
        <w:tc>
          <w:tcPr>
            <w:tcW w:w="49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37"/>
        </w:trPr>
        <w:tc>
          <w:tcPr>
            <w:tcW w:w="4940" w:type="dxa"/>
            <w:vAlign w:val="bottom"/>
          </w:tcPr>
          <w:p>
            <w:pPr>
              <w:ind w:left="20"/>
              <w:spacing w:after="0"/>
              <w:rPr>
                <w:sz w:val="20"/>
                <w:szCs w:val="20"/>
                <w:color w:val="auto"/>
              </w:rPr>
            </w:pPr>
            <w:r>
              <w:rPr>
                <w:rFonts w:ascii="Arial" w:cs="Arial" w:eastAsia="Arial" w:hAnsi="Arial"/>
                <w:sz w:val="18"/>
                <w:szCs w:val="18"/>
                <w:color w:val="auto"/>
              </w:rPr>
              <w:t>Earnings per common share – 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0.43</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0.42</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0.75</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0.72</w:t>
            </w:r>
          </w:p>
        </w:tc>
      </w:tr>
      <w:tr>
        <w:trPr>
          <w:trHeight w:val="23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common share – diluted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2023, there were 111.9 thousand RSUs and 58.4 thousand RSAs excluded from the diluted earnings per share calculation because, under the treasury stock method, the inclusion of these would be anti-dilutive.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2022, there were 76.3 thousand stock options, 5.9 thousand RSUs and 131.2 thousand PSUs excluded from the diluted earnings per share calculation because, under the treasury stock method, the inclusion of these would be anti-dilutive.</w:t>
      </w:r>
    </w:p>
    <w:p>
      <w:pPr>
        <w:spacing w:after="0" w:line="19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As discussed in Note 13, the Company repurchased 916,122 shares and 1,232,581 shares of its common stock in the three and six months ended June 30, 2023, respectively. The effect of these repurchases on the Company’s weighted-average shares outstanding for the three and six months ended June 30, 2023 was a reduction of 737,711 shares and 464,658 shares, respectively, due to the timing of the repurchases.</w:t>
      </w:r>
    </w:p>
    <w:p>
      <w:pPr>
        <w:spacing w:after="0" w:line="200" w:lineRule="exact"/>
        <w:rPr>
          <w:sz w:val="20"/>
          <w:szCs w:val="20"/>
          <w:color w:val="auto"/>
        </w:rPr>
      </w:pPr>
    </w:p>
    <w:p>
      <w:pPr>
        <w:spacing w:after="0" w:line="26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NOTE 15 – INCOME TAXES</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 reconciliation between the income tax provision at the U.S. statutory tax rate and the Company’s income tax provision on the condensed consolidated statements of income and comprehensive income is below (in thousands, except for tax rates):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20" w:type="dxa"/>
            <w:vAlign w:val="bottom"/>
            <w:gridSpan w:val="4"/>
          </w:tcPr>
          <w:p>
            <w:pPr>
              <w:jc w:val="right"/>
              <w:ind w:right="790"/>
              <w:spacing w:after="0"/>
              <w:rPr>
                <w:sz w:val="20"/>
                <w:szCs w:val="20"/>
                <w:color w:val="auto"/>
              </w:rPr>
            </w:pPr>
            <w:r>
              <w:rPr>
                <w:rFonts w:ascii="Arial" w:cs="Arial" w:eastAsia="Arial" w:hAnsi="Arial"/>
                <w:sz w:val="18"/>
                <w:szCs w:val="18"/>
                <w:color w:val="auto"/>
              </w:rPr>
              <w:t>Three Months Ended</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00" w:type="dxa"/>
            <w:vAlign w:val="bottom"/>
            <w:gridSpan w:val="4"/>
          </w:tcPr>
          <w:p>
            <w:pPr>
              <w:jc w:val="right"/>
              <w:ind w:right="870"/>
              <w:spacing w:after="0"/>
              <w:rPr>
                <w:sz w:val="20"/>
                <w:szCs w:val="20"/>
                <w:color w:val="auto"/>
              </w:rPr>
            </w:pPr>
            <w:r>
              <w:rPr>
                <w:rFonts w:ascii="Arial" w:cs="Arial" w:eastAsia="Arial" w:hAnsi="Arial"/>
                <w:sz w:val="18"/>
                <w:szCs w:val="18"/>
                <w:color w:val="auto"/>
              </w:rPr>
              <w:t>Six Months Ended</w:t>
            </w:r>
          </w:p>
        </w:tc>
      </w:tr>
      <w:tr>
        <w:trPr>
          <w:trHeight w:val="250"/>
        </w:trPr>
        <w:tc>
          <w:tcPr>
            <w:tcW w:w="46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rPr>
              <w:t>June 30,</w:t>
            </w:r>
          </w:p>
        </w:tc>
        <w:tc>
          <w:tcPr>
            <w:tcW w:w="11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rPr>
              <w:t>June 30,</w:t>
            </w:r>
          </w:p>
        </w:tc>
        <w:tc>
          <w:tcPr>
            <w:tcW w:w="1140" w:type="dxa"/>
            <w:vAlign w:val="bottom"/>
            <w:tcBorders>
              <w:bottom w:val="single" w:sz="8" w:color="auto"/>
            </w:tcBorders>
          </w:tcPr>
          <w:p>
            <w:pPr>
              <w:spacing w:after="0"/>
              <w:rPr>
                <w:sz w:val="21"/>
                <w:szCs w:val="21"/>
                <w:color w:val="auto"/>
              </w:rPr>
            </w:pPr>
          </w:p>
        </w:tc>
      </w:tr>
      <w:tr>
        <w:trPr>
          <w:trHeight w:val="237"/>
        </w:trPr>
        <w:tc>
          <w:tcPr>
            <w:tcW w:w="46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2022</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2022</w:t>
            </w: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22,091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22,095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38,739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38,254</w:t>
            </w:r>
          </w:p>
        </w:tc>
      </w:tr>
      <w:tr>
        <w:trPr>
          <w:trHeight w:val="250"/>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U.S statutory tax rate</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at statutory rate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4,639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4,640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8,135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8,033</w:t>
            </w:r>
          </w:p>
        </w:tc>
      </w:tr>
      <w:tr>
        <w:trPr>
          <w:trHeight w:val="256"/>
        </w:trPr>
        <w:tc>
          <w:tcPr>
            <w:tcW w:w="46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tax expense, net of federal benefit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1,741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1,369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3,055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2,353</w:t>
            </w: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Foreign tax rates different from U.S. statutory rate</w:t>
            </w:r>
          </w:p>
        </w:tc>
        <w:tc>
          <w:tcPr>
            <w:tcW w:w="360" w:type="dxa"/>
            <w:vAlign w:val="bottom"/>
          </w:tcPr>
          <w:p>
            <w:pPr>
              <w:spacing w:after="0"/>
              <w:rPr>
                <w:sz w:val="19"/>
                <w:szCs w:val="19"/>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45</w:t>
            </w:r>
          </w:p>
        </w:tc>
      </w:tr>
      <w:tr>
        <w:trPr>
          <w:trHeight w:val="24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expenses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357</w:t>
            </w: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360" w:type="dxa"/>
            <w:vAlign w:val="bottom"/>
          </w:tcPr>
          <w:p>
            <w:pPr>
              <w:spacing w:after="0"/>
              <w:rPr>
                <w:sz w:val="19"/>
                <w:szCs w:val="19"/>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(61)</w:t>
            </w: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(111)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(111)</w:t>
            </w:r>
          </w:p>
        </w:tc>
      </w:tr>
      <w:tr>
        <w:trPr>
          <w:trHeight w:val="230"/>
        </w:trPr>
        <w:tc>
          <w:tcPr>
            <w:tcW w:w="4620" w:type="dxa"/>
            <w:vAlign w:val="bottom"/>
          </w:tcPr>
          <w:p>
            <w:pPr>
              <w:ind w:left="140"/>
              <w:spacing w:after="0"/>
              <w:rPr>
                <w:sz w:val="20"/>
                <w:szCs w:val="20"/>
                <w:color w:val="auto"/>
              </w:rPr>
            </w:pPr>
            <w:r>
              <w:rPr>
                <w:rFonts w:ascii="Arial" w:cs="Arial" w:eastAsia="Arial" w:hAnsi="Arial"/>
                <w:sz w:val="18"/>
                <w:szCs w:val="18"/>
                <w:color w:val="auto"/>
              </w:rPr>
              <w:t>Total income tax provision</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6,669</w:t>
            </w:r>
          </w:p>
        </w:tc>
        <w:tc>
          <w:tcPr>
            <w:tcW w:w="120" w:type="dxa"/>
            <w:vAlign w:val="bottom"/>
          </w:tcPr>
          <w:p>
            <w:pPr>
              <w:spacing w:after="0"/>
              <w:rPr>
                <w:sz w:val="20"/>
                <w:szCs w:val="20"/>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6,111</w:t>
            </w:r>
          </w:p>
        </w:tc>
        <w:tc>
          <w:tcPr>
            <w:tcW w:w="80" w:type="dxa"/>
            <w:vAlign w:val="bottom"/>
          </w:tcPr>
          <w:p>
            <w:pPr>
              <w:spacing w:after="0"/>
              <w:rPr>
                <w:sz w:val="20"/>
                <w:szCs w:val="20"/>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11,555</w:t>
            </w:r>
          </w:p>
        </w:tc>
        <w:tc>
          <w:tcPr>
            <w:tcW w:w="100" w:type="dxa"/>
            <w:vAlign w:val="bottom"/>
          </w:tcPr>
          <w:p>
            <w:pPr>
              <w:spacing w:after="0"/>
              <w:rPr>
                <w:sz w:val="20"/>
                <w:szCs w:val="20"/>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10,616</w:t>
            </w:r>
          </w:p>
        </w:tc>
      </w:tr>
      <w:tr>
        <w:trPr>
          <w:trHeight w:val="20"/>
        </w:trPr>
        <w:tc>
          <w:tcPr>
            <w:tcW w:w="4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income tax rates for interim periods are based upon our current estimated annual rate. The Company’s effective income tax rate varies based upon an estimate of taxable earnings as well as on the mix of taxable earnings in the various states and countries in which we operate. Changes in the annual allocation and apportionment of the Company’s activity among these jurisdictions results in changes to the effective rate utilized to measure the Company’s deferred tax assets and liabilities.</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income tax provision includes the expected benefit of all deferred tax assets, including our net operating loss carryforwards. With few exceptions, our U.S federal and state net operating loss carryforwards will expire from 2039 through 2042 and our foreign net operating losses will not expire. After consideration of all evidence, both positive and negative, management has determined that no valuation allowance is required at June 30, 2023 on the Company’s U.S. federal or state deferred tax assets; however, a valuation allowance has been recorded at June 30, 2023 on deferred tax assets associated with Canadian, Spanish, Italian, German and Dutch net operating loss carryforwards. Utilization of the Company's net operating loss carryforwards is subject to limitation under Internal Revenue Code Section 382 and similar tax provisions in the foreign jurisdictions in which we operate.</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presented in the income tax reconciliation above, the tax provision recognized on the condensed consolidated statements of income and comprehensive income was impacted by state taxes, non-deductible officer compensation and share-based compensation tax benefits, and foreign tax rates applicable to the Company’s foreign subsidiaries that are higher or lower than the U.S. statutory rate. Our effective state tax rate for the three and six months ended June 30, 2023 was higher than our effective state tax rate for the three and six ended June 30, 2022. The increase in our effective state tax rate is primarily a result of revenue from La Nacional earned during the three and six months ended June 30, 2023 which is sourced to states with relatively higher tax rates and from increases in non-deductible officer expenses.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NOTE 16 –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w:t>
      </w:r>
    </w:p>
    <w:p>
      <w:pPr>
        <w:spacing w:after="0" w:line="25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the ordinary course of business, the Company enters into leases for office space, warehouses and certain Company-operated store locations. Refer to Note 7 - Leases.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Contingencies and Legal Proceedings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subject to legal proceedings and claims that have arisen in the ordinary course of its business and have not been finally adjudicated. Although there can be no assurance as to the ultimate disposition of these matters, it is the opinion of the Company’s management, based upon the information available at this time and the stage of the proceedings, that it is not possible to determine the probability of loss or estimate of damages and, therefore, the Company has not established a reserve for any of these proceedings.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operates in all 50 states in the United States, two U.S. territories and seven other countries. Money transmitters and their agents are under regulation by state and federal laws. Violations may result in civil or criminal penalties or a prohibition from providing money transfer services in a particular jurisdiction. It is the opinion of the Company’s management, based on information available at this</w:t>
      </w:r>
    </w:p>
    <w:p>
      <w:pPr>
        <w:spacing w:after="0" w:line="2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time, that the expected outcome of regulatory examinations will not have a material adverse effect on either the results of operations or financial condition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Regulatory Requirements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applicable licensing laws, certain domestic subsidiaries of the Company are required to maintain minimum tangible net worth and liquid assets (permissible investments) to cover the amount outstanding of wire transfers and money orders payable. As of June 30, 2023, the Company’s subsidiaries were in compliance with these requirements.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This Management’s Discussion and Analysis of Financial Condition and Results of Operations (“MD&amp;A”) should be read in conjunction with our Unaudited Condensed Consolidated Financial Statements and related Notes included in this Quarterly Report on Form 10-Q, as well as our Audited Consolidated Financial Statements and related Notes and MD&amp;A included in our Annual Report on Form 10-K for the year ended December 31, 2022. This Quarterly Report on Form 10-Q contains forward-looking statements that involve risks and uncertainties. The forward-looking statements are not historical facts, but rather are based on current expectations, estimates, assumptions and projections about our industry, business and future financial results. Our actual results could differ materially from the results contemplated by these forward-looking statements due to a number of factors, including those discussed in other sections of this Quarterly Report on Form 10-Q, including “Risk Factors,” which are incorporated in the MD&amp;A by reference. See “Special Note Regarding Forward-Looking Statements” for additional factors relating to such statements, and see “Risk Factors” in the documents that we have filed with or furnished to the SEC for a discussion of certain risk factors applicable to our business, financial condition and results of operations. Past operating results are not necessarily indicative of operating results in any future periods.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are a leading omnichannel money remittance services company focused primarily on the United States of America (“United States” or “U.S.”) to Latin America and the Caribbean (“LAC”) corridor, which includes Mexico, Central and South America and the Caribbean. In recent years, we expanded our services to allow remittances to Africa and Asia from the United States and also began offering sending services from Canada to Latin America and Africa. Also, through the acquisition of LAN Holdings we now provide remittance services from Spain, Italy and Germany to Africa, Asia and Latin America. We utilize our proprietary technology to deliver convenient, reliable and value-added services to consumers through a broad network of sending and paying agents. Our remittance services, which include a comprehensive suite of ancillary financial processing solutions and payment services, are available in all 50 states in the U.S., Washington D.C., Puerto Rico and 13 provinces in Canada as well as in certain locations in Spain, Italy and Germany, where consumers can send money to beneficiaries in more than 60 countries in LAC, Africa and Asia. Our services are accessible in person through over 100,000 independent sending and paying agents and 124 Company-operated stores, as well as online and via Internet-enabled mobile devices. Additionally, our product and service portfolio include online payment options, pre-paid debit cards and direct deposit payroll cards, which may present different cost, demand, regulatory and risk profiles relative to our core money remittance business.</w:t>
      </w:r>
    </w:p>
    <w:p>
      <w:pPr>
        <w:spacing w:after="0" w:line="20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Money remittance services to LAC countries, mainly Mexico and Guatemala, are the primary source of our revenue. These services involve the movement of funds on behalf of an originating consumer for receipt by a designated beneficiary at a designated receiving location. Our remittances to LAC countries are primarily generated in the United States by consumers with roots in Latin American and Caribbean countries, many of whom do not have an existing relationship with a traditional full-service financial institution capable of providing the services we offer. We provide these consumers with flexibility and convenience to help them meet their financial needs. We believe many consumers who use our services may have access to traditional banking services, but prefer to use our services based on reliability, convenience and value. We generate money remittance revenue from fees paid by consumers (i.e., the senders of funds), which we share with our sending agents in the originating country and our paying agents in the destination country. Remittances paid in local currencies that are not pegged to the U.S. dollar, Canadian dollar or Euro can also generate revenue if we are successful in our daily management of currency exchange spreads.</w:t>
      </w:r>
    </w:p>
    <w:p>
      <w:pPr>
        <w:spacing w:after="0" w:line="20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money remittance services enable consumers to send funds through our broad network of locations in the United States. Canada, Spain, Italy and Germany that are primarily operated by third-party businesses, as well as through our Company-operated stores located in the United States, Canada, Spain, Italy and Germany. Transactions are processed and payment is collected by our agents (“sending agent(s)”) and those funds become available for pickup by the beneficiary at the designated destination, usually within minutes, at any Intermex payer location (“paying agent(s)”). We refer to our sending agents and our paying agents collectively as agents. In addition, our services are offered digitally through Intermexonline.com and via Internet-enabled mobile devices. For the six months ended June 30, 2023, we have grown our agent network by approximately 15.6% primarily due to the agents added as a result of the acquisition of LAN Holdings offset by the termination of low volume and unproductive sending agents. For the six months ended June 30, 2023, principal amount sent increased by approximately 20.8% to $11.7 billion, as compared to the same period in 2022, and total remittances processed were approximately 28.0 million, representing an increase of approximately 27.6%, as compared to the same period in 2022.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La Nacional and LAN Holdings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Effective November 1, 2022, the Company completed the acquisition of La Nacional and effective April 5, 2023, we completed the acquisition of LAN Holdings. See Note 2 in Item 1 Financial Statements for additional information regarding the acquisitions of La Nacional and LAN Holdings. The acquisitions of La Nacional and LAN Holdings strengthen the Company’s presence in the Dominican Republic, Europe and other key markets in Latin America, Africa and Asia.</w:t>
      </w:r>
    </w:p>
    <w:p>
      <w:pPr>
        <w:spacing w:after="0" w:line="26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and Trends Affecting our Business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Various trends and other factors have affected and may continue to affect our business, financial condition and operating results, including, but not limited to:</w:t>
      </w:r>
    </w:p>
    <w:p>
      <w:pPr>
        <w:spacing w:after="0" w:line="197" w:lineRule="exact"/>
        <w:rPr>
          <w:sz w:val="20"/>
          <w:szCs w:val="20"/>
          <w:color w:val="auto"/>
        </w:rPr>
      </w:pPr>
    </w:p>
    <w:p>
      <w:pPr>
        <w:ind w:left="900" w:right="140" w:hanging="244"/>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Company's ability to successfully execute, manage, integrate and obtain the anticipated financial benefits of key acquisitions and mergers, including the acquisitions of La Nacional and LAN Holdings;</w:t>
      </w:r>
    </w:p>
    <w:p>
      <w:pPr>
        <w:spacing w:after="0" w:line="62"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economic factors such as inflation, the level of economic activity, recession risks and labor market conditions, as well as rising interest rates;</w:t>
      </w:r>
    </w:p>
    <w:p>
      <w:pPr>
        <w:spacing w:after="0" w:line="140" w:lineRule="exact"/>
        <w:rPr>
          <w:rFonts w:ascii="Arial" w:cs="Arial" w:eastAsia="Arial" w:hAnsi="Arial"/>
          <w:sz w:val="16"/>
          <w:szCs w:val="16"/>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public health conditions, responses thereto and the economic and market effects thereof;</w:t>
      </w:r>
    </w:p>
    <w:p>
      <w:pPr>
        <w:spacing w:after="0" w:line="117"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competition in the markets in which we operate;</w:t>
      </w:r>
    </w:p>
    <w:p>
      <w:pPr>
        <w:spacing w:after="0" w:line="117" w:lineRule="exact"/>
        <w:rPr>
          <w:rFonts w:ascii="Arial" w:cs="Arial" w:eastAsia="Arial" w:hAnsi="Arial"/>
          <w:sz w:val="18"/>
          <w:szCs w:val="18"/>
          <w:color w:val="auto"/>
        </w:rPr>
      </w:pPr>
    </w:p>
    <w:p>
      <w:pPr>
        <w:ind w:left="900" w:right="380" w:hanging="244"/>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volatility in foreign exchange rates that could affect the volume of consumer remittance activity and/or affect our foreign exchange related gains and losses;</w:t>
      </w:r>
    </w:p>
    <w:p>
      <w:pPr>
        <w:spacing w:after="0" w:line="62"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favorable banking and agent relationships necessary to conduct our business;</w:t>
      </w:r>
    </w:p>
    <w:p>
      <w:pPr>
        <w:spacing w:after="0" w:line="117"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credit risks from our agents and the financial institutions with which we do business;</w:t>
      </w:r>
    </w:p>
    <w:p>
      <w:pPr>
        <w:spacing w:after="0" w:line="117"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bank failures, sustained financial illiquidity, or illiquidity at our clearing, cash management or custodial financial institutions;</w:t>
      </w:r>
    </w:p>
    <w:p>
      <w:pPr>
        <w:spacing w:after="0" w:line="117"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 technology or competitors that disrupt the current ecosystem, including the introduction of new digital platforms;</w:t>
      </w:r>
    </w:p>
    <w:p>
      <w:pPr>
        <w:spacing w:after="0" w:line="117"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cyber-attacks or disruptions to our information technology, computer network systems, data centers and mobile devices apps;</w:t>
      </w:r>
    </w:p>
    <w:p>
      <w:pPr>
        <w:spacing w:after="0" w:line="117"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satisfy our debt obligations and remain in compliance with our credit facility requirements;</w:t>
      </w:r>
    </w:p>
    <w:p>
      <w:pPr>
        <w:spacing w:after="0" w:line="117"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success in developing and introducing new products, services and infrastructure;</w:t>
      </w:r>
    </w:p>
    <w:p>
      <w:pPr>
        <w:spacing w:after="0" w:line="117"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consumer confidence in our brand and in consumer money transfers generally;</w:t>
      </w:r>
    </w:p>
    <w:p>
      <w:pPr>
        <w:spacing w:after="0" w:line="117"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compliance with applicable regulatory requirements;</w:t>
      </w:r>
    </w:p>
    <w:p>
      <w:pPr>
        <w:spacing w:after="0" w:line="117" w:lineRule="exact"/>
        <w:rPr>
          <w:rFonts w:ascii="Arial" w:cs="Arial" w:eastAsia="Arial" w:hAnsi="Arial"/>
          <w:sz w:val="18"/>
          <w:szCs w:val="18"/>
          <w:color w:val="auto"/>
        </w:rPr>
      </w:pPr>
    </w:p>
    <w:p>
      <w:pPr>
        <w:ind w:left="900" w:right="200" w:hanging="244"/>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international political factors, political stability, tariffs, border taxes or restrictions on remittances or transfers from the outbound countries in which we operate;</w:t>
      </w:r>
    </w:p>
    <w:p>
      <w:pPr>
        <w:spacing w:after="0" w:line="62"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currency restrictions and volatility in countries in which we operate or plan to operate;</w:t>
      </w:r>
    </w:p>
    <w:p>
      <w:pPr>
        <w:spacing w:after="0" w:line="117"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consumer fraud and other risks relating to the authenticity of customers’ orders;</w:t>
      </w:r>
    </w:p>
    <w:p>
      <w:pPr>
        <w:spacing w:after="0" w:line="117"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immigration laws and their enforcement;</w:t>
      </w:r>
    </w:p>
    <w:p>
      <w:pPr>
        <w:spacing w:after="0" w:line="117"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protect our brands and intellectual property rights;</w:t>
      </w:r>
    </w:p>
    <w:p>
      <w:pPr>
        <w:spacing w:after="0" w:line="117"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weakness in U.S. or international economic conditions;</w:t>
      </w:r>
    </w:p>
    <w:p>
      <w:pPr>
        <w:spacing w:after="0" w:line="117"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tax laws in the countries we operate; and</w:t>
      </w:r>
    </w:p>
    <w:p>
      <w:pPr>
        <w:spacing w:after="0" w:line="117"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recruit and retain key personnel.</w:t>
      </w:r>
    </w:p>
    <w:p>
      <w:pPr>
        <w:spacing w:after="0" w:line="36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Worldwide political and economic conditions in key Latin American markets, particularly Mexico, Guatemala and certain countries in South America, continue to exhibit instability, as evidenced by higher interest rates, high unemployment rates, restricted lending activity, higher inflation, volatility in foreign currencies, low consumer confidence, and supply chain disruptions, among other economic and market factors. Our business has generally been resilient during times of economic instability as money remittances are essential to many recipients, with the funds used by the receiving parties for their daily needs; however, long-term sustained appreciation of the Mexican peso or Guatemalan quetzal as compared to the U.S. dollar could negatively affect our revenues and profitability.</w:t>
      </w:r>
    </w:p>
    <w:p>
      <w:pPr>
        <w:spacing w:after="0" w:line="21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Money remittance businesses have continued to be subject to strict legal and regulatory requirements, and we continue to focus on and regularly review our compliance programs. In connection with these reviews, and in light of regulatory complexity and heightened attention of governmental and regulatory authorities related to cybersecurity and compliance activities, we have made, and continue to make, enhancements to our processes and systems designed to detect and prevent cyber-attacks, consumer fraud, money laundering, terrorist financing and other illicit activities, along with enhancements to improve consumer protection, including the Dodd-Frank Act and similar regulations outside the United States. In coming periods, we expect these and future regulatory requirements will continue to result in changes to certain of our business and administrative practices and may result in increased costs.</w:t>
      </w:r>
    </w:p>
    <w:p>
      <w:pPr>
        <w:spacing w:after="0" w:line="19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maintain a compliance department, the responsibility of which is to monitor transactions, detect and report suspicious activity, maintain appropriate records and train our employees and agents. An independent third-party periodically reviews our policies and</w:t>
      </w:r>
    </w:p>
    <w:p>
      <w:pPr>
        <w:sectPr>
          <w:pgSz w:w="11900" w:h="16838" w:orient="portrait"/>
          <w:cols w:equalWidth="0" w:num="1">
            <w:col w:w="11240"/>
          </w:cols>
          <w:pgMar w:left="320" w:top="125" w:right="339" w:bottom="1440" w:gutter="0" w:footer="0" w:header="0"/>
        </w:sectPr>
      </w:pPr>
    </w:p>
    <w:p>
      <w:pPr>
        <w:spacing w:after="0" w:line="8"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procedures and performs independent testing to assess the effectiveness of our anti-money laundering and Bank Secrecy Act compliance program. We also maintain a regulatory affairs and licensing department, under the direction of our Chief Compliance Officer.</w:t>
      </w:r>
    </w:p>
    <w:p>
      <w:pPr>
        <w:spacing w:after="0" w:line="19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market for money remittance services is very competitive. Our competitors include a small number of large money remittance providers, financial institutions, banks and a large number of small niche money remittance service providers that serve select regions. We compete with larger companies, such as Western Union, MoneyGram, Remitly and Euronet, and a number of other smaller money services business (“MSB”) entities. We generally compete for money remittance agents on the basis of value, service, quality, technical and operational differences, commission structure and marketing efforts. As a philosophy, we sell credible solutions to our sending agents, not discounts or higher commissions, as is typical for the industry. We compete for money remittance consumers on the basis of trust, convenience, service, efficiency of outlets, value, enhanced technology and brand recognition.</w:t>
      </w:r>
    </w:p>
    <w:p>
      <w:pPr>
        <w:spacing w:after="0" w:line="19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encountered and continue to expect to encounter increasing competition as new electronic platforms emerge that enable consumers to send and receive money through a variety of channels, but we do not expect adoption rates to be as significant in the near term for the consumer segment we serve. Regardless, we continue to innovate in the industry by differentiating our money remittance business through programs to foster loyalty among agents as well as consumers and have expanded our channels through which our services are accessed to include online and mobile offerings which are experiencing consumer adoption.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assessing the performance of our business, we consider a variety of performance and financial measures. The key indicators of the financial condition and operating performance of our business are revenues, service charges from agents and banks, salaries and benefits, other selling, general and administrative expenses and net income. To help us assess our performance with these key indicators, we primarily use Adjusted Net Income, Adjusted Earnings per Share and Adjusted EBITDA as non-GAAP financial measures. We believe these non-GAAP measures provide useful information to investors and expanded insight to measure our revenue and cost performance as a supplement to our U.S. GAAP consolidated financial statements. See the “Adjusted Net Income and Adjusted Earnings per Share” and “Adjusted EBITDA” sections below for reconciliations of these non-GAAP financial measures to net income and earnings per share, our closest GAAP measures.</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Transaction volume is the primary generator of revenue in our business. Revenue on transactions is derived primarily from transaction fees paid by consumers to transfer money. Revenues per transaction vary based upon send and receive locations and the amount sent. In certain transactions involving different send and receive currencies, we generate foreign exchange gains based on the difference between the set exchange rate charged by us to the sender and the rate available to us in the wholesale foreign exchange market.</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Service Charges from Agents and Banks</w:t>
      </w:r>
    </w:p>
    <w:p>
      <w:pPr>
        <w:spacing w:after="0" w:line="252" w:lineRule="exact"/>
        <w:rPr>
          <w:sz w:val="20"/>
          <w:szCs w:val="20"/>
          <w:color w:val="auto"/>
        </w:rPr>
      </w:pPr>
    </w:p>
    <w:p>
      <w:pPr>
        <w:jc w:val="both"/>
        <w:ind w:left="340"/>
        <w:spacing w:after="0" w:line="275" w:lineRule="auto"/>
        <w:rPr>
          <w:sz w:val="20"/>
          <w:szCs w:val="20"/>
          <w:color w:val="auto"/>
        </w:rPr>
      </w:pPr>
      <w:r>
        <w:rPr>
          <w:rFonts w:ascii="Arial" w:cs="Arial" w:eastAsia="Arial" w:hAnsi="Arial"/>
          <w:sz w:val="17"/>
          <w:szCs w:val="17"/>
          <w:color w:val="auto"/>
        </w:rPr>
        <w:t>Service charges primarily consist of sending agent commissions and payer and bank fees. Service charges vary based on agent commission percentages and the amount of fees charged by payers and banks. Sending agents earn a commission on each transaction they process of approximately 50% of the transaction fee. Payer fees are based on a fixed amount per transaction processed. Service charges may increase if banks or payer organizations increase their fee structure or sending agents use higher fee methods to remit funds to us. Service charges also vary based on the method the consumer selects to send the transfer and the payer organization that facilitates the transaction.</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Salaries and Benefits</w:t>
      </w:r>
    </w:p>
    <w:p>
      <w:pPr>
        <w:spacing w:after="0" w:line="252"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color w:val="auto"/>
        </w:rPr>
        <w:t>Salaries and benefits include cash and share-based compensation associated with our corporate employees and sales team as well as employees at our Company-operated stores. Corporate employees include management, customer service, compliance, information technology, operations, finance, legal and human resources. Our sales team, located throughout the United States and Canada, is focused on supporting and growing our sending agent network. Share-based compensation is primarily recognized as an expense on a straight-line basis over the requisite service period; unrecognized compensation expense related to stock options, restricted stock units (“RSUs”), restricted stock awards (“RSAs”) and performance stock units (“PSUs”) of approximately $16.0 million is expected to be recognized over a weighted-average period of 1.9 years.</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Selling, General and Administrative</w:t>
      </w:r>
    </w:p>
    <w:p>
      <w:pPr>
        <w:spacing w:after="0" w:line="252"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General and administrative expenses primarily consist of fixed overhead expenses associated with our operations, such as information technology, telecommunications, rent, insurance, professional services, non-income or indirect taxes, facilities maintenance, provision for credit losses and other similar types of operating expenses. A portion of these expenses relate to our Company-operated stores;</w:t>
      </w:r>
    </w:p>
    <w:p>
      <w:pPr>
        <w:spacing w:after="0" w:line="2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9"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however, the majority relate to the overall business operation and compliance requirements of a regulated publicly traded financial services company. Selling expenses include expenses such as advertising and promotion, shipping, supplies and other expenses associated with serving and increasing our network of agents.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Transaction Costs</w:t>
      </w:r>
    </w:p>
    <w:p>
      <w:pPr>
        <w:spacing w:after="0" w:line="252"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We incurred transaction costs associated with the acquisitions of La Nacional and LAN Holdings. These costs included all internal and external costs directly related to the transaction, consisting primarily of legal, consulting, accounting and advisory fees and certain incentive bonuses. They are presented within other selling, general and administrative expenses in our condensed consolidated statements of income and comprehensive income. See Note 2 to the condensed consolidated financial statements for additional information.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Depreciation and Amortization</w:t>
      </w:r>
    </w:p>
    <w:p>
      <w:pPr>
        <w:spacing w:after="0" w:line="252"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color w:val="auto"/>
        </w:rPr>
        <w:t>Depreciation and amortization largely consists of depreciation of computer equipment and amortization of software that supports our technology platform. In addition, it includes amortization of intangible assets primarily related to our agent relationships, trade names and developed technology.</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Expense</w:t>
      </w:r>
    </w:p>
    <w:p>
      <w:pPr>
        <w:spacing w:after="0" w:line="252"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Interest expense consists primarily of interest associated with our debt, which consists of a term loan facility and a revolving credit facility. The effective interest rates for the six months ended June 30, 2023 for the term loan facility and revolving credit facility, were 8.03% and 1.85%, respectively.</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 provision</w:t>
      </w:r>
    </w:p>
    <w:p>
      <w:pPr>
        <w:spacing w:after="0" w:line="252"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Our income tax provision includes the expected benefit of all deferred tax assets, including our net operating loss carryforwards. Our income tax provision reflects the effects of state taxes, non-deductible expenses, share-based compensation expense, and foreign tax rates applicable to the Company’s foreign subsidiaries that are higher or lower than the U.S. statutory rate.</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income is determined by subtracting operating and non-operating expenses from revenues.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jc w:val="both"/>
        <w:ind w:left="340"/>
        <w:spacing w:after="0" w:line="275" w:lineRule="auto"/>
        <w:rPr>
          <w:sz w:val="20"/>
          <w:szCs w:val="20"/>
          <w:color w:val="auto"/>
        </w:rPr>
      </w:pPr>
      <w:r>
        <w:rPr>
          <w:rFonts w:ascii="Arial" w:cs="Arial" w:eastAsia="Arial" w:hAnsi="Arial"/>
          <w:sz w:val="17"/>
          <w:szCs w:val="17"/>
          <w:color w:val="auto"/>
        </w:rPr>
        <w:t>Basic earnings per share is calculated by dividing net income by the weighted-average number of common shares outstanding for each period. Diluted earnings per share is calculated by dividing net income by the weighted-average number of common shares and common share equivalents outstanding for each period. Diluted earnings per share reflects the potential dilution that could occur if outstanding stock options at the presented dates are exercised and shares of RSUs, RSAs and PSUs have vested, using the treasury stock method. Shares of treasury stock are not considered outstanding and therefore are excluded from the weighted-average number of common shares outstanding calculation.</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Our business is organized around one reportable segment that provides money transmittal services primarily between the United States and Canada to Mexico, Guatemala and other countries in Latin America, Africa, Asia and Europe through a network of authorized agents located in various unaffiliated retail establishments and 124 Company-operated stores throughout the United States, Canada, Spain, Italy and Germany. This is based on the objectives of the business and how our chief operating decision maker, the CEO and President, monitors operating performance and allocates resources.</w:t>
      </w:r>
    </w:p>
    <w:p>
      <w:pPr>
        <w:spacing w:after="0" w:line="200" w:lineRule="exact"/>
        <w:rPr>
          <w:sz w:val="20"/>
          <w:szCs w:val="20"/>
          <w:color w:val="auto"/>
        </w:rPr>
      </w:pPr>
    </w:p>
    <w:p>
      <w:pPr>
        <w:spacing w:after="0" w:line="28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key components of our results of operations for the periods indicated: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color w:val="auto"/>
                <w:w w:val="95"/>
              </w:rPr>
              <w:t>Three Months Ended June 30,</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color w:val="auto"/>
                <w:w w:val="99"/>
              </w:rPr>
              <w:t>Six Months Ended June 30,</w:t>
            </w:r>
          </w:p>
        </w:tc>
      </w:tr>
      <w:tr>
        <w:trPr>
          <w:trHeight w:val="250"/>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 except for share data)</w:t>
            </w: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2023</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r>
      <w:tr>
        <w:trPr>
          <w:trHeight w:val="216"/>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4260" w:type="dxa"/>
            <w:vAlign w:val="bottom"/>
          </w:tcPr>
          <w:p>
            <w:pPr>
              <w:ind w:left="140"/>
              <w:spacing w:after="0"/>
              <w:rPr>
                <w:sz w:val="20"/>
                <w:szCs w:val="20"/>
                <w:color w:val="auto"/>
              </w:rPr>
            </w:pPr>
            <w:r>
              <w:rPr>
                <w:rFonts w:ascii="Arial" w:cs="Arial" w:eastAsia="Arial" w:hAnsi="Arial"/>
                <w:sz w:val="18"/>
                <w:szCs w:val="18"/>
                <w:color w:val="auto"/>
              </w:rPr>
              <w:t>Wire transfer and money order fees, net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144,518</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117,622</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268,968</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215,621</w:t>
            </w:r>
          </w:p>
        </w:tc>
      </w:tr>
      <w:tr>
        <w:trPr>
          <w:trHeight w:val="243"/>
        </w:trPr>
        <w:tc>
          <w:tcPr>
            <w:tcW w:w="4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exchange gain, net</w:t>
            </w: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41,550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33,868</w:t>
            </w:r>
          </w:p>
        </w:tc>
      </w:tr>
      <w:tr>
        <w:trPr>
          <w:trHeight w:val="237"/>
        </w:trPr>
        <w:tc>
          <w:tcPr>
            <w:tcW w:w="4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3,996</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w:t>
            </w:r>
          </w:p>
        </w:tc>
      </w:tr>
      <w:tr>
        <w:trPr>
          <w:trHeight w:val="229"/>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314,514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251,600</w:t>
            </w:r>
          </w:p>
        </w:tc>
      </w:tr>
      <w:tr>
        <w:trPr>
          <w:trHeight w:val="270"/>
        </w:trPr>
        <w:tc>
          <w:tcPr>
            <w:tcW w:w="4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43"/>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29"/>
        </w:trPr>
        <w:tc>
          <w:tcPr>
            <w:tcW w:w="4260" w:type="dxa"/>
            <w:vAlign w:val="bottom"/>
          </w:tcPr>
          <w:p>
            <w:pPr>
              <w:ind w:left="140"/>
              <w:spacing w:after="0"/>
              <w:rPr>
                <w:sz w:val="20"/>
                <w:szCs w:val="20"/>
                <w:color w:val="auto"/>
              </w:rPr>
            </w:pPr>
            <w:r>
              <w:rPr>
                <w:rFonts w:ascii="Arial" w:cs="Arial" w:eastAsia="Arial" w:hAnsi="Arial"/>
                <w:sz w:val="18"/>
                <w:szCs w:val="18"/>
                <w:color w:val="auto"/>
              </w:rPr>
              <w:t>Service charges from agents and banks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110,996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92,066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207,113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169,060</w:t>
            </w:r>
          </w:p>
        </w:tc>
      </w:tr>
      <w:tr>
        <w:trPr>
          <w:trHeight w:val="230"/>
        </w:trPr>
        <w:tc>
          <w:tcPr>
            <w:tcW w:w="4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Salaries and benefits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23,058</w:t>
            </w:r>
          </w:p>
        </w:tc>
      </w:tr>
      <w:tr>
        <w:trPr>
          <w:trHeight w:val="237"/>
        </w:trPr>
        <w:tc>
          <w:tcPr>
            <w:tcW w:w="4260" w:type="dxa"/>
            <w:vAlign w:val="bottom"/>
          </w:tcPr>
          <w:p>
            <w:pPr>
              <w:ind w:left="140"/>
              <w:spacing w:after="0"/>
              <w:rPr>
                <w:sz w:val="20"/>
                <w:szCs w:val="20"/>
                <w:color w:val="auto"/>
              </w:rPr>
            </w:pPr>
            <w:r>
              <w:rPr>
                <w:rFonts w:ascii="Arial" w:cs="Arial" w:eastAsia="Arial" w:hAnsi="Arial"/>
                <w:sz w:val="18"/>
                <w:szCs w:val="18"/>
                <w:color w:val="auto"/>
              </w:rPr>
              <w:t>Other selling, general and administrative expenses</w:t>
            </w: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12,637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7,663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23,974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14,730</w:t>
            </w:r>
          </w:p>
        </w:tc>
      </w:tr>
      <w:tr>
        <w:trPr>
          <w:trHeight w:val="243"/>
        </w:trPr>
        <w:tc>
          <w:tcPr>
            <w:tcW w:w="4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4,434</w:t>
            </w:r>
          </w:p>
        </w:tc>
      </w:tr>
      <w:tr>
        <w:trPr>
          <w:trHeight w:val="237"/>
        </w:trPr>
        <w:tc>
          <w:tcPr>
            <w:tcW w:w="42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144,408</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113,728</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270,933</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211,282</w:t>
            </w:r>
          </w:p>
        </w:tc>
      </w:tr>
      <w:tr>
        <w:trPr>
          <w:trHeight w:val="257"/>
        </w:trPr>
        <w:tc>
          <w:tcPr>
            <w:tcW w:w="42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37"/>
        </w:trPr>
        <w:tc>
          <w:tcPr>
            <w:tcW w:w="42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24,742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23,207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43,581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40,318</w:t>
            </w:r>
          </w:p>
        </w:tc>
      </w:tr>
      <w:tr>
        <w:trPr>
          <w:trHeight w:val="276"/>
        </w:trPr>
        <w:tc>
          <w:tcPr>
            <w:tcW w:w="42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37"/>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2,651</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4,842</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2,064</w:t>
            </w:r>
          </w:p>
        </w:tc>
      </w:tr>
      <w:tr>
        <w:trPr>
          <w:trHeight w:val="257"/>
        </w:trPr>
        <w:tc>
          <w:tcPr>
            <w:tcW w:w="42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29"/>
        </w:trPr>
        <w:tc>
          <w:tcPr>
            <w:tcW w:w="4260" w:type="dxa"/>
            <w:vAlign w:val="bottom"/>
          </w:tcPr>
          <w:p>
            <w:pPr>
              <w:ind w:left="360"/>
              <w:spacing w:after="0"/>
              <w:rPr>
                <w:sz w:val="20"/>
                <w:szCs w:val="20"/>
                <w:color w:val="auto"/>
              </w:rPr>
            </w:pPr>
            <w:r>
              <w:rPr>
                <w:rFonts w:ascii="Arial" w:cs="Arial" w:eastAsia="Arial" w:hAnsi="Arial"/>
                <w:sz w:val="18"/>
                <w:szCs w:val="18"/>
                <w:color w:val="auto"/>
              </w:rPr>
              <w:t>Income before income taxes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22,091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22,095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38,739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38,254</w:t>
            </w:r>
          </w:p>
        </w:tc>
      </w:tr>
      <w:tr>
        <w:trPr>
          <w:trHeight w:val="270"/>
        </w:trPr>
        <w:tc>
          <w:tcPr>
            <w:tcW w:w="4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50"/>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w:t>
            </w: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6,111</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11,555</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10,616</w:t>
            </w:r>
          </w:p>
        </w:tc>
      </w:tr>
      <w:tr>
        <w:trPr>
          <w:trHeight w:val="256"/>
        </w:trPr>
        <w:tc>
          <w:tcPr>
            <w:tcW w:w="42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30"/>
        </w:trPr>
        <w:tc>
          <w:tcPr>
            <w:tcW w:w="426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15,422</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15,984</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27,184</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27,638</w:t>
            </w: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42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Earnings per common share:</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43"/>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r>
      <w:tr>
        <w:trPr>
          <w:trHeight w:val="230"/>
        </w:trPr>
        <w:tc>
          <w:tcPr>
            <w:tcW w:w="4260" w:type="dxa"/>
            <w:vAlign w:val="bottom"/>
          </w:tcPr>
          <w:p>
            <w:pPr>
              <w:ind w:left="36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0.42</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0.41</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0.73</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0.71</w:t>
            </w: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2023 Compared to Three Months Ended June 30, 2022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Revenues for the above periods are presented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thousands)</w:t>
            </w:r>
          </w:p>
        </w:tc>
        <w:tc>
          <w:tcPr>
            <w:tcW w:w="1560" w:type="dxa"/>
            <w:vAlign w:val="bottom"/>
            <w:gridSpan w:val="2"/>
          </w:tcPr>
          <w:p>
            <w:pPr>
              <w:ind w:left="20"/>
              <w:spacing w:after="0"/>
              <w:rPr>
                <w:sz w:val="20"/>
                <w:szCs w:val="20"/>
                <w:color w:val="auto"/>
              </w:rPr>
            </w:pPr>
            <w:r>
              <w:rPr>
                <w:rFonts w:ascii="Arial" w:cs="Arial" w:eastAsia="Arial" w:hAnsi="Arial"/>
                <w:sz w:val="18"/>
                <w:szCs w:val="18"/>
                <w:color w:val="auto"/>
                <w:w w:val="90"/>
              </w:rPr>
              <w:t>Three Months Ended</w:t>
            </w:r>
          </w:p>
        </w:tc>
        <w:tc>
          <w:tcPr>
            <w:tcW w:w="1360" w:type="dxa"/>
            <w:vAlign w:val="bottom"/>
          </w:tcPr>
          <w:p>
            <w:pPr>
              <w:jc w:val="right"/>
              <w:ind w:right="410"/>
              <w:spacing w:after="0"/>
              <w:rPr>
                <w:sz w:val="20"/>
                <w:szCs w:val="20"/>
                <w:color w:val="auto"/>
              </w:rPr>
            </w:pPr>
            <w:r>
              <w:rPr>
                <w:rFonts w:ascii="Arial" w:cs="Arial" w:eastAsia="Arial" w:hAnsi="Arial"/>
                <w:sz w:val="18"/>
                <w:szCs w:val="18"/>
                <w:color w:val="auto"/>
              </w:rPr>
              <w:t>% of</w:t>
            </w:r>
          </w:p>
        </w:tc>
        <w:tc>
          <w:tcPr>
            <w:tcW w:w="1580" w:type="dxa"/>
            <w:vAlign w:val="bottom"/>
            <w:gridSpan w:val="2"/>
          </w:tcPr>
          <w:p>
            <w:pPr>
              <w:ind w:left="20"/>
              <w:spacing w:after="0"/>
              <w:rPr>
                <w:sz w:val="20"/>
                <w:szCs w:val="20"/>
                <w:color w:val="auto"/>
              </w:rPr>
            </w:pPr>
            <w:r>
              <w:rPr>
                <w:rFonts w:ascii="Arial" w:cs="Arial" w:eastAsia="Arial" w:hAnsi="Arial"/>
                <w:sz w:val="18"/>
                <w:szCs w:val="18"/>
                <w:color w:val="auto"/>
                <w:w w:val="91"/>
              </w:rPr>
              <w:t>Three Months Ended</w:t>
            </w: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 of</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CCEEFF"/>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2"/>
              </w:rPr>
              <w:t>June 30, 2023</w:t>
            </w:r>
          </w:p>
        </w:tc>
        <w:tc>
          <w:tcPr>
            <w:tcW w:w="1360" w:type="dxa"/>
            <w:vAlign w:val="bottom"/>
            <w:tcBorders>
              <w:bottom w:val="single" w:sz="8" w:color="CCEEFF"/>
            </w:tcBorders>
          </w:tcPr>
          <w:p>
            <w:pPr>
              <w:jc w:val="right"/>
              <w:ind w:right="23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2"/>
              </w:rPr>
              <w:t>June 30, 2022</w:t>
            </w:r>
          </w:p>
        </w:tc>
        <w:tc>
          <w:tcPr>
            <w:tcW w:w="124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Revenues</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140"/>
              <w:spacing w:after="0"/>
              <w:rPr>
                <w:sz w:val="20"/>
                <w:szCs w:val="20"/>
                <w:color w:val="auto"/>
              </w:rPr>
            </w:pPr>
            <w:r>
              <w:rPr>
                <w:rFonts w:ascii="Arial" w:cs="Arial" w:eastAsia="Arial" w:hAnsi="Arial"/>
                <w:sz w:val="18"/>
                <w:szCs w:val="18"/>
                <w:color w:val="auto"/>
              </w:rPr>
              <w:t>Wire transfer and money order fees, net</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144,518</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86 %</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117,622</w:t>
            </w:r>
          </w:p>
        </w:tc>
        <w:tc>
          <w:tcPr>
            <w:tcW w:w="1240" w:type="dxa"/>
            <w:vAlign w:val="bottom"/>
          </w:tcPr>
          <w:p>
            <w:pPr>
              <w:jc w:val="right"/>
              <w:spacing w:after="0"/>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exchange gain, net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22,382</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13 %</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50"/>
        </w:trPr>
        <w:tc>
          <w:tcPr>
            <w:tcW w:w="4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w:t>
            </w: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w:t>
            </w:r>
          </w:p>
        </w:tc>
        <w:tc>
          <w:tcPr>
            <w:tcW w:w="136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1 %</w:t>
            </w: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w:t>
            </w: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54"/>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169,150</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100 %</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136,935</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Wire transfer and money order fees, net of $144.5 million for the three months ended June 30, 2023 increased by $26.9 million, or 22.9%, from $117.6 million for the three months ended June 30, 2022. The increase was primarily due to a 26.7% increase in transaction volume in the second quarter of 2023 compared to the second quarter of 2022, due to the continued growth in our agent network that</w:t>
      </w:r>
    </w:p>
    <w:p>
      <w:pPr>
        <w:spacing w:after="0" w:line="2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color w:val="auto"/>
        </w:rPr>
        <w:t>expanded as a result of the La Nacional and LAN Holdings acquisitions, which network increased by 38.3% when compared to June 30, 2022.</w:t>
      </w:r>
    </w:p>
    <w:p>
      <w:pPr>
        <w:spacing w:after="0" w:line="2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Revenues from foreign exchange gain, net of $22.4 million for the three months ended June 30, 2023 increased by $4.2 million, or 23.1%, from $18.2 million for the three months ended June 30, 2022. This increase was primarily due to higher transaction volume achieved by growth in our agent network and a higher average amount sent by consumers to destination countries in which our business is concentrated, as well as increased foreign exchange volatility in the Guatemalan quetzal during the quarter ended June 30, 2023.</w:t>
      </w: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income of $2.3 million for the three months ended June 30, 2023 increased by $1.2 million, or 90.4%, from $1.1 million for the three months ended June 30, 2022 primarily due to the impact of the revenue generated from ancillary services provided by La Nacional and LAN Holdings to a particular segment of their consumer bases and commercial customers, an increase in fees related to higher volume of transfers deemed abandoned property, as well as an increase in income related to money transfer transactions paid with debit or credit card.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expenses for the above periods are presented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thousands)</w:t>
            </w:r>
          </w:p>
        </w:tc>
        <w:tc>
          <w:tcPr>
            <w:tcW w:w="1560" w:type="dxa"/>
            <w:vAlign w:val="bottom"/>
            <w:gridSpan w:val="2"/>
          </w:tcPr>
          <w:p>
            <w:pPr>
              <w:ind w:left="20"/>
              <w:spacing w:after="0"/>
              <w:rPr>
                <w:sz w:val="20"/>
                <w:szCs w:val="20"/>
                <w:color w:val="auto"/>
              </w:rPr>
            </w:pPr>
            <w:r>
              <w:rPr>
                <w:rFonts w:ascii="Arial" w:cs="Arial" w:eastAsia="Arial" w:hAnsi="Arial"/>
                <w:sz w:val="18"/>
                <w:szCs w:val="18"/>
                <w:color w:val="auto"/>
                <w:w w:val="90"/>
              </w:rPr>
              <w:t>Three Months Ended</w:t>
            </w:r>
          </w:p>
        </w:tc>
        <w:tc>
          <w:tcPr>
            <w:tcW w:w="1340" w:type="dxa"/>
            <w:vAlign w:val="bottom"/>
          </w:tcPr>
          <w:p>
            <w:pPr>
              <w:jc w:val="right"/>
              <w:ind w:right="410"/>
              <w:spacing w:after="0"/>
              <w:rPr>
                <w:sz w:val="20"/>
                <w:szCs w:val="20"/>
                <w:color w:val="auto"/>
              </w:rPr>
            </w:pPr>
            <w:r>
              <w:rPr>
                <w:rFonts w:ascii="Arial" w:cs="Arial" w:eastAsia="Arial" w:hAnsi="Arial"/>
                <w:sz w:val="18"/>
                <w:szCs w:val="18"/>
                <w:color w:val="auto"/>
              </w:rPr>
              <w:t>% of</w:t>
            </w:r>
          </w:p>
        </w:tc>
        <w:tc>
          <w:tcPr>
            <w:tcW w:w="1580" w:type="dxa"/>
            <w:vAlign w:val="bottom"/>
            <w:gridSpan w:val="2"/>
          </w:tcPr>
          <w:p>
            <w:pPr>
              <w:ind w:left="20"/>
              <w:spacing w:after="0"/>
              <w:rPr>
                <w:sz w:val="20"/>
                <w:szCs w:val="20"/>
                <w:color w:val="auto"/>
              </w:rPr>
            </w:pPr>
            <w:r>
              <w:rPr>
                <w:rFonts w:ascii="Arial" w:cs="Arial" w:eastAsia="Arial" w:hAnsi="Arial"/>
                <w:sz w:val="18"/>
                <w:szCs w:val="18"/>
                <w:color w:val="auto"/>
                <w:w w:val="91"/>
              </w:rPr>
              <w:t>Three Months Ended</w:t>
            </w: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 of</w:t>
            </w:r>
          </w:p>
        </w:tc>
        <w:tc>
          <w:tcPr>
            <w:tcW w:w="0" w:type="dxa"/>
            <w:vAlign w:val="bottom"/>
          </w:tcPr>
          <w:p>
            <w:pPr>
              <w:spacing w:after="0"/>
              <w:rPr>
                <w:sz w:val="1"/>
                <w:szCs w:val="1"/>
                <w:color w:val="auto"/>
              </w:rPr>
            </w:pPr>
          </w:p>
        </w:tc>
      </w:tr>
      <w:tr>
        <w:trPr>
          <w:trHeight w:val="236"/>
        </w:trPr>
        <w:tc>
          <w:tcPr>
            <w:tcW w:w="4120" w:type="dxa"/>
            <w:vAlign w:val="bottom"/>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4"/>
              </w:rPr>
              <w:t>June 30, 2023</w:t>
            </w: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4"/>
              </w:rPr>
              <w:t>June 30, 2022</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Revenues</w:t>
            </w:r>
          </w:p>
        </w:tc>
        <w:tc>
          <w:tcPr>
            <w:tcW w:w="0" w:type="dxa"/>
            <w:vAlign w:val="bottom"/>
          </w:tcPr>
          <w:p>
            <w:pPr>
              <w:spacing w:after="0"/>
              <w:rPr>
                <w:sz w:val="1"/>
                <w:szCs w:val="1"/>
                <w:color w:val="auto"/>
              </w:rPr>
            </w:pPr>
          </w:p>
        </w:tc>
      </w:tr>
      <w:tr>
        <w:trPr>
          <w:trHeight w:val="216"/>
        </w:trPr>
        <w:tc>
          <w:tcPr>
            <w:tcW w:w="41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 charges from agents and banks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110,996</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66 %</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92,066</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37"/>
        </w:trPr>
        <w:tc>
          <w:tcPr>
            <w:tcW w:w="4120" w:type="dxa"/>
            <w:vAlign w:val="bottom"/>
          </w:tcPr>
          <w:p>
            <w:pPr>
              <w:ind w:left="140"/>
              <w:spacing w:after="0"/>
              <w:rPr>
                <w:sz w:val="20"/>
                <w:szCs w:val="20"/>
                <w:color w:val="auto"/>
              </w:rPr>
            </w:pPr>
            <w:r>
              <w:rPr>
                <w:rFonts w:ascii="Arial" w:cs="Arial" w:eastAsia="Arial" w:hAnsi="Arial"/>
                <w:sz w:val="18"/>
                <w:szCs w:val="18"/>
                <w:color w:val="auto"/>
              </w:rPr>
              <w:t>Salaries and benefits</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17,640</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10 %</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11,748</w:t>
            </w:r>
          </w:p>
        </w:tc>
        <w:tc>
          <w:tcPr>
            <w:tcW w:w="1240" w:type="dxa"/>
            <w:vAlign w:val="bottom"/>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36"/>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7"/>
              </w:rPr>
              <w:t>Other selling, general and administrative expenses</w:t>
            </w: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12,637</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7 %</w:t>
            </w: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3,135</w:t>
            </w:r>
          </w:p>
        </w:tc>
        <w:tc>
          <w:tcPr>
            <w:tcW w:w="134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2 %</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2,251</w:t>
            </w: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68"/>
        </w:trPr>
        <w:tc>
          <w:tcPr>
            <w:tcW w:w="4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144,408</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85 %</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113,728</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Service charges from agents and banks </w:t>
      </w:r>
      <w:r>
        <w:rPr>
          <w:rFonts w:ascii="Arial" w:cs="Arial" w:eastAsia="Arial" w:hAnsi="Arial"/>
          <w:sz w:val="18"/>
          <w:szCs w:val="18"/>
          <w:color w:val="auto"/>
        </w:rPr>
        <w:t>— Service charges from agents and banks were $111.0 million for the three months ended June 30, 2023</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$92.1 million for the three months ended June 30, 2022. The increase of $18.9 million, or 20.5%, was primarily due to the increase in transaction volume described above.</w:t>
      </w:r>
    </w:p>
    <w:p>
      <w:pPr>
        <w:spacing w:after="0" w:line="2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Salaries and benefits </w:t>
      </w:r>
      <w:r>
        <w:rPr>
          <w:rFonts w:ascii="Arial" w:cs="Arial" w:eastAsia="Arial" w:hAnsi="Arial"/>
          <w:sz w:val="18"/>
          <w:szCs w:val="18"/>
          <w:color w:val="auto"/>
        </w:rPr>
        <w:t>— Salaries and benefits of $17.6 million for the three months ended June 30, 2023 increased by $5.9 million, or 50.4%, from</w:t>
      </w:r>
      <w:r>
        <w:rPr>
          <w:rFonts w:ascii="Arial" w:cs="Arial" w:eastAsia="Arial" w:hAnsi="Arial"/>
          <w:sz w:val="18"/>
          <w:szCs w:val="18"/>
          <w:i w:val="1"/>
          <w:iCs w:val="1"/>
          <w:color w:val="auto"/>
        </w:rPr>
        <w:t xml:space="preserve"> </w:t>
      </w:r>
      <w:r>
        <w:rPr>
          <w:rFonts w:ascii="Arial" w:cs="Arial" w:eastAsia="Arial" w:hAnsi="Arial"/>
          <w:sz w:val="18"/>
          <w:szCs w:val="18"/>
          <w:color w:val="auto"/>
        </w:rPr>
        <w:t>$11.7 million for the three months ended June 30, 2022. The increase is primarily due to $5.4 million spent in talent acquisition and retention, as well as increased wages, including the additional compensation related to La Nacional and LAN Holdings employees, which represents approximately 24.7% of salaries and benefits, and a $0.6 million increase in share-based compensation as a result of new awards granted during the six months ended June 30, 2023. Salaries and benefits for the three months ended June 30, 2023 represent 10% of total Revenues compared to 9% for the three months ended June 30, 2022, which increase is attributable to our expanded workforce as a result of the La Nacional and LAN Holdings acquisitions as they operate independently in the execution of certain operational functions.</w:t>
      </w:r>
    </w:p>
    <w:p>
      <w:pPr>
        <w:spacing w:after="0" w:line="2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Other selling, general and administrative expenses </w:t>
      </w:r>
      <w:r>
        <w:rPr>
          <w:rFonts w:ascii="Arial" w:cs="Arial" w:eastAsia="Arial" w:hAnsi="Arial"/>
          <w:sz w:val="18"/>
          <w:szCs w:val="18"/>
          <w:color w:val="auto"/>
        </w:rPr>
        <w:t>— Other selling, general and administrative expenses of $12.6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2023 increased by $4.9 million, or 63.6%, from $7.7 million for the three months ended June 30, 2022.</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was primarily the result of:</w:t>
      </w:r>
    </w:p>
    <w:p>
      <w:pPr>
        <w:spacing w:after="0" w:line="252" w:lineRule="exact"/>
        <w:rPr>
          <w:sz w:val="20"/>
          <w:szCs w:val="20"/>
          <w:color w:val="auto"/>
        </w:rPr>
      </w:pPr>
    </w:p>
    <w:p>
      <w:pPr>
        <w:ind w:left="740" w:hanging="246"/>
        <w:spacing w:after="0" w:line="291" w:lineRule="auto"/>
        <w:tabs>
          <w:tab w:leader="none" w:pos="7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$1.9 million - higher facilities and rent expenses for scheduled maintenance and contracted lease rate increases to support our business growth and expenses related to the company-operated stores and other facilities added as a result of the La Nacional and LAN Holdings acquisitions;</w:t>
      </w:r>
    </w:p>
    <w:p>
      <w:pPr>
        <w:jc w:val="both"/>
        <w:ind w:left="740" w:hanging="246"/>
        <w:spacing w:after="0" w:line="250"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$1.4 million - higher other operating expenses as a result of the receipt of a $0.8 million refund of state business and occupancy (“B&amp;O”) tax for the state of Washington during the three months ended June 30, 2022, which was offset by higher operational losses and litigation settlements incurred in the three months ended June 30, 2023;</w:t>
      </w:r>
    </w:p>
    <w:p>
      <w:pPr>
        <w:spacing w:after="0" w:line="1" w:lineRule="exact"/>
        <w:rPr>
          <w:rFonts w:ascii="Arial" w:cs="Arial" w:eastAsia="Arial" w:hAnsi="Arial"/>
          <w:sz w:val="18"/>
          <w:szCs w:val="18"/>
          <w:color w:val="auto"/>
        </w:rPr>
      </w:pPr>
    </w:p>
    <w:p>
      <w:pPr>
        <w:ind w:left="740" w:hanging="246"/>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$0.9 million - higher IT related expenses incurred to sustain our business expansion and to improve our technology environment;</w:t>
      </w:r>
    </w:p>
    <w:p>
      <w:pPr>
        <w:spacing w:after="0" w:line="9" w:lineRule="exact"/>
        <w:rPr>
          <w:rFonts w:ascii="Arial" w:cs="Arial" w:eastAsia="Arial" w:hAnsi="Arial"/>
          <w:sz w:val="18"/>
          <w:szCs w:val="18"/>
          <w:color w:val="auto"/>
        </w:rPr>
      </w:pPr>
    </w:p>
    <w:p>
      <w:pPr>
        <w:ind w:left="740" w:hanging="246"/>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$0.5 million - higher audit related and professional fees to support our internal audit and compliance functions;</w:t>
      </w:r>
    </w:p>
    <w:p>
      <w:pPr>
        <w:spacing w:after="0" w:line="9" w:lineRule="exact"/>
        <w:rPr>
          <w:rFonts w:ascii="Arial" w:cs="Arial" w:eastAsia="Arial" w:hAnsi="Arial"/>
          <w:sz w:val="18"/>
          <w:szCs w:val="18"/>
          <w:color w:val="auto"/>
        </w:rPr>
      </w:pPr>
    </w:p>
    <w:p>
      <w:pPr>
        <w:ind w:left="740" w:hanging="246"/>
        <w:spacing w:after="0"/>
        <w:tabs>
          <w:tab w:leader="none" w:pos="740" w:val="left"/>
        </w:tabs>
        <w:numPr>
          <w:ilvl w:val="0"/>
          <w:numId w:val="12"/>
        </w:numPr>
        <w:rPr>
          <w:rFonts w:ascii="Arial" w:cs="Arial" w:eastAsia="Arial" w:hAnsi="Arial"/>
          <w:sz w:val="18"/>
          <w:szCs w:val="18"/>
          <w:i w:val="1"/>
          <w:iCs w:val="1"/>
          <w:color w:val="auto"/>
        </w:rPr>
      </w:pPr>
      <w:r>
        <w:rPr>
          <w:rFonts w:ascii="Arial" w:cs="Arial" w:eastAsia="Arial" w:hAnsi="Arial"/>
          <w:sz w:val="18"/>
          <w:szCs w:val="18"/>
          <w:color w:val="auto"/>
        </w:rPr>
        <w:t>$0.1 million - higher travel costs, primarily of our sales force, to support our business growth and expansion; and</w:t>
      </w:r>
    </w:p>
    <w:p>
      <w:pPr>
        <w:spacing w:after="0" w:line="9" w:lineRule="exact"/>
        <w:rPr>
          <w:rFonts w:ascii="Arial" w:cs="Arial" w:eastAsia="Arial" w:hAnsi="Arial"/>
          <w:sz w:val="18"/>
          <w:szCs w:val="18"/>
          <w:i w:val="1"/>
          <w:iCs w:val="1"/>
          <w:color w:val="auto"/>
        </w:rPr>
      </w:pPr>
    </w:p>
    <w:p>
      <w:pPr>
        <w:ind w:left="740" w:hanging="246"/>
        <w:spacing w:after="0" w:line="260"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$0.1 million - higher loss on disposal of assets primarily due to replacement of equipment used by our sending agents during the three months ended June 30, 2023.</w:t>
      </w:r>
    </w:p>
    <w:p>
      <w:pPr>
        <w:spacing w:after="0" w:line="26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 Depreciation and amortization of $3.1 million for the three months ended June 30, 2023 increased by $0.8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$2.3 million for the three months ended June 30, 2022. The increase is the result of a $0.3 million increase in depreciation associated with additional computer equipment acquired to support our growing business and sending agent network, as well as approximately $0.3 million of depreciation for assets assumed in the La Nacional and LAN Holdings acquisitions and approximately $0.5 million for amortization of intangibles resulting from the La Nacional and LAN Holdings acquisitions. These increases were partially offset by a decrease of approximately $0.3 million in amortization related to our Intermex trade name, developed technology and agent relationships during the second quarter of 2023, as these intangibles are being amortized on an accelerated basis, which declines over time.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Expenses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 Interest expense of $2.7 million for the three months ended June 30, 2023 increased by $1.6 million, or 145.5%, from $1.1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June 30, 2022. The increase was primarily due to higher market interest rates and higher draws under our revolving credit facility to support the growth in our business.</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Income tax provision </w:t>
      </w:r>
      <w:r>
        <w:rPr>
          <w:rFonts w:ascii="Arial" w:cs="Arial" w:eastAsia="Arial" w:hAnsi="Arial"/>
          <w:sz w:val="18"/>
          <w:szCs w:val="18"/>
          <w:color w:val="auto"/>
        </w:rPr>
        <w:t>— Income tax provision was $6.7 million for the three months ended June 30, 2023, which represents an increase of $0.6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an income tax provision of $6.1 million for the three months ended June 30, 2022. The increase in income tax provision was mainly attributable to an increase in our effective state tax rate primarily as a result of revenue from La Nacional earned during the three months ended June 30, 2023, which is sourced to states with relatively higher tax rates.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reported Net Income of $15.4 million for the three months ended June 30, 2023 compared to Net Income of $16.0 million for the three months ended June 30, 2022, which resulted in a decrease of $0.6 million, or 3.5%, due to the same factors discussed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use Adjusted Net Income, Adjusted Earnings per Share and Adjusted EBITDA to evaluate our performance, both internally and as compared with our peers, because these measures exclude certain items that may not be indicative of our core operating results, as well as items that can vary widely among companies within our industry. For example, noncash compensation costs can be subject to volatility from changes in the market price per share of our common stock or variations in the value and number of shares granted, and amortization of intangible assets is subject to business acquisition activities, which varies from period to period.</w:t>
      </w:r>
    </w:p>
    <w:p>
      <w:pPr>
        <w:spacing w:after="0" w:line="21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present these non-GAAP financial measures because we believe they are frequently used by analysts, investors and other interested parties to evaluate companies in our industry. Furthermore, we believe they are helpful in highlighting trends in our operating results by focusing on our core operating results and are useful to evaluate our performance in conjunction with our GAAP financial measures. Adjusted Net Income, Adjusted Earnings per Share and Adjusted EBITDA are non-GAAP financial measures and should not be considered as an alternative to operating income, net income or earnings per share as a measure of operating performance or cash flows or as a measure of liquidity. Non-GAAP financial measures are not necessarily calculated the same way by different companies and should not be considered a substitute for or superior to GAAP measures.</w:t>
      </w:r>
    </w:p>
    <w:p>
      <w:pPr>
        <w:spacing w:after="0" w:line="20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Adjusted EBITDA is one of the primary metrics used by management to evaluate the financial performance of our business because it excludes, among other things, the effects of certain transactions that are outside the control of management, while other measures can differ significantly depending on long-term strategic decisions regarding capital structure, the jurisdictions in which we operate and capital investments.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particular, Adjusted EBITDA is subject to certain limitations, including the following:</w:t>
      </w:r>
    </w:p>
    <w:p>
      <w:pPr>
        <w:spacing w:after="0" w:line="252" w:lineRule="exact"/>
        <w:rPr>
          <w:sz w:val="20"/>
          <w:szCs w:val="20"/>
          <w:color w:val="auto"/>
        </w:rPr>
      </w:pPr>
    </w:p>
    <w:p>
      <w:pPr>
        <w:ind w:left="740" w:hanging="246"/>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Adjusted EBITDA does not reflect interest expense, or the amounts necessary to service interest or principal payments on our debt;</w:t>
      </w:r>
    </w:p>
    <w:p>
      <w:pPr>
        <w:spacing w:after="0" w:line="252" w:lineRule="exact"/>
        <w:rPr>
          <w:rFonts w:ascii="Arial" w:cs="Arial" w:eastAsia="Arial" w:hAnsi="Arial"/>
          <w:sz w:val="18"/>
          <w:szCs w:val="18"/>
          <w:color w:val="auto"/>
        </w:rPr>
      </w:pPr>
    </w:p>
    <w:p>
      <w:pPr>
        <w:ind w:left="740" w:hanging="246"/>
        <w:spacing w:after="0" w:line="277"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Adjusted EBITDA does not reflect income tax provision (benefit), and because the payment of taxes is part of our operations, tax provision is a necessary element of our costs and ability to operate;</w:t>
      </w:r>
    </w:p>
    <w:p>
      <w:pPr>
        <w:spacing w:after="0" w:line="197" w:lineRule="exact"/>
        <w:rPr>
          <w:rFonts w:ascii="Arial" w:cs="Arial" w:eastAsia="Arial" w:hAnsi="Arial"/>
          <w:sz w:val="18"/>
          <w:szCs w:val="18"/>
          <w:color w:val="auto"/>
        </w:rPr>
      </w:pPr>
    </w:p>
    <w:p>
      <w:pPr>
        <w:ind w:left="740" w:hanging="246"/>
        <w:spacing w:after="0" w:line="277"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Although depreciation and amortization are eliminated in the calculation of Adjusted EBITDA, the assets being depreciated and amortized will often have to be replaced in the future, and Adjusted EBITDA does not reflect any costs of such replacements;</w:t>
      </w:r>
    </w:p>
    <w:p>
      <w:pPr>
        <w:spacing w:after="0" w:line="197" w:lineRule="exact"/>
        <w:rPr>
          <w:rFonts w:ascii="Arial" w:cs="Arial" w:eastAsia="Arial" w:hAnsi="Arial"/>
          <w:sz w:val="18"/>
          <w:szCs w:val="18"/>
          <w:color w:val="auto"/>
        </w:rPr>
      </w:pPr>
    </w:p>
    <w:p>
      <w:pPr>
        <w:ind w:left="740" w:hanging="246"/>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Adjusted EBITDA does not reflect the non-cash component of share-based compensation;</w:t>
      </w:r>
    </w:p>
    <w:p>
      <w:pPr>
        <w:spacing w:after="0" w:line="252" w:lineRule="exact"/>
        <w:rPr>
          <w:rFonts w:ascii="Arial" w:cs="Arial" w:eastAsia="Arial" w:hAnsi="Arial"/>
          <w:sz w:val="18"/>
          <w:szCs w:val="18"/>
          <w:color w:val="auto"/>
        </w:rPr>
      </w:pPr>
    </w:p>
    <w:p>
      <w:pPr>
        <w:ind w:left="740" w:hanging="246"/>
        <w:spacing w:after="0" w:line="277"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Adjusted EBITDA does not reflect the impact of earnings or charges resulting from matters we consider not to be reflective, on a recurring basis, of our ongoing operations; and</w:t>
      </w:r>
    </w:p>
    <w:p>
      <w:pPr>
        <w:sectPr>
          <w:pgSz w:w="11900" w:h="16838" w:orient="portrait"/>
          <w:cols w:equalWidth="0" w:num="1">
            <w:col w:w="11240"/>
          </w:cols>
          <w:pgMar w:left="320" w:top="125" w:right="339" w:bottom="1440" w:gutter="0" w:footer="0" w:header="0"/>
        </w:sectPr>
      </w:pPr>
    </w:p>
    <w:p>
      <w:pPr>
        <w:spacing w:after="0" w:line="25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9" w:lineRule="exact"/>
        <w:rPr>
          <w:sz w:val="20"/>
          <w:szCs w:val="20"/>
          <w:color w:val="auto"/>
        </w:rPr>
      </w:pPr>
    </w:p>
    <w:p>
      <w:pPr>
        <w:ind w:left="740" w:hanging="246"/>
        <w:spacing w:after="0" w:line="277"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EBITDA or similarly titled measures differently than we do, limiting its usefulness as a comparative measure.</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adjust for these limitations by relying primarily on our GAAP results and using Adjusted EBITDA, as well as our other non-GAAP financial measures, only as supplemental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Net Income and Adjusted Earnings per Share</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Adjusted Net Income is defined as net income adjusted to add back certain charges and expenses, such as non-cash amortization of intangible assets resulting from business acquisition transactions, which will recur in future periods until these assets have been fully amortized, non-cash compensation costs and other items set forth in the table below, as these charges and expenses are not considered a part of our core business operations and are not an indicator of ongoing, future company performance.</w:t>
      </w: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Adjusted Earnings per Share - Basic and Diluted is calculated by dividing Adjusted Net Income by GAAP weighted-average common shares outstanding (basic and diluted).</w:t>
      </w:r>
    </w:p>
    <w:p>
      <w:pPr>
        <w:spacing w:after="0" w:line="1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Adjusted Net Income for the three months ended June 30, 2023 was $18.4 million, representing a slight increase of $0.1 million from Adjusted Net Income of $18.3 million for the three months ended June 30, 2022. The increase in Adjusted Net Income was primarily due to the decrease in Net Income discussed above offset by the higher net effect of the adjusting items detailed in the table below.</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reconciliation of Net Income, our closest GAAP measure, to Adjusted Net Income: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color w:val="auto"/>
                <w:w w:val="97"/>
              </w:rPr>
              <w:t>Three Months Ended June 30,</w:t>
            </w:r>
          </w:p>
        </w:tc>
      </w:tr>
      <w:tr>
        <w:trPr>
          <w:trHeight w:val="250"/>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 except for per share data)</w:t>
            </w:r>
          </w:p>
        </w:tc>
        <w:tc>
          <w:tcPr>
            <w:tcW w:w="3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15,984</w:t>
            </w: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Adjusted for:</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43"/>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 (a)</w:t>
            </w: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w:t>
            </w:r>
          </w:p>
        </w:tc>
      </w:tr>
      <w:tr>
        <w:trPr>
          <w:trHeight w:val="229"/>
        </w:trPr>
        <w:tc>
          <w:tcPr>
            <w:tcW w:w="6240" w:type="dxa"/>
            <w:vAlign w:val="bottom"/>
          </w:tcPr>
          <w:p>
            <w:pPr>
              <w:ind w:left="140"/>
              <w:spacing w:after="0"/>
              <w:rPr>
                <w:sz w:val="20"/>
                <w:szCs w:val="20"/>
                <w:color w:val="auto"/>
              </w:rPr>
            </w:pPr>
            <w:r>
              <w:rPr>
                <w:rFonts w:ascii="Arial" w:cs="Arial" w:eastAsia="Arial" w:hAnsi="Arial"/>
                <w:sz w:val="18"/>
                <w:szCs w:val="18"/>
                <w:color w:val="auto"/>
              </w:rPr>
              <w:t>Transaction costs (b)</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30"/>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charges and expenses (c)</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r>
      <w:tr>
        <w:trPr>
          <w:trHeight w:val="237"/>
        </w:trPr>
        <w:tc>
          <w:tcPr>
            <w:tcW w:w="6240" w:type="dxa"/>
            <w:vAlign w:val="bottom"/>
          </w:tcPr>
          <w:p>
            <w:pPr>
              <w:ind w:left="140"/>
              <w:spacing w:after="0"/>
              <w:rPr>
                <w:sz w:val="20"/>
                <w:szCs w:val="20"/>
                <w:color w:val="auto"/>
              </w:rPr>
            </w:pPr>
            <w:r>
              <w:rPr>
                <w:rFonts w:ascii="Arial" w:cs="Arial" w:eastAsia="Arial" w:hAnsi="Arial"/>
                <w:sz w:val="18"/>
                <w:szCs w:val="18"/>
                <w:color w:val="auto"/>
              </w:rPr>
              <w:t>Amortization of intangibles (d)</w:t>
            </w: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1,209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972</w:t>
            </w:r>
          </w:p>
        </w:tc>
      </w:tr>
      <w:tr>
        <w:trPr>
          <w:trHeight w:val="256"/>
        </w:trPr>
        <w:tc>
          <w:tcPr>
            <w:tcW w:w="6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Income tax benefit related to adjustments (e)</w:t>
            </w:r>
          </w:p>
        </w:tc>
        <w:tc>
          <w:tcPr>
            <w:tcW w:w="3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w:t>
            </w:r>
          </w:p>
        </w:tc>
      </w:tr>
      <w:tr>
        <w:trPr>
          <w:trHeight w:val="217"/>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Adjusted Net Income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18,369</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18,255</w:t>
            </w: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6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9"/>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Adjusted Earnings per Share</w:t>
            </w: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4"/>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r>
      <w:tr>
        <w:trPr>
          <w:trHeight w:val="229"/>
        </w:trPr>
        <w:tc>
          <w:tcPr>
            <w:tcW w:w="6240" w:type="dxa"/>
            <w:vAlign w:val="bottom"/>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0.50</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0.47</w:t>
            </w:r>
          </w:p>
        </w:tc>
      </w:tr>
      <w:tr>
        <w:trPr>
          <w:trHeight w:val="270"/>
        </w:trPr>
        <w:tc>
          <w:tcPr>
            <w:tcW w:w="62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39"/>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Weighted-average common shares outstanding</w:t>
            </w: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4"/>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36,001,670</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38,257,156</w:t>
            </w: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36,871,674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39,228,991</w:t>
            </w:r>
          </w:p>
        </w:tc>
      </w:tr>
    </w:tbl>
    <w:p>
      <w:pPr>
        <w:spacing w:after="0" w:line="322" w:lineRule="exact"/>
        <w:rPr>
          <w:sz w:val="20"/>
          <w:szCs w:val="20"/>
          <w:color w:val="auto"/>
        </w:rPr>
      </w:pPr>
    </w:p>
    <w:p>
      <w:pPr>
        <w:ind w:left="420" w:hanging="331"/>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share-based compensation relating to equity awards granted to employees and independent directors of the Company.</w:t>
      </w:r>
    </w:p>
    <w:p>
      <w:pPr>
        <w:spacing w:after="0" w:line="23" w:lineRule="exact"/>
        <w:rPr>
          <w:rFonts w:ascii="Arial" w:cs="Arial" w:eastAsia="Arial" w:hAnsi="Arial"/>
          <w:sz w:val="18"/>
          <w:szCs w:val="18"/>
          <w:color w:val="auto"/>
        </w:rPr>
      </w:pPr>
    </w:p>
    <w:p>
      <w:pPr>
        <w:ind w:left="420" w:hanging="331"/>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primarily financial advisory, professional and legal fees related to business acquisition transactions.</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primarily loss on disposal of fixed assets.</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the amortization of intangible assets that resulted from business acquisition transactions.</w:t>
      </w:r>
    </w:p>
    <w:p>
      <w:pPr>
        <w:spacing w:after="0" w:line="9" w:lineRule="exact"/>
        <w:rPr>
          <w:rFonts w:ascii="Arial" w:cs="Arial" w:eastAsia="Arial" w:hAnsi="Arial"/>
          <w:sz w:val="18"/>
          <w:szCs w:val="18"/>
          <w:color w:val="auto"/>
        </w:rPr>
      </w:pPr>
    </w:p>
    <w:p>
      <w:pPr>
        <w:ind w:left="420" w:hanging="331"/>
        <w:spacing w:after="0" w:line="260" w:lineRule="auto"/>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the current and deferred tax impact of the taxable adjustments to Net Income using the Company’s blended federal and state tax rate for each period. Relevant tax-deductible adjustments include all adjustments to Net Income.</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Adjusted Earnings per Share - Basic for the three months ended June 30, 2023 was $0.51, representing an increase of $0.03, or 6.3%, compared to $0.48 for the three months ended June 30, 2022. The increase in Adjusted Earnings per Share - Basic was primarily due to the higher net effect of the adjusting items detailed in the table above combined with a lower weighted average common shares total for the period due to stock repurchases.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Adjusted Earnings per Share - Diluted for the three months ended June 30, 2023 was $0.50, representing an increase of $0.03, or 6.4%, compared to $0.47 for the three months ended June 30, 2022. The increase in Adjusted Earnings per Share - Diluted was primarily due to</w:t>
      </w:r>
    </w:p>
    <w:p>
      <w:pPr>
        <w:spacing w:after="0" w:line="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higher net effect of the adjusting items detailed in the table above combined with a lower weighted average common shares total for the period due to stock repurchases.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reconciliation of GAAP Earnings per Share, our closest GAAP measure, to Adjusted Earnings per Share: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center"/>
              <w:ind w:left="430"/>
              <w:spacing w:after="0"/>
              <w:rPr>
                <w:sz w:val="20"/>
                <w:szCs w:val="20"/>
                <w:color w:val="auto"/>
              </w:rPr>
            </w:pPr>
            <w:r>
              <w:rPr>
                <w:rFonts w:ascii="Arial" w:cs="Arial" w:eastAsia="Arial" w:hAnsi="Arial"/>
                <w:sz w:val="18"/>
                <w:szCs w:val="18"/>
                <w:color w:val="auto"/>
                <w:w w:val="90"/>
              </w:rPr>
              <w:t>Three Months Ended June 30,</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50"/>
        </w:trPr>
        <w:tc>
          <w:tcPr>
            <w:tcW w:w="466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right"/>
              <w:ind w:right="830"/>
              <w:spacing w:after="0"/>
              <w:rPr>
                <w:sz w:val="20"/>
                <w:szCs w:val="20"/>
                <w:color w:val="auto"/>
              </w:rPr>
            </w:pPr>
            <w:r>
              <w:rPr>
                <w:rFonts w:ascii="Arial" w:cs="Arial" w:eastAsia="Arial" w:hAnsi="Arial"/>
                <w:sz w:val="18"/>
                <w:szCs w:val="18"/>
                <w:color w:val="auto"/>
              </w:rPr>
              <w:t>2023</w:t>
            </w:r>
          </w:p>
        </w:tc>
        <w:tc>
          <w:tcPr>
            <w:tcW w:w="4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color w:val="auto"/>
              </w:rPr>
              <w:t>2022</w:t>
            </w:r>
          </w:p>
        </w:tc>
        <w:tc>
          <w:tcPr>
            <w:tcW w:w="1220" w:type="dxa"/>
            <w:vAlign w:val="bottom"/>
            <w:tcBorders>
              <w:bottom w:val="single" w:sz="8" w:color="auto"/>
            </w:tcBorders>
          </w:tcPr>
          <w:p>
            <w:pPr>
              <w:spacing w:after="0"/>
              <w:rPr>
                <w:sz w:val="21"/>
                <w:szCs w:val="21"/>
                <w:color w:val="auto"/>
              </w:rPr>
            </w:pPr>
          </w:p>
        </w:tc>
      </w:tr>
      <w:tr>
        <w:trPr>
          <w:trHeight w:val="229"/>
        </w:trPr>
        <w:tc>
          <w:tcPr>
            <w:tcW w:w="466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Basic</w:t>
            </w:r>
          </w:p>
        </w:tc>
        <w:tc>
          <w:tcPr>
            <w:tcW w:w="5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Diluted</w:t>
            </w:r>
          </w:p>
        </w:tc>
        <w:tc>
          <w:tcPr>
            <w:tcW w:w="4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b w:val="1"/>
                <w:bCs w:val="1"/>
                <w:color w:val="auto"/>
              </w:rPr>
              <w:t>Basic</w:t>
            </w:r>
          </w:p>
        </w:tc>
        <w:tc>
          <w:tcPr>
            <w:tcW w:w="5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Diluted</w:t>
            </w: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GAAP Earnings per Share</w:t>
            </w:r>
          </w:p>
        </w:tc>
        <w:tc>
          <w:tcPr>
            <w:tcW w:w="1000" w:type="dxa"/>
            <w:vAlign w:val="bottom"/>
          </w:tcPr>
          <w:p>
            <w:pPr>
              <w:jc w:val="right"/>
              <w:ind w:right="79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Pr>
          <w:p>
            <w:pPr>
              <w:jc w:val="center"/>
              <w:spacing w:after="0"/>
              <w:rPr>
                <w:sz w:val="20"/>
                <w:szCs w:val="20"/>
                <w:color w:val="auto"/>
              </w:rPr>
            </w:pPr>
            <w:r>
              <w:rPr>
                <w:rFonts w:ascii="Arial" w:cs="Arial" w:eastAsia="Arial" w:hAnsi="Arial"/>
                <w:sz w:val="18"/>
                <w:szCs w:val="18"/>
                <w:b w:val="1"/>
                <w:bCs w:val="1"/>
                <w:color w:val="auto"/>
                <w:w w:val="91"/>
              </w:rPr>
              <w:t>0.43</w:t>
            </w:r>
          </w:p>
        </w:tc>
        <w:tc>
          <w:tcPr>
            <w:tcW w:w="120" w:type="dxa"/>
            <w:vAlign w:val="bottom"/>
          </w:tcPr>
          <w:p>
            <w:pPr>
              <w:spacing w:after="0"/>
              <w:rPr>
                <w:sz w:val="19"/>
                <w:szCs w:val="19"/>
                <w:color w:val="auto"/>
              </w:rPr>
            </w:pPr>
          </w:p>
        </w:tc>
        <w:tc>
          <w:tcPr>
            <w:tcW w:w="1040" w:type="dxa"/>
            <w:vAlign w:val="bottom"/>
          </w:tcPr>
          <w:p>
            <w:pPr>
              <w:jc w:val="right"/>
              <w:ind w:right="850"/>
              <w:spacing w:after="0"/>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center"/>
              <w:spacing w:after="0"/>
              <w:rPr>
                <w:sz w:val="20"/>
                <w:szCs w:val="20"/>
                <w:color w:val="auto"/>
              </w:rPr>
            </w:pPr>
            <w:r>
              <w:rPr>
                <w:rFonts w:ascii="Arial" w:cs="Arial" w:eastAsia="Arial" w:hAnsi="Arial"/>
                <w:sz w:val="18"/>
                <w:szCs w:val="18"/>
                <w:b w:val="1"/>
                <w:bCs w:val="1"/>
                <w:color w:val="auto"/>
                <w:w w:val="85"/>
              </w:rPr>
              <w:t>0.42</w:t>
            </w:r>
          </w:p>
        </w:tc>
        <w:tc>
          <w:tcPr>
            <w:tcW w:w="120" w:type="dxa"/>
            <w:vAlign w:val="bottom"/>
          </w:tcPr>
          <w:p>
            <w:pPr>
              <w:spacing w:after="0"/>
              <w:rPr>
                <w:sz w:val="19"/>
                <w:szCs w:val="19"/>
                <w:color w:val="auto"/>
              </w:rPr>
            </w:pPr>
          </w:p>
        </w:tc>
        <w:tc>
          <w:tcPr>
            <w:tcW w:w="1160" w:type="dxa"/>
            <w:vAlign w:val="bottom"/>
          </w:tcPr>
          <w:p>
            <w:pPr>
              <w:jc w:val="center"/>
              <w:ind w:right="97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Pr>
          <w:p>
            <w:pPr>
              <w:jc w:val="center"/>
              <w:spacing w:after="0"/>
              <w:rPr>
                <w:sz w:val="20"/>
                <w:szCs w:val="20"/>
                <w:color w:val="auto"/>
              </w:rPr>
            </w:pPr>
            <w:r>
              <w:rPr>
                <w:rFonts w:ascii="Arial" w:cs="Arial" w:eastAsia="Arial" w:hAnsi="Arial"/>
                <w:sz w:val="18"/>
                <w:szCs w:val="18"/>
                <w:b w:val="1"/>
                <w:bCs w:val="1"/>
                <w:color w:val="auto"/>
                <w:w w:val="85"/>
              </w:rPr>
              <w:t>0.42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center"/>
              <w:ind w:left="650"/>
              <w:spacing w:after="0"/>
              <w:rPr>
                <w:sz w:val="20"/>
                <w:szCs w:val="20"/>
                <w:color w:val="auto"/>
              </w:rPr>
            </w:pPr>
            <w:r>
              <w:rPr>
                <w:rFonts w:ascii="Arial" w:cs="Arial" w:eastAsia="Arial" w:hAnsi="Arial"/>
                <w:sz w:val="18"/>
                <w:szCs w:val="18"/>
                <w:b w:val="1"/>
                <w:bCs w:val="1"/>
                <w:color w:val="auto"/>
                <w:w w:val="91"/>
              </w:rPr>
              <w:t>0.41</w:t>
            </w:r>
          </w:p>
        </w:tc>
      </w:tr>
      <w:tr>
        <w:trPr>
          <w:trHeight w:val="24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for:</w:t>
            </w:r>
          </w:p>
        </w:tc>
        <w:tc>
          <w:tcPr>
            <w:tcW w:w="10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30"/>
        </w:trPr>
        <w:tc>
          <w:tcPr>
            <w:tcW w:w="4660" w:type="dxa"/>
            <w:vAlign w:val="bottom"/>
          </w:tcPr>
          <w:p>
            <w:pPr>
              <w:ind w:left="140"/>
              <w:spacing w:after="0"/>
              <w:rPr>
                <w:sz w:val="20"/>
                <w:szCs w:val="20"/>
                <w:color w:val="auto"/>
              </w:rPr>
            </w:pPr>
            <w:r>
              <w:rPr>
                <w:rFonts w:ascii="Arial" w:cs="Arial" w:eastAsia="Arial" w:hAnsi="Arial"/>
                <w:sz w:val="18"/>
                <w:szCs w:val="18"/>
                <w:color w:val="auto"/>
              </w:rPr>
              <w:t>Share-based compensation</w:t>
            </w:r>
          </w:p>
        </w:tc>
        <w:tc>
          <w:tcPr>
            <w:tcW w:w="100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1"/>
              </w:rPr>
              <w:t>0.06</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5"/>
              </w:rPr>
              <w:t>0.06</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5"/>
              </w:rPr>
              <w:t>0.04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center"/>
              <w:ind w:left="650"/>
              <w:spacing w:after="0"/>
              <w:rPr>
                <w:sz w:val="20"/>
                <w:szCs w:val="20"/>
                <w:color w:val="auto"/>
              </w:rPr>
            </w:pPr>
            <w:r>
              <w:rPr>
                <w:rFonts w:ascii="Arial" w:cs="Arial" w:eastAsia="Arial" w:hAnsi="Arial"/>
                <w:sz w:val="18"/>
                <w:szCs w:val="18"/>
                <w:color w:val="auto"/>
                <w:w w:val="91"/>
              </w:rPr>
              <w:t>0.04</w:t>
            </w:r>
          </w:p>
        </w:tc>
      </w:tr>
      <w:tr>
        <w:trPr>
          <w:trHeight w:val="229"/>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Transaction costs</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0.01</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0.01</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0.01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91"/>
              </w:rPr>
              <w:t>0.01</w:t>
            </w:r>
          </w:p>
        </w:tc>
      </w:tr>
      <w:tr>
        <w:trPr>
          <w:trHeight w:val="237"/>
        </w:trPr>
        <w:tc>
          <w:tcPr>
            <w:tcW w:w="4660" w:type="dxa"/>
            <w:vAlign w:val="bottom"/>
          </w:tcPr>
          <w:p>
            <w:pPr>
              <w:ind w:left="140"/>
              <w:spacing w:after="0"/>
              <w:rPr>
                <w:sz w:val="20"/>
                <w:szCs w:val="20"/>
                <w:color w:val="auto"/>
              </w:rPr>
            </w:pPr>
            <w:r>
              <w:rPr>
                <w:rFonts w:ascii="Arial" w:cs="Arial" w:eastAsia="Arial" w:hAnsi="Arial"/>
                <w:sz w:val="18"/>
                <w:szCs w:val="18"/>
                <w:color w:val="auto"/>
              </w:rPr>
              <w:t>Other charges and expenses</w:t>
            </w:r>
          </w:p>
        </w:tc>
        <w:tc>
          <w:tcPr>
            <w:tcW w:w="100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1"/>
              </w:rPr>
              <w:t>0.01</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5"/>
              </w:rPr>
              <w:t>0.01</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5"/>
              </w:rPr>
              <w:t>0.01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center"/>
              <w:ind w:left="650"/>
              <w:spacing w:after="0"/>
              <w:rPr>
                <w:sz w:val="20"/>
                <w:szCs w:val="20"/>
                <w:color w:val="auto"/>
              </w:rPr>
            </w:pPr>
            <w:r>
              <w:rPr>
                <w:rFonts w:ascii="Arial" w:cs="Arial" w:eastAsia="Arial" w:hAnsi="Arial"/>
                <w:sz w:val="18"/>
                <w:szCs w:val="18"/>
                <w:color w:val="auto"/>
                <w:w w:val="91"/>
              </w:rPr>
              <w:t>0.01</w:t>
            </w:r>
          </w:p>
        </w:tc>
      </w:tr>
      <w:tr>
        <w:trPr>
          <w:trHeight w:val="236"/>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intangibles</w:t>
            </w:r>
          </w:p>
        </w:tc>
        <w:tc>
          <w:tcPr>
            <w:tcW w:w="1000" w:type="dxa"/>
            <w:vAlign w:val="bottom"/>
            <w:shd w:val="clear" w:color="auto" w:fill="CCEEFF"/>
          </w:tcPr>
          <w:p>
            <w:pPr>
              <w:spacing w:after="0"/>
              <w:rPr>
                <w:sz w:val="20"/>
                <w:szCs w:val="20"/>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0.03</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0.03</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0.03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91"/>
              </w:rPr>
              <w:t>0.02</w:t>
            </w:r>
          </w:p>
        </w:tc>
      </w:tr>
      <w:tr>
        <w:trPr>
          <w:trHeight w:val="237"/>
        </w:trPr>
        <w:tc>
          <w:tcPr>
            <w:tcW w:w="46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tax benefit related to adjustments</w:t>
            </w:r>
          </w:p>
        </w:tc>
        <w:tc>
          <w:tcPr>
            <w:tcW w:w="10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(0.04)</w:t>
            </w:r>
          </w:p>
        </w:tc>
        <w:tc>
          <w:tcPr>
            <w:tcW w:w="12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(0.03)</w:t>
            </w:r>
          </w:p>
        </w:tc>
        <w:tc>
          <w:tcPr>
            <w:tcW w:w="12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(0.02)</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left="630"/>
              <w:spacing w:after="0"/>
              <w:rPr>
                <w:sz w:val="20"/>
                <w:szCs w:val="20"/>
                <w:color w:val="auto"/>
              </w:rPr>
            </w:pPr>
            <w:r>
              <w:rPr>
                <w:rFonts w:ascii="Arial" w:cs="Arial" w:eastAsia="Arial" w:hAnsi="Arial"/>
                <w:sz w:val="18"/>
                <w:szCs w:val="18"/>
                <w:color w:val="auto"/>
                <w:w w:val="89"/>
              </w:rPr>
              <w:t>(0.02)</w:t>
            </w:r>
          </w:p>
        </w:tc>
      </w:tr>
      <w:tr>
        <w:trPr>
          <w:trHeight w:val="268"/>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Earnings per Share</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0.51</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5"/>
              </w:rPr>
              <w:t>0.50</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center"/>
              <w:ind w:right="97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5"/>
              </w:rPr>
              <w:t>0.48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center"/>
              <w:ind w:left="650"/>
              <w:spacing w:after="0"/>
              <w:rPr>
                <w:sz w:val="20"/>
                <w:szCs w:val="20"/>
                <w:color w:val="auto"/>
              </w:rPr>
            </w:pPr>
            <w:r>
              <w:rPr>
                <w:rFonts w:ascii="Arial" w:cs="Arial" w:eastAsia="Arial" w:hAnsi="Arial"/>
                <w:sz w:val="18"/>
                <w:szCs w:val="18"/>
                <w:b w:val="1"/>
                <w:bCs w:val="1"/>
                <w:color w:val="auto"/>
                <w:w w:val="91"/>
              </w:rPr>
              <w:t>0.47</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above may contain slight summation differences due to rounding.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EBITDA</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Adjusted EBITDA is defined as net income before depreciation and amortization, interest expense, income taxes, and also adjusted to add back certain charges and expenses, such as non-cash share-based compensation costs and other items set forth in the table below, as these charges and expenses are not considered a part of our core business operations and are not an indicator of ongoing, future company performance.</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Adjusted EBITDA for the three months ended June 30, 2023 was $30.9 million, representing an increase of $3.2 million, or 11.7%, from $27.7 million for the three months ended June 30, 2022. The increase in Adjusted EBITDA was primarily due to the decrease in Net Income discussed above offset by the higher net effect of the adjusting items detailed in the table below.</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reconciliation of Net Income, our closest GAAP measure, to Adjusted EBITDA:</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color w:val="auto"/>
                <w:w w:val="96"/>
              </w:rPr>
              <w:t>Three Months Ended June 30,</w:t>
            </w:r>
          </w:p>
        </w:tc>
      </w:tr>
      <w:tr>
        <w:trPr>
          <w:trHeight w:val="237"/>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15,984</w:t>
            </w:r>
          </w:p>
        </w:tc>
      </w:tr>
      <w:tr>
        <w:trPr>
          <w:trHeight w:val="239"/>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Adjusted for:</w:t>
            </w: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4"/>
        </w:trPr>
        <w:tc>
          <w:tcPr>
            <w:tcW w:w="6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r>
      <w:tr>
        <w:trPr>
          <w:trHeight w:val="230"/>
        </w:trPr>
        <w:tc>
          <w:tcPr>
            <w:tcW w:w="6280" w:type="dxa"/>
            <w:vAlign w:val="bottom"/>
          </w:tcPr>
          <w:p>
            <w:pPr>
              <w:ind w:left="140"/>
              <w:spacing w:after="0"/>
              <w:rPr>
                <w:sz w:val="20"/>
                <w:szCs w:val="20"/>
                <w:color w:val="auto"/>
              </w:rPr>
            </w:pPr>
            <w:r>
              <w:rPr>
                <w:rFonts w:ascii="Arial" w:cs="Arial" w:eastAsia="Arial" w:hAnsi="Arial"/>
                <w:sz w:val="18"/>
                <w:szCs w:val="18"/>
                <w:color w:val="auto"/>
              </w:rPr>
              <w:t>Income tax provision</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6,111</w:t>
            </w:r>
          </w:p>
        </w:tc>
      </w:tr>
      <w:tr>
        <w:trPr>
          <w:trHeight w:val="263"/>
        </w:trPr>
        <w:tc>
          <w:tcPr>
            <w:tcW w:w="6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w:t>
            </w:r>
          </w:p>
        </w:tc>
      </w:tr>
      <w:tr>
        <w:trPr>
          <w:trHeight w:val="217"/>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EBITDA</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27,877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25,458</w:t>
            </w:r>
          </w:p>
        </w:tc>
      </w:tr>
      <w:tr>
        <w:trPr>
          <w:trHeight w:val="230"/>
        </w:trPr>
        <w:tc>
          <w:tcPr>
            <w:tcW w:w="6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 (a)</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w:t>
            </w:r>
          </w:p>
        </w:tc>
      </w:tr>
      <w:tr>
        <w:trPr>
          <w:trHeight w:val="237"/>
        </w:trPr>
        <w:tc>
          <w:tcPr>
            <w:tcW w:w="6280" w:type="dxa"/>
            <w:vAlign w:val="bottom"/>
          </w:tcPr>
          <w:p>
            <w:pPr>
              <w:ind w:left="140"/>
              <w:spacing w:after="0"/>
              <w:rPr>
                <w:sz w:val="20"/>
                <w:szCs w:val="20"/>
                <w:color w:val="auto"/>
              </w:rPr>
            </w:pPr>
            <w:r>
              <w:rPr>
                <w:rFonts w:ascii="Arial" w:cs="Arial" w:eastAsia="Arial" w:hAnsi="Arial"/>
                <w:sz w:val="18"/>
                <w:szCs w:val="18"/>
                <w:color w:val="auto"/>
              </w:rPr>
              <w:t>Transaction costs (b)</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56"/>
        </w:trPr>
        <w:tc>
          <w:tcPr>
            <w:tcW w:w="6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charges and expenses (c)</w:t>
            </w:r>
          </w:p>
        </w:tc>
        <w:tc>
          <w:tcPr>
            <w:tcW w:w="2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r>
      <w:tr>
        <w:trPr>
          <w:trHeight w:val="216"/>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30,889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27,656</w:t>
            </w:r>
          </w:p>
        </w:tc>
      </w:tr>
      <w:tr>
        <w:trPr>
          <w:trHeight w:val="21"/>
        </w:trPr>
        <w:tc>
          <w:tcPr>
            <w:tcW w:w="6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420" w:hanging="331"/>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share-based compensation relating to equity awards granted to employees and independent directors of the Company.</w:t>
      </w:r>
    </w:p>
    <w:p>
      <w:pPr>
        <w:spacing w:after="0" w:line="23" w:lineRule="exact"/>
        <w:rPr>
          <w:rFonts w:ascii="Arial" w:cs="Arial" w:eastAsia="Arial" w:hAnsi="Arial"/>
          <w:sz w:val="18"/>
          <w:szCs w:val="18"/>
          <w:color w:val="auto"/>
        </w:rPr>
      </w:pPr>
    </w:p>
    <w:p>
      <w:pPr>
        <w:ind w:left="420" w:hanging="331"/>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primarily financial advisory, professional and legal fees related to business acquisition transactions.</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primarily loss on disposal of fixed assets.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2023 Compared to Six Months Ended June 30, 2022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Revenues for the above periods are presented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thousands)</w:t>
            </w:r>
          </w:p>
        </w:tc>
        <w:tc>
          <w:tcPr>
            <w:tcW w:w="100" w:type="dxa"/>
            <w:vAlign w:val="bottom"/>
          </w:tcPr>
          <w:p>
            <w:pPr>
              <w:spacing w:after="0"/>
              <w:rPr>
                <w:sz w:val="17"/>
                <w:szCs w:val="17"/>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w w:val="91"/>
              </w:rPr>
              <w:t>Six Months Ended</w:t>
            </w:r>
          </w:p>
        </w:tc>
        <w:tc>
          <w:tcPr>
            <w:tcW w:w="1360" w:type="dxa"/>
            <w:vAlign w:val="bottom"/>
          </w:tcPr>
          <w:p>
            <w:pPr>
              <w:jc w:val="right"/>
              <w:ind w:right="410"/>
              <w:spacing w:after="0"/>
              <w:rPr>
                <w:sz w:val="20"/>
                <w:szCs w:val="20"/>
                <w:color w:val="auto"/>
              </w:rPr>
            </w:pPr>
            <w:r>
              <w:rPr>
                <w:rFonts w:ascii="Arial" w:cs="Arial" w:eastAsia="Arial" w:hAnsi="Arial"/>
                <w:sz w:val="18"/>
                <w:szCs w:val="18"/>
                <w:color w:val="auto"/>
              </w:rPr>
              <w:t>% of</w:t>
            </w:r>
          </w:p>
        </w:tc>
        <w:tc>
          <w:tcPr>
            <w:tcW w:w="120" w:type="dxa"/>
            <w:vAlign w:val="bottom"/>
          </w:tcPr>
          <w:p>
            <w:pPr>
              <w:spacing w:after="0"/>
              <w:rPr>
                <w:sz w:val="17"/>
                <w:szCs w:val="17"/>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w w:val="90"/>
              </w:rPr>
              <w:t>Six Months Ended</w:t>
            </w: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 of</w:t>
            </w:r>
          </w:p>
        </w:tc>
        <w:tc>
          <w:tcPr>
            <w:tcW w:w="0" w:type="dxa"/>
            <w:vAlign w:val="bottom"/>
          </w:tcPr>
          <w:p>
            <w:pPr>
              <w:spacing w:after="0"/>
              <w:rPr>
                <w:sz w:val="1"/>
                <w:szCs w:val="1"/>
                <w:color w:val="auto"/>
              </w:rPr>
            </w:pPr>
          </w:p>
        </w:tc>
      </w:tr>
      <w:tr>
        <w:trPr>
          <w:trHeight w:val="237"/>
        </w:trPr>
        <w:tc>
          <w:tcPr>
            <w:tcW w:w="410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June 30, 2023</w:t>
            </w:r>
          </w:p>
        </w:tc>
        <w:tc>
          <w:tcPr>
            <w:tcW w:w="1360" w:type="dxa"/>
            <w:vAlign w:val="bottom"/>
            <w:tcBorders>
              <w:bottom w:val="single" w:sz="8" w:color="CCEEFF"/>
            </w:tcBorders>
          </w:tcPr>
          <w:p>
            <w:pPr>
              <w:jc w:val="right"/>
              <w:ind w:right="230"/>
              <w:spacing w:after="0"/>
              <w:rPr>
                <w:sz w:val="20"/>
                <w:szCs w:val="20"/>
                <w:color w:val="auto"/>
              </w:rPr>
            </w:pPr>
            <w:r>
              <w:rPr>
                <w:rFonts w:ascii="Arial" w:cs="Arial" w:eastAsia="Arial" w:hAnsi="Arial"/>
                <w:sz w:val="18"/>
                <w:szCs w:val="18"/>
                <w:color w:val="auto"/>
              </w:rPr>
              <w:t>Revenues</w:t>
            </w: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June 30, 2022</w:t>
            </w:r>
          </w:p>
        </w:tc>
        <w:tc>
          <w:tcPr>
            <w:tcW w:w="124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Revenues</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140"/>
              <w:spacing w:after="0"/>
              <w:rPr>
                <w:sz w:val="20"/>
                <w:szCs w:val="20"/>
                <w:color w:val="auto"/>
              </w:rPr>
            </w:pPr>
            <w:r>
              <w:rPr>
                <w:rFonts w:ascii="Arial" w:cs="Arial" w:eastAsia="Arial" w:hAnsi="Arial"/>
                <w:sz w:val="18"/>
                <w:szCs w:val="18"/>
                <w:color w:val="auto"/>
              </w:rPr>
              <w:t>Wire transfer and money order fees, net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268,968</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86 %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215,621</w:t>
            </w:r>
          </w:p>
        </w:tc>
        <w:tc>
          <w:tcPr>
            <w:tcW w:w="1240" w:type="dxa"/>
            <w:vAlign w:val="bottom"/>
          </w:tcPr>
          <w:p>
            <w:pPr>
              <w:jc w:val="right"/>
              <w:spacing w:after="0"/>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243"/>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exchange gain, net</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41,550</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13 %</w:t>
            </w: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33,868</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37"/>
        </w:trPr>
        <w:tc>
          <w:tcPr>
            <w:tcW w:w="4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w:t>
            </w: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3,996</w:t>
            </w:r>
          </w:p>
        </w:tc>
        <w:tc>
          <w:tcPr>
            <w:tcW w:w="136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w:t>
            </w: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55"/>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314,514</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251,600</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Wire transfer and money order fees, net of $269.0 million for the six months ended June 30, 2023 increased by $53.4 million, or 24.7%, from $215.6 million for the six months ended June 30, 2022. The increase was primarily due to a 27.6% increase in transaction volume in the six months ended June 30, 2023 compared to the six months ended June 30, 2022, largely due to the continued growth in our agent network that expanded as a result of the La Nacional and LAN Holdings acquisitions, which network increased by 38.3% when compared to June 30, 2022.</w:t>
      </w:r>
    </w:p>
    <w:p>
      <w:pPr>
        <w:spacing w:after="0" w:line="19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Revenues from foreign exchange gain, net of $41.6 million for the six months ended June 30, 2023 increased by $7.7 million, or 22.7%, from $33.9 million for the six months ended June 30, 2022. This increase was primarily due to higher transaction volume achieved by growth in our agent network as well as increased foreign exchange volatility in the Guatemalan quetzal during the six months ended June 30, 2023.</w:t>
      </w:r>
    </w:p>
    <w:p>
      <w:pPr>
        <w:spacing w:after="0" w:line="2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Other income of $4.0 million for the three months ended June 30, 2023 increased by $1.9 million, or 90.5%, from $2.1 million for the three months ended June 30, 2022 primarily due to the impact of the revenue generated from other ancillary services provided by La Nacional and LAN Holdings to a particular segment of their consumer bases and commercial customers, an increase in fees related to higher volume of transfers deemed abandoned property, as well as an increase in income related to money transfer transactions paid with debit or credit card.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expenses for the above periods are presented below:</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in thousands)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expenses:</w:t>
      </w:r>
    </w:p>
    <w:p>
      <w:pPr>
        <w:spacing w:after="0" w:line="23" w:lineRule="exact"/>
        <w:rPr>
          <w:sz w:val="20"/>
          <w:szCs w:val="20"/>
          <w:color w:val="auto"/>
        </w:rPr>
      </w:pPr>
    </w:p>
    <w:p>
      <w:pPr>
        <w:ind w:left="140" w:right="840"/>
        <w:spacing w:after="0" w:line="273" w:lineRule="auto"/>
        <w:rPr>
          <w:sz w:val="20"/>
          <w:szCs w:val="20"/>
          <w:color w:val="auto"/>
        </w:rPr>
      </w:pPr>
      <w:r>
        <w:rPr>
          <w:rFonts w:ascii="Arial" w:cs="Arial" w:eastAsia="Arial" w:hAnsi="Arial"/>
          <w:sz w:val="18"/>
          <w:szCs w:val="18"/>
          <w:color w:val="auto"/>
        </w:rPr>
        <w:t>Service charges from agents and banks Salaries and benefits</w:t>
      </w:r>
    </w:p>
    <w:p>
      <w:pPr>
        <w:spacing w:after="0" w:line="1" w:lineRule="exact"/>
        <w:rPr>
          <w:sz w:val="20"/>
          <w:szCs w:val="20"/>
          <w:color w:val="auto"/>
        </w:rPr>
      </w:pPr>
    </w:p>
    <w:p>
      <w:pPr>
        <w:ind w:left="140"/>
        <w:spacing w:after="0" w:line="297" w:lineRule="auto"/>
        <w:rPr>
          <w:sz w:val="20"/>
          <w:szCs w:val="20"/>
          <w:color w:val="auto"/>
        </w:rPr>
      </w:pPr>
      <w:r>
        <w:rPr>
          <w:rFonts w:ascii="Arial" w:cs="Arial" w:eastAsia="Arial" w:hAnsi="Arial"/>
          <w:sz w:val="18"/>
          <w:szCs w:val="18"/>
          <w:color w:val="auto"/>
        </w:rPr>
        <w:t>Other selling, general and administrative expenses Depreciation and amortization</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operating expenses</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jc w:val="center"/>
        <w:ind w:left="-51"/>
        <w:spacing w:after="0"/>
        <w:rPr>
          <w:sz w:val="20"/>
          <w:szCs w:val="20"/>
          <w:color w:val="auto"/>
        </w:rPr>
      </w:pPr>
      <w:r>
        <w:rPr>
          <w:rFonts w:ascii="Arial" w:cs="Arial" w:eastAsia="Arial" w:hAnsi="Arial"/>
          <w:sz w:val="18"/>
          <w:szCs w:val="18"/>
          <w:color w:val="auto"/>
        </w:rPr>
        <w:t>Six Months Ended</w:t>
      </w:r>
    </w:p>
    <w:p>
      <w:pPr>
        <w:jc w:val="center"/>
        <w:ind w:left="-51"/>
        <w:spacing w:after="0"/>
        <w:rPr>
          <w:sz w:val="20"/>
          <w:szCs w:val="20"/>
          <w:color w:val="auto"/>
        </w:rPr>
      </w:pPr>
      <w:r>
        <w:rPr>
          <w:rFonts w:ascii="Arial" w:cs="Arial" w:eastAsia="Arial" w:hAnsi="Arial"/>
          <w:sz w:val="18"/>
          <w:szCs w:val="18"/>
          <w:color w:val="auto"/>
        </w:rPr>
        <w:t>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13335</wp:posOffset>
            </wp:positionV>
            <wp:extent cx="102870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28700" cy="17145"/>
                    </a:xfrm>
                    <a:prstGeom prst="rect">
                      <a:avLst/>
                    </a:prstGeom>
                    <a:noFill/>
                  </pic:spPr>
                </pic:pic>
              </a:graphicData>
            </a:graphic>
          </wp:anchor>
        </w:drawing>
      </w:r>
    </w:p>
    <w:p>
      <w:pPr>
        <w:spacing w:after="0" w:line="243" w:lineRule="exact"/>
        <w:rPr>
          <w:sz w:val="20"/>
          <w:szCs w:val="20"/>
          <w:color w:val="auto"/>
        </w:rPr>
      </w:pPr>
    </w:p>
    <w:p>
      <w:pPr>
        <w:ind w:left="952" w:hanging="952"/>
        <w:spacing w:after="0"/>
        <w:tabs>
          <w:tab w:leader="none" w:pos="952" w:val="left"/>
        </w:tabs>
        <w:numPr>
          <w:ilvl w:val="0"/>
          <w:numId w:val="17"/>
        </w:numPr>
        <w:rPr>
          <w:rFonts w:ascii="Arial" w:cs="Arial" w:eastAsia="Arial" w:hAnsi="Arial"/>
          <w:sz w:val="16"/>
          <w:szCs w:val="16"/>
          <w:color w:val="auto"/>
        </w:rPr>
      </w:pPr>
      <w:r>
        <w:rPr>
          <w:rFonts w:ascii="Arial" w:cs="Arial" w:eastAsia="Arial" w:hAnsi="Arial"/>
          <w:sz w:val="16"/>
          <w:szCs w:val="16"/>
          <w:color w:val="auto"/>
        </w:rPr>
        <w:t>207,113</w:t>
      </w:r>
    </w:p>
    <w:p>
      <w:pPr>
        <w:spacing w:after="0" w:line="46" w:lineRule="exact"/>
        <w:rPr>
          <w:rFonts w:ascii="Arial" w:cs="Arial" w:eastAsia="Arial" w:hAnsi="Arial"/>
          <w:sz w:val="16"/>
          <w:szCs w:val="16"/>
          <w:color w:val="auto"/>
        </w:rPr>
      </w:pPr>
    </w:p>
    <w:p>
      <w:pPr>
        <w:ind w:left="1032"/>
        <w:spacing w:after="0"/>
        <w:rPr>
          <w:rFonts w:ascii="Arial" w:cs="Arial" w:eastAsia="Arial" w:hAnsi="Arial"/>
          <w:sz w:val="16"/>
          <w:szCs w:val="16"/>
          <w:color w:val="auto"/>
        </w:rPr>
      </w:pPr>
      <w:r>
        <w:rPr>
          <w:rFonts w:ascii="Arial" w:cs="Arial" w:eastAsia="Arial" w:hAnsi="Arial"/>
          <w:sz w:val="16"/>
          <w:szCs w:val="16"/>
          <w:color w:val="auto"/>
        </w:rPr>
        <w:t>33,808</w:t>
      </w:r>
    </w:p>
    <w:p>
      <w:pPr>
        <w:spacing w:after="0" w:line="58" w:lineRule="exact"/>
        <w:rPr>
          <w:rFonts w:ascii="Arial" w:cs="Arial" w:eastAsia="Arial" w:hAnsi="Arial"/>
          <w:sz w:val="16"/>
          <w:szCs w:val="16"/>
          <w:color w:val="auto"/>
        </w:rPr>
      </w:pPr>
    </w:p>
    <w:p>
      <w:pPr>
        <w:ind w:left="1032"/>
        <w:spacing w:after="0"/>
        <w:rPr>
          <w:rFonts w:ascii="Arial" w:cs="Arial" w:eastAsia="Arial" w:hAnsi="Arial"/>
          <w:sz w:val="16"/>
          <w:szCs w:val="16"/>
          <w:color w:val="auto"/>
        </w:rPr>
      </w:pPr>
      <w:r>
        <w:rPr>
          <w:rFonts w:ascii="Arial" w:cs="Arial" w:eastAsia="Arial" w:hAnsi="Arial"/>
          <w:sz w:val="16"/>
          <w:szCs w:val="16"/>
          <w:color w:val="auto"/>
        </w:rPr>
        <w:t>23,974</w:t>
      </w:r>
    </w:p>
    <w:p>
      <w:pPr>
        <w:spacing w:after="0" w:line="46" w:lineRule="exact"/>
        <w:rPr>
          <w:rFonts w:ascii="Arial" w:cs="Arial" w:eastAsia="Arial" w:hAnsi="Arial"/>
          <w:sz w:val="16"/>
          <w:szCs w:val="16"/>
          <w:color w:val="auto"/>
        </w:rPr>
      </w:pPr>
    </w:p>
    <w:p>
      <w:pPr>
        <w:ind w:left="1132"/>
        <w:spacing w:after="0"/>
        <w:rPr>
          <w:rFonts w:ascii="Arial" w:cs="Arial" w:eastAsia="Arial" w:hAnsi="Arial"/>
          <w:sz w:val="16"/>
          <w:szCs w:val="16"/>
          <w:color w:val="auto"/>
        </w:rPr>
      </w:pPr>
      <w:r>
        <w:rPr>
          <w:rFonts w:ascii="Arial" w:cs="Arial" w:eastAsia="Arial" w:hAnsi="Arial"/>
          <w:sz w:val="15"/>
          <w:szCs w:val="15"/>
          <w:color w:val="auto"/>
        </w:rPr>
        <w:t>6,038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-2615565</wp:posOffset>
            </wp:positionH>
            <wp:positionV relativeFrom="paragraph">
              <wp:posOffset>-554355</wp:posOffset>
            </wp:positionV>
            <wp:extent cx="6275070"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75070" cy="146050"/>
                    </a:xfrm>
                    <a:prstGeom prst="rect">
                      <a:avLst/>
                    </a:prstGeom>
                    <a:noFill/>
                  </pic:spPr>
                </pic:pic>
              </a:graphicData>
            </a:graphic>
          </wp:anchor>
        </w:drawing>
        <w:drawing>
          <wp:anchor simplePos="0" relativeHeight="251657728" behindDoc="1" locked="0" layoutInCell="0" allowOverlap="1">
            <wp:simplePos x="0" y="0"/>
            <wp:positionH relativeFrom="column">
              <wp:posOffset>-2615565</wp:posOffset>
            </wp:positionH>
            <wp:positionV relativeFrom="paragraph">
              <wp:posOffset>-254635</wp:posOffset>
            </wp:positionV>
            <wp:extent cx="6275070"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75070" cy="146050"/>
                    </a:xfrm>
                    <a:prstGeom prst="rect">
                      <a:avLst/>
                    </a:prstGeom>
                    <a:noFill/>
                  </pic:spPr>
                </pic:pic>
              </a:graphicData>
            </a:graphic>
          </wp:anchor>
        </w:drawing>
        <w:drawing>
          <wp:anchor simplePos="0" relativeHeight="251657728" behindDoc="1" locked="0" layoutInCell="0" allowOverlap="1">
            <wp:simplePos x="0" y="0"/>
            <wp:positionH relativeFrom="column">
              <wp:posOffset>-2615565</wp:posOffset>
            </wp:positionH>
            <wp:positionV relativeFrom="paragraph">
              <wp:posOffset>36195</wp:posOffset>
            </wp:positionV>
            <wp:extent cx="6275070" cy="1885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75070" cy="188595"/>
                    </a:xfrm>
                    <a:prstGeom prst="rect">
                      <a:avLst/>
                    </a:prstGeom>
                    <a:noFill/>
                  </pic:spPr>
                </pic:pic>
              </a:graphicData>
            </a:graphic>
          </wp:anchor>
        </w:drawing>
      </w:r>
    </w:p>
    <w:p>
      <w:pPr>
        <w:spacing w:after="0" w:line="63" w:lineRule="exact"/>
        <w:rPr>
          <w:sz w:val="20"/>
          <w:szCs w:val="20"/>
          <w:color w:val="auto"/>
        </w:rPr>
      </w:pPr>
    </w:p>
    <w:p>
      <w:pPr>
        <w:ind w:left="952" w:hanging="952"/>
        <w:spacing w:after="0"/>
        <w:tabs>
          <w:tab w:leader="none" w:pos="952" w:val="left"/>
        </w:tabs>
        <w:numPr>
          <w:ilvl w:val="0"/>
          <w:numId w:val="18"/>
        </w:numPr>
        <w:rPr>
          <w:rFonts w:ascii="Arial" w:cs="Arial" w:eastAsia="Arial" w:hAnsi="Arial"/>
          <w:sz w:val="16"/>
          <w:szCs w:val="16"/>
          <w:color w:val="auto"/>
        </w:rPr>
      </w:pPr>
      <w:r>
        <w:rPr>
          <w:rFonts w:ascii="Arial" w:cs="Arial" w:eastAsia="Arial" w:hAnsi="Arial"/>
          <w:sz w:val="16"/>
          <w:szCs w:val="16"/>
          <w:color w:val="auto"/>
        </w:rPr>
        <w:t>270,933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63500</wp:posOffset>
            </wp:positionV>
            <wp:extent cx="10287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jc w:val="right"/>
              <w:ind w:right="410"/>
              <w:spacing w:after="0"/>
              <w:rPr>
                <w:sz w:val="20"/>
                <w:szCs w:val="20"/>
                <w:color w:val="auto"/>
              </w:rPr>
            </w:pPr>
            <w:r>
              <w:rPr>
                <w:rFonts w:ascii="Arial" w:cs="Arial" w:eastAsia="Arial" w:hAnsi="Arial"/>
                <w:sz w:val="18"/>
                <w:szCs w:val="18"/>
                <w:color w:val="auto"/>
              </w:rPr>
              <w:t>% of</w:t>
            </w:r>
          </w:p>
        </w:tc>
        <w:tc>
          <w:tcPr>
            <w:tcW w:w="1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w w:val="90"/>
              </w:rPr>
              <w:t>Six Months Ended</w:t>
            </w:r>
          </w:p>
        </w:tc>
        <w:tc>
          <w:tcPr>
            <w:tcW w:w="1240" w:type="dxa"/>
            <w:vAlign w:val="bottom"/>
          </w:tcPr>
          <w:p>
            <w:pPr>
              <w:jc w:val="right"/>
              <w:ind w:right="290"/>
              <w:spacing w:after="0"/>
              <w:rPr>
                <w:sz w:val="20"/>
                <w:szCs w:val="20"/>
                <w:color w:val="auto"/>
              </w:rPr>
            </w:pPr>
            <w:r>
              <w:rPr>
                <w:rFonts w:ascii="Arial" w:cs="Arial" w:eastAsia="Arial" w:hAnsi="Arial"/>
                <w:sz w:val="18"/>
                <w:szCs w:val="18"/>
                <w:color w:val="auto"/>
              </w:rPr>
              <w:t>% of</w:t>
            </w:r>
          </w:p>
        </w:tc>
      </w:tr>
      <w:tr>
        <w:trPr>
          <w:trHeight w:val="237"/>
        </w:trPr>
        <w:tc>
          <w:tcPr>
            <w:tcW w:w="1020" w:type="dxa"/>
            <w:vAlign w:val="bottom"/>
          </w:tcPr>
          <w:p>
            <w:pPr>
              <w:jc w:val="right"/>
              <w:ind w:right="230"/>
              <w:spacing w:after="0"/>
              <w:rPr>
                <w:sz w:val="20"/>
                <w:szCs w:val="20"/>
                <w:color w:val="auto"/>
              </w:rPr>
            </w:pPr>
            <w:r>
              <w:rPr>
                <w:rFonts w:ascii="Arial" w:cs="Arial" w:eastAsia="Arial" w:hAnsi="Arial"/>
                <w:sz w:val="18"/>
                <w:szCs w:val="18"/>
                <w:color w:val="auto"/>
                <w:w w:val="83"/>
              </w:rPr>
              <w:t>Revenues</w:t>
            </w: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June 30, 2022</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Revenues</w:t>
            </w:r>
          </w:p>
        </w:tc>
      </w:tr>
      <w:tr>
        <w:trPr>
          <w:trHeight w:val="445"/>
        </w:trPr>
        <w:tc>
          <w:tcPr>
            <w:tcW w:w="1020" w:type="dxa"/>
            <w:vAlign w:val="bottom"/>
          </w:tcPr>
          <w:p>
            <w:pPr>
              <w:jc w:val="right"/>
              <w:ind w:right="30"/>
              <w:spacing w:after="0"/>
              <w:rPr>
                <w:sz w:val="20"/>
                <w:szCs w:val="20"/>
                <w:color w:val="auto"/>
              </w:rPr>
            </w:pPr>
            <w:r>
              <w:rPr>
                <w:rFonts w:ascii="Arial" w:cs="Arial" w:eastAsia="Arial" w:hAnsi="Arial"/>
                <w:sz w:val="18"/>
                <w:szCs w:val="18"/>
                <w:color w:val="auto"/>
              </w:rPr>
              <w:t>66 %</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169,060</w:t>
            </w:r>
          </w:p>
        </w:tc>
        <w:tc>
          <w:tcPr>
            <w:tcW w:w="1240" w:type="dxa"/>
            <w:vAlign w:val="bottom"/>
          </w:tcPr>
          <w:p>
            <w:pPr>
              <w:jc w:val="right"/>
              <w:spacing w:after="0"/>
              <w:rPr>
                <w:sz w:val="20"/>
                <w:szCs w:val="20"/>
                <w:color w:val="auto"/>
              </w:rPr>
            </w:pPr>
            <w:r>
              <w:rPr>
                <w:rFonts w:ascii="Arial" w:cs="Arial" w:eastAsia="Arial" w:hAnsi="Arial"/>
                <w:sz w:val="18"/>
                <w:szCs w:val="18"/>
                <w:color w:val="auto"/>
              </w:rPr>
              <w:t>67 %</w:t>
            </w:r>
          </w:p>
        </w:tc>
      </w:tr>
      <w:tr>
        <w:trPr>
          <w:trHeight w:val="230"/>
        </w:trPr>
        <w:tc>
          <w:tcPr>
            <w:tcW w:w="1020" w:type="dxa"/>
            <w:vAlign w:val="bottom"/>
          </w:tcPr>
          <w:p>
            <w:pPr>
              <w:jc w:val="right"/>
              <w:ind w:right="30"/>
              <w:spacing w:after="0"/>
              <w:rPr>
                <w:sz w:val="20"/>
                <w:szCs w:val="20"/>
                <w:color w:val="auto"/>
              </w:rPr>
            </w:pPr>
            <w:r>
              <w:rPr>
                <w:rFonts w:ascii="Arial" w:cs="Arial" w:eastAsia="Arial" w:hAnsi="Arial"/>
                <w:sz w:val="18"/>
                <w:szCs w:val="18"/>
                <w:color w:val="auto"/>
              </w:rPr>
              <w:t>11 %</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23,058</w:t>
            </w:r>
          </w:p>
        </w:tc>
        <w:tc>
          <w:tcPr>
            <w:tcW w:w="1240" w:type="dxa"/>
            <w:vAlign w:val="bottom"/>
          </w:tcPr>
          <w:p>
            <w:pPr>
              <w:jc w:val="right"/>
              <w:spacing w:after="0"/>
              <w:rPr>
                <w:sz w:val="20"/>
                <w:szCs w:val="20"/>
                <w:color w:val="auto"/>
              </w:rPr>
            </w:pPr>
            <w:r>
              <w:rPr>
                <w:rFonts w:ascii="Arial" w:cs="Arial" w:eastAsia="Arial" w:hAnsi="Arial"/>
                <w:sz w:val="18"/>
                <w:szCs w:val="18"/>
                <w:color w:val="auto"/>
              </w:rPr>
              <w:t>9 %</w:t>
            </w:r>
          </w:p>
        </w:tc>
      </w:tr>
      <w:tr>
        <w:trPr>
          <w:trHeight w:val="242"/>
        </w:trPr>
        <w:tc>
          <w:tcPr>
            <w:tcW w:w="1020" w:type="dxa"/>
            <w:vAlign w:val="bottom"/>
          </w:tcPr>
          <w:p>
            <w:pPr>
              <w:jc w:val="right"/>
              <w:ind w:right="30"/>
              <w:spacing w:after="0"/>
              <w:rPr>
                <w:sz w:val="20"/>
                <w:szCs w:val="20"/>
                <w:color w:val="auto"/>
              </w:rPr>
            </w:pPr>
            <w:r>
              <w:rPr>
                <w:rFonts w:ascii="Arial" w:cs="Arial" w:eastAsia="Arial" w:hAnsi="Arial"/>
                <w:sz w:val="18"/>
                <w:szCs w:val="18"/>
                <w:color w:val="auto"/>
              </w:rPr>
              <w:t>7 %</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14,730</w:t>
            </w:r>
          </w:p>
        </w:tc>
        <w:tc>
          <w:tcPr>
            <w:tcW w:w="124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37"/>
        </w:trPr>
        <w:tc>
          <w:tcPr>
            <w:tcW w:w="1020" w:type="dxa"/>
            <w:vAlign w:val="bottom"/>
          </w:tcPr>
          <w:p>
            <w:pPr>
              <w:jc w:val="right"/>
              <w:ind w:right="30"/>
              <w:spacing w:after="0"/>
              <w:rPr>
                <w:sz w:val="20"/>
                <w:szCs w:val="20"/>
                <w:color w:val="auto"/>
              </w:rPr>
            </w:pPr>
            <w:r>
              <w:rPr>
                <w:rFonts w:ascii="Arial" w:cs="Arial" w:eastAsia="Arial" w:hAnsi="Arial"/>
                <w:sz w:val="18"/>
                <w:szCs w:val="18"/>
                <w:color w:val="auto"/>
              </w:rPr>
              <w:t>2 %</w:t>
            </w: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4,434</w:t>
            </w:r>
          </w:p>
        </w:tc>
        <w:tc>
          <w:tcPr>
            <w:tcW w:w="124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43"/>
        </w:trPr>
        <w:tc>
          <w:tcPr>
            <w:tcW w:w="1020" w:type="dxa"/>
            <w:vAlign w:val="bottom"/>
          </w:tcPr>
          <w:p>
            <w:pPr>
              <w:jc w:val="right"/>
              <w:ind w:right="30"/>
              <w:spacing w:after="0"/>
              <w:rPr>
                <w:sz w:val="20"/>
                <w:szCs w:val="20"/>
                <w:color w:val="auto"/>
              </w:rPr>
            </w:pPr>
            <w:r>
              <w:rPr>
                <w:rFonts w:ascii="Arial" w:cs="Arial" w:eastAsia="Arial" w:hAnsi="Arial"/>
                <w:sz w:val="18"/>
                <w:szCs w:val="18"/>
                <w:color w:val="auto"/>
              </w:rPr>
              <w:t>86 %</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211,282</w:t>
            </w:r>
          </w:p>
        </w:tc>
        <w:tc>
          <w:tcPr>
            <w:tcW w:w="1240" w:type="dxa"/>
            <w:vAlign w:val="bottom"/>
          </w:tcPr>
          <w:p>
            <w:pPr>
              <w:jc w:val="right"/>
              <w:spacing w:after="0"/>
              <w:rPr>
                <w:sz w:val="20"/>
                <w:szCs w:val="20"/>
                <w:color w:val="auto"/>
              </w:rPr>
            </w:pPr>
            <w:r>
              <w:rPr>
                <w:rFonts w:ascii="Arial" w:cs="Arial" w:eastAsia="Arial" w:hAnsi="Arial"/>
                <w:sz w:val="18"/>
                <w:szCs w:val="18"/>
                <w:color w:val="auto"/>
              </w:rPr>
              <w:t>84 %</w:t>
            </w:r>
          </w:p>
        </w:tc>
      </w:tr>
      <w:tr>
        <w:trPr>
          <w:trHeight w:val="20"/>
        </w:trPr>
        <w:tc>
          <w:tcPr>
            <w:tcW w:w="1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3">
            <w:col w:w="3780" w:space="348"/>
            <w:col w:w="1532" w:space="400"/>
            <w:col w:w="5180"/>
          </w:cols>
          <w:pgMar w:left="320" w:top="125" w:right="339" w:bottom="1440" w:gutter="0" w:footer="0" w:header="0"/>
          <w:type w:val="continuous"/>
        </w:sectPr>
      </w:pPr>
    </w:p>
    <w:p>
      <w:pPr>
        <w:spacing w:after="0" w:line="11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Service charges from agents and banks </w:t>
      </w:r>
      <w:r>
        <w:rPr>
          <w:rFonts w:ascii="Arial" w:cs="Arial" w:eastAsia="Arial" w:hAnsi="Arial"/>
          <w:sz w:val="18"/>
          <w:szCs w:val="18"/>
          <w:color w:val="auto"/>
        </w:rPr>
        <w:t>— Service charges from agents and banks were $207.1 million for the six months ended June 30, 2023</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$169.1 million for the six months ended June 30, 2022. The increase of $38.0 million, or 22.5%, was primarily due to the increase in transaction volume described above.</w:t>
      </w:r>
    </w:p>
    <w:p>
      <w:pPr>
        <w:spacing w:after="0" w:line="2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Salaries and benefits </w:t>
      </w:r>
      <w:r>
        <w:rPr>
          <w:rFonts w:ascii="Arial" w:cs="Arial" w:eastAsia="Arial" w:hAnsi="Arial"/>
          <w:sz w:val="18"/>
          <w:szCs w:val="18"/>
          <w:color w:val="auto"/>
        </w:rPr>
        <w:t>— Salaries and benefits of $33.8 million for the six months ended June 30, 2023 increased by $10.7 million, or 46.3%, from</w:t>
      </w:r>
      <w:r>
        <w:rPr>
          <w:rFonts w:ascii="Arial" w:cs="Arial" w:eastAsia="Arial" w:hAnsi="Arial"/>
          <w:sz w:val="18"/>
          <w:szCs w:val="18"/>
          <w:i w:val="1"/>
          <w:iCs w:val="1"/>
          <w:color w:val="auto"/>
        </w:rPr>
        <w:t xml:space="preserve"> </w:t>
      </w:r>
      <w:r>
        <w:rPr>
          <w:rFonts w:ascii="Arial" w:cs="Arial" w:eastAsia="Arial" w:hAnsi="Arial"/>
          <w:sz w:val="18"/>
          <w:szCs w:val="18"/>
          <w:color w:val="auto"/>
        </w:rPr>
        <w:t>$23.1 million for the six months ended June 30, 2022. The increase is primarily due to $9.2 million spent in talent acquisition and retention, as well as increased wages, including the additional compensation related to La Nacional and LAN Holdings employees, which represents approximately 22.2% of salaries and benefits, and a $1.0 million increase in share-based compensation as a result of new awards granted throughout 2023. Salaries and benefits for the six months ended June 30, 2023 represent 11% of total Revenues compared to 9% for the six months ended June 30, 2022, which increase is attributable to our expanded workforce as a result of the La Nacional and LAN Holdings acquisitions as they operate independently in the execution of certain operational functions.</w:t>
      </w:r>
    </w:p>
    <w:p>
      <w:pPr>
        <w:spacing w:after="0" w:line="27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Other selling, general and administrative expenses </w:t>
      </w:r>
      <w:r>
        <w:rPr>
          <w:rFonts w:ascii="Arial" w:cs="Arial" w:eastAsia="Arial" w:hAnsi="Arial"/>
          <w:sz w:val="18"/>
          <w:szCs w:val="18"/>
          <w:color w:val="auto"/>
        </w:rPr>
        <w:t>— Other selling, general and administrative expenses of $24.0 million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2023 increased by $9.3 million, or 63.3%, from $14.7 million for the six months ended June 30, 2022.</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was primarily the result of:</w:t>
      </w:r>
    </w:p>
    <w:p>
      <w:pPr>
        <w:spacing w:after="0" w:line="252" w:lineRule="exact"/>
        <w:rPr>
          <w:sz w:val="20"/>
          <w:szCs w:val="20"/>
          <w:color w:val="auto"/>
        </w:rPr>
      </w:pPr>
    </w:p>
    <w:p>
      <w:pPr>
        <w:ind w:left="740" w:hanging="246"/>
        <w:spacing w:after="0" w:line="291" w:lineRule="auto"/>
        <w:tabs>
          <w:tab w:leader="none" w:pos="7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$4.0 million - higher facilities and rent expenses for scheduled maintenance and contracted lease rate increases to support our business growth and expenses related to the company-operated stores and other facilities added as a result of the La Nacional and LAN Holdings acquisitions;</w:t>
      </w:r>
    </w:p>
    <w:p>
      <w:pPr>
        <w:jc w:val="both"/>
        <w:ind w:left="740" w:hanging="246"/>
        <w:spacing w:after="0" w:line="250"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$1.2 million - higher other operating expenses resulting from the receipt during the six months ended June 30, 2022 of a $0.8 million refund of state business and occupancy (“B&amp;O”) tax for the state of Washington, which was offset by higher operational losses and litigation settlements incurred in the six months ended June 30, 2023;</w:t>
      </w:r>
    </w:p>
    <w:p>
      <w:pPr>
        <w:spacing w:after="0" w:line="1" w:lineRule="exact"/>
        <w:rPr>
          <w:rFonts w:ascii="Arial" w:cs="Arial" w:eastAsia="Arial" w:hAnsi="Arial"/>
          <w:sz w:val="18"/>
          <w:szCs w:val="18"/>
          <w:color w:val="auto"/>
        </w:rPr>
      </w:pPr>
    </w:p>
    <w:p>
      <w:pPr>
        <w:ind w:left="740" w:hanging="246"/>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$1.5 million - higher IT related expenses incurred to sustain our business expansion and to improve our technology environment;</w:t>
      </w:r>
    </w:p>
    <w:p>
      <w:pPr>
        <w:spacing w:after="0" w:line="9" w:lineRule="exact"/>
        <w:rPr>
          <w:rFonts w:ascii="Arial" w:cs="Arial" w:eastAsia="Arial" w:hAnsi="Arial"/>
          <w:sz w:val="18"/>
          <w:szCs w:val="18"/>
          <w:color w:val="auto"/>
        </w:rPr>
      </w:pPr>
    </w:p>
    <w:p>
      <w:pPr>
        <w:ind w:left="740" w:hanging="246"/>
        <w:spacing w:after="0"/>
        <w:tabs>
          <w:tab w:leader="none" w:pos="740"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$0.7 million - higher audit related and professional fees to support our internal audit and compliance functions;</w:t>
      </w:r>
    </w:p>
    <w:p>
      <w:pPr>
        <w:spacing w:after="0" w:line="9" w:lineRule="exact"/>
        <w:rPr>
          <w:rFonts w:ascii="Arial" w:cs="Arial" w:eastAsia="Arial" w:hAnsi="Arial"/>
          <w:sz w:val="18"/>
          <w:szCs w:val="18"/>
          <w:i w:val="1"/>
          <w:iCs w:val="1"/>
          <w:color w:val="auto"/>
        </w:rPr>
      </w:pPr>
    </w:p>
    <w:p>
      <w:pPr>
        <w:jc w:val="both"/>
        <w:ind w:left="740" w:hanging="246"/>
        <w:spacing w:after="0" w:line="250"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$0.4 million - increase in provision for credit losses due to higher net write-offs of accounts receivable during the six months ended June 30, 2023 compared to the same period in 2022, primarily as a result of sending agents that were not able to pay in accordance with the original terms and are, accordingly, subject to our normal collection procedures;</w:t>
      </w:r>
    </w:p>
    <w:p>
      <w:pPr>
        <w:spacing w:after="0" w:line="1" w:lineRule="exact"/>
        <w:rPr>
          <w:rFonts w:ascii="Arial" w:cs="Arial" w:eastAsia="Arial" w:hAnsi="Arial"/>
          <w:sz w:val="18"/>
          <w:szCs w:val="18"/>
          <w:color w:val="auto"/>
        </w:rPr>
      </w:pPr>
    </w:p>
    <w:p>
      <w:pPr>
        <w:ind w:left="740" w:hanging="246"/>
        <w:spacing w:after="0" w:line="250" w:lineRule="auto"/>
        <w:tabs>
          <w:tab w:leader="none" w:pos="740"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$0.4 million - higher loss on disposal of assets primarily due to replacement of equipment used by our agent network and write-off of equipment assigned to sending agents closed during the six months ended June 30, 2023;</w:t>
      </w:r>
    </w:p>
    <w:p>
      <w:pPr>
        <w:ind w:left="740" w:hanging="246"/>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$0.4 million - higher travel costs, primarily of our sales force, to support or business growth and expansion; and</w:t>
      </w:r>
    </w:p>
    <w:p>
      <w:pPr>
        <w:spacing w:after="0" w:line="9" w:lineRule="exact"/>
        <w:rPr>
          <w:rFonts w:ascii="Arial" w:cs="Arial" w:eastAsia="Arial" w:hAnsi="Arial"/>
          <w:sz w:val="18"/>
          <w:szCs w:val="18"/>
          <w:color w:val="auto"/>
        </w:rPr>
      </w:pPr>
    </w:p>
    <w:p>
      <w:pPr>
        <w:ind w:left="740" w:hanging="246"/>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$0.2 million - transaction costs associated with business acquisitions.</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increases were partially offset by:</w:t>
      </w:r>
    </w:p>
    <w:p>
      <w:pPr>
        <w:spacing w:after="0" w:line="252" w:lineRule="exact"/>
        <w:rPr>
          <w:sz w:val="20"/>
          <w:szCs w:val="20"/>
          <w:color w:val="auto"/>
        </w:rPr>
      </w:pPr>
    </w:p>
    <w:p>
      <w:pPr>
        <w:ind w:left="740" w:hanging="246"/>
        <w:spacing w:after="0" w:line="277" w:lineRule="auto"/>
        <w:tabs>
          <w:tab w:leader="none" w:pos="740" w:val="left"/>
        </w:tabs>
        <w:numPr>
          <w:ilvl w:val="0"/>
          <w:numId w:val="20"/>
        </w:numPr>
        <w:rPr>
          <w:rFonts w:ascii="Arial" w:cs="Arial" w:eastAsia="Arial" w:hAnsi="Arial"/>
          <w:sz w:val="18"/>
          <w:szCs w:val="18"/>
          <w:i w:val="1"/>
          <w:iCs w:val="1"/>
          <w:color w:val="auto"/>
        </w:rPr>
      </w:pPr>
      <w:r>
        <w:rPr>
          <w:rFonts w:ascii="Arial" w:cs="Arial" w:eastAsia="Arial" w:hAnsi="Arial"/>
          <w:sz w:val="18"/>
          <w:szCs w:val="18"/>
          <w:color w:val="auto"/>
        </w:rPr>
        <w:t>$0.2 million - in lower advertising and promotion expenses, primarily as a result of lower investment in advertising during 2023 and higher co-branding investment by some of our paying agents during 2022.</w:t>
      </w:r>
    </w:p>
    <w:p>
      <w:pPr>
        <w:spacing w:after="0" w:line="1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 Depreciation and amortization of $6.0 million for the six months ended June 30, 2023 increased by $1.6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$4.4 million or 36.4% for the six months ended June 30, 2022. The increase is the result of a $0.6 million increase in depreciation associated with additional computer equipment acquired to support our growing business and sending agent network, as well as approximately $0.6 million of depreciation for assets assumed in the La Nacional and LAN Holdings acquisitions and approximately $0.9 million for amortization of intangibles resulting from the La Nacional and LAN Holdings acquisitions. These increases were partially offset by a decrease of approximately $0.5 million in amortization related to our Intermex trade name, developed technology and agent relationships during the six months ended June 30, 2023, as these intangibles are being amortized on an accelerated basis, which declines over time.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Expenses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 Interest expense of $4.8 million for the six months ended June 30, 2023 increased by $2.7 million, or 128.6%, from $2.1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six months ended June 30, 2022. The increase was primarily due to higher market interest rates paid under our Amended and Restated Credit Agreement, as well as higher and more frequent draws under our revolving credit facility during the six months ended June 30, 2023.</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Income tax provision </w:t>
      </w:r>
      <w:r>
        <w:rPr>
          <w:rFonts w:ascii="Arial" w:cs="Arial" w:eastAsia="Arial" w:hAnsi="Arial"/>
          <w:sz w:val="18"/>
          <w:szCs w:val="18"/>
          <w:color w:val="auto"/>
        </w:rPr>
        <w:t>— Income tax provision was $11.6 million for the six months ended June 30, 2023, which represents an increase of $1.0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an income tax provision of $10.6 million for the six months ended June 30, 2022. The increase in income tax provision was mainly attributable to an increase in our effective state tax rate primarily as a result of revenue from La Nacional earned during the six months ended June 30, 2023, which is sourced to states with relatively higher tax rates.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reported Net Income of $27.2 million for the six months ended June 30, 2023 compared to Net Income of $27.6 million for the six months ended June 30, 2022, which resulted in a decrease of $0.4 million, or 1.5%, due to the same factors discussed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Net Income and Adjusted Earnings per Share</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Adjusted Net Income (previously defined and used as described above) for the six months ended June 30, 2023 was $32.6 million, representing an increase of $1.0 million, or 3.2%, from Adjusted Net Income of $31.6 million for the six months ended June 30, 2022. The increase in Adjusted Net Income was primarily due to the higher net effect of the adjusting items detailed in the table below offset by a decrease in Net Income discussed above.</w:t>
      </w:r>
    </w:p>
    <w:p>
      <w:pPr>
        <w:spacing w:after="0" w:line="23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reconciliation of Net Income, our closest GAAP measure, to Adjusted Net Income: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color w:val="auto"/>
              </w:rPr>
              <w:t>Six Months Ended June 30,</w:t>
            </w:r>
          </w:p>
        </w:tc>
      </w:tr>
      <w:tr>
        <w:trPr>
          <w:trHeight w:val="250"/>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 except for per share data)</w:t>
            </w: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27,184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27,638</w:t>
            </w: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Adjusted for:</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43"/>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 (a)</w:t>
            </w: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3,943</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w:t>
            </w:r>
          </w:p>
        </w:tc>
      </w:tr>
      <w:tr>
        <w:trPr>
          <w:trHeight w:val="229"/>
        </w:trPr>
        <w:tc>
          <w:tcPr>
            <w:tcW w:w="6240" w:type="dxa"/>
            <w:vAlign w:val="bottom"/>
          </w:tcPr>
          <w:p>
            <w:pPr>
              <w:ind w:left="140"/>
              <w:spacing w:after="0"/>
              <w:rPr>
                <w:sz w:val="20"/>
                <w:szCs w:val="20"/>
                <w:color w:val="auto"/>
              </w:rPr>
            </w:pPr>
            <w:r>
              <w:rPr>
                <w:rFonts w:ascii="Arial" w:cs="Arial" w:eastAsia="Arial" w:hAnsi="Arial"/>
                <w:sz w:val="18"/>
                <w:szCs w:val="18"/>
                <w:color w:val="auto"/>
              </w:rPr>
              <w:t>Transaction costs (b)</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30"/>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charges and expenses (c)</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r>
      <w:tr>
        <w:trPr>
          <w:trHeight w:val="237"/>
        </w:trPr>
        <w:tc>
          <w:tcPr>
            <w:tcW w:w="6240" w:type="dxa"/>
            <w:vAlign w:val="bottom"/>
          </w:tcPr>
          <w:p>
            <w:pPr>
              <w:ind w:left="140"/>
              <w:spacing w:after="0"/>
              <w:rPr>
                <w:sz w:val="20"/>
                <w:szCs w:val="20"/>
                <w:color w:val="auto"/>
              </w:rPr>
            </w:pPr>
            <w:r>
              <w:rPr>
                <w:rFonts w:ascii="Arial" w:cs="Arial" w:eastAsia="Arial" w:hAnsi="Arial"/>
                <w:sz w:val="18"/>
                <w:szCs w:val="18"/>
                <w:color w:val="auto"/>
              </w:rPr>
              <w:t>Amortization of intangibles (d)</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2,334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1,944</w:t>
            </w:r>
          </w:p>
        </w:tc>
      </w:tr>
      <w:tr>
        <w:trPr>
          <w:trHeight w:val="256"/>
        </w:trPr>
        <w:tc>
          <w:tcPr>
            <w:tcW w:w="6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Income tax benefit related to adjustments (e)</w:t>
            </w:r>
          </w:p>
        </w:tc>
        <w:tc>
          <w:tcPr>
            <w:tcW w:w="3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w:t>
            </w:r>
          </w:p>
        </w:tc>
      </w:tr>
      <w:tr>
        <w:trPr>
          <w:trHeight w:val="217"/>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Adjusted Net Income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32,585</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31,623</w:t>
            </w: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6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9"/>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Adjusted Earnings per Share</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4"/>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r>
      <w:tr>
        <w:trPr>
          <w:trHeight w:val="229"/>
        </w:trPr>
        <w:tc>
          <w:tcPr>
            <w:tcW w:w="6240" w:type="dxa"/>
            <w:vAlign w:val="bottom"/>
          </w:tcPr>
          <w:p>
            <w:pPr>
              <w:ind w:left="14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0.88</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0.81</w:t>
            </w:r>
          </w:p>
        </w:tc>
      </w:tr>
      <w:tr>
        <w:trPr>
          <w:trHeight w:val="270"/>
        </w:trPr>
        <w:tc>
          <w:tcPr>
            <w:tcW w:w="62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39"/>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Weighted-average common shares outstanding</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4"/>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36,239,997</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38,309,295</w:t>
            </w: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37,115,490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39,153,039</w:t>
            </w:r>
          </w:p>
        </w:tc>
      </w:tr>
    </w:tbl>
    <w:p>
      <w:pPr>
        <w:spacing w:after="0" w:line="322" w:lineRule="exact"/>
        <w:rPr>
          <w:sz w:val="20"/>
          <w:szCs w:val="20"/>
          <w:color w:val="auto"/>
        </w:rPr>
      </w:pPr>
    </w:p>
    <w:p>
      <w:pPr>
        <w:ind w:left="420" w:hanging="331"/>
        <w:spacing w:after="0"/>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share-based compensation relating to equity awards granted to employees and independent directors of the Company.</w:t>
      </w:r>
    </w:p>
    <w:p>
      <w:pPr>
        <w:spacing w:after="0" w:line="23" w:lineRule="exact"/>
        <w:rPr>
          <w:rFonts w:ascii="Arial" w:cs="Arial" w:eastAsia="Arial" w:hAnsi="Arial"/>
          <w:sz w:val="18"/>
          <w:szCs w:val="18"/>
          <w:color w:val="auto"/>
        </w:rPr>
      </w:pPr>
    </w:p>
    <w:p>
      <w:pPr>
        <w:ind w:left="420" w:hanging="331"/>
        <w:spacing w:after="0"/>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primarily financial advisory, professional and legal fees related to business acquisition transactions.</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primarily loss on disposal of fixed assets.</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the amortization of intangible assets that resulted from business acquisition transactions.</w:t>
      </w:r>
    </w:p>
    <w:p>
      <w:pPr>
        <w:spacing w:after="0" w:line="9" w:lineRule="exact"/>
        <w:rPr>
          <w:rFonts w:ascii="Arial" w:cs="Arial" w:eastAsia="Arial" w:hAnsi="Arial"/>
          <w:sz w:val="18"/>
          <w:szCs w:val="18"/>
          <w:color w:val="auto"/>
        </w:rPr>
      </w:pPr>
    </w:p>
    <w:p>
      <w:pPr>
        <w:ind w:left="420" w:right="220" w:hanging="331"/>
        <w:spacing w:after="0" w:line="260" w:lineRule="auto"/>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the current and deferred tax impact of the taxable adjustments to Net Income using the Company’s blended federal and state tax rate for each period. Relevant tax-deductible adjustments include all adjustments to Net Income.</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Adjusted Earnings per Share - Basic for the six months ended June 30, 2023 was $0.90, representing an increase of $0.07, or 8.4%, compared to $0.83 for the six months ended June 30, 2022. The increase in Adjusted Earnings per Share - Basic was primarily due to the higher net effect of the adjusting items detailed in the table above combined with a lower weighted average common shares total for the period due to stock repurchases.</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Adjusted Earnings per Share - Diluted for the six months ended June 30, 2023 was $0.88, representing an increase of $0.07, or 8.6%, compared to $0.81 for the six months ended June 30, 2022. The increase in Adjusted Earnings per Share - Diluted was primarily due to the higher net effect of the adjusting items detailed in the table above combined with a lower weighted average common shares total for the period due to stock repurchases.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reconciliation of GAAP Earnings per Share, our closest GAAP measure, to Adjusted Earnings per Share: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center"/>
              <w:ind w:left="470"/>
              <w:spacing w:after="0"/>
              <w:rPr>
                <w:sz w:val="20"/>
                <w:szCs w:val="20"/>
                <w:color w:val="auto"/>
              </w:rPr>
            </w:pPr>
            <w:r>
              <w:rPr>
                <w:rFonts w:ascii="Arial" w:cs="Arial" w:eastAsia="Arial" w:hAnsi="Arial"/>
                <w:sz w:val="18"/>
                <w:szCs w:val="18"/>
                <w:color w:val="auto"/>
                <w:w w:val="89"/>
              </w:rPr>
              <w:t>Six Months Ended June 30,</w:t>
            </w: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50"/>
        </w:trPr>
        <w:tc>
          <w:tcPr>
            <w:tcW w:w="466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right"/>
              <w:ind w:right="830"/>
              <w:spacing w:after="0"/>
              <w:rPr>
                <w:sz w:val="20"/>
                <w:szCs w:val="20"/>
                <w:color w:val="auto"/>
              </w:rPr>
            </w:pPr>
            <w:r>
              <w:rPr>
                <w:rFonts w:ascii="Arial" w:cs="Arial" w:eastAsia="Arial" w:hAnsi="Arial"/>
                <w:sz w:val="18"/>
                <w:szCs w:val="18"/>
                <w:color w:val="auto"/>
              </w:rPr>
              <w:t>2023</w:t>
            </w:r>
          </w:p>
        </w:tc>
        <w:tc>
          <w:tcPr>
            <w:tcW w:w="4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color w:val="auto"/>
              </w:rPr>
              <w:t>2022</w:t>
            </w:r>
          </w:p>
        </w:tc>
        <w:tc>
          <w:tcPr>
            <w:tcW w:w="122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r>
      <w:tr>
        <w:trPr>
          <w:trHeight w:val="229"/>
        </w:trPr>
        <w:tc>
          <w:tcPr>
            <w:tcW w:w="466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Basic</w:t>
            </w:r>
          </w:p>
        </w:tc>
        <w:tc>
          <w:tcPr>
            <w:tcW w:w="5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Diluted</w:t>
            </w:r>
          </w:p>
        </w:tc>
        <w:tc>
          <w:tcPr>
            <w:tcW w:w="4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b w:val="1"/>
                <w:bCs w:val="1"/>
                <w:color w:val="auto"/>
                <w:w w:val="99"/>
              </w:rPr>
              <w:t>Basic</w:t>
            </w:r>
          </w:p>
        </w:tc>
        <w:tc>
          <w:tcPr>
            <w:tcW w:w="5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Diluted</w:t>
            </w:r>
          </w:p>
        </w:tc>
        <w:tc>
          <w:tcPr>
            <w:tcW w:w="40" w:type="dxa"/>
            <w:vAlign w:val="bottom"/>
          </w:tcPr>
          <w:p>
            <w:pPr>
              <w:spacing w:after="0"/>
              <w:rPr>
                <w:sz w:val="19"/>
                <w:szCs w:val="19"/>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GAAP Earnings per Share</w:t>
            </w:r>
          </w:p>
        </w:tc>
        <w:tc>
          <w:tcPr>
            <w:tcW w:w="1000" w:type="dxa"/>
            <w:vAlign w:val="bottom"/>
          </w:tcPr>
          <w:p>
            <w:pPr>
              <w:jc w:val="right"/>
              <w:ind w:right="79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Pr>
          <w:p>
            <w:pPr>
              <w:jc w:val="center"/>
              <w:spacing w:after="0"/>
              <w:rPr>
                <w:sz w:val="20"/>
                <w:szCs w:val="20"/>
                <w:color w:val="auto"/>
              </w:rPr>
            </w:pPr>
            <w:r>
              <w:rPr>
                <w:rFonts w:ascii="Arial" w:cs="Arial" w:eastAsia="Arial" w:hAnsi="Arial"/>
                <w:sz w:val="18"/>
                <w:szCs w:val="18"/>
                <w:b w:val="1"/>
                <w:bCs w:val="1"/>
                <w:color w:val="auto"/>
                <w:w w:val="91"/>
              </w:rPr>
              <w:t>0.75</w:t>
            </w:r>
          </w:p>
        </w:tc>
        <w:tc>
          <w:tcPr>
            <w:tcW w:w="120" w:type="dxa"/>
            <w:vAlign w:val="bottom"/>
          </w:tcPr>
          <w:p>
            <w:pPr>
              <w:spacing w:after="0"/>
              <w:rPr>
                <w:sz w:val="19"/>
                <w:szCs w:val="19"/>
                <w:color w:val="auto"/>
              </w:rPr>
            </w:pPr>
          </w:p>
        </w:tc>
        <w:tc>
          <w:tcPr>
            <w:tcW w:w="1040" w:type="dxa"/>
            <w:vAlign w:val="bottom"/>
          </w:tcPr>
          <w:p>
            <w:pPr>
              <w:jc w:val="right"/>
              <w:ind w:right="850"/>
              <w:spacing w:after="0"/>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center"/>
              <w:spacing w:after="0"/>
              <w:rPr>
                <w:sz w:val="20"/>
                <w:szCs w:val="20"/>
                <w:color w:val="auto"/>
              </w:rPr>
            </w:pPr>
            <w:r>
              <w:rPr>
                <w:rFonts w:ascii="Arial" w:cs="Arial" w:eastAsia="Arial" w:hAnsi="Arial"/>
                <w:sz w:val="18"/>
                <w:szCs w:val="18"/>
                <w:b w:val="1"/>
                <w:bCs w:val="1"/>
                <w:color w:val="auto"/>
                <w:w w:val="85"/>
              </w:rPr>
              <w:t>0.73</w:t>
            </w:r>
          </w:p>
        </w:tc>
        <w:tc>
          <w:tcPr>
            <w:tcW w:w="120" w:type="dxa"/>
            <w:vAlign w:val="bottom"/>
          </w:tcPr>
          <w:p>
            <w:pPr>
              <w:spacing w:after="0"/>
              <w:rPr>
                <w:sz w:val="19"/>
                <w:szCs w:val="19"/>
                <w:color w:val="auto"/>
              </w:rPr>
            </w:pPr>
          </w:p>
        </w:tc>
        <w:tc>
          <w:tcPr>
            <w:tcW w:w="1120" w:type="dxa"/>
            <w:vAlign w:val="bottom"/>
          </w:tcPr>
          <w:p>
            <w:pPr>
              <w:jc w:val="center"/>
              <w:ind w:right="930"/>
              <w:spacing w:after="0"/>
              <w:rPr>
                <w:sz w:val="20"/>
                <w:szCs w:val="20"/>
                <w:color w:val="auto"/>
              </w:rPr>
            </w:pPr>
            <w:r>
              <w:rPr>
                <w:rFonts w:ascii="Arial" w:cs="Arial" w:eastAsia="Arial" w:hAnsi="Arial"/>
                <w:sz w:val="18"/>
                <w:szCs w:val="18"/>
                <w:b w:val="1"/>
                <w:bCs w:val="1"/>
                <w:color w:val="auto"/>
                <w:w w:val="99"/>
              </w:rPr>
              <w:t>$</w:t>
            </w:r>
          </w:p>
        </w:tc>
        <w:tc>
          <w:tcPr>
            <w:tcW w:w="560" w:type="dxa"/>
            <w:vAlign w:val="bottom"/>
          </w:tcPr>
          <w:p>
            <w:pPr>
              <w:jc w:val="center"/>
              <w:ind w:left="10"/>
              <w:spacing w:after="0"/>
              <w:rPr>
                <w:sz w:val="20"/>
                <w:szCs w:val="20"/>
                <w:color w:val="auto"/>
              </w:rPr>
            </w:pPr>
            <w:r>
              <w:rPr>
                <w:rFonts w:ascii="Arial" w:cs="Arial" w:eastAsia="Arial" w:hAnsi="Arial"/>
                <w:sz w:val="18"/>
                <w:szCs w:val="18"/>
                <w:b w:val="1"/>
                <w:bCs w:val="1"/>
                <w:color w:val="auto"/>
                <w:w w:val="85"/>
              </w:rPr>
              <w:t>0.72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center"/>
              <w:ind w:left="650"/>
              <w:spacing w:after="0"/>
              <w:rPr>
                <w:sz w:val="20"/>
                <w:szCs w:val="20"/>
                <w:color w:val="auto"/>
              </w:rPr>
            </w:pPr>
            <w:r>
              <w:rPr>
                <w:rFonts w:ascii="Arial" w:cs="Arial" w:eastAsia="Arial" w:hAnsi="Arial"/>
                <w:sz w:val="18"/>
                <w:szCs w:val="18"/>
                <w:b w:val="1"/>
                <w:bCs w:val="1"/>
                <w:color w:val="auto"/>
                <w:w w:val="91"/>
              </w:rPr>
              <w:t>0.71</w:t>
            </w:r>
          </w:p>
        </w:tc>
        <w:tc>
          <w:tcPr>
            <w:tcW w:w="40" w:type="dxa"/>
            <w:vAlign w:val="bottom"/>
          </w:tcPr>
          <w:p>
            <w:pPr>
              <w:spacing w:after="0"/>
              <w:rPr>
                <w:sz w:val="19"/>
                <w:szCs w:val="19"/>
                <w:color w:val="auto"/>
              </w:rPr>
            </w:pPr>
          </w:p>
        </w:tc>
      </w:tr>
      <w:tr>
        <w:trPr>
          <w:trHeight w:val="24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for:</w:t>
            </w:r>
          </w:p>
        </w:tc>
        <w:tc>
          <w:tcPr>
            <w:tcW w:w="10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30"/>
        </w:trPr>
        <w:tc>
          <w:tcPr>
            <w:tcW w:w="4660" w:type="dxa"/>
            <w:vAlign w:val="bottom"/>
          </w:tcPr>
          <w:p>
            <w:pPr>
              <w:ind w:left="140"/>
              <w:spacing w:after="0"/>
              <w:rPr>
                <w:sz w:val="20"/>
                <w:szCs w:val="20"/>
                <w:color w:val="auto"/>
              </w:rPr>
            </w:pPr>
            <w:r>
              <w:rPr>
                <w:rFonts w:ascii="Arial" w:cs="Arial" w:eastAsia="Arial" w:hAnsi="Arial"/>
                <w:sz w:val="18"/>
                <w:szCs w:val="18"/>
                <w:color w:val="auto"/>
              </w:rPr>
              <w:t>Share-based compensation</w:t>
            </w:r>
          </w:p>
        </w:tc>
        <w:tc>
          <w:tcPr>
            <w:tcW w:w="100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1"/>
              </w:rPr>
              <w:t>0.11</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5"/>
              </w:rPr>
              <w:t>0.11</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tcPr>
          <w:p>
            <w:pPr>
              <w:jc w:val="center"/>
              <w:ind w:left="10"/>
              <w:spacing w:after="0"/>
              <w:rPr>
                <w:sz w:val="20"/>
                <w:szCs w:val="20"/>
                <w:color w:val="auto"/>
              </w:rPr>
            </w:pPr>
            <w:r>
              <w:rPr>
                <w:rFonts w:ascii="Arial" w:cs="Arial" w:eastAsia="Arial" w:hAnsi="Arial"/>
                <w:sz w:val="18"/>
                <w:szCs w:val="18"/>
                <w:color w:val="auto"/>
                <w:w w:val="85"/>
              </w:rPr>
              <w:t>0.08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center"/>
              <w:ind w:left="650"/>
              <w:spacing w:after="0"/>
              <w:rPr>
                <w:sz w:val="20"/>
                <w:szCs w:val="20"/>
                <w:color w:val="auto"/>
              </w:rPr>
            </w:pPr>
            <w:r>
              <w:rPr>
                <w:rFonts w:ascii="Arial" w:cs="Arial" w:eastAsia="Arial" w:hAnsi="Arial"/>
                <w:sz w:val="18"/>
                <w:szCs w:val="18"/>
                <w:color w:val="auto"/>
                <w:w w:val="91"/>
              </w:rPr>
              <w:t>0.07</w:t>
            </w:r>
          </w:p>
        </w:tc>
        <w:tc>
          <w:tcPr>
            <w:tcW w:w="40" w:type="dxa"/>
            <w:vAlign w:val="bottom"/>
          </w:tcPr>
          <w:p>
            <w:pPr>
              <w:spacing w:after="0"/>
              <w:rPr>
                <w:sz w:val="19"/>
                <w:szCs w:val="19"/>
                <w:color w:val="auto"/>
              </w:rPr>
            </w:pPr>
          </w:p>
        </w:tc>
      </w:tr>
      <w:tr>
        <w:trPr>
          <w:trHeight w:val="229"/>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Transaction costs</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0.01</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0.01</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5"/>
              </w:rPr>
              <w:t>0.01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91"/>
              </w:rPr>
              <w:t>0.01</w:t>
            </w:r>
          </w:p>
        </w:tc>
        <w:tc>
          <w:tcPr>
            <w:tcW w:w="40" w:type="dxa"/>
            <w:vAlign w:val="bottom"/>
          </w:tcPr>
          <w:p>
            <w:pPr>
              <w:spacing w:after="0"/>
              <w:rPr>
                <w:sz w:val="19"/>
                <w:szCs w:val="19"/>
                <w:color w:val="auto"/>
              </w:rPr>
            </w:pPr>
          </w:p>
        </w:tc>
      </w:tr>
      <w:tr>
        <w:trPr>
          <w:trHeight w:val="237"/>
        </w:trPr>
        <w:tc>
          <w:tcPr>
            <w:tcW w:w="4660" w:type="dxa"/>
            <w:vAlign w:val="bottom"/>
          </w:tcPr>
          <w:p>
            <w:pPr>
              <w:ind w:left="140"/>
              <w:spacing w:after="0"/>
              <w:rPr>
                <w:sz w:val="20"/>
                <w:szCs w:val="20"/>
                <w:color w:val="auto"/>
              </w:rPr>
            </w:pPr>
            <w:r>
              <w:rPr>
                <w:rFonts w:ascii="Arial" w:cs="Arial" w:eastAsia="Arial" w:hAnsi="Arial"/>
                <w:sz w:val="18"/>
                <w:szCs w:val="18"/>
                <w:color w:val="auto"/>
              </w:rPr>
              <w:t>Other charges and expenses</w:t>
            </w:r>
          </w:p>
        </w:tc>
        <w:tc>
          <w:tcPr>
            <w:tcW w:w="100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1"/>
              </w:rPr>
              <w:t>0.03</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5"/>
              </w:rPr>
              <w:t>0.03</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jc w:val="center"/>
              <w:ind w:left="10"/>
              <w:spacing w:after="0"/>
              <w:rPr>
                <w:sz w:val="20"/>
                <w:szCs w:val="20"/>
                <w:color w:val="auto"/>
              </w:rPr>
            </w:pPr>
            <w:r>
              <w:rPr>
                <w:rFonts w:ascii="Arial" w:cs="Arial" w:eastAsia="Arial" w:hAnsi="Arial"/>
                <w:sz w:val="18"/>
                <w:szCs w:val="18"/>
                <w:color w:val="auto"/>
                <w:w w:val="85"/>
              </w:rPr>
              <w:t>0.01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center"/>
              <w:ind w:left="650"/>
              <w:spacing w:after="0"/>
              <w:rPr>
                <w:sz w:val="20"/>
                <w:szCs w:val="20"/>
                <w:color w:val="auto"/>
              </w:rPr>
            </w:pPr>
            <w:r>
              <w:rPr>
                <w:rFonts w:ascii="Arial" w:cs="Arial" w:eastAsia="Arial" w:hAnsi="Arial"/>
                <w:sz w:val="18"/>
                <w:szCs w:val="18"/>
                <w:color w:val="auto"/>
                <w:w w:val="91"/>
              </w:rPr>
              <w:t>0.01</w:t>
            </w:r>
          </w:p>
        </w:tc>
        <w:tc>
          <w:tcPr>
            <w:tcW w:w="40" w:type="dxa"/>
            <w:vAlign w:val="bottom"/>
          </w:tcPr>
          <w:p>
            <w:pPr>
              <w:spacing w:after="0"/>
              <w:rPr>
                <w:sz w:val="20"/>
                <w:szCs w:val="20"/>
                <w:color w:val="auto"/>
              </w:rPr>
            </w:pPr>
          </w:p>
        </w:tc>
      </w:tr>
      <w:tr>
        <w:trPr>
          <w:trHeight w:val="236"/>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intangibles</w:t>
            </w:r>
          </w:p>
        </w:tc>
        <w:tc>
          <w:tcPr>
            <w:tcW w:w="1000" w:type="dxa"/>
            <w:vAlign w:val="bottom"/>
            <w:shd w:val="clear" w:color="auto" w:fill="CCEEFF"/>
          </w:tcPr>
          <w:p>
            <w:pPr>
              <w:spacing w:after="0"/>
              <w:rPr>
                <w:sz w:val="20"/>
                <w:szCs w:val="20"/>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0.06</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0.06</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5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5"/>
              </w:rPr>
              <w:t>0.05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91"/>
              </w:rPr>
              <w:t>0.05</w:t>
            </w:r>
          </w:p>
        </w:tc>
        <w:tc>
          <w:tcPr>
            <w:tcW w:w="40" w:type="dxa"/>
            <w:vAlign w:val="bottom"/>
          </w:tcPr>
          <w:p>
            <w:pPr>
              <w:spacing w:after="0"/>
              <w:rPr>
                <w:sz w:val="20"/>
                <w:szCs w:val="20"/>
                <w:color w:val="auto"/>
              </w:rPr>
            </w:pPr>
          </w:p>
        </w:tc>
      </w:tr>
      <w:tr>
        <w:trPr>
          <w:trHeight w:val="236"/>
        </w:trPr>
        <w:tc>
          <w:tcPr>
            <w:tcW w:w="46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tax benefit related to adjustments</w:t>
            </w:r>
          </w:p>
        </w:tc>
        <w:tc>
          <w:tcPr>
            <w:tcW w:w="10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(0.06)</w:t>
            </w:r>
          </w:p>
        </w:tc>
        <w:tc>
          <w:tcPr>
            <w:tcW w:w="12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(0.06)</w:t>
            </w:r>
          </w:p>
        </w:tc>
        <w:tc>
          <w:tcPr>
            <w:tcW w:w="1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(0.04)</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left="630"/>
              <w:spacing w:after="0"/>
              <w:rPr>
                <w:sz w:val="20"/>
                <w:szCs w:val="20"/>
                <w:color w:val="auto"/>
              </w:rPr>
            </w:pPr>
            <w:r>
              <w:rPr>
                <w:rFonts w:ascii="Arial" w:cs="Arial" w:eastAsia="Arial" w:hAnsi="Arial"/>
                <w:sz w:val="18"/>
                <w:szCs w:val="18"/>
                <w:color w:val="auto"/>
                <w:w w:val="89"/>
              </w:rPr>
              <w:t>(0.04)</w:t>
            </w:r>
          </w:p>
        </w:tc>
        <w:tc>
          <w:tcPr>
            <w:tcW w:w="40" w:type="dxa"/>
            <w:vAlign w:val="bottom"/>
          </w:tcPr>
          <w:p>
            <w:pPr>
              <w:spacing w:after="0"/>
              <w:rPr>
                <w:sz w:val="20"/>
                <w:szCs w:val="20"/>
                <w:color w:val="auto"/>
              </w:rPr>
            </w:pPr>
          </w:p>
        </w:tc>
      </w:tr>
      <w:tr>
        <w:trPr>
          <w:trHeight w:val="268"/>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Earnings per Share</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0.90</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5"/>
              </w:rPr>
              <w:t>0.88</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center"/>
              <w:ind w:right="930"/>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b w:val="1"/>
                <w:bCs w:val="1"/>
                <w:color w:val="auto"/>
                <w:w w:val="85"/>
              </w:rPr>
              <w:t>0.83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center"/>
              <w:ind w:left="650"/>
              <w:spacing w:after="0"/>
              <w:rPr>
                <w:sz w:val="20"/>
                <w:szCs w:val="20"/>
                <w:color w:val="auto"/>
              </w:rPr>
            </w:pPr>
            <w:r>
              <w:rPr>
                <w:rFonts w:ascii="Arial" w:cs="Arial" w:eastAsia="Arial" w:hAnsi="Arial"/>
                <w:sz w:val="18"/>
                <w:szCs w:val="18"/>
                <w:b w:val="1"/>
                <w:bCs w:val="1"/>
                <w:color w:val="auto"/>
                <w:w w:val="91"/>
              </w:rPr>
              <w:t>0.81</w:t>
            </w:r>
          </w:p>
        </w:tc>
        <w:tc>
          <w:tcPr>
            <w:tcW w:w="40" w:type="dxa"/>
            <w:vAlign w:val="bottom"/>
          </w:tcPr>
          <w:p>
            <w:pPr>
              <w:spacing w:after="0"/>
              <w:rPr>
                <w:sz w:val="22"/>
                <w:szCs w:val="22"/>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11"/>
        </w:trPr>
        <w:tc>
          <w:tcPr>
            <w:tcW w:w="4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31"/>
        </w:trPr>
        <w:tc>
          <w:tcPr>
            <w:tcW w:w="46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above may contain slight summation differences due to rounding.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EBITDA</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Adjusted EBITDA (previously defined and used as described above) for the six months ended June 30, 2023 was $55.0 million, representing an increase of $6.6 million, or 13.6%, from $48.4 million for the six months ended June 30, 2022. The increase in Adjusted EBITDA was primarily due to the higher net effect of the adjusting items detailed in the table below offset by the decrease in Net Income discussed above.</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reconciliation of Net Income, our closest GAAP measure, to Adjusted EBITDA:</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color w:val="auto"/>
                <w:w w:val="99"/>
              </w:rPr>
              <w:t>Six Months Ended June 30,</w:t>
            </w:r>
          </w:p>
        </w:tc>
      </w:tr>
      <w:tr>
        <w:trPr>
          <w:trHeight w:val="250"/>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27,184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27,638</w:t>
            </w: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Adjusted for:</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43"/>
        </w:trPr>
        <w:tc>
          <w:tcPr>
            <w:tcW w:w="6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w:t>
            </w:r>
          </w:p>
        </w:tc>
      </w:tr>
      <w:tr>
        <w:trPr>
          <w:trHeight w:val="229"/>
        </w:trPr>
        <w:tc>
          <w:tcPr>
            <w:tcW w:w="6280" w:type="dxa"/>
            <w:vAlign w:val="bottom"/>
          </w:tcPr>
          <w:p>
            <w:pPr>
              <w:ind w:left="140"/>
              <w:spacing w:after="0"/>
              <w:rPr>
                <w:sz w:val="20"/>
                <w:szCs w:val="20"/>
                <w:color w:val="auto"/>
              </w:rPr>
            </w:pPr>
            <w:r>
              <w:rPr>
                <w:rFonts w:ascii="Arial" w:cs="Arial" w:eastAsia="Arial" w:hAnsi="Arial"/>
                <w:sz w:val="18"/>
                <w:szCs w:val="18"/>
                <w:color w:val="auto"/>
              </w:rPr>
              <w:t>Income tax provision</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11,555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10,616</w:t>
            </w:r>
          </w:p>
        </w:tc>
      </w:tr>
      <w:tr>
        <w:trPr>
          <w:trHeight w:val="250"/>
        </w:trPr>
        <w:tc>
          <w:tcPr>
            <w:tcW w:w="6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4,434</w:t>
            </w:r>
          </w:p>
        </w:tc>
      </w:tr>
      <w:tr>
        <w:trPr>
          <w:trHeight w:val="226"/>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EBITDA</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49,619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44,752</w:t>
            </w:r>
          </w:p>
        </w:tc>
      </w:tr>
      <w:tr>
        <w:trPr>
          <w:trHeight w:val="234"/>
        </w:trPr>
        <w:tc>
          <w:tcPr>
            <w:tcW w:w="6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 (a)</w:t>
            </w: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w:t>
            </w:r>
          </w:p>
        </w:tc>
      </w:tr>
      <w:tr>
        <w:trPr>
          <w:trHeight w:val="229"/>
        </w:trPr>
        <w:tc>
          <w:tcPr>
            <w:tcW w:w="6280" w:type="dxa"/>
            <w:vAlign w:val="bottom"/>
          </w:tcPr>
          <w:p>
            <w:pPr>
              <w:ind w:left="140"/>
              <w:spacing w:after="0"/>
              <w:rPr>
                <w:sz w:val="20"/>
                <w:szCs w:val="20"/>
                <w:color w:val="auto"/>
              </w:rPr>
            </w:pPr>
            <w:r>
              <w:rPr>
                <w:rFonts w:ascii="Arial" w:cs="Arial" w:eastAsia="Arial" w:hAnsi="Arial"/>
                <w:sz w:val="18"/>
                <w:szCs w:val="18"/>
                <w:color w:val="auto"/>
              </w:rPr>
              <w:t>Transaction costs (b)</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63"/>
        </w:trPr>
        <w:tc>
          <w:tcPr>
            <w:tcW w:w="6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charges and expenses (c)</w:t>
            </w:r>
          </w:p>
        </w:tc>
        <w:tc>
          <w:tcPr>
            <w:tcW w:w="3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w:t>
            </w:r>
          </w:p>
        </w:tc>
      </w:tr>
      <w:tr>
        <w:trPr>
          <w:trHeight w:val="217"/>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54,982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48,359</w:t>
            </w:r>
          </w:p>
        </w:tc>
      </w:tr>
      <w:tr>
        <w:trPr>
          <w:trHeight w:val="20"/>
        </w:trPr>
        <w:tc>
          <w:tcPr>
            <w:tcW w:w="6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420" w:hanging="331"/>
        <w:spacing w:after="0"/>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share-based compensation relating to equity awards granted to employees and independent directors of the Company.</w:t>
      </w:r>
    </w:p>
    <w:p>
      <w:pPr>
        <w:spacing w:after="0" w:line="23" w:lineRule="exact"/>
        <w:rPr>
          <w:rFonts w:ascii="Arial" w:cs="Arial" w:eastAsia="Arial" w:hAnsi="Arial"/>
          <w:sz w:val="18"/>
          <w:szCs w:val="18"/>
          <w:color w:val="auto"/>
        </w:rPr>
      </w:pPr>
    </w:p>
    <w:p>
      <w:pPr>
        <w:ind w:left="420" w:hanging="331"/>
        <w:spacing w:after="0"/>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primarily financial advisory, professional and legal fees related to business acquisition transactions.</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primarily loss on disposal of fixed assets.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consider liquidity in terms of our cash and cash equivalents position, cash flows from operations and their sufficiency to fund business operations, including working capital needs, debt service, acquisitions, capital expenditures, contractual obligations and other commitments. In particular, to meet our payment service obligations at all times, we must have sufficient highly liquid assets and be able to move funds on a timely basis.</w:t>
      </w:r>
    </w:p>
    <w:p>
      <w:pPr>
        <w:spacing w:after="0" w:line="1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principal sources of liquidity are our cash generated by operating activities supplemented with borrowings under our revolving credit facility. Our primary cash needs are for day-to-day operations, to pay interest and principal on our indebtedness, to fund working capital requirements and to make capital expenditures.</w:t>
      </w:r>
    </w:p>
    <w:p>
      <w:pPr>
        <w:spacing w:after="0" w:line="2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funded and still expect to continue funding our liquidity requirements through internally generated funds, supplemented in the ordinary course, with borrowings under our revolving credit facility. We maintain a strong cash and cash equivalents balance position and have access to committed funding sources, which we have used only on an ordinary course basis during the six months ended June 30, 2023. Therefore, we believe that our current cash and cash equivalents position, as well as projected cash flows generated from operations, together with borrowings under our revolving credit facility are sufficient to fund our principal and interest payments, lease expenses, our working capital needs, our business acquisitions and our expected capital expenditures for at least the next twelve months.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Credit Agreement</w:t>
      </w:r>
    </w:p>
    <w:p>
      <w:pPr>
        <w:spacing w:after="0" w:line="25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have an Amended and Restated Credit Agreement (as amended as described below, the “A&amp;R Credit Agreement”) with a group of banking institutions. The A&amp;R Credit Agreement provided for a $150.0 million revolving credit facility, an $87.5 million term loan facility and an uncommitted incremental facility, which may be utilized for additional revolving or term loans, of up to $70.0 million. The A&amp;R Credit Agreement also provides for the issuance of letters of credit, which would reduce availability under the revolving credit facility. The proceeds of the term loan were used to refinance the existing term loan under the Company’s previous credit agreement, and the revolving credit facility is available for working capital, general corporate purposes and to pay fees and expenses in connection with this transaction. The maturity date of the A&amp;R Credit Agreement is June 24, 2026.</w:t>
      </w:r>
    </w:p>
    <w:p>
      <w:pPr>
        <w:spacing w:after="0" w:line="19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November 2022, the A&amp;R Credit Agreement was amended to replace the London Inter-bank Offered Rate (“LIBOR”) as a benchmark interest rate for loans with the secured overnight financing rate as administered by the Federal Reserve Bank of New York (“SOFR”).</w:t>
      </w:r>
    </w:p>
    <w:p>
      <w:pPr>
        <w:spacing w:after="0" w:line="19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Effective as of April 18, 2023, the Company amended the A&amp;R Credit Agreement to increase the revolving credit commitments thereunder by $70.0 million to an aggregate of $220.0 million. The credit commitments are available for general corporate purposes to support the Company’s growth and to fund working capital needs and will be subject to the same interest rate and other terms applicable to the outstanding revolving credit commitments under the A&amp;R Credit Agreement. Refer to Note 10 for additional information. In addition, as amended, the A&amp;R Credit Agreement provides the Company with a refreshed uncommitted incremental facility which may be utilized for new revolving credit facilities or term loans in an aggregate amount of up to $70.0 million.</w:t>
      </w:r>
    </w:p>
    <w:p>
      <w:pPr>
        <w:spacing w:after="0" w:line="21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June 30, 2023, we had $78.8 million of borrowings under the term loan facility excluding debt origination costs of $1.5 million. As of June 30, 2023, there were $116.0 million of outstanding amounts drawn on the revolving credit facility. There were $174.0 million of additional borrowings available under these facilities as of June 30, 2023.</w:t>
      </w:r>
    </w:p>
    <w:p>
      <w:pPr>
        <w:spacing w:after="0" w:line="21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At the election of the Company, interest on the term loan facility and revolving loans under the A&amp;R Credit Agreement may be determined by reference to SOFR plus an index adjustment of 0.10% and an applicable margin ranging between 2.50% and 3.00% based upon the Company’s consolidated leverage ratio, as calculated pursuant to the terms of the A&amp;R Credit Agreement. Loans (other than Term Loans, as defined in the A&amp;R Credit Agreement), may also bear interest at the base rate plus an applicable margin ranging between 1.50% and 2.00% based upon the Company’s consolidated leverage ratio, as so calculated. The Company is also required to pay a fee on the unused portion of the revolving credit facility equal to 0.35% per annum. The effective interest rates for the six months ended June 30, 2023 for the term loan facility and revolving credit facility were 8.03% and 1.85%, respectively.</w:t>
      </w:r>
    </w:p>
    <w:p>
      <w:pPr>
        <w:spacing w:after="0" w:line="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Interest is payable (x)(i) generally on the last day of each interest period selected for SOFR loans, but in any event, not less frequently than every three months, and (ii) on the last business day of each quarter for base rate loans and (y) at final maturity.</w:t>
      </w:r>
    </w:p>
    <w:p>
      <w:pPr>
        <w:spacing w:after="0" w:line="21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principal amount of the term loan facility under the A&amp;R Credit Agreement must be repaid in consecutive quarterly installments of 5.0% in years 1 and 2, 7.5% in year 3, and 10.0% in years 4 and 5, in each case on the last day of each quarter, which commenced in September 2021 with a final balloon payment at maturity. The term loans under the A&amp;R Credit Agreement may be prepaid at any time without premium or penalty. Revolving loans may be borrowed, repaid and reborrowed from time to time in accordance with the terms and conditions of the A&amp;R Credit Agreement. The Company is also required to repay the loans upon receipt of net proceeds from certain casualty events, upon the disposition of certain property and upon incurrence of indebtedness not permitted by the A&amp;R Credit Agreement. In addition, the Company is required to make mandatory prepayments annually from excess cash flow if the Company’s consolidated</w:t>
      </w:r>
    </w:p>
    <w:p>
      <w:pPr>
        <w:spacing w:after="0" w:line="3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leverage ratio (as calculated under the A&amp;R Credit Agreement) is greater than or equal to 3.0, and the remainder of any such excess cash flow is contributed to the available amount which may be used for a variety of purposes, including investments and distributions.</w:t>
      </w:r>
    </w:p>
    <w:p>
      <w:pPr>
        <w:spacing w:after="0" w:line="19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A&amp;R Credit Agreement contains financial covenants that require the Company to maintain a quarterly minimum fixed charge coverage ratio of 1.25:1.00 and a quarterly maximum consolidated leverage ratio of 3.25:1.00. As of June 30, 2023, we were in compliance with the covenants of the A&amp;R Credit Agreement. The A&amp;R Credit Agreement generally restricts the ability of the Company to make certain restricted payments, including the repurchase of shares of its common stock, provided that the Company may make restricted payments, among others, (i) without limitation so long as the Consolidated Leverage Ratio (as defined in the A&amp;R Credit Agreement), as of the then most recently completed four fiscal quarters of the Company, after giving pro forma effect to such restricted payments, is 2.25:1.00 or less, (ii) that do not exceed, in the aggregate during any fiscal year, the greater of (x) $23.8 million and (y) 25.00% of Consolidated EBITDA (as defined in the A&amp;R Credit Agreement) for the then most recently completed four fiscal quarters of the Company and (iii) to repurchase Company common stock from current or former employees in an aggregate amount of up to $10.0 million per calendar year. The A&amp;R Credit Agreement also contains covenants that limit the Company’s and its subsidiaries’ ability to, among other things, grant liens, incur additional indebtedness, make acquisitions or investments, dispose of certain assets, change the nature of their businesses, enter into certain transactions with affiliates or amend the terms of material indebtedness.</w:t>
      </w:r>
    </w:p>
    <w:p>
      <w:pPr>
        <w:spacing w:after="0" w:line="20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indebtedness could adversely affect our ability to raise additional capital, limit our ability to react to changes in the economy or our industry, expose us to interest rate risk and prevent us from meeting our obligations. See “</w:t>
      </w:r>
      <w:r>
        <w:rPr>
          <w:rFonts w:ascii="Arial" w:cs="Arial" w:eastAsia="Arial" w:hAnsi="Arial"/>
          <w:sz w:val="18"/>
          <w:szCs w:val="18"/>
          <w:i w:val="1"/>
          <w:iCs w:val="1"/>
          <w:color w:val="auto"/>
        </w:rPr>
        <w:t>Risk Factors—Risks Relating to Our Indebtedness—The Company's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indebtedness may limit our operating flexibility and could adversely affect our business, financial condition and results of operations.” </w:t>
      </w:r>
      <w:r>
        <w:rPr>
          <w:rFonts w:ascii="Arial" w:cs="Arial" w:eastAsia="Arial" w:hAnsi="Arial"/>
          <w:sz w:val="18"/>
          <w:szCs w:val="18"/>
          <w:color w:val="auto"/>
        </w:rPr>
        <w:t>included in our</w:t>
      </w:r>
      <w:r>
        <w:rPr>
          <w:rFonts w:ascii="Arial" w:cs="Arial" w:eastAsia="Arial" w:hAnsi="Arial"/>
          <w:sz w:val="18"/>
          <w:szCs w:val="18"/>
          <w:i w:val="1"/>
          <w:iCs w:val="1"/>
          <w:color w:val="auto"/>
        </w:rPr>
        <w:t xml:space="preserve"> </w:t>
      </w:r>
      <w:r>
        <w:rPr>
          <w:rFonts w:ascii="Arial" w:cs="Arial" w:eastAsia="Arial" w:hAnsi="Arial"/>
          <w:sz w:val="18"/>
          <w:szCs w:val="18"/>
          <w:color w:val="auto"/>
        </w:rPr>
        <w:t>Annual Report on Form 10-K for the year ended December 31, 2022.</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Repurchase Program</w:t>
      </w:r>
    </w:p>
    <w:p>
      <w:pPr>
        <w:spacing w:after="0" w:line="25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August 2021, the Company’s Board of Directors approved a stock repurchase program (the “Repurchase Program”) that authorizes the Company to purchase up to $40.0 million of its outstanding shares of the Company’s common stock. On March 3, 2023 the Board of Directors approved an increase to the Repurchase Program that authorizes the Company to purchase an additional $100.0 million of its outstanding shares. Under the Repurchase Program, the Company is authorized to repurchase shares from time to time in accordance with applicable laws, both on the open market and in privately negotiated transactions and may include the use of derivative contracts or structured share repurchase agreements. The timing and amount of repurchases depends on several factors, including market and business conditions, the trading price of the Company’s common stock and the nature of other investment opportunities. The Repurchase Program may be limited, suspended or discontinued at any time without prior notice. The Repurchase Program does not have an expiration date. The A&amp;R Credit Agreement, as amended, permits the Company to make restricted payments (including share repurchases, among others) under a variety of tests as described in the second preceding paragraph, including, without limitation, so long as the Consolidated Leverage Ratio (as defined in the A&amp;R Credit Agreement, as amended), as of the then most recently completed four fiscal quarters of the Company, after giving pro forma effect to such restricted payments, is 2.25:1.00 or less.</w:t>
      </w:r>
    </w:p>
    <w:p>
      <w:pPr>
        <w:spacing w:after="0" w:line="20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accounts for purchases of treasury stock under the cost method. Any direct costs incurred to acquire treasury stock are considered stock issue costs and added to the cost of the treasury stock. During the six months ended June 30, 2023, including the shares purchased in the privately-negotiated transaction described below, the Company purchased 1,232,581 shares for an aggregate purchase price of $30.5 million. During the six months ended June 30, 2022, the Company purchased 727,901 shares for an aggregate purchase price of $13.6 million. As of June 30, 2023, there was $90.7 million available for future share repurchases under the Repurchase Program.</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Privately-Negotiated Share Repurchase Transaction</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On May 5, 2023, the Company entered into an agreement with SPC Intermex, LP, a related party, for the purchase of 500,000 shares of the Company’s common stock for a total purchase price of $12.6 million, or a per share price of $25.28, in a privately-negotiated transaction.</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Leases</w:t>
      </w:r>
    </w:p>
    <w:p>
      <w:pPr>
        <w:spacing w:after="0" w:line="252" w:lineRule="exact"/>
        <w:rPr>
          <w:sz w:val="20"/>
          <w:szCs w:val="20"/>
          <w:color w:val="auto"/>
        </w:rPr>
      </w:pPr>
    </w:p>
    <w:p>
      <w:pPr>
        <w:ind w:right="380" w:firstLine="324"/>
        <w:spacing w:after="0" w:line="259" w:lineRule="auto"/>
        <w:rPr>
          <w:sz w:val="20"/>
          <w:szCs w:val="20"/>
          <w:color w:val="auto"/>
        </w:rPr>
      </w:pPr>
      <w:r>
        <w:rPr>
          <w:rFonts w:ascii="Arial" w:cs="Arial" w:eastAsia="Arial" w:hAnsi="Arial"/>
          <w:sz w:val="18"/>
          <w:szCs w:val="18"/>
          <w:color w:val="auto"/>
        </w:rPr>
        <w:t xml:space="preserve">We are party to operating leases for office space, warehouses and Company-operated store locations, which we use as part of our day-to-day operations. Operating lease expenses were $2.0 million and $4.1 million for the three and six months ended June 30, 2023, which we expect to be consistent throughout the year. We have not entered into finance lease commitments. For additional information on operating lease obligations, refer to Note 7, </w:t>
      </w:r>
      <w:r>
        <w:rPr>
          <w:rFonts w:ascii="Arial" w:cs="Arial" w:eastAsia="Arial" w:hAnsi="Arial"/>
          <w:sz w:val="18"/>
          <w:szCs w:val="18"/>
          <w:i w:val="1"/>
          <w:iCs w:val="1"/>
          <w:color w:val="auto"/>
        </w:rPr>
        <w:t>Leases</w:t>
      </w:r>
      <w:r>
        <w:rPr>
          <w:rFonts w:ascii="Arial" w:cs="Arial" w:eastAsia="Arial" w:hAnsi="Arial"/>
          <w:sz w:val="18"/>
          <w:szCs w:val="18"/>
          <w:color w:val="auto"/>
        </w:rPr>
        <w:t>, to the Condensed Consolidated Financial Statements.</w:t>
      </w:r>
    </w:p>
    <w:p>
      <w:pPr>
        <w:spacing w:after="0" w:line="200" w:lineRule="exact"/>
        <w:rPr>
          <w:sz w:val="20"/>
          <w:szCs w:val="20"/>
          <w:color w:val="auto"/>
        </w:rPr>
      </w:pPr>
    </w:p>
    <w:p>
      <w:pPr>
        <w:spacing w:after="0" w:line="28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to our cash flows for the periods presented: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color w:val="auto"/>
              </w:rPr>
              <w:t>Six Months Ended June 30,</w:t>
            </w:r>
          </w:p>
        </w:tc>
      </w:tr>
      <w:tr>
        <w:trPr>
          <w:trHeight w:val="250"/>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r>
      <w:tr>
        <w:trPr>
          <w:trHeight w:val="216"/>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Statement of Cash Flows Data:</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626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4,560</w:t>
            </w:r>
          </w:p>
        </w:tc>
      </w:tr>
      <w:tr>
        <w:trPr>
          <w:trHeight w:val="243"/>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(10,028)</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(6,867)</w:t>
            </w:r>
          </w:p>
        </w:tc>
      </w:tr>
      <w:tr>
        <w:trPr>
          <w:trHeight w:val="229"/>
        </w:trPr>
        <w:tc>
          <w:tcPr>
            <w:tcW w:w="6260" w:type="dxa"/>
            <w:vAlign w:val="bottom"/>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6,546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(15,612)</w:t>
            </w:r>
          </w:p>
        </w:tc>
      </w:tr>
      <w:tr>
        <w:trPr>
          <w:trHeight w:val="250"/>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4"/>
        </w:trPr>
        <w:tc>
          <w:tcPr>
            <w:tcW w:w="6260" w:type="dxa"/>
            <w:vAlign w:val="bottom"/>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(2,121)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(17,874)</w:t>
            </w:r>
          </w:p>
        </w:tc>
      </w:tr>
      <w:tr>
        <w:trPr>
          <w:trHeight w:val="249"/>
        </w:trPr>
        <w:tc>
          <w:tcPr>
            <w:tcW w:w="6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50"/>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149,493</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132,474</w:t>
            </w:r>
          </w:p>
        </w:tc>
      </w:tr>
      <w:tr>
        <w:trPr>
          <w:trHeight w:val="254"/>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147,372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114,600</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Net cash provided by operating activities was $8.0 thousand for the six months ended June 30, 2023, a decrease of $4.6 million from net cash provided by operating activities of $4.6 million for the six months ended June 30, 2022. The decrease is primarily a result of a $10.1 million change in working capital, which varies due to timing of transmittal orders and payments, as well as prefunding of payers primarily for weekends, which was the case for the quarter ended June 30, 2023. The changes in working capital were offset by additional cash generated by our operating results adjusted for noncash items for the six months ended June 30, 2023, resulting from the further growth of the business.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used in investing activities was $10.0 million for the six months ended June 30, 2023, representing an increase of $3.1 million from net cash used in investing activities of $6.9 million for the six months ended June 30, 2022. This increase in cash used was due to the acquisition of LAN Holdings through a cash transaction which resulted in $5.5 million of cash used, net of cash acquired, offset by lower purchases of computer equipment during the six months ended June 30, 2023 in comparison with the six months ended June 30, 2022.</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Net cash provided by financing activities was $6.5 million for the six months ended June 30, 2023, which primarily consisted of $40.0 million of borrowings, net under the revolving credit facility, $2.2 million in scheduled quarterly payments due on the term loan facility, $30.5 million used for repurchases of common stock, $0.9 million of payments for stock-based awards for shares withheld for tax payments in connection with share-based compensation arrangements and $0.7 million of debt origination costs related to the A&amp;R Credit Agreement, partially offset by $0.8 million in proceeds from issuance of stock as a result of the exercise of stock options.</w:t>
      </w:r>
    </w:p>
    <w:p>
      <w:pPr>
        <w:spacing w:after="0" w:line="2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used in financing activities was $15.6 million for the six months ended June 30, 2022, which primarily consisted of $2.2 million in scheduled quarterly payments due on the term loan facility, $13.6 million used for repurchases of common stock and $0.3 million of payments for stock-based awards for shares withheld in connection with share-based compensation arrangements, offset by $0.5 million in proceeds from issuance of stock as a result of the exercise of stock options.</w:t>
      </w:r>
    </w:p>
    <w:p>
      <w:pPr>
        <w:spacing w:after="0" w:line="200" w:lineRule="exact"/>
        <w:rPr>
          <w:sz w:val="20"/>
          <w:szCs w:val="20"/>
          <w:color w:val="auto"/>
        </w:rPr>
      </w:pPr>
    </w:p>
    <w:p>
      <w:pPr>
        <w:spacing w:after="0" w:line="28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preparation of financial statements in accordance with accounting principles generally accepted in the United States requires management to make estimates and assumptions about future events that affect amounts reported in our condensed consolidated financial statements and related notes, as well as the related disclosure of contingent assets and liabilities at the date of the financial statements. Management evaluates its accounting policies, estimates and judgments on an on-going basis. Management bases its estimates and judgments on historical experience and various other factors that are believed to be reasonable under the circumstances. Actual results may differ from these estimates under different assumptions and conditions.</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An accounting policy is considered to be critical if it requires an accounting estimate to be made based on assumptions about matters that are highly uncertain at the time the estimate is made, and if different estimates that reasonably could have been used, or changes in the accounting estimate that are reasonably likely to occur, could materially impact the consolidated financial statements. Our Critical Accounting Policies and Estimates disclosed in “</w:t>
      </w:r>
      <w:r>
        <w:rPr>
          <w:rFonts w:ascii="Arial" w:cs="Arial" w:eastAsia="Arial" w:hAnsi="Arial"/>
          <w:sz w:val="18"/>
          <w:szCs w:val="18"/>
          <w:i w:val="1"/>
          <w:iCs w:val="1"/>
          <w:color w:val="auto"/>
        </w:rPr>
        <w:t>Management’s Discussion and Analysis of Financial Condition and Results of Operations - Critical Accounting Policies and Estimates</w:t>
      </w:r>
      <w:r>
        <w:rPr>
          <w:rFonts w:ascii="Arial" w:cs="Arial" w:eastAsia="Arial" w:hAnsi="Arial"/>
          <w:sz w:val="18"/>
          <w:szCs w:val="18"/>
          <w:color w:val="auto"/>
        </w:rPr>
        <w:t>” in our Annual Report on Form 10-K for the year ended December 31, 2022, for which there were no material changes during the three and six months ended June 30, 2023, included the following:</w:t>
      </w:r>
    </w:p>
    <w:p>
      <w:pPr>
        <w:spacing w:after="0" w:line="219" w:lineRule="exact"/>
        <w:rPr>
          <w:sz w:val="20"/>
          <w:szCs w:val="20"/>
          <w:color w:val="auto"/>
        </w:rPr>
      </w:pPr>
    </w:p>
    <w:p>
      <w:pPr>
        <w:ind w:left="660" w:hanging="16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Allowance for Credit Losses</w:t>
      </w:r>
    </w:p>
    <w:p>
      <w:pPr>
        <w:spacing w:after="0" w:line="23" w:lineRule="exact"/>
        <w:rPr>
          <w:rFonts w:ascii="Arial" w:cs="Arial" w:eastAsia="Arial" w:hAnsi="Arial"/>
          <w:sz w:val="18"/>
          <w:szCs w:val="18"/>
          <w:color w:val="auto"/>
        </w:rPr>
      </w:pPr>
    </w:p>
    <w:p>
      <w:pPr>
        <w:ind w:left="660" w:hanging="16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Goodwill and Intangible Assets</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Refer to Note 1, </w:t>
      </w:r>
      <w:r>
        <w:rPr>
          <w:rFonts w:ascii="Arial" w:cs="Arial" w:eastAsia="Arial" w:hAnsi="Arial"/>
          <w:sz w:val="18"/>
          <w:szCs w:val="18"/>
          <w:i w:val="1"/>
          <w:iCs w:val="1"/>
          <w:color w:val="auto"/>
        </w:rPr>
        <w:t>Business and Accounting Policies</w:t>
      </w:r>
      <w:r>
        <w:rPr>
          <w:rFonts w:ascii="Arial" w:cs="Arial" w:eastAsia="Arial" w:hAnsi="Arial"/>
          <w:sz w:val="18"/>
          <w:szCs w:val="18"/>
          <w:color w:val="auto"/>
        </w:rPr>
        <w:t>, of the Condensed Consolidated Financial Statements for information on recent accounting pronouncements.</w:t>
      </w:r>
    </w:p>
    <w:p>
      <w:pPr>
        <w:spacing w:after="0" w:line="25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manage foreign currency risk through the structure of the business and an active risk management process. One of the methods to settle with our payers in Latin America is entering into foreign exchange tom and spot transactions with local and foreign currency providers (“counterparties”). The foreign currency exposure on our foreign exchange tom and spot transactions is limited by the fact that all transactions are settled within two business days from trade date. Foreign currency fluctuations, however, may negatively affect our average exchange gain per transaction. The Company had open tom and spot foreign exchange contracts for Mexican pesos and Guatemalan quetzales amounting to approximately $86.3 million and $41.3 million at June 30, 2023 and December 31, 2022, respectively.</w:t>
      </w:r>
    </w:p>
    <w:p>
      <w:pPr>
        <w:spacing w:after="0" w:line="21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included in wire transfers and money orders payable, net in our condensed consolidated balance sheets as of June 30, 2023 and December 31, 2022, there are $31.7 million and $39.3 million, respectively, of wires payable denominated in foreign currencies, primarily Mexican pesos and Guatemalan quetzales.</w:t>
      </w:r>
    </w:p>
    <w:p>
      <w:pPr>
        <w:spacing w:after="0" w:line="21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Also, included in prepaid wires, net in our condensed consolidated balance sheets as of June 30, 2023 and December 31, 2022, there are $94.3 million and $82.3 million, respectively, of prepaid wires denominated in foreign currencies, primarily Mexican pesos and Guatemalan quetzales.</w:t>
      </w:r>
    </w:p>
    <w:p>
      <w:pPr>
        <w:spacing w:after="0" w:line="17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are also exposed to changes in currency rates as a result of our investments in foreign operations and revenues generated in currencies other than the U.S. dollar. Revenues and profits generated by international operations will increase or decrease because of changes in foreign currency exchange rates. This foreign currency risk is related primarily to our operations in our foreign subsidiaries. Revenues from our foreign subsidiaries represent less than 2% of our consolidated revenues for the six months ended June 30, 2023. Therefore, a 10% increase or decrease in these currency rates against the U.S. Dollar would result in a de minimis change to our overall operating results.</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spot and average exchange rates for the currencies in which we operate to U.S. dollar are as follows:</w:t>
      </w:r>
    </w:p>
    <w:p>
      <w:pPr>
        <w:spacing w:after="0" w:line="289" w:lineRule="exact"/>
        <w:rPr>
          <w:sz w:val="20"/>
          <w:szCs w:val="20"/>
          <w:color w:val="auto"/>
        </w:rPr>
      </w:pPr>
    </w:p>
    <w:tbl>
      <w:tblPr>
        <w:tblLayout w:type="fixed"/>
        <w:tblInd w:w="340" w:type="dxa"/>
        <w:tblCellMar>
          <w:top w:w="0" w:type="dxa"/>
          <w:left w:w="0" w:type="dxa"/>
          <w:bottom w:w="0" w:type="dxa"/>
          <w:right w:w="0" w:type="dxa"/>
        </w:tblCellMar>
      </w:tblPr>
      <w:tr>
        <w:trPr>
          <w:trHeight w:val="229"/>
        </w:trPr>
        <w:tc>
          <w:tcPr>
            <w:tcW w:w="3940" w:type="dxa"/>
            <w:vAlign w:val="bottom"/>
          </w:tcPr>
          <w:p>
            <w:pPr>
              <w:spacing w:after="0"/>
              <w:rPr>
                <w:sz w:val="19"/>
                <w:szCs w:val="19"/>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2023</w:t>
            </w:r>
          </w:p>
        </w:tc>
        <w:tc>
          <w:tcPr>
            <w:tcW w:w="1040" w:type="dxa"/>
            <w:vAlign w:val="bottom"/>
          </w:tcPr>
          <w:p>
            <w:pPr>
              <w:spacing w:after="0"/>
              <w:rPr>
                <w:sz w:val="19"/>
                <w:szCs w:val="19"/>
                <w:color w:val="auto"/>
              </w:rPr>
            </w:pPr>
          </w:p>
        </w:tc>
        <w:tc>
          <w:tcPr>
            <w:tcW w:w="17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2022</w:t>
            </w:r>
          </w:p>
        </w:tc>
        <w:tc>
          <w:tcPr>
            <w:tcW w:w="1020" w:type="dxa"/>
            <w:vAlign w:val="bottom"/>
          </w:tcPr>
          <w:p>
            <w:pPr>
              <w:spacing w:after="0"/>
              <w:rPr>
                <w:sz w:val="19"/>
                <w:szCs w:val="19"/>
                <w:color w:val="auto"/>
              </w:rPr>
            </w:pPr>
          </w:p>
        </w:tc>
      </w:tr>
      <w:tr>
        <w:trPr>
          <w:trHeight w:val="255"/>
        </w:trPr>
        <w:tc>
          <w:tcPr>
            <w:tcW w:w="3940" w:type="dxa"/>
            <w:vAlign w:val="bottom"/>
          </w:tcPr>
          <w:p>
            <w:pPr>
              <w:spacing w:after="0"/>
              <w:rPr>
                <w:sz w:val="22"/>
                <w:szCs w:val="22"/>
                <w:color w:val="auto"/>
              </w:rPr>
            </w:pPr>
          </w:p>
        </w:tc>
        <w:tc>
          <w:tcPr>
            <w:tcW w:w="1480" w:type="dxa"/>
            <w:vAlign w:val="bottom"/>
            <w:gridSpan w:val="3"/>
          </w:tcPr>
          <w:p>
            <w:pPr>
              <w:jc w:val="right"/>
              <w:ind w:right="640"/>
              <w:spacing w:after="0" w:line="247" w:lineRule="exact"/>
              <w:rPr>
                <w:sz w:val="20"/>
                <w:szCs w:val="20"/>
                <w:color w:val="auto"/>
              </w:rPr>
            </w:pPr>
            <w:r>
              <w:rPr>
                <w:rFonts w:ascii="Arial" w:cs="Arial" w:eastAsia="Arial" w:hAnsi="Arial"/>
                <w:sz w:val="18"/>
                <w:szCs w:val="18"/>
                <w:b w:val="1"/>
                <w:bCs w:val="1"/>
                <w:color w:val="auto"/>
              </w:rPr>
              <w:t>Spot</w:t>
            </w:r>
            <w:r>
              <w:rPr>
                <w:rFonts w:ascii="Arial" w:cs="Arial" w:eastAsia="Arial" w:hAnsi="Arial"/>
                <w:sz w:val="23"/>
                <w:szCs w:val="23"/>
                <w:b w:val="1"/>
                <w:bCs w:val="1"/>
                <w:color w:val="auto"/>
                <w:vertAlign w:val="superscript"/>
              </w:rPr>
              <w:t>(1)</w:t>
            </w:r>
          </w:p>
        </w:tc>
        <w:tc>
          <w:tcPr>
            <w:tcW w:w="1040" w:type="dxa"/>
            <w:vAlign w:val="bottom"/>
          </w:tcPr>
          <w:p>
            <w:pPr>
              <w:jc w:val="right"/>
              <w:ind w:right="130"/>
              <w:spacing w:after="0" w:line="247" w:lineRule="exact"/>
              <w:rPr>
                <w:sz w:val="20"/>
                <w:szCs w:val="20"/>
                <w:color w:val="auto"/>
              </w:rPr>
            </w:pPr>
            <w:r>
              <w:rPr>
                <w:rFonts w:ascii="Arial" w:cs="Arial" w:eastAsia="Arial" w:hAnsi="Arial"/>
                <w:sz w:val="18"/>
                <w:szCs w:val="18"/>
                <w:b w:val="1"/>
                <w:bCs w:val="1"/>
                <w:color w:val="auto"/>
                <w:w w:val="89"/>
              </w:rPr>
              <w:t>Average</w:t>
            </w:r>
            <w:r>
              <w:rPr>
                <w:rFonts w:ascii="Arial" w:cs="Arial" w:eastAsia="Arial" w:hAnsi="Arial"/>
                <w:sz w:val="23"/>
                <w:szCs w:val="23"/>
                <w:b w:val="1"/>
                <w:bCs w:val="1"/>
                <w:color w:val="auto"/>
                <w:w w:val="89"/>
                <w:vertAlign w:val="superscript"/>
              </w:rPr>
              <w:t>(2)</w:t>
            </w:r>
          </w:p>
        </w:tc>
        <w:tc>
          <w:tcPr>
            <w:tcW w:w="260" w:type="dxa"/>
            <w:vAlign w:val="bottom"/>
          </w:tcPr>
          <w:p>
            <w:pPr>
              <w:spacing w:after="0"/>
              <w:rPr>
                <w:sz w:val="22"/>
                <w:szCs w:val="22"/>
                <w:color w:val="auto"/>
              </w:rPr>
            </w:pPr>
          </w:p>
        </w:tc>
        <w:tc>
          <w:tcPr>
            <w:tcW w:w="1480" w:type="dxa"/>
            <w:vAlign w:val="bottom"/>
            <w:gridSpan w:val="3"/>
          </w:tcPr>
          <w:p>
            <w:pPr>
              <w:jc w:val="right"/>
              <w:ind w:right="640"/>
              <w:spacing w:after="0" w:line="247" w:lineRule="exact"/>
              <w:rPr>
                <w:sz w:val="20"/>
                <w:szCs w:val="20"/>
                <w:color w:val="auto"/>
              </w:rPr>
            </w:pPr>
            <w:r>
              <w:rPr>
                <w:rFonts w:ascii="Arial" w:cs="Arial" w:eastAsia="Arial" w:hAnsi="Arial"/>
                <w:sz w:val="18"/>
                <w:szCs w:val="18"/>
                <w:b w:val="1"/>
                <w:bCs w:val="1"/>
                <w:color w:val="auto"/>
              </w:rPr>
              <w:t>Spot</w:t>
            </w:r>
            <w:r>
              <w:rPr>
                <w:rFonts w:ascii="Arial" w:cs="Arial" w:eastAsia="Arial" w:hAnsi="Arial"/>
                <w:sz w:val="23"/>
                <w:szCs w:val="23"/>
                <w:b w:val="1"/>
                <w:bCs w:val="1"/>
                <w:color w:val="auto"/>
                <w:vertAlign w:val="superscript"/>
              </w:rPr>
              <w:t>(1)</w:t>
            </w:r>
          </w:p>
        </w:tc>
        <w:tc>
          <w:tcPr>
            <w:tcW w:w="1020" w:type="dxa"/>
            <w:vAlign w:val="bottom"/>
          </w:tcPr>
          <w:p>
            <w:pPr>
              <w:jc w:val="right"/>
              <w:ind w:right="130"/>
              <w:spacing w:after="0" w:line="247" w:lineRule="exact"/>
              <w:rPr>
                <w:sz w:val="20"/>
                <w:szCs w:val="20"/>
                <w:color w:val="auto"/>
              </w:rPr>
            </w:pPr>
            <w:r>
              <w:rPr>
                <w:rFonts w:ascii="Arial" w:cs="Arial" w:eastAsia="Arial" w:hAnsi="Arial"/>
                <w:sz w:val="18"/>
                <w:szCs w:val="18"/>
                <w:b w:val="1"/>
                <w:bCs w:val="1"/>
                <w:color w:val="auto"/>
                <w:w w:val="86"/>
              </w:rPr>
              <w:t>Average</w:t>
            </w:r>
            <w:r>
              <w:rPr>
                <w:rFonts w:ascii="Arial" w:cs="Arial" w:eastAsia="Arial" w:hAnsi="Arial"/>
                <w:sz w:val="23"/>
                <w:szCs w:val="23"/>
                <w:b w:val="1"/>
                <w:bCs w:val="1"/>
                <w:color w:val="auto"/>
                <w:w w:val="86"/>
                <w:vertAlign w:val="superscript"/>
              </w:rPr>
              <w:t>(2)</w:t>
            </w:r>
          </w:p>
        </w:tc>
      </w:tr>
      <w:tr>
        <w:trPr>
          <w:trHeight w:val="230"/>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dollar/Mexico Peso</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18.17</w:t>
            </w:r>
          </w:p>
        </w:tc>
        <w:tc>
          <w:tcPr>
            <w:tcW w:w="2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20.25</w:t>
            </w: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U.S. dollar/Guatemala Quetzal</w:t>
            </w:r>
          </w:p>
        </w:tc>
        <w:tc>
          <w:tcPr>
            <w:tcW w:w="1200" w:type="dxa"/>
            <w:vAlign w:val="bottom"/>
          </w:tcPr>
          <w:p>
            <w:pPr>
              <w:jc w:val="right"/>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7.85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7.68</w:t>
            </w:r>
          </w:p>
        </w:tc>
      </w:tr>
      <w:tr>
        <w:trPr>
          <w:trHeight w:val="243"/>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dollar/Canadian Dollar</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30"/>
        </w:trPr>
        <w:tc>
          <w:tcPr>
            <w:tcW w:w="3940" w:type="dxa"/>
            <w:vAlign w:val="bottom"/>
          </w:tcPr>
          <w:p>
            <w:pPr>
              <w:ind w:left="20"/>
              <w:spacing w:after="0" w:line="230" w:lineRule="exact"/>
              <w:rPr>
                <w:sz w:val="20"/>
                <w:szCs w:val="20"/>
                <w:color w:val="auto"/>
              </w:rPr>
            </w:pPr>
            <w:r>
              <w:rPr>
                <w:rFonts w:ascii="Arial" w:cs="Arial" w:eastAsia="Arial" w:hAnsi="Arial"/>
                <w:sz w:val="18"/>
                <w:szCs w:val="18"/>
                <w:color w:val="auto"/>
              </w:rPr>
              <w:t>U.S. dollar/Dominican Peso</w:t>
            </w:r>
            <w:r>
              <w:rPr>
                <w:rFonts w:ascii="Arial" w:cs="Arial" w:eastAsia="Arial" w:hAnsi="Arial"/>
                <w:sz w:val="23"/>
                <w:szCs w:val="23"/>
                <w:color w:val="auto"/>
                <w:vertAlign w:val="superscript"/>
              </w:rPr>
              <w:t>(3)</w:t>
            </w:r>
          </w:p>
        </w:tc>
        <w:tc>
          <w:tcPr>
            <w:tcW w:w="1200" w:type="dxa"/>
            <w:vAlign w:val="bottom"/>
          </w:tcPr>
          <w:p>
            <w:pPr>
              <w:jc w:val="right"/>
              <w:spacing w:after="0"/>
              <w:rPr>
                <w:sz w:val="20"/>
                <w:szCs w:val="20"/>
                <w:color w:val="auto"/>
              </w:rPr>
            </w:pPr>
            <w:r>
              <w:rPr>
                <w:rFonts w:ascii="Arial" w:cs="Arial" w:eastAsia="Arial" w:hAnsi="Arial"/>
                <w:sz w:val="18"/>
                <w:szCs w:val="18"/>
                <w:color w:val="auto"/>
              </w:rPr>
              <w:t>54.95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54.42</w:t>
            </w:r>
          </w:p>
        </w:tc>
        <w:tc>
          <w:tcPr>
            <w:tcW w:w="260" w:type="dxa"/>
            <w:vAlign w:val="bottom"/>
          </w:tcPr>
          <w:p>
            <w:pPr>
              <w:spacing w:after="0"/>
              <w:rPr>
                <w:sz w:val="19"/>
                <w:szCs w:val="19"/>
                <w:color w:val="auto"/>
              </w:rPr>
            </w:pPr>
          </w:p>
        </w:tc>
        <w:tc>
          <w:tcPr>
            <w:tcW w:w="14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U.S. dollar/Euro</w:t>
            </w:r>
            <w:r>
              <w:rPr>
                <w:rFonts w:ascii="Arial" w:cs="Arial" w:eastAsia="Arial" w:hAnsi="Arial"/>
                <w:sz w:val="23"/>
                <w:szCs w:val="23"/>
                <w:color w:val="auto"/>
                <w:vertAlign w:val="superscript"/>
              </w:rPr>
              <w:t>(3)</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26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46"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Spot exchange rates are as of June 30, 2023 and December 31, 2022.</w:t>
      </w:r>
    </w:p>
    <w:p>
      <w:pPr>
        <w:spacing w:after="0" w:line="1" w:lineRule="exact"/>
        <w:rPr>
          <w:rFonts w:ascii="Arial" w:cs="Arial" w:eastAsia="Arial" w:hAnsi="Arial"/>
          <w:sz w:val="23"/>
          <w:szCs w:val="23"/>
          <w:color w:val="auto"/>
          <w:vertAlign w:val="superscript"/>
        </w:rPr>
      </w:pPr>
    </w:p>
    <w:p>
      <w:pPr>
        <w:ind w:left="660" w:hanging="328"/>
        <w:spacing w:after="0" w:line="194" w:lineRule="auto"/>
        <w:tabs>
          <w:tab w:leader="none" w:pos="660"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Average exchange rates are for the six months ended June 30, 2023 and 2022.</w:t>
      </w:r>
    </w:p>
    <w:p>
      <w:pPr>
        <w:spacing w:after="0" w:line="2" w:lineRule="exact"/>
        <w:rPr>
          <w:rFonts w:ascii="Arial" w:cs="Arial" w:eastAsia="Arial" w:hAnsi="Arial"/>
          <w:sz w:val="23"/>
          <w:szCs w:val="23"/>
          <w:color w:val="auto"/>
          <w:vertAlign w:val="superscript"/>
        </w:rPr>
      </w:pPr>
    </w:p>
    <w:p>
      <w:pPr>
        <w:ind w:left="660" w:right="780" w:hanging="328"/>
        <w:spacing w:after="0" w:line="219" w:lineRule="auto"/>
        <w:tabs>
          <w:tab w:leader="none" w:pos="660"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We commenced operations in Dominican Republic and Europe in connection with the LAN Acquisition in April 2023 and, therefore, no information is provided prior to 2023.</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Long-term sustained appreciation of the Mexican peso or Guatemalan quetzal as compared to the U.S. dollar could affect our profit margins.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discussed above, interest under the A&amp;R Credit Agreement is variable based on certain benchmark rates, including SOFR. Because interest expense is subject to fluctuation, if interest rates increase, our debt service obligations on such variable rate indebtedness would increase even though the amount borrowed remained the same. Accordingly, an increase in interest rates would adversely affect our profitability.</w:t>
      </w:r>
    </w:p>
    <w:p>
      <w:pPr>
        <w:spacing w:after="0" w:line="19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During the six months ended June 30, 2023, the Federal Reserve continued raising the fed funds rate from 4.50% to 5.25% as a countermeasure to control inflation in the United States. As a consequence, other benchmark interest rates such as SOFR and previously LIBOR increased as well. These increases have resulted in the Company incurring higher interest expense. The Company expects that the Federal Reserve will continue to monitor the fed funds rate and may consider further increases through the remainder of 2023, which will continue exposing the Company to higher interest rate risk as benchmark interest rates such as SOFR will continue increasing as well. As of June 30, 2023, we had $78.8 million and $116.0 million in outstanding borrowings under the term loan facility and revolving credit facility, respectively. A hypothetical 1% increase or decrease in the interest rate on our indebtedness as of June 30, 2023 would have increased or decreased cash interest expense on our term loan facility and revolving credit facility by approximately $0.8 million and $1.2 million per annum, respectively.</w:t>
      </w:r>
    </w:p>
    <w:p>
      <w:pPr>
        <w:spacing w:after="0" w:line="1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maintain certain cash balances in various U.S. banks, which at times, may exceed federally insured limits. We have not incurred any losses on these accounts. In addition, we maintain cash in various bank accounts in Mexico, Guatemala, Canada, Spain and Italy and short-term investment accounts in Mexico, which may not be fully insured. During the six months ended June 30, 2023, we did not incur any losses on these uninsured accounts. To manage our exposure to credit risk with respect to cash balances and other credit risk exposure resulting from our relationships with banks and financial institutions, we regularly review cash concentrations, and we attempt to diversify our cash balances among global financial institutions.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also exposed to credit risk related to receivable balances from sending agents. We perform a credit review before each agent signing and conduct ongoing analyses of sending agents and certain other parties we transact with directly. As of June 30, 2023, we also had $3.1 million outstanding of agent advances receivable from sending agents. Most of the agent advances receivable are collateralized by personal guarantees from the sending agents and by assets from their businesses.</w:t>
      </w: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provision for credit losses was approximately $1.9 million for the six months ended June 30, 2023 (0.6% of total revenues) and $1.5 million for the six months ended June 30, 2022 (0.6% of total revenues). The increase in our provision for credit losses in the six months ended June 30, 2023 is due to higher write-offs of accounts receivable in 2023 compared to 2022 primarily as a result of sending agents that were not able to pay in accordance with the original terms and are, accordingly, subject to our normal collection procedures.</w:t>
      </w:r>
    </w:p>
    <w:p>
      <w:pPr>
        <w:spacing w:after="0" w:line="200" w:lineRule="exact"/>
        <w:rPr>
          <w:sz w:val="20"/>
          <w:szCs w:val="20"/>
          <w:color w:val="auto"/>
        </w:rPr>
      </w:pPr>
    </w:p>
    <w:p>
      <w:pPr>
        <w:spacing w:after="0" w:line="28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(the “Exchange Act”)) that are designed to ensure that information required to be disclosed in our reports filed pursuant to the Exchange Act is recorded, processed, summarized and reported within the time periods specified in the SEC’s rules, regulations and related forms, and that such information is accumulated and communicated to our management, including our Chief Executive Officer and President, and Chief Financial Officer, as appropriate, to allow timely decisions regarding required disclosure.</w:t>
      </w:r>
    </w:p>
    <w:p>
      <w:pPr>
        <w:spacing w:after="0" w:line="2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control system, no matter how well conceived and operated, can provide only reasonable, not 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w:t>
      </w:r>
    </w:p>
    <w:p>
      <w:pPr>
        <w:spacing w:after="0" w:line="21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required by Rules 13a-15(b) and 15d-15(b) under the Exchange Act, our Chief Executive Officer and President, and Chief Financial Officer, carried out an evaluation of the effectiveness of our disclosure controls and procedures as of June 30, 2023. Based on their evaluation, the Company’s principal executive officer and principal financial officer concluded that the Company’s disclosure controls and procedures were effective and operating to provide reasonable assurance that material information required to be disclosed in the reports that we file or submit under the Exchange Act is recorded, processed, summarized and reported within the time periods specified in the SEC’s rules and forms, including ensuring that such material information is accumulated and communicated to our management, including our Chief Executive Officer and President, and Chief Financial Officer, as appropriate, to allow timely decisions regarding required disclosure as of June 30, 2023.</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most recently completed fiscal quarter, there have been no changes in our internal control over financial reporting (as defined in Rules 13a-15(f) and 15d-15(f) under the Exchange Act) that have materially affected, or are reasonably likely to materially affect, our internal control over financial reporting.</w:t>
      </w:r>
    </w:p>
    <w:p>
      <w:pPr>
        <w:spacing w:after="0" w:line="26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From time to time, we are subject to various claims, charges and litigation matters that arise in the ordinary course of business. We believe these actions are a normal incident of the nature and kind of business in which we are engaged. While it is not feasible to predict the outcome of these matters with certainty, we do not believe that any asserted or unasserted legal claims or proceedings, individually or in the aggregate, will have a material and adverse effect on our business, financial condition and results of operations.</w:t>
      </w:r>
    </w:p>
    <w:p>
      <w:pPr>
        <w:spacing w:after="0" w:line="2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Reference is made to Note 16 – Commitments and Contingencies in the Unaudited Condensed Consolidated Financial Statements of the Company contained elsewhere in this Quarterly Report on Form 10–Q for information regarding certain legal proceedings to which we are a party, which information is incorporated by reference herein.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There have been no material changes to our principal risks that we believe are material to our business, results of operations and financial condition, from the risk factors previously disclosed in the Annual Report on Form 10-K for the year ended December 31, 2022 (the “2022 Form 10-K”). Prospective investors are encouraged to consider the risks described in our 2022 Form 10-K, our Management’s Discussion and Analysis of Financial Condition and Results of Operations contained in this Quarterly Report on Form 10-Q and in our 2022 Form 10-K, and other information publicly disclosed or contained in documents we file with the Securities and Exchange Commission before purchasing our securities.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repurchases of our common stock during the quarter ended June 30,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0"/>
              </w:rPr>
              <w:t>Total Number of Shares</w:t>
            </w:r>
          </w:p>
        </w:tc>
        <w:tc>
          <w:tcPr>
            <w:tcW w:w="120" w:type="dxa"/>
            <w:vAlign w:val="bottom"/>
          </w:tcPr>
          <w:p>
            <w:pPr>
              <w:spacing w:after="0"/>
              <w:rPr>
                <w:sz w:val="18"/>
                <w:szCs w:val="18"/>
                <w:color w:val="auto"/>
              </w:rPr>
            </w:pPr>
          </w:p>
        </w:tc>
        <w:tc>
          <w:tcPr>
            <w:tcW w:w="234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2"/>
              </w:rPr>
              <w:t>Approximate Dollar Value of</w:t>
            </w:r>
          </w:p>
        </w:tc>
        <w:tc>
          <w:tcPr>
            <w:tcW w:w="0" w:type="dxa"/>
            <w:vAlign w:val="bottom"/>
          </w:tcPr>
          <w:p>
            <w:pPr>
              <w:spacing w:after="0"/>
              <w:rPr>
                <w:sz w:val="1"/>
                <w:szCs w:val="1"/>
                <w:color w:val="auto"/>
              </w:rPr>
            </w:pPr>
          </w:p>
        </w:tc>
      </w:tr>
      <w:tr>
        <w:trPr>
          <w:trHeight w:val="184"/>
        </w:trPr>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jc w:val="center"/>
              <w:spacing w:after="0" w:line="184" w:lineRule="exact"/>
              <w:rPr>
                <w:sz w:val="20"/>
                <w:szCs w:val="20"/>
                <w:color w:val="auto"/>
              </w:rPr>
            </w:pPr>
            <w:r>
              <w:rPr>
                <w:rFonts w:ascii="Arial" w:cs="Arial" w:eastAsia="Arial" w:hAnsi="Arial"/>
                <w:sz w:val="18"/>
                <w:szCs w:val="18"/>
                <w:b w:val="1"/>
                <w:bCs w:val="1"/>
                <w:color w:val="auto"/>
                <w:w w:val="89"/>
              </w:rPr>
              <w:t>Purchased as Part of</w:t>
            </w:r>
          </w:p>
        </w:tc>
        <w:tc>
          <w:tcPr>
            <w:tcW w:w="120" w:type="dxa"/>
            <w:vAlign w:val="bottom"/>
          </w:tcPr>
          <w:p>
            <w:pPr>
              <w:spacing w:after="0"/>
              <w:rPr>
                <w:sz w:val="16"/>
                <w:szCs w:val="16"/>
                <w:color w:val="auto"/>
              </w:rPr>
            </w:pPr>
          </w:p>
        </w:tc>
        <w:tc>
          <w:tcPr>
            <w:tcW w:w="23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0"/>
              </w:rPr>
              <w:t>Total Number of Shares</w:t>
            </w:r>
          </w:p>
        </w:tc>
        <w:tc>
          <w:tcPr>
            <w:tcW w:w="120" w:type="dxa"/>
            <w:vAlign w:val="bottom"/>
          </w:tcPr>
          <w:p>
            <w:pPr>
              <w:spacing w:after="0"/>
              <w:rPr>
                <w:sz w:val="15"/>
                <w:szCs w:val="15"/>
                <w:color w:val="auto"/>
              </w:rPr>
            </w:pPr>
          </w:p>
        </w:tc>
        <w:tc>
          <w:tcPr>
            <w:tcW w:w="16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3"/>
              </w:rPr>
              <w:t>Average Price Paid</w:t>
            </w:r>
          </w:p>
        </w:tc>
        <w:tc>
          <w:tcPr>
            <w:tcW w:w="120" w:type="dxa"/>
            <w:vAlign w:val="bottom"/>
          </w:tcPr>
          <w:p>
            <w:pPr>
              <w:spacing w:after="0"/>
              <w:rPr>
                <w:sz w:val="15"/>
                <w:szCs w:val="15"/>
                <w:color w:val="auto"/>
              </w:rPr>
            </w:pPr>
          </w:p>
        </w:tc>
        <w:tc>
          <w:tcPr>
            <w:tcW w:w="196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88"/>
              </w:rPr>
              <w:t>Publicly Announced</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60" w:type="dxa"/>
            <w:vAlign w:val="bottom"/>
          </w:tcPr>
          <w:p>
            <w:pPr>
              <w:jc w:val="center"/>
              <w:ind w:right="90"/>
              <w:spacing w:after="0" w:line="181" w:lineRule="exact"/>
              <w:rPr>
                <w:sz w:val="20"/>
                <w:szCs w:val="20"/>
                <w:color w:val="auto"/>
              </w:rPr>
            </w:pPr>
            <w:r>
              <w:rPr>
                <w:rFonts w:ascii="Arial" w:cs="Arial" w:eastAsia="Arial" w:hAnsi="Arial"/>
                <w:sz w:val="18"/>
                <w:szCs w:val="18"/>
                <w:b w:val="1"/>
                <w:bCs w:val="1"/>
                <w:color w:val="auto"/>
                <w:w w:val="90"/>
              </w:rPr>
              <w:t>Shares that May Yet be</w:t>
            </w:r>
          </w:p>
        </w:tc>
        <w:tc>
          <w:tcPr>
            <w:tcW w:w="0" w:type="dxa"/>
            <w:vAlign w:val="bottom"/>
          </w:tcPr>
          <w:p>
            <w:pPr>
              <w:spacing w:after="0"/>
              <w:rPr>
                <w:sz w:val="1"/>
                <w:szCs w:val="1"/>
                <w:color w:val="auto"/>
              </w:rPr>
            </w:pPr>
          </w:p>
        </w:tc>
      </w:tr>
      <w:tr>
        <w:trPr>
          <w:trHeight w:val="175"/>
        </w:trPr>
        <w:tc>
          <w:tcPr>
            <w:tcW w:w="29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Period</w:t>
            </w:r>
          </w:p>
        </w:tc>
        <w:tc>
          <w:tcPr>
            <w:tcW w:w="100" w:type="dxa"/>
            <w:vAlign w:val="bottom"/>
          </w:tcPr>
          <w:p>
            <w:pPr>
              <w:spacing w:after="0"/>
              <w:rPr>
                <w:sz w:val="15"/>
                <w:szCs w:val="15"/>
                <w:color w:val="auto"/>
              </w:rPr>
            </w:pPr>
          </w:p>
        </w:tc>
        <w:tc>
          <w:tcPr>
            <w:tcW w:w="19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6"/>
              </w:rPr>
              <w:t>Purchased</w:t>
            </w:r>
          </w:p>
        </w:tc>
        <w:tc>
          <w:tcPr>
            <w:tcW w:w="12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Program</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6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89"/>
              </w:rPr>
              <w:t>Purchased under the</w:t>
            </w:r>
          </w:p>
        </w:tc>
        <w:tc>
          <w:tcPr>
            <w:tcW w:w="0" w:type="dxa"/>
            <w:vAlign w:val="bottom"/>
          </w:tcPr>
          <w:p>
            <w:pPr>
              <w:spacing w:after="0"/>
              <w:rPr>
                <w:sz w:val="1"/>
                <w:szCs w:val="1"/>
                <w:color w:val="auto"/>
              </w:rPr>
            </w:pPr>
          </w:p>
        </w:tc>
      </w:tr>
      <w:tr>
        <w:trPr>
          <w:trHeight w:val="250"/>
        </w:trPr>
        <w:tc>
          <w:tcPr>
            <w:tcW w:w="29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per Share</w:t>
            </w:r>
          </w:p>
        </w:tc>
        <w:tc>
          <w:tcPr>
            <w:tcW w:w="120" w:type="dxa"/>
            <w:vAlign w:val="bottom"/>
            <w:tcBorders>
              <w:bottom w:val="single" w:sz="8" w:color="CCEEFF"/>
            </w:tcBorders>
          </w:tcPr>
          <w:p>
            <w:pPr>
              <w:spacing w:after="0"/>
              <w:rPr>
                <w:sz w:val="21"/>
                <w:szCs w:val="21"/>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(b)</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Program</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1 through April 30</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100,669,397</w:t>
            </w: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Arial" w:cs="Arial" w:eastAsia="Arial" w:hAnsi="Arial"/>
                <w:sz w:val="18"/>
                <w:szCs w:val="18"/>
                <w:color w:val="auto"/>
              </w:rPr>
              <w:t>May 1 through May 31</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647,264</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24.80</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147,063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97,263,137</w:t>
            </w:r>
          </w:p>
        </w:tc>
        <w:tc>
          <w:tcPr>
            <w:tcW w:w="0" w:type="dxa"/>
            <w:vAlign w:val="bottom"/>
          </w:tcPr>
          <w:p>
            <w:pPr>
              <w:spacing w:after="0"/>
              <w:rPr>
                <w:sz w:val="1"/>
                <w:szCs w:val="1"/>
                <w:color w:val="auto"/>
              </w:rPr>
            </w:pPr>
          </w:p>
        </w:tc>
      </w:tr>
      <w:tr>
        <w:trPr>
          <w:trHeight w:val="263"/>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1 through June 30</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269,059</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269,059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90,672,499</w:t>
            </w:r>
          </w:p>
        </w:tc>
        <w:tc>
          <w:tcPr>
            <w:tcW w:w="0" w:type="dxa"/>
            <w:vAlign w:val="bottom"/>
          </w:tcPr>
          <w:p>
            <w:pPr>
              <w:spacing w:after="0"/>
              <w:rPr>
                <w:sz w:val="1"/>
                <w:szCs w:val="1"/>
                <w:color w:val="auto"/>
              </w:rPr>
            </w:pPr>
          </w:p>
        </w:tc>
      </w:tr>
      <w:tr>
        <w:trPr>
          <w:trHeight w:val="216"/>
        </w:trPr>
        <w:tc>
          <w:tcPr>
            <w:tcW w:w="292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CCEEFF"/>
            </w:tcBorders>
          </w:tcPr>
          <w:p>
            <w:pPr>
              <w:spacing w:after="0"/>
              <w:rPr>
                <w:sz w:val="18"/>
                <w:szCs w:val="18"/>
                <w:color w:val="auto"/>
              </w:rPr>
            </w:pP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917,330</w:t>
            </w: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416,122</w:t>
            </w: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left="660" w:hanging="328"/>
        <w:spacing w:after="0" w:line="25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147,063 and 269,059 shares purchased in May 2023 and June 2023, respectively, under the Repurchase Program (as defined below) and 1,007 and 201 shares withheld for income tax purposes in April 2023 and May 2023, respectively, in connection with shares issued under compensation and benefit programs. In addition, in May 2023, the Company repurchased 500,000 shares at a price of $25.28 per share in a privately negotiated transaction outside of the Repurchase Program.</w:t>
      </w:r>
    </w:p>
    <w:p>
      <w:pPr>
        <w:spacing w:after="0" w:line="2"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August 18, 2021, the Company’s Board of Directors approved a stock repurchase program (the “Repurchase Program”) that authorizes the Company to purchase up to $40.0 million of outstanding shares of the Company’s common stock. The Repurchase Program does not have an expiration date. On March 3, 2023 the Board of Directors approved an increase to the Repurchase Program that authorizes the Company to purchase an additional $100.0 million of its outstanding shares.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May 11, 2023, Robert Lisy, the Company’s Chief Executive Officer, President and Chairman of the Board of Directors, terminated a plan intended to satisfy the affirmative defense of Rule 10b5-1(c) under the Exchange Act (the “10b5-1 plan”), which 10b5-1 plan was entered into on December 16, 2022 and provided for the potential sale of up to 150,000 shares of the Company’s common stock between May and June 2023.</w:t>
      </w:r>
    </w:p>
    <w:p>
      <w:pPr>
        <w:sectPr>
          <w:pgSz w:w="11900" w:h="16838" w:orient="portrait"/>
          <w:cols w:equalWidth="0" w:num="1">
            <w:col w:w="11240"/>
          </w:cols>
          <w:pgMar w:left="320" w:top="125" w:right="339" w:bottom="1440" w:gutter="0" w:footer="0" w:header="0"/>
        </w:sectPr>
      </w:pPr>
    </w:p>
    <w:p>
      <w:pPr>
        <w:spacing w:after="0" w:line="3"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Mr. Lisy sold 116,000 shares of the Company’s common stock under the 10b5-1 plan during May 2023 prior to termination of such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ectPr>
          <w:pgSz w:w="11900" w:h="16838" w:orient="portrait"/>
          <w:cols w:equalWidth="0" w:num="1">
            <w:col w:w="10139"/>
          </w:cols>
          <w:pgMar w:left="320" w:top="125" w:right="1440" w:bottom="1440" w:gutter="0" w:footer="0" w:header="0"/>
        </w:sect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Exhibit No.</w:t>
      </w:r>
    </w:p>
    <w:p>
      <w:pPr>
        <w:spacing w:after="0" w:line="200" w:lineRule="exact"/>
        <w:rPr>
          <w:sz w:val="20"/>
          <w:szCs w:val="20"/>
          <w:color w:val="auto"/>
        </w:rPr>
      </w:pPr>
    </w:p>
    <w:p>
      <w:pPr>
        <w:spacing w:after="0" w:line="201" w:lineRule="exact"/>
        <w:rPr>
          <w:sz w:val="20"/>
          <w:szCs w:val="20"/>
          <w:color w:val="auto"/>
        </w:rPr>
      </w:pPr>
    </w:p>
    <w:p>
      <w:pPr>
        <w:ind w:left="20"/>
        <w:spacing w:after="0"/>
        <w:rPr>
          <w:rFonts w:ascii="Arial" w:cs="Arial" w:eastAsia="Arial" w:hAnsi="Arial"/>
          <w:sz w:val="18"/>
          <w:szCs w:val="18"/>
          <w:color w:val="0000FF"/>
        </w:rPr>
      </w:pPr>
      <w:hyperlink r:id="rId80">
        <w:r>
          <w:rPr>
            <w:rFonts w:ascii="Arial" w:cs="Arial" w:eastAsia="Arial" w:hAnsi="Arial"/>
            <w:sz w:val="18"/>
            <w:szCs w:val="18"/>
            <w:u w:val="single" w:color="auto"/>
            <w:color w:val="0000FF"/>
          </w:rPr>
          <w:t>10.1</w:t>
        </w:r>
      </w:hyperlink>
      <w:r>
        <w:rPr>
          <w:rFonts w:ascii="Arial" w:cs="Arial" w:eastAsia="Arial" w:hAnsi="Arial"/>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rFonts w:ascii="Arial" w:cs="Arial" w:eastAsia="Arial" w:hAnsi="Arial"/>
          <w:sz w:val="18"/>
          <w:szCs w:val="18"/>
          <w:color w:val="0000FF"/>
        </w:rPr>
      </w:pPr>
      <w:hyperlink r:id="rId81">
        <w:r>
          <w:rPr>
            <w:rFonts w:ascii="Arial" w:cs="Arial" w:eastAsia="Arial" w:hAnsi="Arial"/>
            <w:sz w:val="18"/>
            <w:szCs w:val="18"/>
            <w:u w:val="single" w:color="auto"/>
            <w:color w:val="0000FF"/>
          </w:rPr>
          <w:t>10.2</w:t>
        </w:r>
      </w:hyperlink>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Document</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Share Repurchase Agreement, dated May 5, 2023, between International Money Express, Inc. and SPC Intermex,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-115570</wp:posOffset>
            </wp:positionV>
            <wp:extent cx="6266180" cy="2654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6266180" cy="26543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(incorporated by reference to Exhibit 10.1 to the Registrant’s Current Report on Form 8-K filed on May 8, 2023).</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Second Amendment Agreement, dated as of April 18, 2023, by and among International Money Express,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-123190</wp:posOffset>
            </wp:positionV>
            <wp:extent cx="6266180" cy="6083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6266180" cy="608330"/>
                    </a:xfrm>
                    <a:prstGeom prst="rect">
                      <a:avLst/>
                    </a:prstGeom>
                    <a:noFill/>
                  </pic:spPr>
                </pic:pic>
              </a:graphicData>
            </a:graphic>
          </wp:anchor>
        </w:drawing>
      </w:r>
    </w:p>
    <w:p>
      <w:pPr>
        <w:jc w:val="both"/>
        <w:ind w:right="279"/>
        <w:spacing w:after="0" w:line="234" w:lineRule="auto"/>
        <w:rPr>
          <w:sz w:val="20"/>
          <w:szCs w:val="20"/>
          <w:color w:val="auto"/>
        </w:rPr>
      </w:pPr>
      <w:r>
        <w:rPr>
          <w:rFonts w:ascii="Arial" w:cs="Arial" w:eastAsia="Arial" w:hAnsi="Arial"/>
          <w:sz w:val="16"/>
          <w:szCs w:val="16"/>
          <w:color w:val="auto"/>
        </w:rPr>
        <w:t>International Money Express Sub 2, LLC, Intermex Holdings, Inc., Intermex Wire Transfer, LLC, the other guarantors from time to time party thereto, the lenders from time to time party thereto and KeyBank National Association, as the Administrative Agent and L/C Issuer (incorporated by reference to Exhibit 10.1 to the Registrant’s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Current Report on Form 8-K filed on April 19, 2023).</w:t>
      </w:r>
    </w:p>
    <w:p>
      <w:pPr>
        <w:spacing w:after="0" w:line="200" w:lineRule="exact"/>
        <w:rPr>
          <w:sz w:val="20"/>
          <w:szCs w:val="20"/>
          <w:color w:val="auto"/>
        </w:rPr>
      </w:pPr>
    </w:p>
    <w:p>
      <w:pPr>
        <w:sectPr>
          <w:pgSz w:w="11900" w:h="16838" w:orient="portrait"/>
          <w:cols w:equalWidth="0" w:num="2">
            <w:col w:w="900" w:space="460"/>
            <w:col w:w="8779"/>
          </w:cols>
          <w:pgMar w:left="320" w:top="125" w:right="1440" w:bottom="1440" w:gutter="0" w:footer="0" w:header="0"/>
          <w:type w:val="continuous"/>
        </w:sectPr>
      </w:pP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FF"/>
        </w:rPr>
        <w:t>31.1</w:t>
      </w:r>
      <w:r>
        <w:rPr>
          <w:rFonts w:ascii="Arial" w:cs="Arial" w:eastAsia="Arial" w:hAnsi="Arial"/>
          <w:sz w:val="18"/>
          <w:szCs w:val="18"/>
          <w:color w:val="000000"/>
        </w:rPr>
        <w:t>*</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FF"/>
        </w:rPr>
        <w:t>31.2</w:t>
      </w:r>
      <w:r>
        <w:rPr>
          <w:rFonts w:ascii="Arial" w:cs="Arial" w:eastAsia="Arial" w:hAnsi="Arial"/>
          <w:sz w:val="18"/>
          <w:szCs w:val="18"/>
          <w:color w:val="000000"/>
        </w:rPr>
        <w:t>*</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FF"/>
        </w:rPr>
        <w:t>32.1</w:t>
      </w:r>
      <w:r>
        <w:rPr>
          <w:rFonts w:ascii="Arial" w:cs="Arial" w:eastAsia="Arial" w:hAnsi="Arial"/>
          <w:sz w:val="18"/>
          <w:szCs w:val="18"/>
          <w:color w:val="000000"/>
        </w:rPr>
        <w:t>#</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FF"/>
        </w:rPr>
        <w:t>32.2</w:t>
      </w:r>
      <w:r>
        <w:rPr>
          <w:rFonts w:ascii="Arial" w:cs="Arial" w:eastAsia="Arial" w:hAnsi="Arial"/>
          <w:sz w:val="18"/>
          <w:szCs w:val="18"/>
          <w:color w:val="000000"/>
        </w:rPr>
        <w:t>#</w:t>
      </w:r>
    </w:p>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101.INS</w:t>
      </w:r>
    </w:p>
    <w:p>
      <w:pPr>
        <w:spacing w:after="0" w:line="387"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101.SCH</w:t>
      </w:r>
    </w:p>
    <w:p>
      <w:pPr>
        <w:spacing w:after="0" w:line="316"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101.CAL</w:t>
      </w:r>
    </w:p>
    <w:p>
      <w:pPr>
        <w:spacing w:after="0" w:line="304"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101.DEF</w:t>
      </w:r>
    </w:p>
    <w:p>
      <w:pPr>
        <w:spacing w:after="0" w:line="318"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101.LAB</w:t>
      </w:r>
    </w:p>
    <w:p>
      <w:pPr>
        <w:spacing w:after="0" w:line="304"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101.PRE</w:t>
      </w: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Section 302 of the Sarbanes-Oxley Act -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-130175</wp:posOffset>
            </wp:positionV>
            <wp:extent cx="6266180" cy="145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6266180" cy="14541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Section 302 of the Sarbanes-Oxley Act -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-130175</wp:posOffset>
            </wp:positionV>
            <wp:extent cx="6266180" cy="145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6266180" cy="14541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Executive Officer pursuant to 18 U.S.C. §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-130175</wp:posOffset>
            </wp:positionV>
            <wp:extent cx="6266180"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6266180" cy="14605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Financial Officer pursuant to 18 U.S.C. §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-130175</wp:posOffset>
            </wp:positionV>
            <wp:extent cx="6266180"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6266180" cy="146050"/>
                    </a:xfrm>
                    <a:prstGeom prst="rect">
                      <a:avLst/>
                    </a:prstGeom>
                    <a:noFill/>
                  </pic:spPr>
                </pic:pic>
              </a:graphicData>
            </a:graphic>
          </wp:anchor>
        </w:drawing>
      </w:r>
    </w:p>
    <w:p>
      <w:pPr>
        <w:spacing w:after="0" w:line="273" w:lineRule="exact"/>
        <w:rPr>
          <w:sz w:val="20"/>
          <w:szCs w:val="20"/>
          <w:color w:val="auto"/>
        </w:rPr>
      </w:pPr>
    </w:p>
    <w:p>
      <w:pPr>
        <w:ind w:right="699"/>
        <w:spacing w:after="0" w:line="235" w:lineRule="auto"/>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-256540</wp:posOffset>
            </wp:positionV>
            <wp:extent cx="6266180" cy="2654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6266180" cy="265430"/>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Schema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-130175</wp:posOffset>
            </wp:positionV>
            <wp:extent cx="6266180" cy="145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6266180" cy="14541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Calculation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-130175</wp:posOffset>
            </wp:positionV>
            <wp:extent cx="6266180" cy="146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6266180" cy="14605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Definition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-130175</wp:posOffset>
            </wp:positionV>
            <wp:extent cx="6266180"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6266180" cy="15430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Label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-130175</wp:posOffset>
            </wp:positionV>
            <wp:extent cx="6266180" cy="14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6266180" cy="14605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Presentation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-130175</wp:posOffset>
            </wp:positionV>
            <wp:extent cx="6266180"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6266180" cy="146050"/>
                    </a:xfrm>
                    <a:prstGeom prst="rect">
                      <a:avLst/>
                    </a:prstGeom>
                    <a:noFill/>
                  </pic:spPr>
                </pic:pic>
              </a:graphicData>
            </a:graphic>
          </wp:anchor>
        </w:drawing>
        <w:drawing>
          <wp:anchor simplePos="0" relativeHeight="251657728" behindDoc="1" locked="0" layoutInCell="0" allowOverlap="1">
            <wp:simplePos x="0" y="0"/>
            <wp:positionH relativeFrom="column">
              <wp:posOffset>-857885</wp:posOffset>
            </wp:positionH>
            <wp:positionV relativeFrom="paragraph">
              <wp:posOffset>186055</wp:posOffset>
            </wp:positionV>
            <wp:extent cx="6266180" cy="3003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6266180" cy="300355"/>
                    </a:xfrm>
                    <a:prstGeom prst="rect">
                      <a:avLst/>
                    </a:prstGeom>
                    <a:noFill/>
                  </pic:spPr>
                </pic:pic>
              </a:graphicData>
            </a:graphic>
          </wp:anchor>
        </w:drawing>
      </w:r>
    </w:p>
    <w:p>
      <w:pPr>
        <w:spacing w:after="0" w:line="286" w:lineRule="exact"/>
        <w:rPr>
          <w:sz w:val="20"/>
          <w:szCs w:val="20"/>
          <w:color w:val="auto"/>
        </w:rPr>
      </w:pPr>
    </w:p>
    <w:p>
      <w:pPr>
        <w:ind w:right="419"/>
        <w:spacing w:after="0" w:line="277" w:lineRule="auto"/>
        <w:rPr>
          <w:sz w:val="20"/>
          <w:szCs w:val="20"/>
          <w:color w:val="auto"/>
        </w:rPr>
      </w:pPr>
      <w:r>
        <w:rPr>
          <w:rFonts w:ascii="Arial" w:cs="Arial" w:eastAsia="Arial" w:hAnsi="Arial"/>
          <w:sz w:val="18"/>
          <w:szCs w:val="18"/>
          <w:color w:val="auto"/>
        </w:rPr>
        <w:t>The cover page from the Company’s Quarterly Report on Form 10-Q for the quarter ended June 30, 2023, formatted in Inline XBRL (included with the Exhibit 101 attachments).</w:t>
      </w:r>
    </w:p>
    <w:p>
      <w:pPr>
        <w:spacing w:after="0" w:line="200" w:lineRule="exact"/>
        <w:rPr>
          <w:sz w:val="20"/>
          <w:szCs w:val="20"/>
          <w:color w:val="auto"/>
        </w:rPr>
      </w:pPr>
    </w:p>
    <w:p>
      <w:pPr>
        <w:sectPr>
          <w:pgSz w:w="11900" w:h="16838" w:orient="portrait"/>
          <w:cols w:equalWidth="0" w:num="2">
            <w:col w:w="700" w:space="660"/>
            <w:col w:w="8779"/>
          </w:cols>
          <w:pgMar w:left="320" w:top="125" w:right="1440" w:bottom="1440" w:gutter="0" w:footer="0" w:header="0"/>
          <w:type w:val="continuous"/>
        </w:sectPr>
      </w:pPr>
    </w:p>
    <w:p>
      <w:pPr>
        <w:spacing w:after="0" w:line="65" w:lineRule="exact"/>
        <w:rPr>
          <w:sz w:val="20"/>
          <w:szCs w:val="20"/>
          <w:color w:val="auto"/>
        </w:rPr>
      </w:pPr>
    </w:p>
    <w:p>
      <w:pPr>
        <w:ind w:left="80" w:right="8639" w:firstLine="9"/>
        <w:spacing w:after="0" w:line="274" w:lineRule="auto"/>
        <w:tabs>
          <w:tab w:leader="none" w:pos="323" w:val="left"/>
        </w:tabs>
        <w:numPr>
          <w:ilvl w:val="0"/>
          <w:numId w:val="26"/>
        </w:numPr>
        <w:rPr>
          <w:rFonts w:ascii="Arial" w:cs="Arial" w:eastAsia="Arial" w:hAnsi="Arial"/>
          <w:sz w:val="17"/>
          <w:szCs w:val="17"/>
          <w:color w:val="auto"/>
        </w:rPr>
      </w:pPr>
      <w:r>
        <w:rPr>
          <w:rFonts w:ascii="Arial" w:cs="Arial" w:eastAsia="Arial" w:hAnsi="Arial"/>
          <w:sz w:val="17"/>
          <w:szCs w:val="17"/>
          <w:color w:val="auto"/>
        </w:rPr>
        <w:t>Filed herewith. ** Previously filed.</w:t>
      </w:r>
    </w:p>
    <w:p>
      <w:pPr>
        <w:ind w:left="80"/>
        <w:spacing w:after="0"/>
        <w:rPr>
          <w:rFonts w:ascii="Arial" w:cs="Arial" w:eastAsia="Arial" w:hAnsi="Arial"/>
          <w:sz w:val="17"/>
          <w:szCs w:val="17"/>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308" w:lineRule="exact"/>
        <w:rPr>
          <w:sz w:val="20"/>
          <w:szCs w:val="20"/>
          <w:color w:val="auto"/>
        </w:rPr>
      </w:pPr>
    </w:p>
    <w:p>
      <w:pPr>
        <w:jc w:val="right"/>
        <w:ind w:right="409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International Money Express, Inc. (Registrant)</w:t>
      </w:r>
    </w:p>
    <w:p>
      <w:pPr>
        <w:spacing w:after="0" w:line="283" w:lineRule="exact"/>
        <w:rPr>
          <w:sz w:val="20"/>
          <w:szCs w:val="20"/>
          <w:color w:val="auto"/>
        </w:rPr>
      </w:pPr>
    </w:p>
    <w:p>
      <w:pPr>
        <w:ind w:left="20"/>
        <w:spacing w:after="0"/>
        <w:tabs>
          <w:tab w:leader="none" w:pos="2360" w:val="left"/>
          <w:tab w:leader="none" w:pos="2800" w:val="left"/>
        </w:tabs>
        <w:rPr>
          <w:sz w:val="20"/>
          <w:szCs w:val="20"/>
          <w:color w:val="auto"/>
        </w:rPr>
      </w:pPr>
      <w:r>
        <w:rPr>
          <w:rFonts w:ascii="Arial" w:cs="Arial" w:eastAsia="Arial" w:hAnsi="Arial"/>
          <w:sz w:val="18"/>
          <w:szCs w:val="18"/>
          <w:color w:val="auto"/>
        </w:rPr>
        <w:t>Date: August 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Lisy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1771015</wp:posOffset>
            </wp:positionH>
            <wp:positionV relativeFrom="paragraph">
              <wp:posOffset>14605</wp:posOffset>
            </wp:positionV>
            <wp:extent cx="262318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2623185" cy="17145"/>
                    </a:xfrm>
                    <a:prstGeom prst="rect">
                      <a:avLst/>
                    </a:prstGeom>
                    <a:noFill/>
                  </pic:spPr>
                </pic:pic>
              </a:graphicData>
            </a:graphic>
          </wp:anchor>
        </w:drawing>
      </w:r>
    </w:p>
    <w:p>
      <w:pPr>
        <w:spacing w:after="0" w:line="26"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Robert Lisy</w:t>
      </w:r>
    </w:p>
    <w:p>
      <w:pPr>
        <w:spacing w:after="0" w:line="36"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Chief Executive Officer and President</w:t>
      </w:r>
    </w:p>
    <w:p>
      <w:pPr>
        <w:spacing w:after="0" w:line="27"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(Principal Executive Officer)</w:t>
      </w:r>
    </w:p>
    <w:p>
      <w:pPr>
        <w:spacing w:after="0" w:line="200" w:lineRule="exact"/>
        <w:rPr>
          <w:sz w:val="20"/>
          <w:szCs w:val="20"/>
          <w:color w:val="auto"/>
        </w:rPr>
      </w:pPr>
    </w:p>
    <w:p>
      <w:pPr>
        <w:spacing w:after="0" w:line="348" w:lineRule="exact"/>
        <w:rPr>
          <w:sz w:val="20"/>
          <w:szCs w:val="20"/>
          <w:color w:val="auto"/>
        </w:rPr>
      </w:pPr>
    </w:p>
    <w:p>
      <w:pPr>
        <w:ind w:left="20"/>
        <w:spacing w:after="0"/>
        <w:tabs>
          <w:tab w:leader="none" w:pos="2360" w:val="left"/>
          <w:tab w:leader="none" w:pos="2800" w:val="left"/>
        </w:tabs>
        <w:rPr>
          <w:sz w:val="20"/>
          <w:szCs w:val="20"/>
          <w:color w:val="auto"/>
        </w:rPr>
      </w:pPr>
      <w:r>
        <w:rPr>
          <w:rFonts w:ascii="Arial" w:cs="Arial" w:eastAsia="Arial" w:hAnsi="Arial"/>
          <w:sz w:val="18"/>
          <w:szCs w:val="18"/>
          <w:color w:val="auto"/>
        </w:rPr>
        <w:t>Date: August 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Andras Bende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1771015</wp:posOffset>
            </wp:positionH>
            <wp:positionV relativeFrom="paragraph">
              <wp:posOffset>14605</wp:posOffset>
            </wp:positionV>
            <wp:extent cx="262318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2623185" cy="17145"/>
                    </a:xfrm>
                    <a:prstGeom prst="rect">
                      <a:avLst/>
                    </a:prstGeom>
                    <a:noFill/>
                  </pic:spPr>
                </pic:pic>
              </a:graphicData>
            </a:graphic>
          </wp:anchor>
        </w:drawing>
      </w:r>
    </w:p>
    <w:p>
      <w:pPr>
        <w:spacing w:after="0" w:line="26"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Andras Bende</w:t>
      </w:r>
    </w:p>
    <w:p>
      <w:pPr>
        <w:spacing w:after="0" w:line="36"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Chief Financial Officer</w:t>
      </w:r>
    </w:p>
    <w:p>
      <w:pPr>
        <w:spacing w:after="0" w:line="27"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00"/>
          </w:cols>
          <w:pgMar w:left="320" w:top="125" w:right="379" w:bottom="1440" w:gutter="0" w:footer="0" w:header="0"/>
        </w:sectPr>
      </w:pPr>
    </w:p>
    <w:bookmarkStart w:id="48" w:name="page49"/>
    <w:bookmarkEnd w:id="48"/>
    <w:p>
      <w:pPr>
        <w:ind w:left="10320"/>
        <w:spacing w:after="0"/>
        <w:rPr>
          <w:sz w:val="20"/>
          <w:szCs w:val="20"/>
          <w:color w:val="auto"/>
        </w:rPr>
      </w:pPr>
      <w:r>
        <w:rPr>
          <w:rFonts w:ascii="Arial" w:cs="Arial" w:eastAsia="Arial" w:hAnsi="Arial"/>
          <w:sz w:val="16"/>
          <w:szCs w:val="16"/>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I, Robert Lisy, certify that:</w:t>
      </w:r>
    </w:p>
    <w:p>
      <w:pPr>
        <w:spacing w:after="0" w:line="171"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International Money Express, Inc.;</w:t>
      </w:r>
    </w:p>
    <w:p>
      <w:pPr>
        <w:spacing w:after="0" w:line="171"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4, 2023</w:t>
      </w:r>
    </w:p>
    <w:p>
      <w:pPr>
        <w:spacing w:after="0" w:line="50" w:lineRule="exact"/>
        <w:rPr>
          <w:sz w:val="20"/>
          <w:szCs w:val="20"/>
          <w:color w:val="auto"/>
        </w:rPr>
      </w:pPr>
    </w:p>
    <w:tbl>
      <w:tblPr>
        <w:tblLayout w:type="fixed"/>
        <w:tblInd w:w="5620" w:type="dxa"/>
        <w:tblCellMar>
          <w:top w:w="0" w:type="dxa"/>
          <w:left w:w="0" w:type="dxa"/>
          <w:bottom w:w="0" w:type="dxa"/>
          <w:right w:w="0" w:type="dxa"/>
        </w:tblCellMar>
      </w:tblPr>
      <w:tr>
        <w:trPr>
          <w:trHeight w:val="237"/>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Lisy</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3760" w:type="dxa"/>
            <w:vAlign w:val="bottom"/>
          </w:tcPr>
          <w:p>
            <w:pPr>
              <w:ind w:left="20"/>
              <w:spacing w:after="0"/>
              <w:rPr>
                <w:sz w:val="20"/>
                <w:szCs w:val="20"/>
                <w:color w:val="auto"/>
              </w:rPr>
            </w:pPr>
            <w:r>
              <w:rPr>
                <w:rFonts w:ascii="Arial" w:cs="Arial" w:eastAsia="Arial" w:hAnsi="Arial"/>
                <w:sz w:val="18"/>
                <w:szCs w:val="18"/>
                <w:color w:val="auto"/>
              </w:rPr>
              <w:t>Robert Lisy</w:t>
            </w:r>
          </w:p>
        </w:tc>
      </w:tr>
      <w:tr>
        <w:trPr>
          <w:trHeight w:val="241"/>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760" w:type="dxa"/>
            <w:vAlign w:val="bottom"/>
          </w:tcPr>
          <w:p>
            <w:pPr>
              <w:ind w:left="20"/>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70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364" w:right="339" w:bottom="1440" w:gutter="0" w:footer="0" w:header="0"/>
        </w:sectPr>
      </w:pPr>
    </w:p>
    <w:bookmarkStart w:id="49" w:name="page50"/>
    <w:bookmarkEnd w:id="49"/>
    <w:p>
      <w:pPr>
        <w:ind w:left="10320"/>
        <w:spacing w:after="0"/>
        <w:rPr>
          <w:sz w:val="20"/>
          <w:szCs w:val="20"/>
          <w:color w:val="auto"/>
        </w:rPr>
      </w:pPr>
      <w:r>
        <w:rPr>
          <w:rFonts w:ascii="Arial" w:cs="Arial" w:eastAsia="Arial" w:hAnsi="Arial"/>
          <w:sz w:val="16"/>
          <w:szCs w:val="16"/>
          <w:b w:val="1"/>
          <w:bCs w:val="1"/>
          <w:color w:val="auto"/>
        </w:rPr>
        <w:t>Exhibit 31.2</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I, Andras Bende, certify that:</w:t>
      </w:r>
    </w:p>
    <w:p>
      <w:pPr>
        <w:spacing w:after="0" w:line="171"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International Money Express, Inc.;</w:t>
      </w:r>
    </w:p>
    <w:p>
      <w:pPr>
        <w:spacing w:after="0" w:line="171"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4, 2023</w:t>
      </w:r>
    </w:p>
    <w:p>
      <w:pPr>
        <w:spacing w:after="0" w:line="63" w:lineRule="exact"/>
        <w:rPr>
          <w:sz w:val="20"/>
          <w:szCs w:val="20"/>
          <w:color w:val="auto"/>
        </w:rPr>
      </w:pPr>
    </w:p>
    <w:tbl>
      <w:tblPr>
        <w:tblLayout w:type="fixed"/>
        <w:tblInd w:w="5620" w:type="dxa"/>
        <w:tblCellMar>
          <w:top w:w="0" w:type="dxa"/>
          <w:left w:w="0" w:type="dxa"/>
          <w:bottom w:w="0" w:type="dxa"/>
          <w:right w:w="0" w:type="dxa"/>
        </w:tblCellMar>
      </w:tblPr>
      <w:tr>
        <w:trPr>
          <w:trHeight w:val="237"/>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Andras Bende</w:t>
            </w:r>
          </w:p>
        </w:tc>
      </w:tr>
      <w:tr>
        <w:trPr>
          <w:trHeight w:val="229"/>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3760" w:type="dxa"/>
            <w:vAlign w:val="bottom"/>
          </w:tcPr>
          <w:p>
            <w:pPr>
              <w:ind w:left="20"/>
              <w:spacing w:after="0"/>
              <w:rPr>
                <w:sz w:val="20"/>
                <w:szCs w:val="20"/>
                <w:color w:val="auto"/>
              </w:rPr>
            </w:pPr>
            <w:r>
              <w:rPr>
                <w:rFonts w:ascii="Arial" w:cs="Arial" w:eastAsia="Arial" w:hAnsi="Arial"/>
                <w:sz w:val="18"/>
                <w:szCs w:val="18"/>
                <w:color w:val="auto"/>
              </w:rPr>
              <w:t>Andras Bende</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7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43"/>
        </w:trPr>
        <w:tc>
          <w:tcPr>
            <w:tcW w:w="700" w:type="dxa"/>
            <w:vAlign w:val="bottom"/>
          </w:tcPr>
          <w:p>
            <w:pPr>
              <w:spacing w:after="0"/>
              <w:rPr>
                <w:sz w:val="21"/>
                <w:szCs w:val="21"/>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418" w:right="339" w:bottom="1440" w:gutter="0" w:footer="0" w:header="0"/>
        </w:sectPr>
      </w:pPr>
    </w:p>
    <w:bookmarkStart w:id="50" w:name="page51"/>
    <w:bookmarkEnd w:id="50"/>
    <w:p>
      <w:pPr>
        <w:ind w:left="10320"/>
        <w:spacing w:after="0"/>
        <w:rPr>
          <w:sz w:val="20"/>
          <w:szCs w:val="20"/>
          <w:color w:val="auto"/>
        </w:rPr>
      </w:pPr>
      <w:r>
        <w:rPr>
          <w:rFonts w:ascii="Arial" w:cs="Arial" w:eastAsia="Arial" w:hAnsi="Arial"/>
          <w:sz w:val="16"/>
          <w:szCs w:val="16"/>
          <w:b w:val="1"/>
          <w:bCs w:val="1"/>
          <w:color w:val="auto"/>
        </w:rPr>
        <w:t>Exhibit 32.1</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91" w:lineRule="exact"/>
        <w:rPr>
          <w:sz w:val="20"/>
          <w:szCs w:val="20"/>
          <w:color w:val="auto"/>
        </w:rPr>
      </w:pPr>
    </w:p>
    <w:p>
      <w:pPr>
        <w:spacing w:after="0" w:line="512" w:lineRule="auto"/>
        <w:rPr>
          <w:sz w:val="20"/>
          <w:szCs w:val="20"/>
          <w:color w:val="auto"/>
        </w:rPr>
      </w:pPr>
      <w:r>
        <w:rPr>
          <w:rFonts w:ascii="Arial" w:cs="Arial" w:eastAsia="Arial" w:hAnsi="Arial"/>
          <w:sz w:val="18"/>
          <w:szCs w:val="18"/>
          <w:color w:val="auto"/>
        </w:rPr>
        <w:t>I, Robert Lisy, Chief Executive Officer and President of International Money Express, Inc. (the “Company”), certify, pursuant to 18 U.S.C. Section 1350, that, to my knowledge:</w:t>
      </w:r>
    </w:p>
    <w:p>
      <w:pPr>
        <w:spacing w:after="0" w:line="170" w:lineRule="exact"/>
        <w:rPr>
          <w:sz w:val="20"/>
          <w:szCs w:val="20"/>
          <w:color w:val="auto"/>
        </w:rPr>
      </w:pPr>
    </w:p>
    <w:p>
      <w:pPr>
        <w:ind w:left="660" w:hanging="652"/>
        <w:spacing w:after="0" w:line="512"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June 30, 2023 (the “Report”) fully complies with the requirements of Section 13(a) or 15(d) of the Securities Exchange Act of 1934, as amended; and</w:t>
      </w:r>
    </w:p>
    <w:p>
      <w:pPr>
        <w:spacing w:after="0" w:line="169" w:lineRule="exact"/>
        <w:rPr>
          <w:rFonts w:ascii="Arial" w:cs="Arial" w:eastAsia="Arial" w:hAnsi="Arial"/>
          <w:sz w:val="18"/>
          <w:szCs w:val="18"/>
          <w:color w:val="auto"/>
        </w:rPr>
      </w:pPr>
    </w:p>
    <w:p>
      <w:pPr>
        <w:ind w:left="660" w:hanging="652"/>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4, 2023</w:t>
      </w:r>
    </w:p>
    <w:p>
      <w:pPr>
        <w:spacing w:after="0" w:line="266" w:lineRule="exact"/>
        <w:rPr>
          <w:sz w:val="20"/>
          <w:szCs w:val="20"/>
          <w:color w:val="auto"/>
        </w:rPr>
      </w:pPr>
    </w:p>
    <w:tbl>
      <w:tblPr>
        <w:tblLayout w:type="fixed"/>
        <w:tblInd w:w="5640" w:type="dxa"/>
        <w:tblCellMar>
          <w:top w:w="0" w:type="dxa"/>
          <w:left w:w="0" w:type="dxa"/>
          <w:bottom w:w="0" w:type="dxa"/>
          <w:right w:w="0" w:type="dxa"/>
        </w:tblCellMar>
      </w:tblPr>
      <w:tr>
        <w:trPr>
          <w:trHeight w:val="251"/>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Lisy</w:t>
            </w:r>
          </w:p>
        </w:tc>
      </w:tr>
      <w:tr>
        <w:trPr>
          <w:trHeight w:val="229"/>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740" w:type="dxa"/>
            <w:vAlign w:val="bottom"/>
          </w:tcPr>
          <w:p>
            <w:pPr>
              <w:ind w:left="20"/>
              <w:spacing w:after="0"/>
              <w:rPr>
                <w:sz w:val="20"/>
                <w:szCs w:val="20"/>
                <w:color w:val="auto"/>
              </w:rPr>
            </w:pPr>
            <w:r>
              <w:rPr>
                <w:rFonts w:ascii="Arial" w:cs="Arial" w:eastAsia="Arial" w:hAnsi="Arial"/>
                <w:sz w:val="18"/>
                <w:szCs w:val="18"/>
                <w:color w:val="auto"/>
              </w:rPr>
              <w:t>Robert Lisy</w:t>
            </w:r>
          </w:p>
        </w:tc>
      </w:tr>
      <w:tr>
        <w:trPr>
          <w:trHeight w:val="229"/>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740" w:type="dxa"/>
            <w:vAlign w:val="bottom"/>
          </w:tcPr>
          <w:p>
            <w:pPr>
              <w:ind w:left="20"/>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680" w:type="dxa"/>
            <w:vAlign w:val="bottom"/>
          </w:tcPr>
          <w:p>
            <w:pPr>
              <w:spacing w:after="0"/>
              <w:rPr>
                <w:sz w:val="20"/>
                <w:szCs w:val="20"/>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418"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91" w:lineRule="exact"/>
        <w:rPr>
          <w:sz w:val="20"/>
          <w:szCs w:val="20"/>
          <w:color w:val="auto"/>
        </w:rPr>
      </w:pPr>
    </w:p>
    <w:p>
      <w:pPr>
        <w:spacing w:after="0" w:line="512" w:lineRule="auto"/>
        <w:rPr>
          <w:sz w:val="20"/>
          <w:szCs w:val="20"/>
          <w:color w:val="auto"/>
        </w:rPr>
      </w:pPr>
      <w:r>
        <w:rPr>
          <w:rFonts w:ascii="Arial" w:cs="Arial" w:eastAsia="Arial" w:hAnsi="Arial"/>
          <w:sz w:val="18"/>
          <w:szCs w:val="18"/>
          <w:color w:val="auto"/>
        </w:rPr>
        <w:t>I, Andras Bende, Chief Financial Officer of International Money Express, Inc. (the “Company”), certify, pursuant to 18 U.S.C. Section 1350, that, to my knowledge:</w:t>
      </w:r>
    </w:p>
    <w:p>
      <w:pPr>
        <w:spacing w:after="0" w:line="170" w:lineRule="exact"/>
        <w:rPr>
          <w:sz w:val="20"/>
          <w:szCs w:val="20"/>
          <w:color w:val="auto"/>
        </w:rPr>
      </w:pPr>
    </w:p>
    <w:p>
      <w:pPr>
        <w:ind w:left="660" w:hanging="652"/>
        <w:spacing w:after="0" w:line="512"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June 30, 2023 (the “Report”) fully complies with the requirements of Section 13(a) or 15(d) of the Securities Exchange Act of 1934, as amended; and</w:t>
      </w:r>
    </w:p>
    <w:p>
      <w:pPr>
        <w:spacing w:after="0" w:line="169" w:lineRule="exact"/>
        <w:rPr>
          <w:rFonts w:ascii="Arial" w:cs="Arial" w:eastAsia="Arial" w:hAnsi="Arial"/>
          <w:sz w:val="18"/>
          <w:szCs w:val="18"/>
          <w:color w:val="auto"/>
        </w:rPr>
      </w:pPr>
    </w:p>
    <w:p>
      <w:pPr>
        <w:ind w:left="660" w:hanging="652"/>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4, 2023</w:t>
      </w:r>
    </w:p>
    <w:p>
      <w:pPr>
        <w:spacing w:after="0" w:line="306" w:lineRule="exact"/>
        <w:rPr>
          <w:sz w:val="20"/>
          <w:szCs w:val="20"/>
          <w:color w:val="auto"/>
        </w:rPr>
      </w:pPr>
    </w:p>
    <w:tbl>
      <w:tblPr>
        <w:tblLayout w:type="fixed"/>
        <w:tblInd w:w="5600" w:type="dxa"/>
        <w:tblCellMar>
          <w:top w:w="0" w:type="dxa"/>
          <w:left w:w="0" w:type="dxa"/>
          <w:bottom w:w="0" w:type="dxa"/>
          <w:right w:w="0" w:type="dxa"/>
        </w:tblCellMar>
      </w:tblPr>
      <w:tr>
        <w:trPr>
          <w:trHeight w:val="237"/>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Andras Bende</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3760" w:type="dxa"/>
            <w:vAlign w:val="bottom"/>
          </w:tcPr>
          <w:p>
            <w:pPr>
              <w:ind w:left="20"/>
              <w:spacing w:after="0"/>
              <w:rPr>
                <w:sz w:val="20"/>
                <w:szCs w:val="20"/>
                <w:color w:val="auto"/>
              </w:rPr>
            </w:pPr>
            <w:r>
              <w:rPr>
                <w:rFonts w:ascii="Arial" w:cs="Arial" w:eastAsia="Arial" w:hAnsi="Arial"/>
                <w:sz w:val="18"/>
                <w:szCs w:val="18"/>
                <w:color w:val="auto"/>
              </w:rPr>
              <w:t>Andras Bende</w:t>
            </w:r>
          </w:p>
        </w:tc>
      </w:tr>
      <w:tr>
        <w:trPr>
          <w:trHeight w:val="241"/>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7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70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4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lvl w:ilvl="1">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1)"/>
      <w:numFmt w:val="lowerLetter"/>
      <w:start w:val="1"/>
    </w:lvl>
  </w:abstractNum>
  <w:abstractNum w:abstractNumId="15">
    <w:nsid w:val="2D1D5AE9"/>
    <w:multiLevelType w:val="hybridMultilevel"/>
    <w:lvl w:ilvl="0">
      <w:lvlJc w:val="left"/>
      <w:lvlText w:val="(%1)"/>
      <w:numFmt w:val="lowerLetter"/>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1)"/>
      <w:numFmt w:val="lowerLetter"/>
      <w:start w:val="1"/>
    </w:lvl>
  </w:abstractNum>
  <w:abstractNum w:abstractNumId="21">
    <w:nsid w:val="B03E0C6"/>
    <w:multiLevelType w:val="hybridMultilevel"/>
    <w:lvl w:ilvl="0">
      <w:lvlJc w:val="left"/>
      <w:lvlText w:val="(%1)"/>
      <w:numFmt w:val="lowerLetter"/>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lowerLetter"/>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80" Type="http://schemas.openxmlformats.org/officeDocument/2006/relationships/hyperlink" Target="http://www.sec.gov/Archives/edgar/data/1683695/000114036123023307/brhc20052586_ex10-1.htm" TargetMode="External"/><Relationship Id="rId81" Type="http://schemas.openxmlformats.org/officeDocument/2006/relationships/hyperlink" Target="http://www.sec.gov/Archives/edgar/data/1683695/000114036123019024/brhc2005153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2023-08-04T15:12:19Z</dcterms:created>
  <dcterms:modified xsi:type="dcterms:W3CDTF">2023-08-04T15:12:19Z</dcterms:modified>
</cp:coreProperties>
</file>