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363ada1b6f30434a840b835ca148adb3_7">
        <w:r>
          <w:rPr>
            <w:rStyle w:val="InternetLink"/>
            <w:rFonts w:ascii="Times New Roman;serif" w:hAnsi="Times New Roman;serif"/>
            <w:b w:val="false"/>
            <w:i/>
            <w:color w:val="0000FF"/>
            <w:sz w:val="20"/>
            <w:u w:val="single"/>
          </w:rPr>
          <w:t>Index</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to </w:t>
      </w:r>
      <w:r>
        <w:rPr>
          <w:color w:val="000000"/>
          <w:u w:val="single"/>
        </w:rPr>
        <w:t>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No. 001-37986</w:t>
      </w:r>
    </w:p>
    <w:tbl>
      <w:tblPr>
        <w:tblW w:w="6405" w:type="dxa"/>
        <w:jc w:val="center"/>
        <w:tblInd w:w="0" w:type="dxa"/>
        <w:tblLayout w:type="fixed"/>
        <w:tblCellMar>
          <w:top w:w="28" w:type="dxa"/>
          <w:left w:w="28" w:type="dxa"/>
          <w:bottom w:w="28" w:type="dxa"/>
          <w:right w:w="28" w:type="dxa"/>
        </w:tblCellMar>
      </w:tblPr>
      <w:tblGrid>
        <w:gridCol w:w="2051"/>
        <w:gridCol w:w="1802"/>
        <w:gridCol w:w="2552"/>
      </w:tblGrid>
      <w:tr>
        <w:trPr/>
        <w:tc>
          <w:tcPr>
            <w:tcW w:w="2051"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INTERNATIONAL MONEY EXPRESS, INC.</w:t>
            </w:r>
          </w:p>
        </w:tc>
      </w:tr>
      <w:tr>
        <w:trPr/>
        <w:tc>
          <w:tcPr>
            <w:tcW w:w="64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47-4219082</w:t>
            </w:r>
          </w:p>
        </w:tc>
      </w:tr>
      <w:tr>
        <w:trPr/>
        <w:tc>
          <w:tcPr>
            <w:tcW w:w="49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9100 South Dadeland Blvd. Suite 1100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Miami,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33156</w:t>
            </w:r>
          </w:p>
        </w:tc>
      </w:tr>
      <w:tr>
        <w:trPr/>
        <w:tc>
          <w:tcPr>
            <w:tcW w:w="49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4470" w:type="dxa"/>
        <w:jc w:val="left"/>
        <w:tblInd w:w="0" w:type="dxa"/>
        <w:tblLayout w:type="fixed"/>
        <w:tblCellMar>
          <w:top w:w="28" w:type="dxa"/>
          <w:left w:w="28" w:type="dxa"/>
          <w:bottom w:w="28" w:type="dxa"/>
          <w:right w:w="28" w:type="dxa"/>
        </w:tblCellMar>
      </w:tblPr>
      <w:tblGrid>
        <w:gridCol w:w="1428"/>
        <w:gridCol w:w="1257"/>
        <w:gridCol w:w="1785"/>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(305) 671-8000</w:t>
            </w:r>
          </w:p>
        </w:tc>
      </w:tr>
      <w:tr>
        <w:trPr/>
        <w:tc>
          <w:tcPr>
            <w:tcW w:w="4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60"/>
        <w:ind w:left="0" w:right="0" w:firstLine="72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03" w:type="dxa"/>
        <w:jc w:val="center"/>
        <w:tblInd w:w="0" w:type="dxa"/>
        <w:tblLayout w:type="fixed"/>
        <w:tblCellMar>
          <w:top w:w="28" w:type="dxa"/>
          <w:left w:w="28" w:type="dxa"/>
          <w:bottom w:w="28" w:type="dxa"/>
          <w:right w:w="28" w:type="dxa"/>
        </w:tblCellMar>
      </w:tblPr>
      <w:tblGrid>
        <w:gridCol w:w="1078"/>
        <w:gridCol w:w="947"/>
        <w:gridCol w:w="959"/>
        <w:gridCol w:w="564"/>
        <w:gridCol w:w="564"/>
        <w:gridCol w:w="566"/>
        <w:gridCol w:w="1118"/>
        <w:gridCol w:w="1118"/>
        <w:gridCol w:w="1589"/>
      </w:tblGrid>
      <w:tr>
        <w:trPr/>
        <w:tc>
          <w:tcPr>
            <w:tcW w:w="107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IMXI</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r>
    </w:p>
    <w:tbl>
      <w:tblPr>
        <w:tblW w:w="4928"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22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0"/>
        <w:jc w:val="left"/>
        <w:rPr/>
      </w:pPr>
      <w:r>
        <w:rPr>
          <w:rFonts w:ascii="Times New Roman;serif" w:hAnsi="Times New Roman;serif"/>
          <w:b w:val="false"/>
          <w:color w:val="000000"/>
          <w:sz w:val="20"/>
        </w:rPr>
        <w:t xml:space="preserve">As of August 3, 2026, there were </w:t>
      </w:r>
      <w:r>
        <w:rPr>
          <w:rFonts w:ascii="Times New Roman;serif" w:hAnsi="Times New Roman;serif"/>
          <w:b w:val="false"/>
          <w:color w:val="000000"/>
          <w:sz w:val="20"/>
          <w:shd w:fill="FFFFFF" w:val="clear"/>
        </w:rPr>
        <w:t>30,211,627</w:t>
      </w:r>
      <w:r>
        <w:rPr>
          <w:color w:val="000000"/>
        </w:rPr>
        <w:t xml:space="preserve"> </w:t>
      </w:r>
      <w:r>
        <w:rPr>
          <w:rFonts w:ascii="Times New Roman;serif" w:hAnsi="Times New Roman;serif"/>
          <w:b w:val="false"/>
          <w:color w:val="000000"/>
          <w:sz w:val="20"/>
        </w:rPr>
        <w:t>shares of the registrant’s common stock, $0.0001 par value per share, outstanding. The registrant has no other class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720"/>
                        <w:jc w:val="left"/>
                        <w:rPr/>
                      </w:pPr>
                      <w:r>
                        <w:rPr/>
                      </w:r>
                    </w:p>
                  </w:txbxContent>
                </v:textbox>
                <w10:wrap type="none"/>
              </v:rect>
            </w:pict>
          </mc:Fallback>
        </mc:AlternateContent>
      </w:r>
    </w:p>
    <w:p>
      <w:pPr>
        <w:pStyle w:val="TextBody"/>
        <w:bidi w:val="0"/>
        <w:spacing w:lineRule="auto" w:line="288" w:before="0" w:after="24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848"/>
        <w:gridCol w:w="746"/>
        <w:gridCol w:w="746"/>
        <w:gridCol w:w="2516"/>
        <w:gridCol w:w="2380"/>
        <w:gridCol w:w="2395"/>
        <w:gridCol w:w="167"/>
        <w:gridCol w:w="167"/>
        <w:gridCol w:w="240"/>
      </w:tblGrid>
      <w:tr>
        <w:trPr/>
        <w:tc>
          <w:tcPr>
            <w:tcW w:w="84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0">
              <w:r>
                <w:rPr>
                  <w:rStyle w:val="InternetLink"/>
                  <w:rFonts w:ascii="Times New Roman;serif" w:hAnsi="Times New Roman;serif"/>
                  <w:b/>
                  <w:color w:val="0000FF"/>
                  <w:sz w:val="20"/>
                  <w:u w:val="single"/>
                </w:rPr>
                <w:t>SPECIAL NOTE REGARDING FORWARD-LOOKING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0">
              <w:r>
                <w:rPr>
                  <w:rStyle w:val="InternetLink"/>
                  <w:rFonts w:ascii="Times New Roman;serif" w:hAnsi="Times New Roman;serif"/>
                  <w:b w:val="false"/>
                  <w:strike w:val="false"/>
                  <w:dstrike w:val="false"/>
                  <w:color w:val="0000FF"/>
                  <w:sz w:val="20"/>
                  <w:u w:val="none"/>
                  <w:effect w:val="none"/>
                </w:rPr>
                <w:t>3</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1 - FINANCIAL INFORMATION</w:t>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6">
              <w:r>
                <w:rPr>
                  <w:rStyle w:val="InternetLink"/>
                  <w:rFonts w:ascii="Times New Roman;serif" w:hAnsi="Times New Roman;serif"/>
                  <w:b w:val="false"/>
                  <w:color w:val="0000FF"/>
                  <w:sz w:val="20"/>
                  <w:u w:val="single"/>
                </w:rPr>
                <w:t>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6">
              <w:r>
                <w:rPr>
                  <w:rStyle w:val="InternetLink"/>
                  <w:rFonts w:ascii="Times New Roman;serif" w:hAnsi="Times New Roman;serif"/>
                  <w:b w:val="false"/>
                  <w:strike w:val="false"/>
                  <w:dstrike w:val="false"/>
                  <w:color w:val="0000FF"/>
                  <w:sz w:val="20"/>
                  <w:u w:val="none"/>
                  <w:effect w:val="none"/>
                </w:rPr>
                <w:t>4</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9">
              <w:r>
                <w:rPr>
                  <w:rStyle w:val="InternetLink"/>
                  <w:rFonts w:ascii="Times New Roman;serif" w:hAnsi="Times New Roman;serif"/>
                  <w:b w:val="false"/>
                  <w:color w:val="0000FF"/>
                  <w:sz w:val="20"/>
                  <w:u w:val="single"/>
                </w:rPr>
                <w:t>Condensed Consolidated Balance Sheets as of June 30, 2026 and December 31, 2025</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9">
              <w:r>
                <w:rPr>
                  <w:rStyle w:val="InternetLink"/>
                  <w:rFonts w:ascii="Times New Roman;serif" w:hAnsi="Times New Roman;serif"/>
                  <w:b w:val="false"/>
                  <w:strike w:val="false"/>
                  <w:dstrike w:val="false"/>
                  <w:color w:val="0000FF"/>
                  <w:sz w:val="20"/>
                  <w:u w:val="none"/>
                  <w:effect w:val="none"/>
                </w:rPr>
                <w:t>4</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22">
              <w:r>
                <w:rPr>
                  <w:rStyle w:val="InternetLink"/>
                  <w:rFonts w:ascii="Times New Roman;serif" w:hAnsi="Times New Roman;serif"/>
                  <w:b w:val="false"/>
                  <w:color w:val="0000FF"/>
                  <w:sz w:val="20"/>
                  <w:u w:val="single"/>
                </w:rPr>
                <w:t>Condensed Consolidated Statements of Income and Comprehensive Income for the Three and Six Months Ended June 30, 2026 and 2025</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22">
              <w:r>
                <w:rPr>
                  <w:rStyle w:val="InternetLink"/>
                  <w:rFonts w:ascii="Times New Roman;serif" w:hAnsi="Times New Roman;serif"/>
                  <w:b w:val="false"/>
                  <w:strike w:val="false"/>
                  <w:dstrike w:val="false"/>
                  <w:color w:val="0000FF"/>
                  <w:sz w:val="20"/>
                  <w:u w:val="none"/>
                  <w:effect w:val="none"/>
                </w:rPr>
                <w:t>5</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25">
              <w:r>
                <w:rPr>
                  <w:rStyle w:val="InternetLink"/>
                  <w:rFonts w:ascii="Times New Roman;serif" w:hAnsi="Times New Roman;serif"/>
                  <w:b w:val="false"/>
                  <w:color w:val="0000FF"/>
                  <w:sz w:val="20"/>
                  <w:u w:val="single"/>
                </w:rPr>
                <w:t>Condensed Consolidated Statements of Changes in Stockholders’ Equity for the Three and Six Months Ended June 30, 2026 and 2025</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25">
              <w:r>
                <w:rPr>
                  <w:rStyle w:val="InternetLink"/>
                  <w:rFonts w:ascii="Times New Roman;serif" w:hAnsi="Times New Roman;serif"/>
                  <w:b w:val="false"/>
                  <w:strike w:val="false"/>
                  <w:dstrike w:val="false"/>
                  <w:color w:val="0000FF"/>
                  <w:sz w:val="20"/>
                  <w:u w:val="none"/>
                  <w:effect w:val="none"/>
                </w:rPr>
                <w:t>6</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28">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28">
              <w:r>
                <w:rPr>
                  <w:rStyle w:val="InternetLink"/>
                  <w:rFonts w:ascii="Times New Roman;serif" w:hAnsi="Times New Roman;serif"/>
                  <w:b w:val="false"/>
                  <w:strike w:val="false"/>
                  <w:dstrike w:val="false"/>
                  <w:color w:val="0000FF"/>
                  <w:sz w:val="20"/>
                  <w:u w:val="none"/>
                  <w:effect w:val="none"/>
                </w:rPr>
                <w:t>8</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31">
              <w:r>
                <w:rPr>
                  <w:rStyle w:val="InternetLink"/>
                  <w:rFonts w:ascii="Times New Roman;serif" w:hAnsi="Times New Roman;serif"/>
                  <w:b w:val="false"/>
                  <w:color w:val="0000FF"/>
                  <w:sz w:val="20"/>
                  <w:u w:val="single"/>
                </w:rPr>
                <w:t>Notes to Condensed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31">
              <w:r>
                <w:rPr>
                  <w:rStyle w:val="InternetLink"/>
                  <w:rFonts w:ascii="Times New Roman;serif" w:hAnsi="Times New Roman;serif"/>
                  <w:b w:val="false"/>
                  <w:strike w:val="false"/>
                  <w:dstrike w:val="false"/>
                  <w:color w:val="0000FF"/>
                  <w:sz w:val="20"/>
                  <w:u w:val="none"/>
                  <w:effect w:val="none"/>
                </w:rPr>
                <w:t>10</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91">
              <w:r>
                <w:rPr>
                  <w:rStyle w:val="InternetLink"/>
                  <w:rFonts w:ascii="Times New Roman;serif" w:hAnsi="Times New Roman;serif"/>
                  <w:b w:val="false"/>
                  <w:strike w:val="false"/>
                  <w:dstrike w:val="false"/>
                  <w:color w:val="0000FF"/>
                  <w:sz w:val="20"/>
                  <w:u w:val="none"/>
                  <w:effect w:val="none"/>
                </w:rPr>
                <w:t>26</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18">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18">
              <w:r>
                <w:rPr>
                  <w:rStyle w:val="InternetLink"/>
                  <w:rFonts w:ascii="Times New Roman;serif" w:hAnsi="Times New Roman;serif"/>
                  <w:b w:val="false"/>
                  <w:strike w:val="false"/>
                  <w:dstrike w:val="false"/>
                  <w:color w:val="0000FF"/>
                  <w:sz w:val="20"/>
                  <w:u w:val="none"/>
                  <w:effect w:val="none"/>
                </w:rPr>
                <w:t>45</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21">
              <w:r>
                <w:rPr>
                  <w:rStyle w:val="InternetLink"/>
                  <w:rFonts w:ascii="Times New Roman;serif" w:hAnsi="Times New Roman;serif"/>
                  <w:b w:val="false"/>
                  <w:color w:val="0000FF"/>
                  <w:sz w:val="20"/>
                  <w:u w:val="single"/>
                </w:rPr>
                <w:t>Controls and Procedures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21">
              <w:r>
                <w:rPr>
                  <w:rStyle w:val="InternetLink"/>
                  <w:rFonts w:ascii="Times New Roman;serif" w:hAnsi="Times New Roman;serif"/>
                  <w:b w:val="false"/>
                  <w:strike w:val="false"/>
                  <w:dstrike w:val="false"/>
                  <w:color w:val="0000FF"/>
                  <w:sz w:val="20"/>
                  <w:u w:val="none"/>
                  <w:effect w:val="none"/>
                </w:rPr>
                <w:t>47</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27">
              <w:r>
                <w:rPr>
                  <w:rStyle w:val="InternetLink"/>
                  <w:rFonts w:ascii="Times New Roman;serif" w:hAnsi="Times New Roman;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27">
              <w:r>
                <w:rPr>
                  <w:rStyle w:val="InternetLink"/>
                  <w:rFonts w:ascii="Times New Roman;serif" w:hAnsi="Times New Roman;serif"/>
                  <w:b w:val="false"/>
                  <w:strike w:val="false"/>
                  <w:dstrike w:val="false"/>
                  <w:color w:val="0000FF"/>
                  <w:sz w:val="20"/>
                  <w:u w:val="none"/>
                  <w:effect w:val="none"/>
                </w:rPr>
                <w:t>48</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30">
              <w:r>
                <w:rPr>
                  <w:rStyle w:val="InternetLink"/>
                  <w:rFonts w:ascii="Times New Roman;serif" w:hAnsi="Times New Roman;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30">
              <w:r>
                <w:rPr>
                  <w:rStyle w:val="InternetLink"/>
                  <w:rFonts w:ascii="Times New Roman;serif" w:hAnsi="Times New Roman;serif"/>
                  <w:b w:val="false"/>
                  <w:strike w:val="false"/>
                  <w:dstrike w:val="false"/>
                  <w:color w:val="0000FF"/>
                  <w:sz w:val="20"/>
                  <w:u w:val="none"/>
                  <w:effect w:val="none"/>
                </w:rPr>
                <w:t>48</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33">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33">
              <w:r>
                <w:rPr>
                  <w:rStyle w:val="InternetLink"/>
                  <w:rFonts w:ascii="Times New Roman;serif" w:hAnsi="Times New Roman;serif"/>
                  <w:b w:val="false"/>
                  <w:strike w:val="false"/>
                  <w:dstrike w:val="false"/>
                  <w:color w:val="0000FF"/>
                  <w:sz w:val="20"/>
                  <w:u w:val="none"/>
                  <w:effect w:val="none"/>
                </w:rPr>
                <w:t>48</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36">
              <w:r>
                <w:rPr>
                  <w:rStyle w:val="InternetLink"/>
                  <w:rFonts w:ascii="Times New Roman;serif" w:hAnsi="Times New Roman;serif"/>
                  <w:b w:val="false"/>
                  <w:color w:val="0000FF"/>
                  <w:sz w:val="20"/>
                  <w:u w:val="single"/>
                </w:rPr>
                <w:t>Defaults Upon Senior Securities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36">
              <w:r>
                <w:rPr>
                  <w:rStyle w:val="InternetLink"/>
                  <w:rFonts w:ascii="Times New Roman;serif" w:hAnsi="Times New Roman;serif"/>
                  <w:b w:val="false"/>
                  <w:strike w:val="false"/>
                  <w:dstrike w:val="false"/>
                  <w:color w:val="0000FF"/>
                  <w:sz w:val="20"/>
                  <w:u w:val="none"/>
                  <w:effect w:val="none"/>
                </w:rPr>
                <w:t>48</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39">
              <w:r>
                <w:rPr>
                  <w:rStyle w:val="InternetLink"/>
                  <w:rFonts w:ascii="Times New Roman;serif" w:hAnsi="Times New Roman;serif"/>
                  <w:b w:val="false"/>
                  <w:color w:val="0000FF"/>
                  <w:sz w:val="20"/>
                  <w:u w:val="single"/>
                </w:rPr>
                <w:t>Mine Safety Disclosures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39">
              <w:r>
                <w:rPr>
                  <w:rStyle w:val="InternetLink"/>
                  <w:rFonts w:ascii="Times New Roman;serif" w:hAnsi="Times New Roman;serif"/>
                  <w:b w:val="false"/>
                  <w:strike w:val="false"/>
                  <w:dstrike w:val="false"/>
                  <w:color w:val="0000FF"/>
                  <w:sz w:val="20"/>
                  <w:u w:val="none"/>
                  <w:effect w:val="none"/>
                </w:rPr>
                <w:t>48</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42">
              <w:r>
                <w:rPr>
                  <w:rStyle w:val="InternetLink"/>
                  <w:rFonts w:ascii="Times New Roman;serif" w:hAnsi="Times New Roman;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42">
              <w:r>
                <w:rPr>
                  <w:rStyle w:val="InternetLink"/>
                  <w:rFonts w:ascii="Times New Roman;serif" w:hAnsi="Times New Roman;serif"/>
                  <w:b w:val="false"/>
                  <w:strike w:val="false"/>
                  <w:dstrike w:val="false"/>
                  <w:color w:val="0000FF"/>
                  <w:sz w:val="20"/>
                  <w:u w:val="none"/>
                  <w:effect w:val="none"/>
                </w:rPr>
                <w:t>49</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45">
              <w:r>
                <w:rPr>
                  <w:rStyle w:val="InternetLink"/>
                  <w:rFonts w:ascii="Times New Roman;serif" w:hAnsi="Times New Roman;serif"/>
                  <w:b w:val="false"/>
                  <w:color w:val="0000FF"/>
                  <w:sz w:val="20"/>
                  <w:u w:val="single"/>
                </w:rPr>
                <w:t>Exhibits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45">
              <w:r>
                <w:rPr>
                  <w:rStyle w:val="InternetLink"/>
                  <w:rFonts w:ascii="Times New Roman;serif" w:hAnsi="Times New Roman;serif"/>
                  <w:b w:val="false"/>
                  <w:strike w:val="false"/>
                  <w:dstrike w:val="false"/>
                  <w:color w:val="0000FF"/>
                  <w:sz w:val="20"/>
                  <w:u w:val="none"/>
                  <w:effect w:val="none"/>
                </w:rPr>
                <w:t>50</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63ada1b6f30434a840b835ca148adb3_148">
              <w:r>
                <w:rPr>
                  <w:rStyle w:val="InternetLink"/>
                  <w:rFonts w:ascii="Times New Roman;serif" w:hAnsi="Times New Roman;serif"/>
                  <w:b w:val="false"/>
                  <w:color w:val="0000FF"/>
                  <w:sz w:val="20"/>
                  <w:u w:val="single"/>
                </w:rPr>
                <w:t>SIGNATURES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63ada1b6f30434a840b835ca148adb3_148">
              <w:r>
                <w:rPr>
                  <w:rStyle w:val="InternetLink"/>
                  <w:rFonts w:ascii="Times New Roman;serif" w:hAnsi="Times New Roman;serif"/>
                  <w:b w:val="false"/>
                  <w:strike w:val="false"/>
                  <w:dstrike w:val="false"/>
                  <w:color w:val="0000FF"/>
                  <w:sz w:val="20"/>
                  <w:u w:val="none"/>
                  <w:effect w:val="none"/>
                </w:rPr>
                <w:t>51</w:t>
              </w:r>
            </w:hyperlink>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of the Company. These forward-looking statements include, but are not limited to, statements concerning the pending acquisition of the Company by The Western Union Company (“Western Union”), including our expectations regarding the timing and completion of the pending acquisition.</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factors relating to the contemplated pending acquisition of the Company by Western Union, including: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completion of the pending transaction on anticipated terms and timing or at all, including obtaining regulatory approvals and other conditions to the completion of the transaction;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occurrence of any event, change or other circumstance or condition that could give rise to the termination of the Merger Agreement, which may require us to pay a termination fee or other expenses;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significant transaction costs associated with the pending transaction, and the possibility that the pending transaction may be more expensive to complete than anticipated, including as a result of unexpected factors or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availability of capital and other changes in capital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litigation or regulatory actions relating to the pending transaction, which could delay or prevent consummation of the transaction;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 that disruptions from the pending transaction, such as diverting management’s attention from our ongoing business operations and relationships, may harm our business, including current plans and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 of the announcement, pendency or completion of the pending transaction on our ability to retain and hire key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relationships with customers, suppliers, governments, regulators and others with whom we do business, or our operating results or business generally;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adverse business uncertainty resulting from restrictions imposed by the Merger Agreement during the pendency of the pending transaction that may impact our ability to pursue certain business opportunities or strategic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factors relating to our business, operations and financial performance, including:</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rPr>
        <w:t>changes in immigration laws and their enforcement, including any adverse effects on the level of immigrant employment, earning potential, and other commercial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success in expanding customer acceptance of our digital services and infrastructure, as well as developing, introducing and marketing new digital and other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technology or competitors that disrupt the current money transfer and payment ecosystem, including the introduction of new digital platforms;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tax laws in the United States and other countries in which we operate, including the imposition of taxes on certain types of remittances that began in 2026;</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loss of, or reduction in business with, key sending agents;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w:t>
      </w:r>
      <w:r>
        <w:rPr>
          <w:rFonts w:ascii="Times New Roman;serif" w:hAnsi="Times New Roman;serif"/>
          <w:b w:val="false"/>
          <w:color w:val="000000"/>
          <w:sz w:val="20"/>
        </w:rPr>
        <w:t>ur ability to effectively compete in the markets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factors such as inflation, the level of economic activity, recession risks and labor market conditions, as well as volatility in market interest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conditions in the United States and other markets in which we operate or plan to operate as well as the impact and duration of the recent partial federal government shutdown;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international political factors, including ongoing hostilities in Ukraine and the Middle East, political instability, tariffs, including the effects of tariffs on domestic markets and industrial activity and employment, border taxes or restrictions on remittances or transfers from the outbound countries in which we operate or plan to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consumer confidence in our brands and in consumer money transfers generally;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expansion into new geographic markets or product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cybersecurity-attacks or disruptions to our information technology, computer network systems, data centers and mobile devices applications;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execute, manage, integrate and obtain the anticipated financial benefits of key acquisitions and mergers;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ability of our risk management and compliance policies, procedures and systems to mitigate risk related to transaction monitoring;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consumer fraud and other risks relating to the authenticity of customers’ orders or the improper or illegal use of our services by consumers, sending agents or digital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favorable banking and paying agent relationships necessary to conduct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bank failures, sustained financial illiquidity, or illiquidity at the clearing, cash management or custodial financial institutions with which we do business;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changes to banking industry regulation and practice;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credit risks from our agents, digital partners and the financial institutions with which we do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recruit and retain key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maintain compliance with applicable laws and regulatory requirements, </w:t>
      </w:r>
      <w:r>
        <w:rPr>
          <w:rFonts w:ascii="Times New Roman;serif" w:hAnsi="Times New Roman;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enforcement actions and private litigation under regulations applicable to money remittance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protect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satisfy our debt obligations and remain in compliance with our credit facility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health conditions, responses thereto and the economic and market effects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use of third-party vendors and service providers;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weakness in U.S. or international economic conditions;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economic, business and/or competitive factors, risks and uncertainties, including those described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sections in our Annual Report on Form 10-K for the year ended December 31, 2025, as well as any additional factors that may be described in our other filings with the Securities and Exchange Commission (“SEC”) from time to time.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Accordingly, 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970"/>
        <w:gridCol w:w="2193"/>
        <w:gridCol w:w="2155"/>
        <w:gridCol w:w="217"/>
        <w:gridCol w:w="851"/>
        <w:gridCol w:w="112"/>
        <w:gridCol w:w="109"/>
        <w:gridCol w:w="109"/>
        <w:gridCol w:w="109"/>
        <w:gridCol w:w="243"/>
        <w:gridCol w:w="955"/>
        <w:gridCol w:w="182"/>
      </w:tblGrid>
      <w:tr>
        <w:trPr/>
        <w:tc>
          <w:tcPr>
            <w:tcW w:w="2970"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7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118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$5,103 and $5,530, respectively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8"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285,737 </w:t>
            </w:r>
          </w:p>
        </w:tc>
        <w:tc>
          <w:tcPr>
            <w:tcW w:w="112"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353,159 </w:t>
            </w:r>
          </w:p>
        </w:tc>
        <w:tc>
          <w:tcPr>
            <w:tcW w:w="182"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449,641 </w:t>
            </w:r>
          </w:p>
        </w:tc>
        <w:tc>
          <w:tcPr>
            <w:tcW w:w="112"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517,691 </w:t>
            </w:r>
          </w:p>
        </w:tc>
        <w:tc>
          <w:tcPr>
            <w:tcW w:w="182"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145,831 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140,957 </w:t>
            </w:r>
          </w:p>
        </w:tc>
        <w:tc>
          <w:tcPr>
            <w:tcW w:w="18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068"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134,260 </w:t>
            </w:r>
          </w:p>
        </w:tc>
        <w:tc>
          <w:tcPr>
            <w:tcW w:w="112"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215,680 </w:t>
            </w:r>
          </w:p>
        </w:tc>
        <w:tc>
          <w:tcPr>
            <w:tcW w:w="182"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17</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5,000,000 shares authorized, none issued or outstanding</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200,000,000 shares authorized, 41,166,291 and 40,682,683 shares issued and 30,202,723 and 29,719,115 shares outstanding as of June 30, 2026 and December 31, 2025, respectively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10,963,568 shares as of both June 30, 2026 and December 31, 2025, respectively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6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169,550 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161,054 </w:t>
            </w:r>
          </w:p>
        </w:tc>
        <w:tc>
          <w:tcPr>
            <w:tcW w:w="18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7"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449,641 </w:t>
            </w:r>
          </w:p>
        </w:tc>
        <w:tc>
          <w:tcPr>
            <w:tcW w:w="11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517,691 </w:t>
            </w:r>
          </w:p>
        </w:tc>
        <w:tc>
          <w:tcPr>
            <w:tcW w:w="18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4980"/>
                <wp:effectExtent l="0" t="0" r="0" b="0"/>
                <wp:wrapNone/>
                <wp:docPr id="5" name="Frame5"/>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data, unaudited)</w:t>
      </w:r>
    </w:p>
    <w:tbl>
      <w:tblPr>
        <w:tblW w:w="9986" w:type="dxa"/>
        <w:jc w:val="left"/>
        <w:tblInd w:w="0" w:type="dxa"/>
        <w:tblLayout w:type="fixed"/>
        <w:tblCellMar>
          <w:top w:w="28" w:type="dxa"/>
          <w:left w:w="28" w:type="dxa"/>
          <w:bottom w:w="28" w:type="dxa"/>
          <w:right w:w="28" w:type="dxa"/>
        </w:tblCellMar>
      </w:tblPr>
      <w:tblGrid>
        <w:gridCol w:w="1521"/>
        <w:gridCol w:w="1336"/>
        <w:gridCol w:w="1343"/>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131,162 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161,133 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253,114 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305,443 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from agents and banks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122,411 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240,689 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271,907 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74980"/>
                <wp:effectExtent l="0" t="0" r="0" b="0"/>
                <wp:wrapNone/>
                <wp:docPr id="6" name="Frame6"/>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data, unaudited)</w:t>
      </w:r>
    </w:p>
    <w:tbl>
      <w:tblPr>
        <w:tblW w:w="12128"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364"/>
        <w:gridCol w:w="364"/>
        <w:gridCol w:w="368"/>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320"/>
        <w:gridCol w:w="730"/>
        <w:gridCol w:w="166"/>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 xml:space="preserve">Comprehensive </w:t>
              <w:br/>
              <w:t>Loss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2" w:space="0" w:color="000000"/>
            </w:tcBorders>
            <w:tcMar>
              <w:top w:w="52"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103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41,078,827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89,433 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290,652 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6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162,692 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awards,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1036" w:type="dxa"/>
            <w:gridSpan w:val="3"/>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41,166,291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92,037 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294,857 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169,550 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324"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547"/>
        <w:gridCol w:w="549"/>
        <w:gridCol w:w="196"/>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269"/>
        <w:gridCol w:w="806"/>
        <w:gridCol w:w="141"/>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 Income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3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40,332,957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(9,983,227)</w:t>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(205,677)</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265,239 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4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139,243 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awards,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 at cost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36" w:type="dxa"/>
            <w:gridSpan w:val="3"/>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40,387,993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(10,963,568)</w:t>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82,895 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276,246 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142,253 </w:t>
            </w:r>
          </w:p>
        </w:tc>
        <w:tc>
          <w:tcPr>
            <w:tcW w:w="1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74980"/>
                <wp:effectExtent l="0" t="0" r="0" b="0"/>
                <wp:wrapNone/>
                <wp:docPr id="7" name="Frame7"/>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data, unaudited)</w:t>
      </w:r>
    </w:p>
    <w:tbl>
      <w:tblPr>
        <w:tblW w:w="12324"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548"/>
        <w:gridCol w:w="548"/>
        <w:gridCol w:w="196"/>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320"/>
        <w:gridCol w:w="730"/>
        <w:gridCol w:w="166"/>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03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40,682,683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(10,963,568)</w:t>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290,141 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6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161,054 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awards,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1036" w:type="dxa"/>
            <w:gridSpan w:val="3"/>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41,166,291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(10,963,568)</w:t>
            </w:r>
          </w:p>
        </w:tc>
        <w:tc>
          <w:tcPr>
            <w:tcW w:w="19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92,037 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294,857 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169,550 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324"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547"/>
        <w:gridCol w:w="549"/>
        <w:gridCol w:w="196"/>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269"/>
        <w:gridCol w:w="806"/>
        <w:gridCol w:w="141"/>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 Income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3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40,164,056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(9,615,354)</w:t>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(200,696)</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4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134,924 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awards,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 at cost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(1,348,214)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36" w:type="dxa"/>
            <w:gridSpan w:val="3"/>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40,387,993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(10,963,568)</w:t>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82,895 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276,246 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142,253 </w:t>
            </w:r>
          </w:p>
        </w:tc>
        <w:tc>
          <w:tcPr>
            <w:tcW w:w="1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74980"/>
                <wp:effectExtent l="0" t="0" r="0" b="0"/>
                <wp:wrapNone/>
                <wp:docPr id="8" name="Frame8"/>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409" w:type="dxa"/>
        <w:jc w:val="left"/>
        <w:tblInd w:w="0" w:type="dxa"/>
        <w:tblLayout w:type="fixed"/>
        <w:tblCellMar>
          <w:top w:w="28" w:type="dxa"/>
          <w:left w:w="28" w:type="dxa"/>
          <w:bottom w:w="28" w:type="dxa"/>
          <w:right w:w="28" w:type="dxa"/>
        </w:tblCellMar>
      </w:tblPr>
      <w:tblGrid>
        <w:gridCol w:w="2431"/>
        <w:gridCol w:w="2141"/>
        <w:gridCol w:w="2147"/>
        <w:gridCol w:w="213"/>
        <w:gridCol w:w="837"/>
        <w:gridCol w:w="109"/>
        <w:gridCol w:w="109"/>
        <w:gridCol w:w="109"/>
        <w:gridCol w:w="109"/>
        <w:gridCol w:w="213"/>
        <w:gridCol w:w="837"/>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origination costs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benefit,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50"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24,372 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19,387 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and other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0"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75,354 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81,184 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agent locations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Repayments under revolving credit facility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for stock-based awards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(81,965)</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74980"/>
                <wp:effectExtent l="0" t="0" r="0" b="0"/>
                <wp:wrapNone/>
                <wp:docPr id="9" name="Frame9"/>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7240" w:type="dxa"/>
        <w:jc w:val="left"/>
        <w:tblInd w:w="0" w:type="dxa"/>
        <w:tblLayout w:type="fixed"/>
        <w:tblCellMar>
          <w:top w:w="28" w:type="dxa"/>
          <w:left w:w="28" w:type="dxa"/>
          <w:bottom w:w="28" w:type="dxa"/>
          <w:right w:w="28" w:type="dxa"/>
        </w:tblCellMar>
      </w:tblPr>
      <w:tblGrid>
        <w:gridCol w:w="1759"/>
        <w:gridCol w:w="1546"/>
        <w:gridCol w:w="1554"/>
        <w:gridCol w:w="214"/>
        <w:gridCol w:w="625"/>
        <w:gridCol w:w="110"/>
        <w:gridCol w:w="110"/>
        <w:gridCol w:w="110"/>
        <w:gridCol w:w="110"/>
        <w:gridCol w:w="214"/>
        <w:gridCol w:w="732"/>
        <w:gridCol w:w="156"/>
      </w:tblGrid>
      <w:tr>
        <w:trPr/>
        <w:tc>
          <w:tcPr>
            <w:tcW w:w="175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9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4,708 </w:t>
            </w:r>
          </w:p>
        </w:tc>
        <w:tc>
          <w:tcPr>
            <w:tcW w:w="110"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11,998 </w:t>
            </w:r>
          </w:p>
        </w:tc>
        <w:tc>
          <w:tcPr>
            <w:tcW w:w="15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activities: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2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receivables from agent acquisitions</w:t>
            </w:r>
          </w:p>
        </w:tc>
        <w:tc>
          <w:tcPr>
            <w:tcW w:w="21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5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 related to agent acquisitions</w:t>
            </w:r>
          </w:p>
        </w:tc>
        <w:tc>
          <w:tcPr>
            <w:tcW w:w="214"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6"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74980"/>
                <wp:effectExtent l="0" t="0" r="0" b="0"/>
                <wp:wrapNone/>
                <wp:docPr id="10" name="Frame10"/>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 – BUSINESS AND ACCOUNTING POLICIES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International Money Express, Inc. (the “Company” or “us” or “we”) operates as a money transmitter between the United States of America (“United States” or “U.S.”), Canada, Spain, Italy and Germany primarily to Mexico, Guatemala and other countries in Latin America, Europe, Africa and Asia through a network of authorized agents located in various unaffiliated retail establishments and 114 Company-operated stores throughout those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political, social, economic and market conditions in the United States, including recent economic, trade and immigration enforcement actions taken by the current administration in the U.S., as well as in foreign countries, including those that are destinations for money transfers or in which we currently operate, remain volatile. There is uncertainty as to the economic and financial impact of such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10, 2025, the Company entered into an Agreement and Plan of Merger (the “Merger Agreement”), by and among the Company, The Western Union Company, a Delaware corporation (“Western Union”), and Ivey Merger Sub, Inc., a Delaware corporation and wholly owned subsidiary of Western Union (“Merger Sub”). Pursuant to the Merger Agreement, on the terms and subject to the conditions set forth therein, Merger Sub will merge with and into the Company (the “Merger”), with the Company continuing as the surviving corporation in the Merger and becoming a wholly-owned subsidiary of Western Union. The Merger Agreement provides that each share of the Company’s common stock issued and outstanding immediately prior to the effective time of the Merger (subject to limited exceptions, such as treasury shares or shares as to which dissenters’ rights have been properly exercised in accordance with Delaware law) will be cancelled and converted into the right to receive $16.00 per share in cash, without interest.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Consummation of the Merger is subject to various remaining customary closing conditions, including: (i) the absence of any judgment by any governmental authority of competent jurisdiction or any applicable law that enjoins, restrains or otherwise makes illegal, prevents or prohibits consummation of the Merger, (ii) the receipt of applicable consents, approvals or other clearances required to be obtained under the Merger Agreement, including with respect to the Company’s or its subsidiaries’ money transmitter licenses, and (iii) other customary closing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 addition, the consummation of the Merger was conditioned upon (i) the expiration or termination of the applicable waiting period under the Hart-Scott-Rodino Antitrust Improvements Act of 1976, as amended (the “HSR Act”), which waiting period expired on October 6, 2025</w:t>
      </w:r>
      <w:r>
        <w:rPr>
          <w:rFonts w:ascii="Times New Roman;serif" w:hAnsi="Times New Roman;serif"/>
          <w:b w:val="false"/>
          <w:color w:val="000000"/>
          <w:sz w:val="20"/>
        </w:rPr>
        <w:t>, and (ii) approval of the stockholders of the Company, which approval was received at a special meeting of stockholders of the Company on December 9,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Company anticipates closing</w:t>
      </w:r>
      <w:r>
        <w:rPr>
          <w:color w:val="000000"/>
        </w:rPr>
        <w:t xml:space="preserve"> </w:t>
      </w:r>
      <w:r>
        <w:rPr>
          <w:rFonts w:ascii="Times New Roman;serif" w:hAnsi="Times New Roman;serif"/>
          <w:b w:val="false"/>
          <w:color w:val="000000"/>
          <w:sz w:val="20"/>
        </w:rPr>
        <w:t>the Merger as soon as reasonably practicable. subject to the satisfaction of other customary closing conditions, including receipt of the remaining regulatory approval</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the Company include International Money Express, Inc. and other entities in which the Company has a controlling financial interest. All significant inter-company balances and transactions have been eliminated in consolidation. The condensed consolidated financial statements are prepared in accordance with accounting principles generally accepted in the United States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interim condensed consolidated financial statements and related notes are unaudited. In the opinion of management, all adjustments (including normal recurring adjustments) and disclosures necessary for a fair statement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Concentrations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certain of its cash balances in various U.S. banks, which at times, may exceed federally insured limits. The Company has not incurred any losses on these accounts. In addition, the Company maintains various bank accounts in Mexico, Guatemala, Canada, the Dominican Republic, Spain, Italy, Germany and the United Kingdom, which may not be fully insured. During the three and six months ended June 30, 2026, the Company did not incur any losses on these uninsured foreign bank accounts.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 substantial portion of our paying agents are concentrated in a few large banks and financial institutions and large retail chains in Latin American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Accounting Standards Board (“FASB”) issued guidance, ASU 2024-03, Income Statement - Reporting Comprehensive Income - Expense Disaggregation Disclosures (Subtopic 220-40): Disaggregation of Income Statement Expenses, which requires more detailed disclosures about specified categories of expenses (including purchases of inventory, employee compensation, intangible asset amortization, and depreciation) included in certain expense captions presented on the face of the statement of income. ASU 2024-03 is effective for fiscal years beginning after December 15, 2026 and interim reporting periods within fiscal years beginning one year later. The Company is currently evaluating the impact this guidance will have on the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FASB issued ASU 2025-06, Intangibles - Goodwill and Other - Internal-Use Software (Subtopic 350-40): Targeted Improvements to the Accounting for Internal-Use Software. This amendment simplifies the software capitalization guidance by removing all references to software development project stages so that the guidance is neutral to different software development methods. ASU 2025-06 is effective for fiscal years beginning after December 15, 2027, and interim reporting periods within those fiscal years, with early adoption permitted. The amendments in this update permit an entity to apply the new guidance using a prospective, retrospective or modified transition approach. The Company is currently evaluating the impact this guidance will have on the consolidated financial statements.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Reclassifications</w:t>
      </w:r>
    </w:p>
    <w:p>
      <w:pPr>
        <w:pStyle w:val="TextBody"/>
        <w:bidi w:val="0"/>
        <w:spacing w:lineRule="auto" w:line="288" w:before="0" w:after="240"/>
        <w:jc w:val="both"/>
        <w:rPr/>
      </w:pPr>
      <w:r>
        <w:rPr>
          <w:rFonts w:ascii="Times New Roman;serif" w:hAnsi="Times New Roman;serif"/>
          <w:b w:val="false"/>
          <w:color w:val="000000"/>
          <w:sz w:val="20"/>
        </w:rPr>
        <w:t xml:space="preserve">Certain prior year amounts have been reclassified to conform with current year presentation primarily as it relates to </w:t>
      </w:r>
      <w:r>
        <w:rPr>
          <w:rFonts w:ascii="Times New Roman;serif" w:hAnsi="Times New Roman;serif"/>
          <w:b w:val="false"/>
          <w:color w:val="000000"/>
          <w:sz w:val="20"/>
          <w:shd w:fill="FFFFFF" w:val="clear"/>
        </w:rPr>
        <w:t>not</w:t>
      </w:r>
      <w:r>
        <w:rPr>
          <w:color w:val="000000"/>
        </w:rPr>
        <w:t xml:space="preserve"> </w:t>
      </w:r>
      <w:r>
        <w:rPr>
          <w:rFonts w:ascii="Times New Roman;serif" w:hAnsi="Times New Roman;serif"/>
          <w:b w:val="false"/>
          <w:color w:val="000000"/>
          <w:sz w:val="20"/>
        </w:rPr>
        <w:t>disclosing restructuring charges as a separate item in the consolidated statements of income and comprehensive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color w:val="000000"/>
          <w:sz w:val="20"/>
          <w:shd w:fill="FFFFFF" w:val="clear"/>
        </w:rPr>
        <w:t>NOTE 2 – ACQUISITIONS AND TRANSACTION COSTS</w:t>
      </w:r>
      <w:r>
        <w:rPr>
          <w:color w:val="000000"/>
        </w:rPr>
        <w:t xml:space="preserve"> </w:t>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Transaction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Transaction costs include all internal and external costs directly related to acquisition activities and the Company's evaluation of strategic alternatives including the pending Merger with Western Union, consisting primarily of legal, consulting, accounting and financial advisory fees. Transaction costs were $0.7 million and $2.2 million for the three months ended June 30, 2026 and 2025, and $1.9 million and $3.4 million for the six months ended June 30, 2026 and 2025, respectively.</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3 – REVENUES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revenues from contracts with customers, sending agents, digital partners and others for the three and six months ended June 30, 2026 and 2025, as follows (in thousands):</w:t>
      </w:r>
    </w:p>
    <w:tbl>
      <w:tblPr>
        <w:tblW w:w="8879" w:type="dxa"/>
        <w:jc w:val="left"/>
        <w:tblInd w:w="0" w:type="dxa"/>
        <w:tblLayout w:type="fixed"/>
        <w:tblCellMar>
          <w:top w:w="28" w:type="dxa"/>
          <w:left w:w="28" w:type="dxa"/>
          <w:bottom w:w="28" w:type="dxa"/>
          <w:right w:w="28" w:type="dxa"/>
        </w:tblCellMar>
      </w:tblPr>
      <w:tblGrid>
        <w:gridCol w:w="1184"/>
        <w:gridCol w:w="1038"/>
        <w:gridCol w:w="104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107,734 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133,608 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207,655 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254,497 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Discounts and promotions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253,137 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131,162 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161,133 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253,114 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305,443 </w:t>
            </w:r>
          </w:p>
        </w:tc>
        <w:tc>
          <w:tcPr>
            <w:tcW w:w="1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significant initial costs incurred to obtain contracts with customers. Until January 31, 2025, the Company had a loyalty program under which customers earned one point for each wire transfer completed. Points were redeemed for a discounted wire transaction fee or a foreign exchange rate that was more favorable to the customer. Because the loyalty program benefits represented a future performance obligation, a portion of the initial consideration was recorded as deferred revenue loyalty program (see Note 9) and a corresponding loyalty program entry was recorded as contra revenue. Revenue from this performance obligation was recognized upon customers redeeming points or upon expiration of any points outstanding. Effective February 1, 2025, the loyalty program was terminated. Under the termination conditions, customers were able to redeem their points by July 31, 2025. Any points not redeemed by that date expired automatically.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offers several other services, including money orders, and check cashing through its sending agents and Company-operated stores, for which revenue is derived from a fee charged at the time the transaction takes place.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 In addition, we generate revenue from our Remittance-as-a-Service (“RaaS”) relationships with digital partners where we receive a fee for facilitating money transfers processed through our proprietary software systems, using our money transmitter licenses and payer network relationships, which are recognized at the time the transaction is processed. The Company acts primarily as the agent for these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Wire transfers and money order fees include money order fees of $0.5 million for both the three months ended June 30, 2026 and 2025, respectively, and $0.9 million and $1.1 million for the six months ended June 30, 2026 and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4 – ACCOUNTS RECEIVABLE AND AGENT ADVANCES RECEIVABLE, NET OF ALLOWANCE</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represents primarily outstanding balances from sending agents for pending wire transfers or money orders from our customers. The outstanding balance of accounts receivable, net of allowance for credit losses, consists of the following (in thousands):</w:t>
      </w:r>
    </w:p>
    <w:p>
      <w:pPr>
        <w:pStyle w:val="TextBody"/>
        <w:bidi w:val="0"/>
        <w:spacing w:before="0" w:after="0"/>
        <w:jc w:val="both"/>
        <w:rPr/>
      </w:pPr>
      <w:r>
        <w:rPr/>
      </w:r>
    </w:p>
    <w:tbl>
      <w:tblPr>
        <w:tblW w:w="5591" w:type="dxa"/>
        <w:jc w:val="left"/>
        <w:tblInd w:w="0" w:type="dxa"/>
        <w:tblLayout w:type="fixed"/>
        <w:tblCellMar>
          <w:top w:w="28" w:type="dxa"/>
          <w:left w:w="28" w:type="dxa"/>
          <w:bottom w:w="28" w:type="dxa"/>
          <w:right w:w="28" w:type="dxa"/>
        </w:tblCellMar>
      </w:tblPr>
      <w:tblGrid>
        <w:gridCol w:w="831"/>
        <w:gridCol w:w="730"/>
        <w:gridCol w:w="733"/>
        <w:gridCol w:w="229"/>
        <w:gridCol w:w="898"/>
        <w:gridCol w:w="118"/>
        <w:gridCol w:w="109"/>
        <w:gridCol w:w="109"/>
        <w:gridCol w:w="109"/>
        <w:gridCol w:w="305"/>
        <w:gridCol w:w="1197"/>
        <w:gridCol w:w="223"/>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2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104,847 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110,899 </w:t>
            </w:r>
          </w:p>
        </w:tc>
        <w:tc>
          <w:tcPr>
            <w:tcW w:w="22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2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99,744 </w:t>
            </w:r>
          </w:p>
        </w:tc>
        <w:tc>
          <w:tcPr>
            <w:tcW w:w="11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105,369 </w:t>
            </w:r>
          </w:p>
        </w:tc>
        <w:tc>
          <w:tcPr>
            <w:tcW w:w="22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Agent Advances Receivable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Agent advances receivable, net of allowance for credit losses, from sending agents is as follows (in thousands):</w:t>
      </w:r>
    </w:p>
    <w:p>
      <w:pPr>
        <w:pStyle w:val="TextBody"/>
        <w:bidi w:val="0"/>
        <w:spacing w:before="0" w:after="0"/>
        <w:jc w:val="left"/>
        <w:rPr/>
      </w:pPr>
      <w:r>
        <w:rPr/>
      </w:r>
    </w:p>
    <w:tbl>
      <w:tblPr>
        <w:tblW w:w="6475" w:type="dxa"/>
        <w:jc w:val="left"/>
        <w:tblInd w:w="0" w:type="dxa"/>
        <w:tblLayout w:type="fixed"/>
        <w:tblCellMar>
          <w:top w:w="28" w:type="dxa"/>
          <w:left w:w="28" w:type="dxa"/>
          <w:bottom w:w="28" w:type="dxa"/>
          <w:right w:w="28" w:type="dxa"/>
        </w:tblCellMar>
      </w:tblPr>
      <w:tblGrid>
        <w:gridCol w:w="1150"/>
        <w:gridCol w:w="1011"/>
        <w:gridCol w:w="1018"/>
        <w:gridCol w:w="280"/>
        <w:gridCol w:w="820"/>
        <w:gridCol w:w="145"/>
        <w:gridCol w:w="109"/>
        <w:gridCol w:w="109"/>
        <w:gridCol w:w="109"/>
        <w:gridCol w:w="371"/>
        <w:gridCol w:w="1083"/>
        <w:gridCol w:w="270"/>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 current</w:t>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4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27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w:t>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4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27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 long-term</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w:t>
            </w:r>
          </w:p>
        </w:tc>
        <w:tc>
          <w:tcPr>
            <w:tcW w:w="2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4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27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current portion of agent advances receivable is included in prepaid expenses and other current assets (see Note 5), and the net long-term portion is included in other assets (see Note 5) in the condensed consolidated balance sheets. At June 30, 2026 and December 31, 2025, there were $5.5 million and $5.0 million, respectively, of agent advances receivable collateralized by personal guarantees from sending agents and assets from their businesses in case of a default by the agent.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maturities of agent advances receivable at June 30, 2026 are as follows (in thousands):</w:t>
      </w:r>
    </w:p>
    <w:tbl>
      <w:tblPr>
        <w:tblW w:w="3795" w:type="dxa"/>
        <w:jc w:val="left"/>
        <w:tblInd w:w="0" w:type="dxa"/>
        <w:tblLayout w:type="fixed"/>
        <w:tblCellMar>
          <w:top w:w="28" w:type="dxa"/>
          <w:left w:w="28" w:type="dxa"/>
          <w:bottom w:w="28" w:type="dxa"/>
          <w:right w:w="28" w:type="dxa"/>
        </w:tblCellMar>
      </w:tblPr>
      <w:tblGrid>
        <w:gridCol w:w="701"/>
        <w:gridCol w:w="615"/>
        <w:gridCol w:w="619"/>
        <w:gridCol w:w="399"/>
        <w:gridCol w:w="1167"/>
        <w:gridCol w:w="29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Outstanding Balance</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 1 year</w:t>
            </w:r>
          </w:p>
        </w:tc>
        <w:tc>
          <w:tcPr>
            <w:tcW w:w="39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29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Between 1 and 2 years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More than 2 years</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29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related to accounts receivable and agent advances receivable are as follows (in thousands):</w:t>
      </w:r>
    </w:p>
    <w:p>
      <w:pPr>
        <w:pStyle w:val="TextBody"/>
        <w:bidi w:val="0"/>
        <w:spacing w:before="0" w:after="0"/>
        <w:jc w:val="left"/>
        <w:rPr/>
      </w:pPr>
      <w:r>
        <w:rPr/>
      </w:r>
    </w:p>
    <w:tbl>
      <w:tblPr>
        <w:tblW w:w="6901" w:type="dxa"/>
        <w:jc w:val="left"/>
        <w:tblInd w:w="0" w:type="dxa"/>
        <w:tblLayout w:type="fixed"/>
        <w:tblCellMar>
          <w:top w:w="28" w:type="dxa"/>
          <w:left w:w="28" w:type="dxa"/>
          <w:bottom w:w="28" w:type="dxa"/>
          <w:right w:w="28" w:type="dxa"/>
        </w:tblCellMar>
      </w:tblPr>
      <w:tblGrid>
        <w:gridCol w:w="603"/>
        <w:gridCol w:w="529"/>
        <w:gridCol w:w="532"/>
        <w:gridCol w:w="243"/>
        <w:gridCol w:w="710"/>
        <w:gridCol w:w="125"/>
        <w:gridCol w:w="125"/>
        <w:gridCol w:w="125"/>
        <w:gridCol w:w="125"/>
        <w:gridCol w:w="243"/>
        <w:gridCol w:w="710"/>
        <w:gridCol w:w="125"/>
        <w:gridCol w:w="109"/>
        <w:gridCol w:w="109"/>
        <w:gridCol w:w="109"/>
        <w:gridCol w:w="224"/>
        <w:gridCol w:w="654"/>
        <w:gridCol w:w="115"/>
        <w:gridCol w:w="115"/>
        <w:gridCol w:w="115"/>
        <w:gridCol w:w="115"/>
        <w:gridCol w:w="224"/>
        <w:gridCol w:w="654"/>
        <w:gridCol w:w="163"/>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3"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5,468 </w:t>
            </w:r>
          </w:p>
        </w:tc>
        <w:tc>
          <w:tcPr>
            <w:tcW w:w="125"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25"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15"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163"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allocated by financial instrument category is as follows (in thousands):</w:t>
      </w:r>
    </w:p>
    <w:p>
      <w:pPr>
        <w:pStyle w:val="TextBody"/>
        <w:bidi w:val="0"/>
        <w:spacing w:before="0" w:after="0"/>
        <w:jc w:val="both"/>
        <w:rPr/>
      </w:pPr>
      <w:r>
        <w:rPr/>
      </w:r>
    </w:p>
    <w:tbl>
      <w:tblPr>
        <w:tblW w:w="5590" w:type="dxa"/>
        <w:jc w:val="left"/>
        <w:tblInd w:w="0" w:type="dxa"/>
        <w:tblLayout w:type="fixed"/>
        <w:tblCellMar>
          <w:top w:w="28" w:type="dxa"/>
          <w:left w:w="28" w:type="dxa"/>
          <w:bottom w:w="28" w:type="dxa"/>
          <w:right w:w="28" w:type="dxa"/>
        </w:tblCellMar>
      </w:tblPr>
      <w:tblGrid>
        <w:gridCol w:w="831"/>
        <w:gridCol w:w="730"/>
        <w:gridCol w:w="733"/>
        <w:gridCol w:w="280"/>
        <w:gridCol w:w="820"/>
        <w:gridCol w:w="145"/>
        <w:gridCol w:w="109"/>
        <w:gridCol w:w="109"/>
        <w:gridCol w:w="109"/>
        <w:gridCol w:w="371"/>
        <w:gridCol w:w="1083"/>
        <w:gridCol w:w="270"/>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5,103 </w:t>
            </w:r>
          </w:p>
        </w:tc>
        <w:tc>
          <w:tcPr>
            <w:tcW w:w="14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27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4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27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5 – PREPAID EXPENSES AND OTHER ASSETS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p>
      <w:pPr>
        <w:pStyle w:val="TextBody"/>
        <w:bidi w:val="0"/>
        <w:spacing w:before="0" w:after="0"/>
        <w:jc w:val="left"/>
        <w:rPr/>
      </w:pPr>
      <w:r>
        <w:rPr/>
      </w:r>
    </w:p>
    <w:tbl>
      <w:tblPr>
        <w:tblW w:w="7014" w:type="dxa"/>
        <w:jc w:val="left"/>
        <w:tblInd w:w="0" w:type="dxa"/>
        <w:tblLayout w:type="fixed"/>
        <w:tblCellMar>
          <w:top w:w="28" w:type="dxa"/>
          <w:left w:w="28" w:type="dxa"/>
          <w:bottom w:w="28" w:type="dxa"/>
          <w:right w:w="28" w:type="dxa"/>
        </w:tblCellMar>
      </w:tblPr>
      <w:tblGrid>
        <w:gridCol w:w="1345"/>
        <w:gridCol w:w="1186"/>
        <w:gridCol w:w="1188"/>
        <w:gridCol w:w="252"/>
        <w:gridCol w:w="862"/>
        <w:gridCol w:w="130"/>
        <w:gridCol w:w="109"/>
        <w:gridCol w:w="109"/>
        <w:gridCol w:w="109"/>
        <w:gridCol w:w="335"/>
        <w:gridCol w:w="1145"/>
        <w:gridCol w:w="244"/>
      </w:tblGrid>
      <w:tr>
        <w:trPr/>
        <w:tc>
          <w:tcPr>
            <w:tcW w:w="134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2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2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fees and services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Agent incentive advances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 net of allowance</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marketing expenditures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19,227 </w:t>
            </w:r>
          </w:p>
        </w:tc>
        <w:tc>
          <w:tcPr>
            <w:tcW w:w="130"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19,611 </w:t>
            </w:r>
          </w:p>
        </w:tc>
        <w:tc>
          <w:tcPr>
            <w:tcW w:w="24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 (in thousands):</w:t>
      </w:r>
    </w:p>
    <w:p>
      <w:pPr>
        <w:pStyle w:val="TextBody"/>
        <w:bidi w:val="0"/>
        <w:spacing w:before="0" w:after="0"/>
        <w:jc w:val="left"/>
        <w:rPr/>
      </w:pPr>
      <w:r>
        <w:rPr/>
      </w:r>
    </w:p>
    <w:tbl>
      <w:tblPr>
        <w:tblW w:w="7915" w:type="dxa"/>
        <w:jc w:val="left"/>
        <w:tblInd w:w="0" w:type="dxa"/>
        <w:tblLayout w:type="fixed"/>
        <w:tblCellMar>
          <w:top w:w="28" w:type="dxa"/>
          <w:left w:w="28" w:type="dxa"/>
          <w:bottom w:w="28" w:type="dxa"/>
          <w:right w:w="28" w:type="dxa"/>
        </w:tblCellMar>
      </w:tblPr>
      <w:tblGrid>
        <w:gridCol w:w="1673"/>
        <w:gridCol w:w="1472"/>
        <w:gridCol w:w="1475"/>
        <w:gridCol w:w="252"/>
        <w:gridCol w:w="862"/>
        <w:gridCol w:w="130"/>
        <w:gridCol w:w="109"/>
        <w:gridCol w:w="109"/>
        <w:gridCol w:w="109"/>
        <w:gridCol w:w="335"/>
        <w:gridCol w:w="1145"/>
        <w:gridCol w:w="244"/>
      </w:tblGrid>
      <w:tr>
        <w:trPr/>
        <w:tc>
          <w:tcPr>
            <w:tcW w:w="167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origination fees</w:t>
            </w:r>
          </w:p>
        </w:tc>
        <w:tc>
          <w:tcPr>
            <w:tcW w:w="2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2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Agent incentive advances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 net of allowance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by seized banking entities, net of allowance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26,491 </w:t>
            </w:r>
          </w:p>
        </w:tc>
        <w:tc>
          <w:tcPr>
            <w:tcW w:w="13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27,993 </w:t>
            </w:r>
          </w:p>
        </w:tc>
        <w:tc>
          <w:tcPr>
            <w:tcW w:w="24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local banking regulators in Mexico resolved to close and liquidate a local financial institution, citing a lack of compliance with minimum capital requirements. The Company has approximately $6.3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The Company maintains a valuation allowance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$4.5 million as of June 30, 2026 in connection with the balance of deposits held by the financial institution as a result of its closure, which has not materially changed since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6 – GOODWILL AND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the majority of intangible assets on the condensed consolidated balance sheets of the Company were recognized from business acquisition transactions. Intangible assets on the condensed consolidated balance sheets of the Company consist of agent relationships, trade names, developed technology and other intangible assets. Agent relationships, trade names and developed technology are amortized over their estimated useful lives of up to 15 years using an accelerated method that correlates with the projected realization of the benefit. The agent relationships intangible represents the network of independent sending agents; trade names refers to the Intermex, La Nacional, Amigo Paisano and I-Transfer names, branded on all applicable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straight-line basis over 10 years, and non-competition agreements, which are amortized over the length of the agreement, typically 5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and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goodwill and intangible assets (in thousands):</w:t>
      </w:r>
    </w:p>
    <w:p>
      <w:pPr>
        <w:pStyle w:val="TextBody"/>
        <w:bidi w:val="0"/>
        <w:spacing w:before="0" w:after="0"/>
        <w:jc w:val="both"/>
        <w:rPr/>
      </w:pPr>
      <w:r>
        <w:rPr/>
      </w:r>
    </w:p>
    <w:tbl>
      <w:tblPr>
        <w:tblW w:w="5048" w:type="dxa"/>
        <w:jc w:val="left"/>
        <w:tblInd w:w="0" w:type="dxa"/>
        <w:tblLayout w:type="fixed"/>
        <w:tblCellMar>
          <w:top w:w="28" w:type="dxa"/>
          <w:left w:w="28" w:type="dxa"/>
          <w:bottom w:w="28" w:type="dxa"/>
          <w:right w:w="28" w:type="dxa"/>
        </w:tblCellMar>
      </w:tblPr>
      <w:tblGrid>
        <w:gridCol w:w="939"/>
        <w:gridCol w:w="825"/>
        <w:gridCol w:w="830"/>
        <w:gridCol w:w="211"/>
        <w:gridCol w:w="721"/>
        <w:gridCol w:w="109"/>
        <w:gridCol w:w="109"/>
        <w:gridCol w:w="109"/>
        <w:gridCol w:w="109"/>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Intangibles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23,353 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for the remainder of 2026 and thereafter is as follows (in thousands):</w:t>
      </w:r>
    </w:p>
    <w:p>
      <w:pPr>
        <w:pStyle w:val="TextBody"/>
        <w:bidi w:val="0"/>
        <w:spacing w:before="0" w:after="0"/>
        <w:jc w:val="both"/>
        <w:rPr/>
      </w:pPr>
      <w:r>
        <w:rPr/>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23,353 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7 – 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conduct certain of our operations, the Company is a party to leases for office space, warehouses, Company-operated store locations and vehicles. </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presentation of right-of-use assets and lease liabilities in the condensed consolidated balance sheets is as follows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before="0" w:after="0"/>
        <w:jc w:val="center"/>
        <w:rPr/>
      </w:pPr>
      <w:r>
        <w:rPr/>
      </w:r>
    </w:p>
    <w:tbl>
      <w:tblPr>
        <w:tblW w:w="8403" w:type="dxa"/>
        <w:jc w:val="left"/>
        <w:tblInd w:w="0" w:type="dxa"/>
        <w:tblLayout w:type="fixed"/>
        <w:tblCellMar>
          <w:top w:w="28" w:type="dxa"/>
          <w:left w:w="28" w:type="dxa"/>
          <w:bottom w:w="28" w:type="dxa"/>
          <w:right w:w="28" w:type="dxa"/>
        </w:tblCellMar>
      </w:tblPr>
      <w:tblGrid>
        <w:gridCol w:w="710"/>
        <w:gridCol w:w="625"/>
        <w:gridCol w:w="629"/>
        <w:gridCol w:w="109"/>
        <w:gridCol w:w="109"/>
        <w:gridCol w:w="109"/>
        <w:gridCol w:w="804"/>
        <w:gridCol w:w="804"/>
        <w:gridCol w:w="806"/>
        <w:gridCol w:w="109"/>
        <w:gridCol w:w="109"/>
        <w:gridCol w:w="109"/>
        <w:gridCol w:w="258"/>
        <w:gridCol w:w="883"/>
        <w:gridCol w:w="133"/>
        <w:gridCol w:w="109"/>
        <w:gridCol w:w="109"/>
        <w:gridCol w:w="109"/>
        <w:gridCol w:w="344"/>
        <w:gridCol w:w="1175"/>
        <w:gridCol w:w="251"/>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64"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21,690 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both"/>
        <w:rPr>
          <w:rFonts w:ascii="Times New Roman;serif" w:hAnsi="Times New Roman;serif"/>
          <w:b w:val="false"/>
          <w:color w:val="000000"/>
          <w:sz w:val="18"/>
        </w:rPr>
      </w:pPr>
      <w:r>
        <w:rPr>
          <w:rFonts w:ascii="Times New Roman;serif" w:hAnsi="Times New Roman;serif"/>
          <w:b w:val="false"/>
          <w:color w:val="000000"/>
          <w:sz w:val="18"/>
        </w:rPr>
        <w:t>(1) Operating right-of-use assets are recorded net of accumulated amortization of $15.6 million and $16.9 million as of June 30, 2026 and December 31, 2025,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lease cost for the three and six months ended June 30, 2026 and 2025, respectively, was as follows (in thousands):</w:t>
      </w:r>
    </w:p>
    <w:tbl>
      <w:tblPr>
        <w:tblW w:w="8104" w:type="dxa"/>
        <w:jc w:val="left"/>
        <w:tblInd w:w="0" w:type="dxa"/>
        <w:tblLayout w:type="fixed"/>
        <w:tblCellMar>
          <w:top w:w="28" w:type="dxa"/>
          <w:left w:w="28" w:type="dxa"/>
          <w:bottom w:w="28" w:type="dxa"/>
          <w:right w:w="28" w:type="dxa"/>
        </w:tblCellMar>
      </w:tblPr>
      <w:tblGrid>
        <w:gridCol w:w="712"/>
        <w:gridCol w:w="624"/>
        <w:gridCol w:w="628"/>
        <w:gridCol w:w="109"/>
        <w:gridCol w:w="109"/>
        <w:gridCol w:w="109"/>
        <w:gridCol w:w="109"/>
        <w:gridCol w:w="109"/>
        <w:gridCol w:w="109"/>
        <w:gridCol w:w="109"/>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6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6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Operating lease cost is included in other selling, general and administrative expenses in the condensed consolidated statements of income and comprehensive income for the three and six months ended June 30,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Company’s weighted-average remaining lease terms on its operating leases is 5.4 and 6.2 years, and the Company’s weighted-average discount rate is 6.28% and 6.48%, respectively, which is the Company’s incremental borrowing rate. The Company used its incremental borrowing rate for all leases, as none of the Company’s lease agreements provide a readily determinable implicit rate.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Lease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for assets under non-cancelable operating lease agreements with original terms of more than one year are as follows (in thousands):</w:t>
      </w:r>
    </w:p>
    <w:p>
      <w:pPr>
        <w:pStyle w:val="TextBody"/>
        <w:bidi w:val="0"/>
        <w:spacing w:before="0" w:after="0"/>
        <w:jc w:val="both"/>
        <w:rPr/>
      </w:pPr>
      <w:r>
        <w:rPr/>
      </w:r>
    </w:p>
    <w:tbl>
      <w:tblPr>
        <w:tblW w:w="4098" w:type="dxa"/>
        <w:jc w:val="left"/>
        <w:tblInd w:w="0" w:type="dxa"/>
        <w:tblLayout w:type="fixed"/>
        <w:tblCellMar>
          <w:top w:w="28" w:type="dxa"/>
          <w:left w:w="28" w:type="dxa"/>
          <w:bottom w:w="28" w:type="dxa"/>
          <w:right w:w="28" w:type="dxa"/>
        </w:tblCellMar>
      </w:tblPr>
      <w:tblGrid>
        <w:gridCol w:w="970"/>
        <w:gridCol w:w="852"/>
        <w:gridCol w:w="863"/>
        <w:gridCol w:w="109"/>
        <w:gridCol w:w="109"/>
        <w:gridCol w:w="109"/>
        <w:gridCol w:w="211"/>
        <w:gridCol w:w="721"/>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24,963 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8 – WIRE TRANSFERS AND MONEY ORDERS PAYABLE, NET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Wire transfers and money orders payable, net consisted of the following (in thousands):</w:t>
      </w:r>
    </w:p>
    <w:p>
      <w:pPr>
        <w:pStyle w:val="TextBody"/>
        <w:bidi w:val="0"/>
        <w:spacing w:before="0" w:after="0"/>
        <w:jc w:val="both"/>
        <w:rPr/>
      </w:pPr>
      <w:r>
        <w:rPr/>
      </w:r>
    </w:p>
    <w:tbl>
      <w:tblPr>
        <w:tblW w:w="5964" w:type="dxa"/>
        <w:jc w:val="left"/>
        <w:tblInd w:w="0" w:type="dxa"/>
        <w:tblLayout w:type="fixed"/>
        <w:tblCellMar>
          <w:top w:w="28" w:type="dxa"/>
          <w:left w:w="28" w:type="dxa"/>
          <w:bottom w:w="28" w:type="dxa"/>
          <w:right w:w="28" w:type="dxa"/>
        </w:tblCellMar>
      </w:tblPr>
      <w:tblGrid>
        <w:gridCol w:w="968"/>
        <w:gridCol w:w="849"/>
        <w:gridCol w:w="852"/>
        <w:gridCol w:w="252"/>
        <w:gridCol w:w="862"/>
        <w:gridCol w:w="130"/>
        <w:gridCol w:w="109"/>
        <w:gridCol w:w="109"/>
        <w:gridCol w:w="109"/>
        <w:gridCol w:w="335"/>
        <w:gridCol w:w="1145"/>
        <w:gridCol w:w="24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payable, net</w:t>
            </w:r>
          </w:p>
        </w:tc>
        <w:tc>
          <w:tcPr>
            <w:tcW w:w="2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25,877 </w:t>
            </w:r>
          </w:p>
        </w:tc>
        <w:tc>
          <w:tcPr>
            <w:tcW w:w="1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26,708 </w:t>
            </w:r>
          </w:p>
        </w:tc>
        <w:tc>
          <w:tcPr>
            <w:tcW w:w="2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voided wires payable</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orders payable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85,007 </w:t>
            </w:r>
          </w:p>
        </w:tc>
        <w:tc>
          <w:tcPr>
            <w:tcW w:w="130"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87,540 </w:t>
            </w:r>
          </w:p>
        </w:tc>
        <w:tc>
          <w:tcPr>
            <w:tcW w:w="24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9 – ACCRUED AND OTHER 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 consisted of the following (in thousands):</w:t>
      </w:r>
    </w:p>
    <w:p>
      <w:pPr>
        <w:pStyle w:val="TextBody"/>
        <w:bidi w:val="0"/>
        <w:spacing w:before="0" w:after="0"/>
        <w:jc w:val="left"/>
        <w:rPr/>
      </w:pPr>
      <w:r>
        <w:rPr/>
      </w:r>
    </w:p>
    <w:tbl>
      <w:tblPr>
        <w:tblW w:w="6669" w:type="dxa"/>
        <w:jc w:val="left"/>
        <w:tblInd w:w="0" w:type="dxa"/>
        <w:tblLayout w:type="fixed"/>
        <w:tblCellMar>
          <w:top w:w="28" w:type="dxa"/>
          <w:left w:w="28" w:type="dxa"/>
          <w:bottom w:w="28" w:type="dxa"/>
          <w:right w:w="28" w:type="dxa"/>
        </w:tblCellMar>
      </w:tblPr>
      <w:tblGrid>
        <w:gridCol w:w="1221"/>
        <w:gridCol w:w="1074"/>
        <w:gridCol w:w="1079"/>
        <w:gridCol w:w="252"/>
        <w:gridCol w:w="862"/>
        <w:gridCol w:w="130"/>
        <w:gridCol w:w="109"/>
        <w:gridCol w:w="109"/>
        <w:gridCol w:w="109"/>
        <w:gridCol w:w="335"/>
        <w:gridCol w:w="1145"/>
        <w:gridCol w:w="244"/>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payable to sending agents</w:t>
            </w:r>
          </w:p>
        </w:tc>
        <w:tc>
          <w:tcPr>
            <w:tcW w:w="2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14,885 </w:t>
            </w:r>
          </w:p>
        </w:tc>
        <w:tc>
          <w:tcPr>
            <w:tcW w:w="1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2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bank charges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current portion</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liabilities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transaction costs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39,096 </w:t>
            </w:r>
          </w:p>
        </w:tc>
        <w:tc>
          <w:tcPr>
            <w:tcW w:w="130"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38,100 </w:t>
            </w:r>
          </w:p>
        </w:tc>
        <w:tc>
          <w:tcPr>
            <w:tcW w:w="24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changes in the deferred revenue loyalty program liability (in thousands):</w:t>
      </w:r>
    </w:p>
    <w:p>
      <w:pPr>
        <w:pStyle w:val="TextBody"/>
        <w:bidi w:val="0"/>
        <w:spacing w:before="0" w:after="0"/>
        <w:jc w:val="left"/>
        <w:rPr/>
      </w:pPr>
      <w:r>
        <w:rPr/>
      </w:r>
    </w:p>
    <w:tbl>
      <w:tblPr>
        <w:tblW w:w="8477" w:type="dxa"/>
        <w:jc w:val="left"/>
        <w:tblInd w:w="0" w:type="dxa"/>
        <w:tblLayout w:type="fixed"/>
        <w:tblCellMar>
          <w:top w:w="28" w:type="dxa"/>
          <w:left w:w="28" w:type="dxa"/>
          <w:bottom w:w="28" w:type="dxa"/>
          <w:right w:w="28" w:type="dxa"/>
        </w:tblCellMar>
      </w:tblPr>
      <w:tblGrid>
        <w:gridCol w:w="1174"/>
        <w:gridCol w:w="1030"/>
        <w:gridCol w:w="1036"/>
        <w:gridCol w:w="269"/>
        <w:gridCol w:w="517"/>
        <w:gridCol w:w="138"/>
        <w:gridCol w:w="138"/>
        <w:gridCol w:w="138"/>
        <w:gridCol w:w="138"/>
        <w:gridCol w:w="269"/>
        <w:gridCol w:w="785"/>
        <w:gridCol w:w="138"/>
        <w:gridCol w:w="109"/>
        <w:gridCol w:w="109"/>
        <w:gridCol w:w="109"/>
        <w:gridCol w:w="247"/>
        <w:gridCol w:w="476"/>
        <w:gridCol w:w="127"/>
        <w:gridCol w:w="127"/>
        <w:gridCol w:w="127"/>
        <w:gridCol w:w="127"/>
        <w:gridCol w:w="247"/>
        <w:gridCol w:w="722"/>
        <w:gridCol w:w="180"/>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69"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38"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80"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 during the period</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during the period</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6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3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10 – DEBT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consisted primarily of the following (in thousands):</w:t>
      </w:r>
    </w:p>
    <w:p>
      <w:pPr>
        <w:pStyle w:val="TextBody"/>
        <w:bidi w:val="0"/>
        <w:spacing w:before="0" w:after="0"/>
        <w:jc w:val="left"/>
        <w:rPr/>
      </w:pPr>
      <w:r>
        <w:rPr/>
      </w:r>
    </w:p>
    <w:tbl>
      <w:tblPr>
        <w:tblW w:w="5426" w:type="dxa"/>
        <w:jc w:val="left"/>
        <w:tblInd w:w="0" w:type="dxa"/>
        <w:tblLayout w:type="fixed"/>
        <w:tblCellMar>
          <w:top w:w="28" w:type="dxa"/>
          <w:left w:w="28" w:type="dxa"/>
          <w:bottom w:w="28" w:type="dxa"/>
          <w:right w:w="28" w:type="dxa"/>
        </w:tblCellMar>
      </w:tblPr>
      <w:tblGrid>
        <w:gridCol w:w="771"/>
        <w:gridCol w:w="677"/>
        <w:gridCol w:w="681"/>
        <w:gridCol w:w="229"/>
        <w:gridCol w:w="898"/>
        <w:gridCol w:w="118"/>
        <w:gridCol w:w="109"/>
        <w:gridCol w:w="109"/>
        <w:gridCol w:w="109"/>
        <w:gridCol w:w="305"/>
        <w:gridCol w:w="1197"/>
        <w:gridCol w:w="223"/>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22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113,814 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194,814 </w:t>
            </w:r>
          </w:p>
        </w:tc>
        <w:tc>
          <w:tcPr>
            <w:tcW w:w="22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194,825 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29, 2024, the Company and certain of its domestic subsidiaries as borrowers and the other guarantors from time to time party thereto (collectively, the “Loan Parties”) entered into a Second Amended and Restated Credit Agreement (the “Second A&amp;R Credit Agreement”) with a group of banking institutions, which amended and restated in its entirety the Company's prior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Borrowings under the Second A&amp;R Credit Agreement are available for general corporate purposes to support the Company’s growth, as well as to fund share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unamortized portion of debt origination costs primarily related to the Second A&amp;R Credit Agreement totaled approximately $3.1 million and $3.6 million at June 30, 2026 and December 31, 2025, respectively. Amortization of debt origination costs is included as a component of interest expense in the condensed consolidated statements of income and comprehensive income and amounted to approximately $0.2 million and $0.3 million for the three months ended June 30, 2026 and 2025, respectively, and $0.5 million for both the six months ended June 30,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Second A&amp;R Credit Agreement and at the election of the Company, interest on the revolving loans denominated in U.S. Dollars is determined by reference to either (i) the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interest rate for the revolving credit facility was 2.14% and 2.74% for the six months ended June 30,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provides the Company with increased flexibility to make certain restricted payments, including the repurchase of shares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 As of June 30, 2026, we were in compliance with these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obligations under the Second A&amp;R Credit Agreement are guaranteed by the Company and certain domestic subsidiaries of the Company and secured by liens on substantially all of the assets of the Loan Parties, subject to certain exclusions and limitations.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11 – FAIR VALUE MEASUREMENTS</w:t>
      </w:r>
    </w:p>
    <w:p>
      <w:pPr>
        <w:pStyle w:val="TextBody"/>
        <w:bidi w:val="0"/>
        <w:spacing w:lineRule="auto" w:line="288" w:before="0" w:after="0"/>
        <w:jc w:val="both"/>
        <w:rPr/>
      </w:pPr>
      <w:r>
        <w:rPr>
          <w:rFonts w:ascii="Times New Roman;serif" w:hAnsi="Times New Roman;serif"/>
          <w:b w:val="false"/>
          <w:color w:val="000000"/>
          <w:sz w:val="20"/>
        </w:rPr>
        <w:t xml:space="preserve">The Company determines fair value in accordance with the provisions of FASB guidance,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xml:space="preserve">,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non-financial assets measured at fair value on a nonrecurring basis include goodwill and intangible assets. The determination of our intangible fair values is based on a discounted cash flows analysis that includes several assumptions and inputs to measure the economic benefit of these assets over their useful lives, such as the Company’s forecasted revenues, assumed turnover of agent locations, obsolescence assumptions for technology, market discount and royalty rates. These inputs are based on information not observable in the market and represent Level 3 measurements within the fair value hierarchy.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are carried at amortized cost. The Company’s cash and cash equivalents balances are representative of their fair values as these balances are comprised of deposits available on demand or overnight. The carrying amounts of accounts receivable, agent advances receivable, prepaid wires, accounts payable and wire transfers and money orders payable are representative of their fair values because of the short turnover of these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liabilities include its revolving credit facility. The estimated fair value of the revolving credit facility would approximate book value given the payment schedule and interest rate structure, which approximates current market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fair value of the Company's financial instruments, categorized based upon the fair value hierarchy (in thousands):</w:t>
      </w:r>
    </w:p>
    <w:p>
      <w:pPr>
        <w:pStyle w:val="TextBody"/>
        <w:bidi w:val="0"/>
        <w:spacing w:before="0" w:after="0"/>
        <w:jc w:val="both"/>
        <w:rPr/>
      </w:pPr>
      <w:r>
        <w:rPr/>
      </w:r>
    </w:p>
    <w:tbl>
      <w:tblPr>
        <w:tblW w:w="7122" w:type="dxa"/>
        <w:jc w:val="left"/>
        <w:tblInd w:w="0" w:type="dxa"/>
        <w:tblLayout w:type="fixed"/>
        <w:tblCellMar>
          <w:top w:w="28" w:type="dxa"/>
          <w:left w:w="28" w:type="dxa"/>
          <w:bottom w:w="28" w:type="dxa"/>
          <w:right w:w="28" w:type="dxa"/>
        </w:tblCellMar>
      </w:tblPr>
      <w:tblGrid>
        <w:gridCol w:w="1233"/>
        <w:gridCol w:w="1083"/>
        <w:gridCol w:w="1089"/>
        <w:gridCol w:w="211"/>
        <w:gridCol w:w="826"/>
        <w:gridCol w:w="109"/>
        <w:gridCol w:w="109"/>
        <w:gridCol w:w="109"/>
        <w:gridCol w:w="109"/>
        <w:gridCol w:w="211"/>
        <w:gridCol w:w="826"/>
        <w:gridCol w:w="109"/>
        <w:gridCol w:w="109"/>
        <w:gridCol w:w="109"/>
        <w:gridCol w:w="109"/>
        <w:gridCol w:w="211"/>
        <w:gridCol w:w="40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122" w:type="dxa"/>
        <w:jc w:val="left"/>
        <w:tblInd w:w="0" w:type="dxa"/>
        <w:tblLayout w:type="fixed"/>
        <w:tblCellMar>
          <w:top w:w="28" w:type="dxa"/>
          <w:left w:w="28" w:type="dxa"/>
          <w:bottom w:w="28" w:type="dxa"/>
          <w:right w:w="28" w:type="dxa"/>
        </w:tblCellMar>
      </w:tblPr>
      <w:tblGrid>
        <w:gridCol w:w="1233"/>
        <w:gridCol w:w="1083"/>
        <w:gridCol w:w="1089"/>
        <w:gridCol w:w="211"/>
        <w:gridCol w:w="826"/>
        <w:gridCol w:w="109"/>
        <w:gridCol w:w="109"/>
        <w:gridCol w:w="109"/>
        <w:gridCol w:w="109"/>
        <w:gridCol w:w="211"/>
        <w:gridCol w:w="826"/>
        <w:gridCol w:w="109"/>
        <w:gridCol w:w="109"/>
        <w:gridCol w:w="109"/>
        <w:gridCol w:w="109"/>
        <w:gridCol w:w="211"/>
        <w:gridCol w:w="40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12 – SHARE-BASED COMPENSATION</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International Money Express, Inc. Omnibus Equity Compensation Plans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International Money Express, Inc. 2020 Omnibus Equity Compensation Plan (the “2020 Plan”) provided for the granting of stock-based incentive awards, including stock options, restricted stock units (“RSUs”), restricted stock awards (“RSAs”) and performance stock units (“PSUs”) to employees, certain service providers and independent directors of the Company. There were 3.7 million shares of the Company’s common stock approved for issuance under the 2020 Plan, which included 0.4 million shares that were previously subject to awards granted under the International Money Express, Inc. 2018 Omnibus Equity Compensation Plan (the “2018 Plan”). Although awards remain outstanding under the 2018 Plan, which was terminated effective June 26, 2020, no additional awards may be granted under the 2018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20, 2025, the Company’s stockholders approved the Amended and Restated International Money Express, Inc. 2020 Omnibus Equity Compensation Plan (the “A&amp;R 2020 Plan” and together with the 2018 and 2020 Plans, the “Plans”), which amends and restates the 2020 Plan. The A&amp;R 2020 Plan increased the number of shares of common stock authorized for issuance under the 2020 Plan by an additional 2.5 million shares. As of June 30, 2026, 2.8 million shares remained available for future awards under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Options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value of each option grant is estimated on the grant date using the Black-Scholes option pricing model (“BSM”). The option pricing model requires the input of certain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Share-based compensation is recognized as an expense on a straight-line basis over the requisite service period, which is generally the vesting period. The stock options issued under the Plans have 10-year terms and generally vest in four equal installments beginning one year after the date of the grant. The Company recognized no compensation expense for stock options for both the three and six months ended June 30, 2026 and 2025, respectively. As of June 30, 2026, there is no unrecognized compensation expense related to stock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under the Plans during the six months ended June 30, 2026 is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9"/>
        <w:gridCol w:w="886"/>
        <w:gridCol w:w="891"/>
        <w:gridCol w:w="413"/>
        <w:gridCol w:w="413"/>
        <w:gridCol w:w="315"/>
        <w:gridCol w:w="109"/>
        <w:gridCol w:w="109"/>
        <w:gridCol w:w="109"/>
        <w:gridCol w:w="368"/>
        <w:gridCol w:w="1076"/>
        <w:gridCol w:w="192"/>
        <w:gridCol w:w="109"/>
        <w:gridCol w:w="109"/>
        <w:gridCol w:w="109"/>
        <w:gridCol w:w="658"/>
        <w:gridCol w:w="658"/>
        <w:gridCol w:w="660"/>
        <w:gridCol w:w="109"/>
        <w:gridCol w:w="109"/>
        <w:gridCol w:w="109"/>
        <w:gridCol w:w="404"/>
        <w:gridCol w:w="980"/>
        <w:gridCol w:w="301"/>
      </w:tblGrid>
      <w:tr>
        <w:trPr/>
        <w:tc>
          <w:tcPr>
            <w:tcW w:w="10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Date</w:t>
              <w:br/>
              <w:t>Fair Value</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2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31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9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Exercisable at June 30, 2026</w:t>
            </w:r>
            <w:r>
              <w:rPr>
                <w:rFonts w:ascii="Times New Roman;serif" w:hAnsi="Times New Roman;serif"/>
                <w:b w:val="false"/>
                <w:color w:val="000000"/>
                <w:sz w:val="13"/>
              </w:rPr>
              <w:t>(1)</w:t>
            </w:r>
          </w:p>
        </w:tc>
        <w:tc>
          <w:tcPr>
            <w:tcW w:w="826" w:type="dxa"/>
            <w:gridSpan w:val="2"/>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31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aggregate fair value of all vested/exercisable options outstanding as of June 30, 2026 was $0.6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RSUs granted under the Plans to the Company’s employees or certain service providers generally vest in four equal annual installments beginning one year after the date of the grant, while RSUs issued to the Company’s independent directors generally vest on the one-year anniversary from the grant date. The Company recognized compensation expense for all RSUs of approximately $1.2 million and $1.0 million for the three months ended June 30, 2026 and 2025, respectively, and $2.5 million and $2.3 million for the six months ended June 30, 2026 and 2025, respectively, which is included in salaries and benefits in the condensed consolidated statements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comprehensive income. As of June 30, 2026, unrecognized compensation expense related to RSUs of approximately $9.8 million is expected to be recognized over a weighted-average period of 1.9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RSU activity during the six months ended June 30, 2026 is presented below:</w:t>
      </w:r>
    </w:p>
    <w:p>
      <w:pPr>
        <w:pStyle w:val="TextBody"/>
        <w:bidi w:val="0"/>
        <w:spacing w:before="0" w:after="0"/>
        <w:jc w:val="both"/>
        <w:rPr/>
      </w:pPr>
      <w:r>
        <w:rPr/>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2025</w:t>
            </w:r>
          </w:p>
        </w:tc>
        <w:tc>
          <w:tcPr>
            <w:tcW w:w="96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591,538 </w:t>
            </w:r>
          </w:p>
        </w:tc>
        <w:tc>
          <w:tcPr>
            <w:tcW w:w="48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26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336,969 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(243,474)</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(11,967)</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June 30, 2026</w:t>
            </w:r>
          </w:p>
        </w:tc>
        <w:tc>
          <w:tcPr>
            <w:tcW w:w="968"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673,066 </w:t>
            </w:r>
          </w:p>
        </w:tc>
        <w:tc>
          <w:tcPr>
            <w:tcW w:w="48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aggregate fair value of all RSUs granted during the six months ended June 30, 2026 was approximately $5.2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RSAs issued under the Plans to the Company’s employees generally vest in four equal annual installments beginning one year after the date of grant, while RSAs issued to certain of the Company’s independent directors vest at the end of the three-month calendar quarter in which the grant is made (or, if earlier, upon the consummation of a change in control). The Company recognized compensation expense for RSAs granted of $0.7 million and $0.5 million for the three months ended June 30, 2026 and 2025, respectively, and $1.3 million and $1.0 million for the six months ended June 30, 2026 and 2025, respectively, which is included in salaries and benefits in the condensed consolidated statements of income and comprehensive income. As of June 30, 2026, there was $6.9 million of unrecognized compensation expense related to RSAs, which is expected to be recognized over a weighted-average period of 2.0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RSA activity during the six months ended June 30, 2026 is presented below:</w:t>
      </w:r>
    </w:p>
    <w:p>
      <w:pPr>
        <w:pStyle w:val="TextBody"/>
        <w:bidi w:val="0"/>
        <w:spacing w:before="0" w:after="0"/>
        <w:jc w:val="both"/>
        <w:rPr/>
      </w:pPr>
      <w:r>
        <w:rPr/>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2025</w:t>
            </w:r>
          </w:p>
        </w:tc>
        <w:tc>
          <w:tcPr>
            <w:tcW w:w="96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257,169 </w:t>
            </w:r>
          </w:p>
        </w:tc>
        <w:tc>
          <w:tcPr>
            <w:tcW w:w="48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26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303,232 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(100,290)</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June 30, 2026</w:t>
            </w:r>
          </w:p>
        </w:tc>
        <w:tc>
          <w:tcPr>
            <w:tcW w:w="968"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460,111 </w:t>
            </w:r>
          </w:p>
        </w:tc>
        <w:tc>
          <w:tcPr>
            <w:tcW w:w="48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aggregate fair value of all RSAs granted during the six months ended June 30, 2026 was approximately $4.7 million, which was determined based on the market value of our stock as of that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Performance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PSUs granted under the Plans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adjusted earnings per share targets for a period of up to three years combined with a service period of three years. Compensation cost is recognized over the requisite service period when it is probable that the performance condition will be satisfied.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compensation expense for PSUs of $0.7 million and $0.6 million for the three months ended June 30, 2026 and 2025, respectively, and $1.3 million and $0.9 million for the six months ended June 30, 2026 and 2025, respectively, which is included in salaries and benefits in the condensed consolidated statements of income and comprehensive income. As of June 30, 2026, there was $2.8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million of unrecognized compensation expense related to PSUs, which is expected to be recognized over a weighted-average period of 1.3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PSU activity during the six months ended June 30, 2026 is presented below:</w:t>
      </w:r>
    </w:p>
    <w:p>
      <w:pPr>
        <w:pStyle w:val="TextBody"/>
        <w:bidi w:val="0"/>
        <w:spacing w:before="0" w:after="0"/>
        <w:jc w:val="both"/>
        <w:rPr/>
      </w:pPr>
      <w:r>
        <w:rPr/>
      </w:r>
    </w:p>
    <w:tbl>
      <w:tblPr>
        <w:tblW w:w="9712" w:type="dxa"/>
        <w:jc w:val="left"/>
        <w:tblInd w:w="0" w:type="dxa"/>
        <w:tblLayout w:type="fixed"/>
        <w:tblCellMar>
          <w:top w:w="28" w:type="dxa"/>
          <w:left w:w="28" w:type="dxa"/>
          <w:bottom w:w="28" w:type="dxa"/>
          <w:right w:w="28" w:type="dxa"/>
        </w:tblCellMar>
      </w:tblPr>
      <w:tblGrid>
        <w:gridCol w:w="1429"/>
        <w:gridCol w:w="1254"/>
        <w:gridCol w:w="1261"/>
        <w:gridCol w:w="474"/>
        <w:gridCol w:w="474"/>
        <w:gridCol w:w="476"/>
        <w:gridCol w:w="109"/>
        <w:gridCol w:w="109"/>
        <w:gridCol w:w="109"/>
        <w:gridCol w:w="669"/>
        <w:gridCol w:w="669"/>
        <w:gridCol w:w="671"/>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2025</w:t>
            </w:r>
          </w:p>
        </w:tc>
        <w:tc>
          <w:tcPr>
            <w:tcW w:w="94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506,942 </w:t>
            </w:r>
          </w:p>
        </w:tc>
        <w:tc>
          <w:tcPr>
            <w:tcW w:w="47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26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Vested/accelerated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June 30, 2026</w:t>
            </w:r>
          </w:p>
        </w:tc>
        <w:tc>
          <w:tcPr>
            <w:tcW w:w="948"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506,942 </w:t>
            </w:r>
          </w:p>
        </w:tc>
        <w:tc>
          <w:tcPr>
            <w:tcW w:w="47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NOTE 13 – EQUITY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18, 2021, the Company’s Board of Directors approved a stock repurchase program that authorized the Company to purchase up to $40.0 million of outstanding shares of the Company’s common stock and which was increased on March 3, 2023 to an additional $100.0 million and on August 26, 2024 to an additional $63.8 million of its outstanding shares (the “Repurchase Program”).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(i) without limitation so long as the Consolidated Leverage Ratio (as defined in the Second A&amp;R Credit Agreement), as of the then most recently completed four fiscal quarters of the Company, after giving pro forma effect to such restricted payments, is 2.50:1.00 or less, (ii) that do not exceed, in the aggregate during any fiscal year, the greater of (x) $30.3 million and (y) 25.00% of Consolidated EBITDA (as defined in the Second A&amp;R Credit Agreement) for the then most recently completed four fiscal quarters of the Company and (iii) to repurchase Company common stock from current or former employees in an aggregate amount of up to $15.0 million per calendar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purchases of treasury stock under the cost method. Any direct costs incurred to acquire treasury stock are considered stock issue costs and added to the cost of the treasury stock. Separately from the Repurchase Program, on March 12, 2025 the Company entered into an agreement with Latin-American Investment Holdings Inc., a related party, for the purchase of 100,000 shares of the Company's common stock for a total purchase price of $1.3 million, in a privately-negotiated transaction. During the three and six months ended June 30, 2026, there were no share repurchases. During the three and six months ended June 30, 2025, including the shares previously mentioned, the Company purchased 980,341 and 1,348,214 shares, respectively, for an aggregate purchase price of $11.4 million and $16.3 million, respectively. As of June 30, 2026, there was $48.3 million available for future share repurchases under the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in June 2025, the Company suspended activity under the Repurchase Program and does not intend to make further repurchases under it during the pendency of the Merger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14 – 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calculated by dividing net income for the period by the weighted-average number of common shares outstanding for the period. In computing dilutive earnings per share, basic earnings per share is adjusted for the assumed issuance of all applicable potentially dilutive share-based awards, including common stock options, RSUs, RSAs and PSUs. Shares of treasury stock are not considered outstanding and therefore are excluded from the weighted-average number of common shares outstanding calculation.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Below are basic and diluted earnings per share for the periods indicated (in thousands, except for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80"/>
        <w:gridCol w:w="1387"/>
        <w:gridCol w:w="1400"/>
        <w:gridCol w:w="275"/>
        <w:gridCol w:w="806"/>
        <w:gridCol w:w="117"/>
        <w:gridCol w:w="117"/>
        <w:gridCol w:w="117"/>
        <w:gridCol w:w="117"/>
        <w:gridCol w:w="244"/>
        <w:gridCol w:w="837"/>
        <w:gridCol w:w="117"/>
        <w:gridCol w:w="109"/>
        <w:gridCol w:w="109"/>
        <w:gridCol w:w="109"/>
        <w:gridCol w:w="275"/>
        <w:gridCol w:w="806"/>
        <w:gridCol w:w="109"/>
        <w:gridCol w:w="109"/>
        <w:gridCol w:w="109"/>
        <w:gridCol w:w="109"/>
        <w:gridCol w:w="244"/>
        <w:gridCol w:w="837"/>
        <w:gridCol w:w="166"/>
      </w:tblGrid>
      <w:tr>
        <w:trPr/>
        <w:tc>
          <w:tcPr>
            <w:tcW w:w="158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30,109,812 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29,843,687 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30,213,762 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30,608,806 </w:t>
            </w:r>
          </w:p>
        </w:tc>
        <w:tc>
          <w:tcPr>
            <w:tcW w:w="11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29,912,615 </w:t>
            </w:r>
          </w:p>
        </w:tc>
        <w:tc>
          <w:tcPr>
            <w:tcW w:w="11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30,500,809 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30,370,069 </w:t>
            </w:r>
          </w:p>
        </w:tc>
        <w:tc>
          <w:tcPr>
            <w:tcW w:w="16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basic</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diluted</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approximately 409.4 thousand RSUs and 354.7 thousand RSAs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there were approximately 83.8 thousand stock options, 496.9 thousand RSUs, 257.2 thousand RSAs and 236.1 thousand PSUs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13, the Company repurchased 980,341 and 1,348,214 shares of its common stock in the three and six months ended June 30, 2025, respectively (none in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15 – INCOME TAXES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reconciliation between the income tax provision at the U.S. statutory tax rate and the Company’s income tax provision on the condensed consolidated statements of income and comprehensive income is below (in thousands, except for tax rates):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9"/>
        <w:gridCol w:w="1387"/>
        <w:gridCol w:w="1400"/>
        <w:gridCol w:w="211"/>
        <w:gridCol w:w="616"/>
        <w:gridCol w:w="271"/>
        <w:gridCol w:w="109"/>
        <w:gridCol w:w="109"/>
        <w:gridCol w:w="109"/>
        <w:gridCol w:w="211"/>
        <w:gridCol w:w="721"/>
        <w:gridCol w:w="271"/>
        <w:gridCol w:w="109"/>
        <w:gridCol w:w="109"/>
        <w:gridCol w:w="109"/>
        <w:gridCol w:w="211"/>
        <w:gridCol w:w="616"/>
        <w:gridCol w:w="271"/>
        <w:gridCol w:w="109"/>
        <w:gridCol w:w="109"/>
        <w:gridCol w:w="109"/>
        <w:gridCol w:w="211"/>
        <w:gridCol w:w="721"/>
        <w:gridCol w:w="317"/>
      </w:tblGrid>
      <w:tr>
        <w:trPr/>
        <w:tc>
          <w:tcPr>
            <w:tcW w:w="178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27,743 </w:t>
            </w:r>
          </w:p>
        </w:tc>
        <w:tc>
          <w:tcPr>
            <w:tcW w:w="31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statutory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at statutory rate</w:t>
            </w:r>
          </w:p>
        </w:tc>
        <w:tc>
          <w:tcPr>
            <w:tcW w:w="82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5,826 </w:t>
            </w:r>
          </w:p>
        </w:tc>
        <w:tc>
          <w:tcPr>
            <w:tcW w:w="31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Mexico</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Mexico and the United States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Return to provision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foreign jurisdictions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expenses: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Non-deductible officer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non-deductible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271"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271"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271"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31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income tax provision includes the expected benefit of all deferred tax assets, including our net operating loss carryforwards except as limited below. With certain exceptions, these net operating loss carryforwards will expire from 2031 through 2037 for federal losses, from 2029 through 2038 for state losses, and from 2038 through 2046 for foreign losses. After consideration of all evidence, both positive and negative, management has determined that no valuation allowance is required at June 30, 2026 on the Company’s U.S. federal or state deferred tax assets; however, a valuation allowance has been recorded at June 30, 2026 on deferred tax assets associated with Canadian, Spanish, Dutch and British net operating loss carryforwards as these foreign subsidiaries have a history of incurring taxable losses in recent years. The valuation allowance will be maintained until sufficient positive evidence exists to support their future realization. Utilization of the Company’s net operating loss carryforwards is subject to limitation under Internal Revenue Code Section 382 and similar tax provisions in the foreign jurisdictions in which we operate.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presented in the income tax reconciliation above, the tax provision recognized on the condensed consolidated statements of income and comprehensive income was impacted by state taxes, non-deductible officer compensation and share-based compensation tax expenses, return-to-provision adjustments associated with the income tax returns of some of our subsidiaries in Mexico, and foreign tax rates applicable to the Company’s foreign subsidiaries that are higher or lower than the U.S. statutory rate.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16 – SEGMENT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leading global omnichannel money remittance services company focused primarily on the U.S. to LAC corridor, which includes Mexico, Central and South America and the Caribbean. We also provide our remittances services to Africa and Asia from the United States and offer sending services from Canada to Latin America and Africa, as well as remittance services from Spain, Italy and Germany to Africa, Asia, Europe and Latin America. The Company has identified one operating and reportable segment. The Company defines its segment on the basis of the way in which internally reported financial information is regularly reviewed by the Company’s chief operating decision maker (the “CODM”) to analyze financial performance, make decisions, and allocate resources.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is Robert Lisy, Chairman, Chief Executive Officer and President. The CODM uses the Company’s consolidated financial results as a basis for making key operating decisions. Examples of key operating decisions include entering new markets, stock repurchases, and managing liquidity. The CODM considers Net income as one of the relevant metrics in his decision making process.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about the Company's measure of segment performance and significant expense categories:</w:t>
      </w:r>
    </w:p>
    <w:p>
      <w:pPr>
        <w:pStyle w:val="TextBody"/>
        <w:bidi w:val="0"/>
        <w:spacing w:before="0" w:after="0"/>
        <w:jc w:val="both"/>
        <w:rPr/>
      </w:pPr>
      <w:r>
        <w:rPr/>
      </w:r>
    </w:p>
    <w:tbl>
      <w:tblPr>
        <w:tblW w:w="8880" w:type="dxa"/>
        <w:jc w:val="left"/>
        <w:tblInd w:w="0" w:type="dxa"/>
        <w:tblLayout w:type="fixed"/>
        <w:tblCellMar>
          <w:top w:w="28" w:type="dxa"/>
          <w:left w:w="28" w:type="dxa"/>
          <w:bottom w:w="28" w:type="dxa"/>
          <w:right w:w="28" w:type="dxa"/>
        </w:tblCellMar>
      </w:tblPr>
      <w:tblGrid>
        <w:gridCol w:w="1186"/>
        <w:gridCol w:w="1039"/>
        <w:gridCol w:w="104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w:t>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131,162 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161,133 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253,114 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305,443 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charges and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122,411 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240,689 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271,907 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segment items included in segment net income is primarily composed of other selling, general and administrative expenses, transaction processing costs, and other overhead expenses.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17 – COMMITMENTS AND CONTINGENCIES</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Contingencies and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all 50 states in the United States, two U.S. territories and eight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time, that the expected outcome of regulatory examinations will not have a material adverse effect on either the results of operations or financial condition of the Company.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Regulatory Requirements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applicable licensing laws, certain domestic and foreign subsidiaries of the Company are required to maintain minimum tangible net worth and liquid assets (eligible securities) to cover the amount outstanding of wire transfers and money orders payable. As of June 30, 2026, the Company’s subsidiaries were in compliance with these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2025.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leading global omnichannel money remittance services company focused primarily on the United States of America (“United States” or “U.S.”) to Latin America and the Caribbean (“LAC”) corridor, which includes Mexico, Central and South America and the Caribbean. We also provide remittance services to Africa and Asia from the United States and offer money transfer services from Canada to Latin America and Africa. We also provide remittance services from Spain, Italy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and Germany, where consumers can send money to beneficiaries in more than 60 countries in LAC, Europe, Africa and Asia. Our services are accessible in person through over 100,000 independent sending and paying agents and 114 Company-operated stores, as well as digitally through the Internet via our websites, co-branded websites with digital partners and mobile device applications. Additionally, our product and service portfolio include online payment options, pre-paid debit cards and direct deposit payroll cards, which may present different cost, demand, regulatory and risk profiles relative to our core money remittance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and digital partners in the originating country and our paying agents in the destination country. Remittances paid in local currencies that are not pegged to the U.S. dollar, Canadian dollar or Euro can also generate revenue if we are successful in our daily management of currency exchange spreads. We also generate revenue from our “Remittance-as-a-Service” (“RaaS”) relationships with digital partners where we receive a fee for facilitating money transfers processed through our proprietary software systems, money transmitter licenses and payer network relationships.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money remittance services enable consumers to send funds through our broad network of locations in the United States, Canada, Spain, Italy and Germany that are primarily operated by third-party businesses, as well as by Company-operated stores located in those jurisdictions. Transactions are processed and payment is collected by our agents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the Internet via our websites (intermexonline.com and online.i-transfer.es), co-branded websites with our digital partners and mobile device applications. For the six months ended June 30, 2026, our agent network decreased by approximately 5.5% primarily as a result of a lower number of agents onboarded during the period relative to ordinary course agent terminations. For the six months ended June 30, 2026, principal amount sent decreased by approximately 12.0% to $10.4 billion, as compared to the same period in 2025, and total remittances processed were approximately 23.7 million, representing a decrease of approximately 12.0%, as compared to the same period in 2025 primarily related to decreased volume generated that we attribute to a contraction in the retail remittance market, particularly the LAC corridor. This overall decrease was partially offset by increased volume generated by our digital channels.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political, social, economic and market conditions in the United States, including recent economic, trade and immigration enforcement actions taken by the current administration in the U.S., as well as in foreign countries, including those that are destinations for money transfers or in which we currently operate, remain volatile. There is uncertainty as to the economic and financial impact of such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Pending Merger with The Western Union Company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10, 2025, the Company entered into the Merger Agreement by and among the Company, Western Union and Merger Sub, pursuant to which, on the terms and subject to the conditions set forth therein, Merger Sub will merge with and into the Company and the Company will become an indirect wholly-owned subsidiary of Western Union. The Merger Agreement provides that each share of the Company’s common stock issued and outstanding immediately prior to the effective time of the Merger (subject to limited exceptions) will be cancelled and converted into the right to receive $16.00 per share in cash, without interest.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Consummation of the Merger is subject to the satisfaction or waiver of certain remaining customary closing conditions, including: (i) the absence of any judgment by any governmental authority of competent jurisdiction or any applicable law that enjoins, restrains or otherwise makes illegal, prevents or prohibits consummation of the Merger (“Restraint”), (ii) the receipt of applicable consents, approvals or other clearances required to be obtained under the Merger Agreement, including with respect to the Company’s or its subsidiaries’ money transmitter licenses, and (iii) other customary closing conditions.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consummation of the Merger was conditioned upon (i) the expiration or termination of the applicable waiting period under the HSR Act, which waiting period expired on October 6, 2025, and (ii) approval of the stockholders of the Company, which approval was received at a special meeting of stockholders of the Company on December 9,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anticipates closing the Merger as soon as reasonably practicable, subject to the satisfaction of other customary closing conditions, including receipt of the remaining regulatory approval.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termination rights for the Company and Western Union, including a right for either party to terminate if the Merger is not consummated by November 10, 2026 (as automatically extended to obtain certain regulatory approvals as set forth in the Merger Agreement). Upon termination of the Merger Agreement, (i) Western Union, upon termination of the Merger Agreement by the Company or Western Union due to a Restraint relating to any antitrust laws, or the failure to obtain necessary consents, approvals or clearances related to antitrust laws, would be required to pay the Company a termination fee equal to $27.3 million, and (ii) the Company, under specified circumstances, including termination of the Merger Agreement by Western Union as a result of an Adverse Recommendation Change (as defined in the Merger Agreement), would be required to pay Western Union a termination fee equal to $19.8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and Trends Affecting our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Various trends and other factors have affected and may continue to affect our business, financial condition and operating results,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Factors relating to the contemplated pending acquisition of the Company by Western Union, including: (i) the completion of the pending transaction on anticipated terms and timing or at all, including obtaining stockholder and regulatory approvals and other conditions to the completion of the transaction; (ii) the occurrence of any event, change or other circumstance or condition that could give rise to the termination of the Merger Agreement, which may require us to pay a termination fee or other expenses; (iii) potential significant transaction costs associated with the pending transaction (including litigation expenses and liabilities, if any), and the possibility that the pending transaction may be more expensive to complete than anticipated, including as a result of unexpected factors or events; (iv) continued availability of capital and other changes in capital markets; (v) potential litigation or regulatory actions relating to the pending transaction, which could delay or prevent consummation of the transaction; (vi) the risk that disruptions from the pending transaction, such as diverting management’s attention from our ongoing business operations and relationships, may harm our business, including current plans and operations; (vii) the effect of the announcement, pendency or completion of the pending transaction on our ability to retain and hire key personnel; (viii) our ability to maintain relationships with customers, suppliers, governments, regulators and others with whom we do business, or our operating results or business generally; and (ix) potential adverse business uncertainty resulting from restrictions imposed by the Merger Agreement during the pendency of the pending transaction that may impact our ability to pursue certain business opportunities or strategic transactions;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immigration laws and their enforcement, including any adverse effects on the level of immigrant employment, earning potential, and other commercial activities;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success in expanding customer acceptance of our digital services and infrastructure, as well as developing, introducing and marketing new digital and other products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new technology or competitors that disrupt the current money transfer and payment ecosystem, including the introduction of new digital platforms;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tax laws in the United States and other countries in which we operate, including the imposition of taxes on certain types of remittances that began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loss of, or reduction in business with, key sending agents;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effectively compete in the markets in which we operate;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economic factors such as inflation, the level of economic activity, recession risks and labor market conditions, as well as volatility in market interest rates;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political conditions in the United States and other markets in which we operate or plan to operate as well as the impact and duration of the recent partial federal government shutdown;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international political factors, including ongoing conflicts in Ukraine and the Middle East and other geopolitical developments, political instability, tariffs, including the effects of tariffs on domestic markets and industrial activity and employment, border taxes or restrictions on remittances or transfers from the outbound countries in which we operate or plan to operate;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consumer confidence in our brands and in consumer money transfers generally;</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expansion into new geographic markets or product markets;</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rPr>
        <w:t>cybersecurity-attacks or disruptions to our information technology, computer network systems, data centers and mobile device applications;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successfully execute, manage, integrate and obtain the anticipated financial benefits of key acquisitions and mergers;</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the ability of our risk management and compliance policies, procedures and systems to mitigate risk related to transaction monitoring;</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consumer fraud and other risks relating to the authenticity of customers’ orders or the improper or illegal use of our services by consumers, sending agents or digital partners;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maintain favorable banking and paying agent relationships necessary to conduct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bank failures, sustained financial illiquidity, or illiquidity at the clearing, cash management or custodial financial institutions with which we do business;</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changes to banking industry regulation and practice;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credit risks from our agents, digital partners and the financial institutions with which we do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recruit and retain key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maintain compliance with applicable laws and regulatory requirements</w:t>
      </w:r>
      <w:r>
        <w:rPr>
          <w:color w:val="000000"/>
          <w:shd w:fill="FFFFFF" w:val="clear"/>
        </w:rPr>
        <w:t xml:space="preserve"> </w:t>
      </w:r>
      <w:r>
        <w:rPr>
          <w:rFonts w:ascii="Times New Roman;serif" w:hAnsi="Times New Roman;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enforcement actions and private litigation under regulations applicable to the money remittance services;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protect our brands and intellectual property rights;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satisfy our debt obligations and remain in compliance with our credit facility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health conditions, responses thereto and the economic and market effects thereof;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use of third-party vendors and service providers; and</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weakness in U.S. or international economic conditions.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encountered and continue to expect to encounter increasing competition as new electronic platforms emerge that enable consumers to send and receive money through a variety of channels.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higher consumer adoption. During 2026, we expect to continue investing in increasing our penetration of the digital market, to add digital customers, to enhance our digital offerings and to increase digital revenues, while maintaining and continuing to develop our retail service offerings. Although we believe that investment in our digital business should provide significant financial benefits in the mid to long term timeframes, these investments are likely, in the shorter term, to adversely affect our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for money remittance services is very competitive. Our competitors include a small number of large money remittance providers, such as such as Western Union, MoneyGram, Remitly and Euronet, financial institutions and banks, and a large number of small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niche money remittance service providers that serve select regions.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enhanced technology and brand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noted above, current political, social, economic and market conditions in the United States, including recent economic, trade and immigration enforcement actions taken by the current administration in the U.S., as well as in foreign countries, including those that are destinations for money transfers or in which we currently operate remain volatile. There is uncertainty as to the economic and financial impact of such conditions. Our business has generally been resilient during times of economic instability as money remittances are essential to many recipients, with the funds used by the receiving parties for their daily needs; however, continued enhanced immigration enforcement activities in the U.S., prolonged volatility in the market, continued global economic and geopolitical uncertainty, and long-term sustained appreciation of the Mexican peso or Guatemalan quetzal as compared to the U.S. dollar could negatively affect our revenues and profitability. Moreover, as noted above, we have experienced a reduction in revenues generated that we attribute to a contraction in the remittance market, particularly the LAC corridor, which may reflect this increased volatility and current economic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 The three largest remittance corridors we serve are United States to Mexico, United States to Guatemala and United States to the Dominican Republic. </w:t>
      </w:r>
      <w:r>
        <w:rPr>
          <w:rFonts w:ascii="Times New Roman;serif" w:hAnsi="Times New Roman;serif"/>
          <w:b w:val="false"/>
          <w:color w:val="000000"/>
          <w:sz w:val="20"/>
          <w:shd w:fill="FFFFFF" w:val="clear"/>
        </w:rPr>
        <w:t>According to the latest information available from the World Bank Remittance Matrix, the United States to Mexico remittance corridor was one of the largest in the world in 2025. In addition, changes to U.S. immigration, tariffs, trade, economic, tax and other policies may have both positive and negative effects on our business, none of which can be predicted with any degree of certainty.</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human trafficking and other illicit activities, along with enhancements to improve consumer protection in accordance with regulatory requirements,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maintain compliance departments in the United States as well as in certain of our foreign subsidiaries, the responsibility of which is to monitor transactions, detect and report suspicious activity, maintain appropriate records and train our employees and agents. Independent third-parties periodically review our policies and procedures and perform independent testing to assess the effectiveness of our anti-money laundering and Bank Secrecy Act compliance programs. We also maintain a regulatory affairs and licensing department, under the direction of our Chief Compliance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How We Assess the Performance of Our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condensed consolidated financial statements. See the “Adjusted Net Income and Adjusted Earnings per Share” and “Adjusted EBITDA” sections below for reconciliations of these non-GAAP financial measures to net income and earnings per share, our closest GAAP measures.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 Also, we generate revenues from technology services provided to the independent network of agents and other service partners that utilize the Company’s technology in processing transactions paid by credit or debit card, check cashing services and maintenance fees, for which revenue is derived by a fee per transaction. In addition, we generate revenue from our RaaS contracts with digital partners under which we receive fees for facilitating money transfers processed through our proprietary software systems, as well as using our money transmitter licenses and payer network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 Charges from Agents and Banks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Service charges primarily consist of sending and paying agent commissions and bank fees. Service charges vary based on agent commission percentages and the amount of fees charged by the banks. Sending agents earn a commission on each transaction they process of approximately 50% of the transaction fee. Service charges also include transaction processing costs incurred in facilitating money transfers processed through our digital channels.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Salaries and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Canada, Spain and Italy, is focused on supporting and growing our sending agent network. Share-based compensation is primarily recognized as an expense on a straight-line basis over the requisite service period. Unrecognized compensation expense related to restricted stock units (“RSUs”), restricted stock awards (“RSAs”) and performance stock units (“PSUs”) of approximately $19.5 million is expected to be recognized over a weighted-average period of 1.8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Selling, General and Administrative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primarily consist of fixed overhead expenses associated with our operations, including our Company-operated stores, such as information technology, telecommunications, rent, insurance, professional services, non-income or indirect taxes, facilities maintenance, selling expenses, public company reporting requirements, regulatory compliance requirements and other similar types of operating expenses. Selling expenses include expenses such as advertising and promotion, digital marketing, shipping, supplies and other expenses associated with serving and increasing our customer base, digital channel offerings and network of agents.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Provision for Credit Losses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credit losses represent the charges to adjust the allowance for estimated losses resulting from the inability of sending agents or digital partners to make the required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Restructuring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incur costs associated with restructuring plans related to our domestic and foreign operations. These costs include all internal and external costs directly related with the restructuring and consist primarily of severance payments, write-off of assets and certain legal and professional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Transaction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incur transaction costs associated with completed and potential acquisitions. These costs include all internal and external costs directly related to the transactions, consisting primarily of legal, consulting, accounting and advisory fees and certain incentive bonuses. Due to their significance, they are presented separately in our condensed consolidated statements of income and comprehensive income. Transaction costs also include internal and external costs related to the Board’s evaluation of strategic alternatives and the pending Merger with Western Union.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primarily of interest associated with our debt, which consists of a revolving credit facility. The effective interest rate for the six months ended June 30, 2026 for the revolving credit facility was 2.14%.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income tax provision includes the expected benefit of all deferred tax assets, including our net operating loss carryforwards. After consideration of all evidence, both positive and negative, management has determined that no valuation allowance is required at June 30, 2026 on the Company’s U.S. federal or state deferred tax assets; however, a valuation allowance has been recorded as of June 30, 2026 on deferred tax assets associated with foreign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is determined by subtracting operating and non-operating expenses from revenues.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weighted-average number of common shares outstanding calculation.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organized around one reportable segment that provides money transmittal services primarily between the United States, Canada and certain countries in Europe to Mexico, Guatemala and other countries in Latin America, Africa, Asia and Europe through a network of authorized agents located in various unaffiliated retail establishments and 114 Company-operated stores throughout the United States, Canada, Spain, Italy and Germany, as well as digitally through the Internet via our websites, co-branded websites with digital partners and mobile device applications. This is based on the objectives of the business and how our chief operating decision maker, the CEO and President, monitors operating performance and allocates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key components of our results of operations for the periods indicated: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tbl>
      <w:tblPr>
        <w:tblW w:w="9810" w:type="dxa"/>
        <w:jc w:val="left"/>
        <w:tblInd w:w="0" w:type="dxa"/>
        <w:tblLayout w:type="fixed"/>
        <w:tblCellMar>
          <w:top w:w="28" w:type="dxa"/>
          <w:left w:w="28" w:type="dxa"/>
          <w:bottom w:w="28" w:type="dxa"/>
          <w:right w:w="28" w:type="dxa"/>
        </w:tblCellMar>
      </w:tblPr>
      <w:tblGrid>
        <w:gridCol w:w="1519"/>
        <w:gridCol w:w="1336"/>
        <w:gridCol w:w="134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share data)</w:t>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161,133 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253,114 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305,443 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from agents and banks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122,411 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141,672 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240,689 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271,907 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Revenues for the above periods are presented below:</w:t>
      </w:r>
    </w:p>
    <w:tbl>
      <w:tblPr>
        <w:tblW w:w="10205" w:type="dxa"/>
        <w:jc w:val="left"/>
        <w:tblInd w:w="0" w:type="dxa"/>
        <w:tblLayout w:type="fixed"/>
        <w:tblCellMar>
          <w:top w:w="28" w:type="dxa"/>
          <w:left w:w="28" w:type="dxa"/>
          <w:bottom w:w="28" w:type="dxa"/>
          <w:right w:w="28" w:type="dxa"/>
        </w:tblCellMar>
      </w:tblPr>
      <w:tblGrid>
        <w:gridCol w:w="900"/>
        <w:gridCol w:w="791"/>
        <w:gridCol w:w="794"/>
        <w:gridCol w:w="436"/>
        <w:gridCol w:w="1709"/>
        <w:gridCol w:w="225"/>
        <w:gridCol w:w="109"/>
        <w:gridCol w:w="109"/>
        <w:gridCol w:w="109"/>
        <w:gridCol w:w="233"/>
        <w:gridCol w:w="233"/>
        <w:gridCol w:w="501"/>
        <w:gridCol w:w="109"/>
        <w:gridCol w:w="109"/>
        <w:gridCol w:w="109"/>
        <w:gridCol w:w="436"/>
        <w:gridCol w:w="1709"/>
        <w:gridCol w:w="225"/>
        <w:gridCol w:w="109"/>
        <w:gridCol w:w="109"/>
        <w:gridCol w:w="109"/>
        <w:gridCol w:w="233"/>
        <w:gridCol w:w="233"/>
        <w:gridCol w:w="566"/>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3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43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131,162 </w:t>
            </w:r>
          </w:p>
        </w:tc>
        <w:tc>
          <w:tcPr>
            <w:tcW w:w="22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161,133 </w:t>
            </w:r>
          </w:p>
        </w:tc>
        <w:tc>
          <w:tcPr>
            <w:tcW w:w="22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Wire transfer and money order fees, net of $107.6 million for the three months ended June 30, 2026 decreased by $25.4 million, or 19.1%, from $133.0 million for the three months ended June 30, 2025. The decrease was primarily due to a lower transaction volume processed through our retail network of sending agents and Company-operated stores in the second quarter of 2026 compared to the second quarter of 2025 as a result of a contraction in the retail remittance market, particularly the LAC corridor. For the three months ended June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30, 2026, total principal amount sent decreased by 12.5%, and total transaction volume decreased by 12.0%, as compared to the same period in 2025, resulting in lower fees paid by consumers.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from foreign exchange gain, net of $16.7 million for the three months ended June 30, 2026 decreased by $7.0 million, or 29.5%, from $23.7 million for the three months ended June 30, 2025. This decrease was primarily due to the decrease in transaction volume and principal amount sent described above.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of $6.9 million for the three months ended June 30, 2026 increased by $2.4 million, or 53.3%, from $4.5 million for the three months ended June 30, 2025 primarily due to the effect of higher fees related to increased activity of our RaaS relationships, under which the number of transactions processed and total principal sent increased by approximately 178.0% and 187.0%, respectively.</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 for the above periods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1"/>
        <w:gridCol w:w="896"/>
        <w:gridCol w:w="901"/>
        <w:gridCol w:w="406"/>
        <w:gridCol w:w="1592"/>
        <w:gridCol w:w="209"/>
        <w:gridCol w:w="109"/>
        <w:gridCol w:w="109"/>
        <w:gridCol w:w="109"/>
        <w:gridCol w:w="200"/>
        <w:gridCol w:w="200"/>
        <w:gridCol w:w="501"/>
        <w:gridCol w:w="109"/>
        <w:gridCol w:w="109"/>
        <w:gridCol w:w="109"/>
        <w:gridCol w:w="406"/>
        <w:gridCol w:w="1592"/>
        <w:gridCol w:w="209"/>
        <w:gridCol w:w="109"/>
        <w:gridCol w:w="109"/>
        <w:gridCol w:w="109"/>
        <w:gridCol w:w="193"/>
        <w:gridCol w:w="193"/>
        <w:gridCol w:w="565"/>
      </w:tblGrid>
      <w:tr>
        <w:trPr/>
        <w:tc>
          <w:tcPr>
            <w:tcW w:w="116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20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from agents and banks</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1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0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122,411 </w:t>
            </w:r>
          </w:p>
        </w:tc>
        <w:tc>
          <w:tcPr>
            <w:tcW w:w="2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141,672 </w:t>
            </w:r>
          </w:p>
        </w:tc>
        <w:tc>
          <w:tcPr>
            <w:tcW w:w="2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Service charges from agents and banks</w:t>
      </w:r>
      <w:r>
        <w:rPr>
          <w:color w:val="000000"/>
        </w:rPr>
        <w:t xml:space="preserve"> — </w:t>
      </w:r>
      <w:r>
        <w:rPr>
          <w:rFonts w:ascii="Times New Roman;serif" w:hAnsi="Times New Roman;serif"/>
          <w:b w:val="false"/>
          <w:color w:val="000000"/>
          <w:sz w:val="20"/>
        </w:rPr>
        <w:t>Service charges from agents and banks were $85.8 million for the three months ended June 30, 2026 compared to $102.3 million for the three months ended June 30, 2025. The decrease of $16.5 million, or 16.1%, was primarily due to the decrease in transaction volume described above, as well as lower payer fees as a result of better pricing negotiated with paying agents.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Salaries and benefits </w:t>
      </w:r>
      <w:r>
        <w:rPr>
          <w:color w:val="000000"/>
        </w:rPr>
        <w:t xml:space="preserve">— </w:t>
      </w:r>
      <w:r>
        <w:rPr>
          <w:rFonts w:ascii="Times New Roman;serif" w:hAnsi="Times New Roman;serif"/>
          <w:b w:val="false"/>
          <w:color w:val="000000"/>
          <w:sz w:val="20"/>
        </w:rPr>
        <w:t>Salaries and benefits of $17.4 million for the three months ended June 30, 2026 decreased by $1.1 million, or 5.9%, from $18.5 million for the three months ended June 30, 2025. The decrease is primarily due to</w:t>
      </w:r>
      <w:r>
        <w:rPr>
          <w:color w:val="000000"/>
          <w:shd w:fill="FFFFFF" w:val="clear"/>
        </w:rPr>
        <w:t xml:space="preserve"> </w:t>
      </w:r>
      <w:r>
        <w:rPr>
          <w:rFonts w:ascii="Times New Roman;serif" w:hAnsi="Times New Roman;serif"/>
          <w:b w:val="false"/>
          <w:color w:val="000000"/>
          <w:sz w:val="20"/>
          <w:shd w:fill="FFFFFF" w:val="clear"/>
        </w:rPr>
        <w:t>lower compensation and benefits based on current financial performance as well as lower total employee headcount</w:t>
      </w:r>
      <w:r>
        <w:rPr>
          <w:rFonts w:ascii="Times New Roman;serif" w:hAnsi="Times New Roman;serif"/>
          <w:b w:val="false"/>
          <w:color w:val="000000"/>
          <w:sz w:val="20"/>
        </w:rPr>
        <w:t>. These decreases were offset by higher share-based compensation as a result of timing of annual grants of stock awards to certain employees.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selling, general and administrative expenses</w:t>
      </w:r>
      <w:r>
        <w:rPr>
          <w:color w:val="000000"/>
        </w:rPr>
        <w:t xml:space="preserve"> — </w:t>
      </w:r>
      <w:r>
        <w:rPr>
          <w:rFonts w:ascii="Times New Roman;serif" w:hAnsi="Times New Roman;serif"/>
          <w:b w:val="false"/>
          <w:color w:val="000000"/>
          <w:sz w:val="20"/>
        </w:rPr>
        <w:t>Other selling, general and administrative expenses of $11.1 million for the three months ended June 30, 2026 decreased by $1.3 million, or 10.5%, from $12.4 million for the three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was primarily the result of: </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$0.7 million - decrease in advertising related expenses primarily as a result of campaigns to promote our digital channel services in 2025;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$0.7 million - related to lower public company compliance related expenses.</w:t>
      </w:r>
    </w:p>
    <w:p>
      <w:pPr>
        <w:pStyle w:val="TextBody"/>
        <w:bidi w:val="0"/>
        <w:spacing w:before="0" w:after="0"/>
        <w:ind w:left="0" w:right="0" w:firstLine="90"/>
        <w:jc w:val="both"/>
        <w:rPr/>
      </w:pPr>
      <w:r>
        <w:rPr/>
      </w:r>
    </w:p>
    <w:p>
      <w:pPr>
        <w:pStyle w:val="TextBody"/>
        <w:bidi w:val="0"/>
        <w:spacing w:lineRule="auto" w:line="288" w:before="0" w:after="0"/>
        <w:ind w:left="0" w:right="0" w:firstLine="270"/>
        <w:jc w:val="both"/>
        <w:rPr/>
      </w:pPr>
      <w:r>
        <w:rPr>
          <w:rFonts w:ascii="Times New Roman;serif" w:hAnsi="Times New Roman;serif"/>
          <w:b w:val="false"/>
          <w:i/>
          <w:color w:val="000000"/>
          <w:sz w:val="20"/>
          <w:shd w:fill="FFFFFF" w:val="clear"/>
        </w:rPr>
        <w:t xml:space="preserve">Provision for credit losses — </w:t>
      </w:r>
      <w:r>
        <w:rPr>
          <w:rFonts w:ascii="Times New Roman;serif" w:hAnsi="Times New Roman;serif"/>
          <w:b w:val="false"/>
          <w:color w:val="000000"/>
          <w:sz w:val="20"/>
          <w:shd w:fill="FFFFFF" w:val="clear"/>
        </w:rPr>
        <w:t>Provision for credit losses of $2.6 million for the three months ended June 30, 2026 increased by $0.7 million, or 36.8%, from $1.9 million for the three months ended June 30, 2025. The increase is primarily due to an increase in write-offs of agent receivable balances primarily as a result of sending agents that were not able to pay in accordance with the original terms of their agreements with us and are, accordingly, subject to our normal collection procedures as well as higher chargebacks of uncollected online money transfer transactions.</w:t>
      </w:r>
    </w:p>
    <w:p>
      <w:pPr>
        <w:pStyle w:val="TextBody"/>
        <w:bidi w:val="0"/>
        <w:spacing w:before="0" w:after="0"/>
        <w:ind w:left="0" w:right="0" w:firstLine="9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Transaction costs </w:t>
      </w:r>
      <w:r>
        <w:rPr>
          <w:color w:val="000000"/>
        </w:rPr>
        <w:t xml:space="preserve">— </w:t>
      </w:r>
      <w:r>
        <w:rPr>
          <w:rFonts w:ascii="Times New Roman;serif" w:hAnsi="Times New Roman;serif"/>
          <w:b w:val="false"/>
          <w:color w:val="000000"/>
          <w:sz w:val="20"/>
        </w:rPr>
        <w:t>Transaction costs of $0.7 million and $2.2 million for the three months ended June 30, 2026 and 2025, respectively, consist primarily of financial advisory fees as well as other professional fees and legal fees incurred in connection with the Company's evaluation of strategic alternatives including the pending Merger with Western Union and business acquisition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Depreciation and amortization</w:t>
      </w:r>
      <w:r>
        <w:rPr>
          <w:color w:val="000000"/>
        </w:rPr>
        <w:t xml:space="preserve"> — </w:t>
      </w:r>
      <w:r>
        <w:rPr>
          <w:rFonts w:ascii="Times New Roman;serif" w:hAnsi="Times New Roman;serif"/>
          <w:b w:val="false"/>
          <w:color w:val="000000"/>
          <w:sz w:val="20"/>
        </w:rPr>
        <w:t>Depreciation and amortization of $4.8 million for the three months ended June 30, 2026 increased by $0.3 million or 6.7% from $4.5 million for the three months ended June 30, 2025. The increase is primarily the result of higher depreciation associated with additional software developed being placed into production and computer equipment acquired to support our proprietary software enhancements and sending agent network.</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0"/>
        <w:jc w:val="both"/>
        <w:rPr/>
      </w:pPr>
      <w:r>
        <w:rPr>
          <w:rFonts w:ascii="Times New Roman;serif" w:hAnsi="Times New Roman;serif"/>
          <w:b w:val="false"/>
          <w:i/>
          <w:color w:val="000000"/>
          <w:sz w:val="20"/>
        </w:rPr>
        <w:t>Interest expense</w:t>
      </w:r>
      <w:r>
        <w:rPr>
          <w:color w:val="000000"/>
        </w:rPr>
        <w:t xml:space="preserve"> — </w:t>
      </w:r>
      <w:r>
        <w:rPr>
          <w:rFonts w:ascii="Times New Roman;serif" w:hAnsi="Times New Roman;serif"/>
          <w:b w:val="false"/>
          <w:color w:val="000000"/>
          <w:sz w:val="20"/>
        </w:rPr>
        <w:t>Interest expense of $2.3 million for the three months ended June 30, 2026 decreased by $0.8 million or 25.8% from $3.1 million for the three months ended June 30, 2025. The decrease was primarily due to lower usage of our revolving credit facility and lower market interest rates paid during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Income tax provision</w:t>
      </w:r>
      <w:r>
        <w:rPr>
          <w:color w:val="000000"/>
        </w:rPr>
        <w:t xml:space="preserve"> — </w:t>
      </w:r>
      <w:r>
        <w:rPr>
          <w:rFonts w:ascii="Times New Roman;serif" w:hAnsi="Times New Roman;serif"/>
          <w:b w:val="false"/>
          <w:color w:val="000000"/>
          <w:sz w:val="20"/>
        </w:rPr>
        <w:t>Income tax provision was $2.2 million for the three months ended June 30, 2026, which represents a decrease of $3.2 million from an income tax provision of $5.4 million for the three months ended June 30, 2025. The decrease in income tax provision was mainly attributable to lower income before taxes primarily due to the factors discussed above.</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reported Net Income of $4.2 million for the three months ended June 30, 2026 compared to Net Income of $11.0 million for the three months ended June 30, 2025, which resulted in a decrease of $6.8 million, or 61.8%, due to the same factors discussed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Earnings per Share - Basic for the three months ended June 30, 2026 was $0.14, representing a decrease of $0.23, or 62.2%, compared to $0.37 for the three months ended June 30, 2025.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Earnings per Share - Diluted for the three months ended June 30, 2026 was $0.14, representing a decrease of $0.23, or 62.2%, compared to $0.37 for the three months ended June 30, 2025.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decrease in both basic and diluted earnings per share (“EPS”) largely reflects the decrease in net income discussed above.</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and asset acquisition activities, which varies from period to period.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particular, Adjusted EBITDA is subject to certain limitations, including the following:</w:t>
      </w:r>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does not reflect interest expense, or the amounts necessary to service interest or principal payments on our debt;</w:t>
      </w:r>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does not reflect income tax provision (benefit), and because the payment of taxes is part of our operations, tax provision is a necessary element of our costs and ability to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Although depreciation and amortization are eliminated in the calculation of Adjusted EBITDA, the assets being depreciated and amortized will often have to be replaced in the future, and Adjusted EBITDA does not reflect any costs of such replacements;</w:t>
      </w:r>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does not reflect the non-cash component of share-based compensation;</w:t>
      </w:r>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does not reflect the impact of earnings or charges resulting from matters we consider not to be reflective, on a recurring basis, of our ongoing operations; and</w:t>
      </w:r>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other companies in our industry may calculate Adjusted EBITDA or similarly titled measures differently than we do, limiting its usefulness as a comparative measure.</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adjust for these limitations by relying primarily on our GAAP results and using Adjusted EBITDA, as well as our other non-GAAP financial measures, only as supplemental information.</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Income and Adjusted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Income is defined as net income adjusted to add back certain charges and expenses, such as non-cash amortization of intangible assets resulting from business and asset acquisition transactions, which will recur in future periods until these assets have been fully amortized, non-cash compensation costs and other items set forth in the table below, as these charges and expenses are not considered a part of our core business operations and are not an indicator of ongoing, future company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Basic and Diluted is calculated by dividing Adjusted Net Income by GAAP weighted-average common shares outstanding (basic and diluted).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Income for the three months ended June 30, 2026 was $7.2 million, representing a decrease of $8.0 million from Adjusted Net Income of $15.2 million for the three months ended June 30, 2025. The decrease in Adjusted Net Income was primarily due to the decrease in Net Income discussed above and the lower net effect of the adjusting items detailed in the table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Income, our closest GAAP measure, to Adjusted Net Income:</w:t>
      </w:r>
    </w:p>
    <w:p>
      <w:pPr>
        <w:pStyle w:val="TextBody"/>
        <w:bidi w:val="0"/>
        <w:spacing w:before="0" w:after="0"/>
        <w:jc w:val="both"/>
        <w:rPr/>
      </w:pPr>
      <w:r>
        <w:rPr/>
      </w:r>
    </w:p>
    <w:tbl>
      <w:tblPr>
        <w:tblW w:w="6880" w:type="dxa"/>
        <w:jc w:val="left"/>
        <w:tblInd w:w="0" w:type="dxa"/>
        <w:tblLayout w:type="fixed"/>
        <w:tblCellMar>
          <w:top w:w="28" w:type="dxa"/>
          <w:left w:w="28" w:type="dxa"/>
          <w:bottom w:w="28" w:type="dxa"/>
          <w:right w:w="28" w:type="dxa"/>
        </w:tblCellMar>
      </w:tblPr>
      <w:tblGrid>
        <w:gridCol w:w="1476"/>
        <w:gridCol w:w="1298"/>
        <w:gridCol w:w="1305"/>
        <w:gridCol w:w="270"/>
        <w:gridCol w:w="811"/>
        <w:gridCol w:w="118"/>
        <w:gridCol w:w="118"/>
        <w:gridCol w:w="118"/>
        <w:gridCol w:w="118"/>
        <w:gridCol w:w="240"/>
        <w:gridCol w:w="841"/>
        <w:gridCol w:w="167"/>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per share data)</w:t>
            </w:r>
          </w:p>
        </w:tc>
        <w:tc>
          <w:tcPr>
            <w:tcW w:w="11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7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4,205</w:t>
            </w:r>
            <w:r>
              <w:rPr>
                <w:color w:val="000000"/>
              </w:rPr>
              <w:t>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11,007</w:t>
            </w:r>
            <w:r>
              <w:rPr>
                <w:color w:val="000000"/>
              </w:rPr>
              <w:t> </w:t>
            </w:r>
          </w:p>
        </w:tc>
        <w:tc>
          <w:tcPr>
            <w:tcW w:w="16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(b)</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 (c)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adjustments (e)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70"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7,183</w:t>
            </w:r>
            <w:r>
              <w:rPr>
                <w:color w:val="000000"/>
              </w:rPr>
              <w:t> </w:t>
            </w:r>
          </w:p>
        </w:tc>
        <w:tc>
          <w:tcPr>
            <w:tcW w:w="118"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15,249</w:t>
            </w:r>
            <w:r>
              <w:rPr>
                <w:color w:val="000000"/>
              </w:rPr>
              <w:t> </w:t>
            </w:r>
          </w:p>
        </w:tc>
        <w:tc>
          <w:tcPr>
            <w:tcW w:w="16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30,109,812 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29,843,687 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30,608,806 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29,912,615 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(b)Represents primarily financial advisory, professional and legal fees related to evaluation of strategic alternatives, including the pending Merger with Western Union.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(c)Represents primarily loss on disposal of fixed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(d)Represents the amortization of certain intangible assets that resulted from business and asset acquisition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(e)Represents the current and deferred tax impact of the taxable adjustments to Net Income using the Company’s blended federal and state tax rate for each period. Relevant tax-deductible adjustments include all adjustments to Net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Adjusted Earnings per Share - Basic and Diluted (previously defined and used as described above) are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Basic for the three months ended June 30, 2026 was $0.24, representing a decrease of $0.27, or 52.9%, compared to $0.51 for the three months ended June 30, 2025. The decrease in Adjusted Earnings per Share - Basic was primarily due to the decrease in Net Income as well as the lower net effect of the adjusting items detailed in the table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Diluted for the three months ended June 30, 2026 was $0.23, representing a decrease of $0.28, or 54.9%, compared to $0.51 for the three months ended June 30, 2025. The decrease in Adjusted Earnings per Share - Diluted was primarily due to the decrease in Net Income as well as the lower net effect of the adjusting items detailed in the table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GAAP Earnings per Share, our closest GAAP measure, to Adjusted Earnings per Share:</w:t>
      </w:r>
    </w:p>
    <w:tbl>
      <w:tblPr>
        <w:tblW w:w="7875" w:type="dxa"/>
        <w:jc w:val="left"/>
        <w:tblInd w:w="0" w:type="dxa"/>
        <w:tblLayout w:type="fixed"/>
        <w:tblCellMar>
          <w:top w:w="28" w:type="dxa"/>
          <w:left w:w="28" w:type="dxa"/>
          <w:bottom w:w="28" w:type="dxa"/>
          <w:right w:w="28" w:type="dxa"/>
        </w:tblCellMar>
      </w:tblPr>
      <w:tblGrid>
        <w:gridCol w:w="1253"/>
        <w:gridCol w:w="1104"/>
        <w:gridCol w:w="1108"/>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Earnings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adjustments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0.24</w:t>
            </w:r>
            <w:r>
              <w:rPr>
                <w:color w:val="000000"/>
              </w:rPr>
              <w:t>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0.23</w:t>
            </w:r>
            <w:r>
              <w:rPr>
                <w:color w:val="000000"/>
              </w:rPr>
              <w:t>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0.51</w:t>
            </w:r>
            <w:r>
              <w:rPr>
                <w:color w:val="000000"/>
              </w:rPr>
              <w:t>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0.51</w:t>
            </w:r>
            <w:r>
              <w:rPr>
                <w:color w:val="000000"/>
              </w:rPr>
              <w:t>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before depreciation and amortization, interest expense, income taxes, and also adjusted to add back certain charges and expenses, such as non-cash share-based compensation costs and other items set forth in the table below, as these charges and expenses are not considered a part of our core business operations and are not an indicator of ongoing, future company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June 30, 2026 was $17.3 million, representing a decrease of $11.5 million, or 39.9%, from $28.8 million for the three months ended June 30, 2025. The decrease in Adjusted EBITDA was primarily due to the decrease in Net Income discussed above as well as the lower net effect of the adjusting items detailed in the table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Income, our closest GAAP measure, to Adjusted EBITDA:</w:t>
      </w:r>
    </w:p>
    <w:p>
      <w:pPr>
        <w:pStyle w:val="TextBody"/>
        <w:bidi w:val="0"/>
        <w:spacing w:before="0" w:after="0"/>
        <w:jc w:val="both"/>
        <w:rPr/>
      </w:pPr>
      <w:r>
        <w:rPr/>
      </w:r>
    </w:p>
    <w:tbl>
      <w:tblPr>
        <w:tblW w:w="5188" w:type="dxa"/>
        <w:jc w:val="left"/>
        <w:tblInd w:w="0" w:type="dxa"/>
        <w:tblLayout w:type="fixed"/>
        <w:tblCellMar>
          <w:top w:w="28" w:type="dxa"/>
          <w:left w:w="28" w:type="dxa"/>
          <w:bottom w:w="28" w:type="dxa"/>
          <w:right w:w="28" w:type="dxa"/>
        </w:tblCellMar>
      </w:tblPr>
      <w:tblGrid>
        <w:gridCol w:w="945"/>
        <w:gridCol w:w="832"/>
        <w:gridCol w:w="833"/>
        <w:gridCol w:w="219"/>
        <w:gridCol w:w="764"/>
        <w:gridCol w:w="113"/>
        <w:gridCol w:w="113"/>
        <w:gridCol w:w="113"/>
        <w:gridCol w:w="113"/>
        <w:gridCol w:w="219"/>
        <w:gridCol w:w="764"/>
        <w:gridCol w:w="160"/>
      </w:tblGrid>
      <w:tr>
        <w:trPr/>
        <w:tc>
          <w:tcPr>
            <w:tcW w:w="94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4,205</w:t>
            </w:r>
            <w:r>
              <w:rPr>
                <w:color w:val="000000"/>
              </w:rPr>
              <w:t> </w:t>
            </w:r>
          </w:p>
        </w:tc>
        <w:tc>
          <w:tcPr>
            <w:tcW w:w="11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11,007</w:t>
            </w:r>
            <w:r>
              <w:rPr>
                <w:color w:val="000000"/>
              </w:rPr>
              <w:t>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983"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13,543</w:t>
            </w:r>
            <w:r>
              <w:rPr>
                <w:color w:val="000000"/>
              </w:rPr>
              <w:t> </w:t>
            </w:r>
          </w:p>
        </w:tc>
        <w:tc>
          <w:tcPr>
            <w:tcW w:w="113"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23,915</w:t>
            </w:r>
            <w:r>
              <w:rPr>
                <w:color w:val="000000"/>
              </w:rPr>
              <w:t> </w:t>
            </w:r>
          </w:p>
        </w:tc>
        <w:tc>
          <w:tcPr>
            <w:tcW w:w="160"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(b)</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 (c)</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17,328</w:t>
            </w:r>
            <w:r>
              <w:rPr>
                <w:color w:val="000000"/>
              </w:rPr>
              <w:t> </w:t>
            </w:r>
          </w:p>
        </w:tc>
        <w:tc>
          <w:tcPr>
            <w:tcW w:w="113"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28,788</w:t>
            </w:r>
            <w:r>
              <w:rPr>
                <w:color w:val="000000"/>
              </w:rPr>
              <w:t> </w:t>
            </w:r>
          </w:p>
        </w:tc>
        <w:tc>
          <w:tcPr>
            <w:tcW w:w="160"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(b)Represents primarily financial advisory, professional and legal fees related to evaluation of strategic alternatives, including the pending Merger with Western Union.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(c)Represents primarily loss on disposal of fixed assets.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Revenues for the above periods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9"/>
        <w:gridCol w:w="825"/>
        <w:gridCol w:w="828"/>
        <w:gridCol w:w="426"/>
        <w:gridCol w:w="1671"/>
        <w:gridCol w:w="220"/>
        <w:gridCol w:w="109"/>
        <w:gridCol w:w="109"/>
        <w:gridCol w:w="109"/>
        <w:gridCol w:w="233"/>
        <w:gridCol w:w="233"/>
        <w:gridCol w:w="501"/>
        <w:gridCol w:w="109"/>
        <w:gridCol w:w="109"/>
        <w:gridCol w:w="109"/>
        <w:gridCol w:w="426"/>
        <w:gridCol w:w="1671"/>
        <w:gridCol w:w="220"/>
        <w:gridCol w:w="109"/>
        <w:gridCol w:w="109"/>
        <w:gridCol w:w="109"/>
        <w:gridCol w:w="233"/>
        <w:gridCol w:w="233"/>
        <w:gridCol w:w="56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3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4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253,114 </w:t>
            </w:r>
          </w:p>
        </w:tc>
        <w:tc>
          <w:tcPr>
            <w:tcW w:w="22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305,443 </w:t>
            </w:r>
          </w:p>
        </w:tc>
        <w:tc>
          <w:tcPr>
            <w:tcW w:w="22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Wire transfer and money order fees, net of $207.3 million for the six months ended June 30, 2026 decreased by $45.8 million, or 18.1%, from $253.1 million for the six months ended June 30, 2025. The decrease was primarily due to a decrease in transaction volume processed through our retail network of sending agents and Company-operated stores in the six months ended June 30, 2026 compared to the six months ended June 30, 2025, which we primarily attribute to a contraction in the retail remittance market, particularly the LAC corridor. As noted in the overview section above, for the six months ended June 30, 2026, principal amount sent decreased by approximately 12.0% to $10.4 billion, and the number of transactions decreased by approximately 12.0% to 23.7 million, as compared to the same period in 2025, resulting in lower fees paid by consumers.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from foreign exchange gain, net of $33.0 million for the six months ended June 30, 2026 decreased by $10.9 million, or 24.8%, from $43.9 million for the six months ended June 30, 2025. This decrease was primarily due to the decrease in transaction volume described above, partially offset by an increase in the average principal sent per transaction for certain destination countries.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of $12.8 million for the six months ended June 30, 2026 increased by $4.4 million, or 52.4%, from $8.4 million for the six months ended June 30, 2025 primarily due to higher fees related to increased activity of our RaaS relationships, under which the number of transactions processed and total principal sent increased by approximately 172.0% and 159.0%, respectively.</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 for the above periods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1"/>
        <w:gridCol w:w="933"/>
        <w:gridCol w:w="938"/>
        <w:gridCol w:w="396"/>
        <w:gridCol w:w="1555"/>
        <w:gridCol w:w="204"/>
        <w:gridCol w:w="109"/>
        <w:gridCol w:w="109"/>
        <w:gridCol w:w="109"/>
        <w:gridCol w:w="200"/>
        <w:gridCol w:w="200"/>
        <w:gridCol w:w="501"/>
        <w:gridCol w:w="109"/>
        <w:gridCol w:w="109"/>
        <w:gridCol w:w="109"/>
        <w:gridCol w:w="396"/>
        <w:gridCol w:w="1555"/>
        <w:gridCol w:w="204"/>
        <w:gridCol w:w="109"/>
        <w:gridCol w:w="109"/>
        <w:gridCol w:w="109"/>
        <w:gridCol w:w="193"/>
        <w:gridCol w:w="193"/>
        <w:gridCol w:w="565"/>
      </w:tblGrid>
      <w:tr>
        <w:trPr/>
        <w:tc>
          <w:tcPr>
            <w:tcW w:w="119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from agents and banks</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9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240,689 </w:t>
            </w:r>
          </w:p>
        </w:tc>
        <w:tc>
          <w:tcPr>
            <w:tcW w:w="20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271,907 </w:t>
            </w:r>
          </w:p>
        </w:tc>
        <w:tc>
          <w:tcPr>
            <w:tcW w:w="20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Service charges from agents and banks</w:t>
      </w:r>
      <w:r>
        <w:rPr>
          <w:color w:val="000000"/>
        </w:rPr>
        <w:t xml:space="preserve"> — </w:t>
      </w:r>
      <w:r>
        <w:rPr>
          <w:rFonts w:ascii="Times New Roman;serif" w:hAnsi="Times New Roman;serif"/>
          <w:b w:val="false"/>
          <w:color w:val="000000"/>
          <w:sz w:val="20"/>
        </w:rPr>
        <w:t>Service charges from agents and banks were $164.9 million for the six months ended June 30, 2026 compared to $196.0 million for the six months ended June 30, 2025. The decrease of $31.1 million, or 15.9%, was primarily due to the decrease in transaction volume described above, as well as lower payer fees as a result of better pricing negotiated with our paying agents.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Salaries and benefits </w:t>
      </w:r>
      <w:r>
        <w:rPr>
          <w:color w:val="000000"/>
        </w:rPr>
        <w:t xml:space="preserve">— </w:t>
      </w:r>
      <w:r>
        <w:rPr>
          <w:rFonts w:ascii="Times New Roman;serif" w:hAnsi="Times New Roman;serif"/>
          <w:b w:val="false"/>
          <w:color w:val="000000"/>
          <w:sz w:val="20"/>
        </w:rPr>
        <w:t xml:space="preserve">Salaries and benefits of $36.3 million for the six months ended June 30, 2026 decreased by $0.8 million, or 2.2%, from $37.1 million for the six months ended June 30, 2025. The decrease is primarily due to lower </w:t>
      </w:r>
      <w:r>
        <w:rPr>
          <w:rFonts w:ascii="Times New Roman;serif" w:hAnsi="Times New Roman;serif"/>
          <w:b w:val="false"/>
          <w:color w:val="000000"/>
          <w:sz w:val="20"/>
          <w:shd w:fill="FFFFFF" w:val="clear"/>
        </w:rPr>
        <w:t>compensation and benefits based on current financial performance as well as lower total employee headcount</w:t>
      </w:r>
      <w:r>
        <w:rPr>
          <w:rFonts w:ascii="Times New Roman;serif" w:hAnsi="Times New Roman;serif"/>
          <w:b w:val="false"/>
          <w:color w:val="000000"/>
          <w:sz w:val="20"/>
        </w:rPr>
        <w:t>. These decreases were offset by higher share-based compensation as a result of timing of annual grants of stock awards to certain employees.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selling, general and administrative expenses</w:t>
      </w:r>
      <w:r>
        <w:rPr>
          <w:color w:val="000000"/>
        </w:rPr>
        <w:t xml:space="preserve"> — </w:t>
      </w:r>
      <w:r>
        <w:rPr>
          <w:rFonts w:ascii="Times New Roman;serif" w:hAnsi="Times New Roman;serif"/>
          <w:b w:val="false"/>
          <w:color w:val="000000"/>
          <w:sz w:val="20"/>
        </w:rPr>
        <w:t xml:space="preserve">Other selling, general and administrative expenses of $22.7 million for the six months ended June 30, 2026 decreased by $0.7 million, or 3.0%, from $23.4 million for the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was primarily the result of: </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$0.7 million - decrease in advertising related expenses primarily as a result of campaigns to promote our digital channel services in 2025;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$1.2 million - related to lower public company compliance related expenses.</w:t>
      </w:r>
    </w:p>
    <w:p>
      <w:pPr>
        <w:pStyle w:val="TextBody"/>
        <w:bidi w:val="0"/>
        <w:spacing w:before="0" w:after="0"/>
        <w:ind w:left="0" w:right="0" w:firstLine="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was partially offset by:</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$1.2 million - higher IT related expenses incurred to improve our technology environment.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Provision for credit losses </w:t>
      </w:r>
      <w:r>
        <w:rPr>
          <w:color w:val="000000"/>
        </w:rPr>
        <w:t xml:space="preserve">— </w:t>
      </w:r>
      <w:r>
        <w:rPr>
          <w:rFonts w:ascii="Times New Roman;serif" w:hAnsi="Times New Roman;serif"/>
          <w:b w:val="false"/>
          <w:color w:val="000000"/>
          <w:sz w:val="20"/>
        </w:rPr>
        <w:t>Provision for credit losses of $5.5 million for the six months ended June 30, 2026 increased by $1.6 million, or 41.0%, from $3.9 million for the six months ended June 30, 2025. The increase is primarily due to an increase in write-offs of agent receivable balances primarily as a result of sending agents that were not able to pay in accordance with the original terms of their agreements with us and are, accordingly, subject to our normal collection procedures as well as higher chargebacks of uncollected online money transfer transactions.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Transaction Costs </w:t>
      </w:r>
      <w:r>
        <w:rPr>
          <w:color w:val="000000"/>
        </w:rPr>
        <w:t xml:space="preserve">— </w:t>
      </w:r>
      <w:r>
        <w:rPr>
          <w:rFonts w:ascii="Times New Roman;serif" w:hAnsi="Times New Roman;serif"/>
          <w:b w:val="false"/>
          <w:color w:val="000000"/>
          <w:sz w:val="20"/>
        </w:rPr>
        <w:t xml:space="preserve">Transaction costs of $1.9 million and $3.4 million for the six months ended June 30, 2026 and 2025, respectively, consist primarily of financial advisory fees as well as other professional fees and legal fees incurred in connection with the Company's evaluation of strategic alternatives, including the pending Merger with Western Union.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Depreciation and amortization</w:t>
      </w:r>
      <w:r>
        <w:rPr>
          <w:color w:val="000000"/>
        </w:rPr>
        <w:t xml:space="preserve"> — </w:t>
      </w:r>
      <w:r>
        <w:rPr>
          <w:rFonts w:ascii="Times New Roman;serif" w:hAnsi="Times New Roman;serif"/>
          <w:b w:val="false"/>
          <w:color w:val="000000"/>
          <w:sz w:val="20"/>
        </w:rPr>
        <w:t>Depreciation and amortization of $9.5 million for the six months ended June 30, 2026 increased by $1.4 million from $8.1 million or 17.3%, for the six months ended June 30, 2025. The increase is primarily the result of higher depreciation associated with additional software developed being placed into production and computer equipment acquired to support our proprietary software enhancements and sending agent network.</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0"/>
        <w:jc w:val="both"/>
        <w:rPr/>
      </w:pPr>
      <w:r>
        <w:rPr>
          <w:rFonts w:ascii="Times New Roman;serif" w:hAnsi="Times New Roman;serif"/>
          <w:b w:val="false"/>
          <w:i/>
          <w:color w:val="000000"/>
          <w:sz w:val="20"/>
        </w:rPr>
        <w:t>Interest expense</w:t>
      </w:r>
      <w:r>
        <w:rPr>
          <w:color w:val="000000"/>
        </w:rPr>
        <w:t xml:space="preserve"> — </w:t>
      </w:r>
      <w:r>
        <w:rPr>
          <w:rFonts w:ascii="Times New Roman;serif" w:hAnsi="Times New Roman;serif"/>
          <w:b w:val="false"/>
          <w:color w:val="000000"/>
          <w:sz w:val="20"/>
        </w:rPr>
        <w:t>Interest expense of $4.5 million for the six months ended June 30, 2026 decreased by $1.3 million from $5.8 million for the six months ended June 30, 2025. The decrease was primarily due to lower usage of our revolving credit facility and lower market interest rates paid during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Income tax provision</w:t>
      </w:r>
      <w:r>
        <w:rPr>
          <w:color w:val="000000"/>
        </w:rPr>
        <w:t xml:space="preserve"> — </w:t>
      </w:r>
      <w:r>
        <w:rPr>
          <w:rFonts w:ascii="Times New Roman;serif" w:hAnsi="Times New Roman;serif"/>
          <w:b w:val="false"/>
          <w:color w:val="000000"/>
          <w:sz w:val="20"/>
        </w:rPr>
        <w:t xml:space="preserve">Income tax provision was $3.2 million for the six months ended June 30, 2026, which represents a decrease of $5.8 million from an income tax provision of $9.0 million for the six months ended June 30, 2025. The decrease in income tax provision was mainly attributable to a decrease in income before taxes primarily due to the factors discussed above. </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0"/>
        <w:jc w:val="both"/>
        <w:rPr/>
      </w:pPr>
      <w:r>
        <w:rPr>
          <w:rFonts w:ascii="Times New Roman;serif" w:hAnsi="Times New Roman;serif"/>
          <w:b w:val="false"/>
          <w:color w:val="000000"/>
          <w:sz w:val="20"/>
        </w:rPr>
        <w:t>We reported net income of $4.7 million for the six months ended June 30, 2026 compared to net income of $18.8 million for the six months ended June 30, 2025, which resulted in a decrease of $14.1 million, or 75.0%, due to the same factors discussed above.</w:t>
      </w:r>
      <w:r>
        <w:rPr>
          <w:color w:val="000000"/>
        </w:rPr>
        <w:t> </w:t>
      </w:r>
    </w:p>
    <w:p>
      <w:pPr>
        <w:pStyle w:val="TextBody"/>
        <w:bidi w:val="0"/>
        <w:spacing w:before="0" w:after="0"/>
        <w:jc w:val="both"/>
        <w:rPr/>
      </w:pPr>
      <w:r>
        <w:rPr/>
      </w:r>
    </w:p>
    <w:p>
      <w:pPr>
        <w:pStyle w:val="TextBody"/>
        <w:bidi w:val="0"/>
        <w:spacing w:lineRule="auto" w:line="288" w:before="0" w:after="240"/>
        <w:ind w:left="0" w:right="0" w:firstLine="9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Earnings per Share - Basic for the six months ended June 30, 2026 was $0.16, representing a decrease of $0.46, or 74.2%, compared to $0.62 for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Earnings per Share - Diluted for the six months ended June 30, 2026 was $0.15, representing a decrease of $0.47, or 75.8%, compared to $0.62 for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both basic and diluted EPS largely reflects the decrease in net income discussed above.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Income and Adjusted 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Income (previously defined and used as described above) for the six months ended June 30, 2026 was $11.0 million, representing a decrease of $15.2 million, or 58.0%, from Adjusted Net Income of $26.2 million for the six months ended June 30, 2025. The decrease in Adjusted Net Income was primarily due to the decrease in Net Income as discussed above coupled with the lower net effect of the adjusting items detailed in the table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Income, our closest GAAP measure, to Adjusted Net Income:</w:t>
      </w:r>
    </w:p>
    <w:p>
      <w:pPr>
        <w:pStyle w:val="TextBody"/>
        <w:bidi w:val="0"/>
        <w:spacing w:before="0" w:after="0"/>
        <w:jc w:val="both"/>
        <w:rPr/>
      </w:pPr>
      <w:r>
        <w:rPr/>
      </w:r>
    </w:p>
    <w:tbl>
      <w:tblPr>
        <w:tblW w:w="6832" w:type="dxa"/>
        <w:jc w:val="left"/>
        <w:tblInd w:w="0" w:type="dxa"/>
        <w:tblLayout w:type="fixed"/>
        <w:tblCellMar>
          <w:top w:w="28" w:type="dxa"/>
          <w:left w:w="28" w:type="dxa"/>
          <w:bottom w:w="28" w:type="dxa"/>
          <w:right w:w="28" w:type="dxa"/>
        </w:tblCellMar>
      </w:tblPr>
      <w:tblGrid>
        <w:gridCol w:w="1476"/>
        <w:gridCol w:w="1298"/>
        <w:gridCol w:w="1306"/>
        <w:gridCol w:w="240"/>
        <w:gridCol w:w="841"/>
        <w:gridCol w:w="109"/>
        <w:gridCol w:w="109"/>
        <w:gridCol w:w="109"/>
        <w:gridCol w:w="109"/>
        <w:gridCol w:w="240"/>
        <w:gridCol w:w="841"/>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per share data)</w:t>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4,716</w:t>
            </w:r>
            <w:r>
              <w:rPr>
                <w:color w:val="000000"/>
              </w:rPr>
              <w:t>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18,776</w:t>
            </w:r>
            <w:r>
              <w:rPr>
                <w:color w:val="000000"/>
              </w:rPr>
              <w:t>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(b)</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and expenses (d)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adjustments (f)</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11,015</w:t>
            </w:r>
            <w:r>
              <w:rPr>
                <w:color w:val="000000"/>
              </w:rPr>
              <w:t>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26,177</w:t>
            </w:r>
            <w:r>
              <w:rPr>
                <w:color w:val="000000"/>
              </w:rPr>
              <w:t>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(b)Represents primarily severance related to the execution of restructuring plans.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(c)Represents primarily financial advisory, professional and legal fees related to strategic alternatives, including the pending Merger with Western Union.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(d)Represents primarily loss on disposal of fixed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(e)Represents the amortization of certain intangible assets that resulted from business and asset acquisition transactions.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(f)Represents the current and deferred tax impact of the taxable adjustments to Net Income using the Company’s blended federal and state tax rate for each period. Relevant tax-deductible adjustments include all adjustments to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Basic and Diluted (previously defined and used as described above) are as follows:</w:t>
      </w:r>
    </w:p>
    <w:p>
      <w:pPr>
        <w:pStyle w:val="TextBody"/>
        <w:bidi w:val="0"/>
        <w:spacing w:before="0" w:after="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Basic for the six months ended June 30, 2026 was $0.37, representing a decrease of $0.50, or 57.5%, compared to $0.87 for the six months ended June 30, 2025. The decrease in Adjusted Earnings per Share - Basic was primarily due to the decrease in Net Income.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Diluted for the six months ended June 30, 2026 was $0.36, representing a decrease of $0.50, or 58.1%, compared to $0.86 for the six months ended June 30, 2025. The decrease in Adjusted Earnings per Share - Diluted was primarily due to the decrease in Net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Earnings per Share, our closest GAAP measure, to Adjusted Earnings per Share:</w:t>
      </w:r>
    </w:p>
    <w:p>
      <w:pPr>
        <w:pStyle w:val="TextBody"/>
        <w:bidi w:val="0"/>
        <w:spacing w:before="0" w:after="0"/>
        <w:jc w:val="both"/>
        <w:rPr/>
      </w:pPr>
      <w:r>
        <w:rPr/>
      </w:r>
    </w:p>
    <w:tbl>
      <w:tblPr>
        <w:tblW w:w="7875" w:type="dxa"/>
        <w:jc w:val="left"/>
        <w:tblInd w:w="0" w:type="dxa"/>
        <w:tblLayout w:type="fixed"/>
        <w:tblCellMar>
          <w:top w:w="28" w:type="dxa"/>
          <w:left w:w="28" w:type="dxa"/>
          <w:bottom w:w="28" w:type="dxa"/>
          <w:right w:w="28" w:type="dxa"/>
        </w:tblCellMar>
      </w:tblPr>
      <w:tblGrid>
        <w:gridCol w:w="1253"/>
        <w:gridCol w:w="1104"/>
        <w:gridCol w:w="1108"/>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0.62</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adjustments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0.37</w:t>
            </w:r>
            <w:r>
              <w:rPr>
                <w:color w:val="000000"/>
              </w:rPr>
              <w:t>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0.36</w:t>
            </w:r>
            <w:r>
              <w:rPr>
                <w:color w:val="000000"/>
              </w:rPr>
              <w:t>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0.87</w:t>
            </w:r>
            <w:r>
              <w:rPr>
                <w:color w:val="000000"/>
              </w:rPr>
              <w:t>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0.86</w:t>
            </w:r>
            <w:r>
              <w:rPr>
                <w:color w:val="000000"/>
              </w:rPr>
              <w:t> </w:t>
            </w:r>
          </w:p>
        </w:tc>
        <w:tc>
          <w:tcPr>
            <w:tcW w:w="1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above may contain slight summation differences due to rounding.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(previously defined and used as described above) for the six months ended June 30, 2026 was $29.7 million, representing a decrease of $20.7 million, or 41.1%, from $50.4 million for the six months ended June 30, 2025. The decrease in Adjusted EBITDA was primarily due to the decrease in Net Income as discussed above coupled with the lower net effect of the adjusting items detailed in the table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Income, our closest GAAP measure, to Adjusted EBITDA:</w:t>
      </w:r>
    </w:p>
    <w:p>
      <w:pPr>
        <w:pStyle w:val="TextBody"/>
        <w:bidi w:val="0"/>
        <w:spacing w:before="0" w:after="0"/>
        <w:jc w:val="both"/>
        <w:rPr/>
      </w:pPr>
      <w:r>
        <w:rPr/>
      </w:r>
    </w:p>
    <w:tbl>
      <w:tblPr>
        <w:tblW w:w="5079" w:type="dxa"/>
        <w:jc w:val="left"/>
        <w:tblInd w:w="0" w:type="dxa"/>
        <w:tblLayout w:type="fixed"/>
        <w:tblCellMar>
          <w:top w:w="28" w:type="dxa"/>
          <w:left w:w="28" w:type="dxa"/>
          <w:bottom w:w="28" w:type="dxa"/>
          <w:right w:w="28" w:type="dxa"/>
        </w:tblCellMar>
      </w:tblPr>
      <w:tblGrid>
        <w:gridCol w:w="950"/>
        <w:gridCol w:w="837"/>
        <w:gridCol w:w="838"/>
        <w:gridCol w:w="211"/>
        <w:gridCol w:w="721"/>
        <w:gridCol w:w="109"/>
        <w:gridCol w:w="109"/>
        <w:gridCol w:w="109"/>
        <w:gridCol w:w="109"/>
        <w:gridCol w:w="211"/>
        <w:gridCol w:w="72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 (d)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(b)Represents primarily severance related to the execution of restructuring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(c)Represents primarily financial advisory, professional and legal fees related to strategic alternatives, including the pending Merger with Western Union.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(d)Represents primarily loss on disposal of fixed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 and repurchases of our common stock. However, the Company has suspended activity under the Repurchase Program and does not intend to make further repurchases under it during the pendency of 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six months ended June 30, 2026. Therefore, we believe that our current cash and cash equivalents position, as well as projected cash flows generated from operations, together with borrowings under our revolving credit facility are sufficient to fund our principal and interest payments, lease expenses, our working capital needs, our business acquisitions, our expected capital expenditures and potential common stock repurchases in the short and long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certain of its subsidiaries are party to a Second Amended and Restated Credit Agreement (the “Second A&amp;R Credit Agreement”) with a group of banking institutions, which amended and restated in its entirety the Company's prior credit agreement. The Second A&amp;R Credit Agreement provides for a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Borrowings under the Second A&amp;R Credit Agreement are available for general corporate purposes to support the Company’s growth, as well as to fund share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$113.8 million of outstanding amounts drawn on the revolving credit facility. There were $411.2 million of additional borrowings available under this facility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Second A&amp;R Credit Agreement and at the election of the Company, interest on the revolving loans denominated in U.S. Dollars is determined by reference to either (i) the secured overnight financing rate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for the six months ended June 30, 2026 for the revolving credit facility was 2.14%.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provides the Company with increased flexibility to make certain restricted payments, including the repurchase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the covenants of the Second A&amp;R Credit Agreement that require the Company to maintain a quarterly minimum interest coverage ratio of 3.00:1.00 and a quarterly maximum consolidated leverage ratio of 3.50:1.00.</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serif" w:hAnsi="Times New Roman;serif"/>
          <w:b w:val="false"/>
          <w:i/>
          <w:color w:val="000000"/>
          <w:sz w:val="20"/>
        </w:rPr>
        <w:t>Risk Factors—Risks Relating to Our Indebtedness—The Company's indebtedness may limit our operating flexibility and could adversely affect our business, financial condition and results of operations” and "Our Second Amended and Restated Credit Agreement contains covenants that may limit our ability to conduct business”</w:t>
      </w:r>
      <w:r>
        <w:rPr>
          <w:color w:val="000000"/>
        </w:rPr>
        <w:t xml:space="preserve"> </w:t>
      </w:r>
      <w:r>
        <w:rPr>
          <w:rFonts w:ascii="Times New Roman;serif" w:hAnsi="Times New Roman;serif"/>
          <w:b w:val="false"/>
          <w:color w:val="000000"/>
          <w:sz w:val="20"/>
        </w:rPr>
        <w:t>included in our Annual Report on Form 10-K for the year ended December 31,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Repurchase Program</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18, 2021, the Company’s Board of Directors approved a stock repurchase program (the “Repurchase Program”) that authorized the Company to purchase up to $40.0 million of its outstanding shares of the Company’s common stock. On March 3, 2023, the Board of Directors approved an increase to the Repurchase Program that authorizes the Company to purchase an additional $100.0 million of its outstanding shares. On August 26, 2024, the Board of Directors approved a second increase to the Repurchase Program that authorizes the Company to purchase an additional $63.8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under a variety of tests as described above, including, without limitation, so long as the Consolidated Leverage Ratio (as defined in the Second A&amp;R Credit Agreement), as of the then most recently completed four fiscal quarters of the Company, after giving pro forma effect to such restricted payments, is 2.50:1.00 or less.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purchases of treasury stock under the cost method. Any direct costs incurred to acquire treasury stock are considered stock issue costs and added to the cost of the treasury stock. During the six months ended June 30, 2026, there were no share repurchases. During the six months ended June 30, 2025, the Company purchased 1,348,214 shares for an aggregate purchase price of $16.3 million. As of June 30, 2026, there was $48.3 million available for future share repurchases under the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suspended activity under the Repurchase Program and does not intend to make further repurchases under it during the pendency of the Merger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party to operating leases for office space, warehouses, Company-operated store locations and vehicles, which we use as part of our day-to-day operations. Operating lease expenses were $1.8 million and $3.6 million for the three and six months ended June 30, 2026, which we expect to be consistent throughout the year. We have not entered into finance lease commitments. For additional information on operating lease obligations, refer to Note 7, Leases, to the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Merger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Until the Merger closes, or the Merger Agreement is terminated, our liquidity requirements will primarily be funded by our cash flow from operations, borrowings under our existing credit facility and certain other capital activities allowed under the Merger Agreement. In particular, we are subject to various restrictions under the Merger Agreement (except for under limited exceptions) on assuming additional debt, issuing additional equity or debt, repurchasing equity, making certain capital expenditures, and entering into certain acquisition, disposition and leasing transactions, among other restrictions, subject to the restrictions under the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to our cash flows for the periods presented:</w:t>
      </w:r>
    </w:p>
    <w:p>
      <w:pPr>
        <w:pStyle w:val="TextBody"/>
        <w:bidi w:val="0"/>
        <w:spacing w:before="0" w:after="0"/>
        <w:jc w:val="both"/>
        <w:rPr/>
      </w:pPr>
      <w:r>
        <w:rPr/>
      </w:r>
    </w:p>
    <w:tbl>
      <w:tblPr>
        <w:tblW w:w="7749" w:type="dxa"/>
        <w:jc w:val="left"/>
        <w:tblInd w:w="0" w:type="dxa"/>
        <w:tblLayout w:type="fixed"/>
        <w:tblCellMar>
          <w:top w:w="28" w:type="dxa"/>
          <w:left w:w="28" w:type="dxa"/>
          <w:bottom w:w="28" w:type="dxa"/>
          <w:right w:w="28" w:type="dxa"/>
        </w:tblCellMar>
      </w:tblPr>
      <w:tblGrid>
        <w:gridCol w:w="1841"/>
        <w:gridCol w:w="1619"/>
        <w:gridCol w:w="1625"/>
        <w:gridCol w:w="211"/>
        <w:gridCol w:w="826"/>
        <w:gridCol w:w="109"/>
        <w:gridCol w:w="109"/>
        <w:gridCol w:w="109"/>
        <w:gridCol w:w="109"/>
        <w:gridCol w:w="211"/>
        <w:gridCol w:w="826"/>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Statements of Cash Flows Data:</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3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44,220 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150,636 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174,723 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$75.4 million for the six months ended June 30, 2026, a decrease of $5.8 million from net cash provided by operating activities of $81.2 million for the six months ended June 30, 2025. The decrease is primarily a result of lower net income generated during the period as discussed in the results of operations section above combined with a $3.2 million change in working capital, which varies due to timing of remittances of consumer funds by sending agents and transmittal orders and payments, as well as prefunding of payers primarily for weekends. </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$11.0 million for the six months ended June 30, 2026, representing an increase of $1.0 million from net cash used in investing activities of $10.0 million for the six months ended June 30, 2025. Net cash used in investing activities for both periods primarily represent our investment in software development and computer equipment for our sending agent network.</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$82.0 million for the six months ended June 30, 2026, which primarily consisted of $81.0 million of net repayments under the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$29.8 million for the six months ended June 30, 2025, which primarily consisted of $12.5 million of net repayments under the revolving credit facility, $16.3 million used for repurchases of common stock and $0.9 million of payments for stock-based awards for shares withheld for tax payments in connection with share-based compensation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Times New Roman;serif" w:hAnsi="Times New Roman;serif"/>
          <w:b w:val="false"/>
          <w:i/>
          <w:color w:val="000000"/>
          <w:sz w:val="20"/>
        </w:rPr>
        <w:t xml:space="preserve">Management’s Discussion and Analysis of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pPr>
      <w:r>
        <w:rPr>
          <w:rFonts w:ascii="Times New Roman;serif" w:hAnsi="Times New Roman;serif"/>
          <w:b w:val="false"/>
          <w:i/>
          <w:color w:val="000000"/>
          <w:sz w:val="20"/>
        </w:rPr>
        <w:t>- Critical Accounting Estimates</w:t>
      </w:r>
      <w:r>
        <w:rPr>
          <w:color w:val="000000"/>
        </w:rPr>
        <w:t xml:space="preserve">” </w:t>
      </w:r>
      <w:r>
        <w:rPr>
          <w:rFonts w:ascii="Times New Roman;serif" w:hAnsi="Times New Roman;serif"/>
          <w:b w:val="false"/>
          <w:color w:val="000000"/>
          <w:sz w:val="20"/>
        </w:rPr>
        <w:t>in our Annual Report on Form 10-K for the year ended December 31, 2025, for which there were no material changes during the three and six months ended June 30, 2026, included the following:</w:t>
      </w:r>
    </w:p>
    <w:p>
      <w:pPr>
        <w:pStyle w:val="TextBody"/>
        <w:bidi w:val="0"/>
        <w:spacing w:before="0" w:after="0"/>
        <w:jc w:val="both"/>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0"/>
        </w:rPr>
        <w:t>Allowance for Credit Losses</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Goodwill and Intangible Assets</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Income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0"/>
        <w:jc w:val="both"/>
        <w:rPr/>
      </w:pPr>
      <w:r>
        <w:rPr>
          <w:rFonts w:ascii="Times New Roman;serif" w:hAnsi="Times New Roman;serif"/>
          <w:b w:val="false"/>
          <w:color w:val="000000"/>
          <w:sz w:val="20"/>
        </w:rPr>
        <w:t xml:space="preserve">Refer to Note 1, </w:t>
      </w:r>
      <w:r>
        <w:rPr>
          <w:rFonts w:ascii="Times New Roman;serif" w:hAnsi="Times New Roman;serif"/>
          <w:b w:val="false"/>
          <w:i/>
          <w:color w:val="000000"/>
          <w:sz w:val="20"/>
        </w:rPr>
        <w:t>Business and Accounting Policies</w:t>
      </w:r>
      <w:r>
        <w:rPr>
          <w:rFonts w:ascii="Times New Roman;serif" w:hAnsi="Times New Roman;serif"/>
          <w:b w:val="false"/>
          <w:color w:val="000000"/>
          <w:sz w:val="20"/>
        </w:rPr>
        <w:t>, of the Condensed Consolidated Financial Statements for information on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$14.3 million and $4.7 million at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included in wire transfers and money orders payable, net in our condensed consolidated balance sheets as of June 30, 2026 and December 31, 2025, there are $14.4 million and $20.2 million, respectively, of wires payable denominated in foreign currencies, primarily Mexican pesos and Guatemalan quetzales.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Also, included in prepaid wires, net in our condensed consolidated balance sheets as of June 30, 2026 and December 31, 2025, there are $8.2 million and $33.2 million, respectively, of prepaid wires denominated in foreign currencies, primarily Mexican pesos and Guatemalan quetzales.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also exposed to changes in currency rates as a result of our investments in foreign operations and revenues generated in currencies other than the U.S. dollar. Revenues and profits generated by our international operations will increase or decrease because of changes in foreign currency exchange rates. This foreign currency risk is related primarily to our operations in our foreign subsidiaries. Revenues from our foreign subsidiaries represents approximately 4% of our consolidated revenues for the six months ended June 30, 2026. Therefore, a 10% increase or decrease in these currency rates against the U.S. Dollar would result in a de minimis change to our overall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spot and average exchange rates for the currencies in which we operate to U.S. dollar are as follows:</w:t>
      </w:r>
    </w:p>
    <w:p>
      <w:pPr>
        <w:pStyle w:val="TextBody"/>
        <w:bidi w:val="0"/>
        <w:spacing w:before="0" w:after="0"/>
        <w:jc w:val="left"/>
        <w:rPr/>
      </w:pPr>
      <w:r>
        <w:rPr/>
      </w:r>
    </w:p>
    <w:tbl>
      <w:tblPr>
        <w:tblW w:w="7529" w:type="dxa"/>
        <w:jc w:val="left"/>
        <w:tblInd w:w="0" w:type="dxa"/>
        <w:tblLayout w:type="fixed"/>
        <w:tblCellMar>
          <w:top w:w="28" w:type="dxa"/>
          <w:left w:w="28" w:type="dxa"/>
          <w:bottom w:w="28" w:type="dxa"/>
          <w:right w:w="28" w:type="dxa"/>
        </w:tblCellMar>
      </w:tblPr>
      <w:tblGrid>
        <w:gridCol w:w="1030"/>
        <w:gridCol w:w="908"/>
        <w:gridCol w:w="912"/>
        <w:gridCol w:w="308"/>
        <w:gridCol w:w="308"/>
        <w:gridCol w:w="216"/>
        <w:gridCol w:w="109"/>
        <w:gridCol w:w="109"/>
        <w:gridCol w:w="109"/>
        <w:gridCol w:w="329"/>
        <w:gridCol w:w="329"/>
        <w:gridCol w:w="331"/>
        <w:gridCol w:w="109"/>
        <w:gridCol w:w="109"/>
        <w:gridCol w:w="109"/>
        <w:gridCol w:w="308"/>
        <w:gridCol w:w="308"/>
        <w:gridCol w:w="216"/>
        <w:gridCol w:w="109"/>
        <w:gridCol w:w="109"/>
        <w:gridCol w:w="109"/>
        <w:gridCol w:w="308"/>
        <w:gridCol w:w="308"/>
        <w:gridCol w:w="429"/>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Spot</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Spot</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w:t>
            </w:r>
            <w:r>
              <w:rPr>
                <w:rFonts w:ascii="Times New Roman;serif" w:hAnsi="Times New Roman;serif"/>
                <w:b/>
                <w:color w:val="000000"/>
                <w:sz w:val="13"/>
              </w:rPr>
              <w:t>(2)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dollar/Mexican Peso</w:t>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2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3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2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42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dollar/Guatemalan Quetzal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dollar/Canadian Dollar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dollar/Dominican Peso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dollar/Euro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dollar/British Pound Sterling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Spot exchange rates are as of June 30, 2026 and December 31, 2025.</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Average exchange rates are for the six months ended June 30, 2026 and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Long-term sustained appreciation of the Mexican peso or Guatemalan quetzal as compared to the U.S. dollar could affect our revenues and profit margins.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above, interest under the Second A&amp;R Credit Agreement is variable based on certain benchmark rates, including SOFR, EURIBOR and SONIA. Because interest expense is subject to fluctuation, if interest rates increase, our debt service obligations on such variable rate indebtedness would increase even though the amount borrowed may remain the same. Accordingly, an increase in interest rates would adversely affect our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Federal Reserve maintained the fed funds rate at 3.75%. As a consequence, other benchmark interest rates such as SOFR remained virtually unchanged. The Company expects that the Federal Reserve will continue to monitor inflation and other economic indicators to assess if any interest rate changes in 2026 are warranted. As of June 30, 2026, we had $113.8 million in outstanding borrowings under the revolving credit facility. A hypothetical 1% increase or decrease in the interest rate on our indebtedness as of June 30, 2026 would have increased or decreased cash interest expense on our revolving credit facility by approximately $1.1 million per annum,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certain cash balances in various U.S. banks, which at times, may exceed federally insured limits. We have not incurred any losses on these accounts. In addition, we maintain cash in various bank accounts in Mexico, Guatemala, Canada, Spain, the United Kingdom, Germany and Italy, which may not be fully insured. During the six months ended June 30, 2026,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exposed to credit risk related to receivable balances from sending agents, digital partners and other parties. We perform a credit review before each agent signing and conduct ongoing analyses of sending agents and certain other parties we transact with directly. As of June 30, 2026, we also had $5.5 million outstanding of agent advances receivable from sending agents. Most of the agent advances receivable are collateralized by personal guarantees from the sending agents and by assets from their businesses.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provision for credit losses was approximately $5.5 million for the six months ended June 30, 2026 (2.2% of total revenues) and $3.9 million for the six months ended June 30, 2025 (1.3% of total revenues). The increase in our provision for credit losses in the six months ended June 30, 2026 is primarily due to an increase in write-offs of agent receivable balances primarily as a result of sending agents that were not able to pay in accordance with the original terms of their agreements with us and are, accordingly, subject to our normal collection procedures as well as higher chargebacks of uncollected online money transfer transactions.</w:t>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required by Rules 13a-15(b) and 15d-15(b) under the Exchange Act, our Chief Executive Officer and President, and Chief Financial Officer, carried out an evaluation of the effectiveness of our disclosure controls and procedures as of June 30, 2026.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June 30, 2026.</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Reference is made to Note 17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principal risks that we believe are material to our business, results of operations and financial condition, from the risk factors previously disclosed in the Annual Report on Form 10-K for the year ended December 31, 2025 (the “2025 Form 10-K”). Prospective investors are encouraged to consider the risks described in our 2025 Form 10-K, our Management’s Discussion and Analysis of Financial Condition and Results of Operations contained in this Quarterly Report on Form 10-Q and in our 2025 Form 10-K, and other information publicly disclosed or contained in documents we file with the Securities and Exchange Commission before purchasing our securities.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repurchases of our common stock during the quarter ended June 30, 2026:</w:t>
      </w:r>
    </w:p>
    <w:tbl>
      <w:tblPr>
        <w:tblW w:w="10205" w:type="dxa"/>
        <w:jc w:val="left"/>
        <w:tblInd w:w="0" w:type="dxa"/>
        <w:tblLayout w:type="fixed"/>
        <w:tblCellMar>
          <w:top w:w="28" w:type="dxa"/>
          <w:left w:w="28" w:type="dxa"/>
          <w:bottom w:w="28" w:type="dxa"/>
          <w:right w:w="28" w:type="dxa"/>
        </w:tblCellMar>
      </w:tblPr>
      <w:tblGrid>
        <w:gridCol w:w="386"/>
        <w:gridCol w:w="339"/>
        <w:gridCol w:w="343"/>
        <w:gridCol w:w="109"/>
        <w:gridCol w:w="109"/>
        <w:gridCol w:w="109"/>
        <w:gridCol w:w="486"/>
        <w:gridCol w:w="486"/>
        <w:gridCol w:w="488"/>
        <w:gridCol w:w="109"/>
        <w:gridCol w:w="109"/>
        <w:gridCol w:w="109"/>
        <w:gridCol w:w="297"/>
        <w:gridCol w:w="869"/>
        <w:gridCol w:w="153"/>
        <w:gridCol w:w="109"/>
        <w:gridCol w:w="109"/>
        <w:gridCol w:w="109"/>
        <w:gridCol w:w="761"/>
        <w:gridCol w:w="761"/>
        <w:gridCol w:w="763"/>
        <w:gridCol w:w="109"/>
        <w:gridCol w:w="109"/>
        <w:gridCol w:w="109"/>
        <w:gridCol w:w="402"/>
        <w:gridCol w:w="2062"/>
        <w:gridCol w:w="301"/>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Program</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Program</w:t>
            </w:r>
          </w:p>
        </w:tc>
      </w:tr>
      <w:tr>
        <w:trPr/>
        <w:tc>
          <w:tcPr>
            <w:tcW w:w="1068"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through April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5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48,299,973 </w:t>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through May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48,299,973 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through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48,299,973 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(a)Represents 280, 343 and 7,563 shares withheld for income tax purposes in April, May and June, respectively, in connection with shares issued under compensation and benefit programs.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(b)On August 18, 2021, the Company’s Board of Directors approved a stock repurchase program (the “Repurchase Program”) that authorized the Company to purchase up to $40.0 million of outstanding shares of the Company’s common stock. The Repurchase Program does not have an expiration date. On March 3, 2023, the Board of Directors approved an increase to the Repurchase Program that authorizes the Company to purchase an additional $100.0 million of its outstanding shares. On August 26, 2024, the Board of Directors approved an increase to the Repurchase Program that authorizes the Company to purchase an additional $63.8 million of its outstanding shares. The Company has suspended activity under the Repurchase Program and does not intend to make further repurchases under it during the pendency of the Merger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the quarter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3"/>
        <w:gridCol w:w="302"/>
        <w:gridCol w:w="303"/>
        <w:gridCol w:w="2699"/>
        <w:gridCol w:w="2699"/>
        <w:gridCol w:w="3859"/>
      </w:tblGrid>
      <w:tr>
        <w:trPr/>
        <w:tc>
          <w:tcPr>
            <w:tcW w:w="3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59"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Document</w:t>
            </w:r>
          </w:p>
        </w:tc>
      </w:tr>
      <w:tr>
        <w:trPr/>
        <w:tc>
          <w:tcPr>
            <w:tcW w:w="948" w:type="dxa"/>
            <w:gridSpan w:val="3"/>
            <w:tcBorders/>
            <w:vAlign w:val="center"/>
          </w:tcPr>
          <w:p>
            <w:pPr>
              <w:pStyle w:val="TableContents"/>
              <w:bidi w:val="0"/>
              <w:spacing w:before="0" w:after="283"/>
              <w:jc w:val="left"/>
              <w:rPr>
                <w:sz w:val="4"/>
                <w:szCs w:val="4"/>
              </w:rPr>
            </w:pPr>
            <w:r>
              <w:rPr>
                <w:sz w:val="4"/>
                <w:szCs w:val="4"/>
              </w:rPr>
            </w:r>
          </w:p>
        </w:tc>
        <w:tc>
          <w:tcPr>
            <w:tcW w:w="9257" w:type="dxa"/>
            <w:gridSpan w:val="3"/>
            <w:tcBorders/>
            <w:vAlign w:val="center"/>
          </w:tcPr>
          <w:p>
            <w:pPr>
              <w:pStyle w:val="TableContents"/>
              <w:bidi w:val="0"/>
              <w:spacing w:before="0" w:after="283"/>
              <w:jc w:val="left"/>
              <w:rPr>
                <w:sz w:val="4"/>
                <w:szCs w:val="4"/>
              </w:rPr>
            </w:pPr>
            <w:r>
              <w:rPr>
                <w:sz w:val="4"/>
                <w:szCs w:val="4"/>
              </w:rPr>
            </w:r>
          </w:p>
        </w:tc>
      </w:tr>
      <w:tr>
        <w:trPr/>
        <w:tc>
          <w:tcPr>
            <w:tcW w:w="948" w:type="dxa"/>
            <w:gridSpan w:val="3"/>
            <w:tcBorders/>
            <w:vAlign w:val="center"/>
          </w:tcPr>
          <w:p>
            <w:pPr>
              <w:pStyle w:val="TableContents"/>
              <w:bidi w:val="0"/>
              <w:spacing w:before="0" w:after="283"/>
              <w:jc w:val="left"/>
              <w:rPr>
                <w:sz w:val="4"/>
                <w:szCs w:val="4"/>
              </w:rPr>
            </w:pPr>
            <w:r>
              <w:rPr>
                <w:sz w:val="4"/>
                <w:szCs w:val="4"/>
              </w:rPr>
            </w:r>
          </w:p>
        </w:tc>
        <w:tc>
          <w:tcPr>
            <w:tcW w:w="9257" w:type="dxa"/>
            <w:gridSpan w:val="3"/>
            <w:tcBorders/>
            <w:vAlign w:val="center"/>
          </w:tcPr>
          <w:p>
            <w:pPr>
              <w:pStyle w:val="TableContents"/>
              <w:bidi w:val="0"/>
              <w:spacing w:before="0" w:after="283"/>
              <w:jc w:val="left"/>
              <w:rPr>
                <w:sz w:val="4"/>
                <w:szCs w:val="4"/>
              </w:rPr>
            </w:pPr>
            <w:r>
              <w:rPr>
                <w:sz w:val="4"/>
                <w:szCs w:val="4"/>
              </w:rPr>
            </w:r>
          </w:p>
        </w:tc>
      </w:tr>
      <w:tr>
        <w:trPr/>
        <w:tc>
          <w:tcPr>
            <w:tcW w:w="948" w:type="dxa"/>
            <w:gridSpan w:val="3"/>
            <w:tcBorders/>
            <w:vAlign w:val="center"/>
          </w:tcPr>
          <w:p>
            <w:pPr>
              <w:pStyle w:val="TableContents"/>
              <w:bidi w:val="0"/>
              <w:spacing w:before="0" w:after="283"/>
              <w:jc w:val="left"/>
              <w:rPr>
                <w:sz w:val="4"/>
                <w:szCs w:val="4"/>
              </w:rPr>
            </w:pPr>
            <w:r>
              <w:rPr>
                <w:sz w:val="4"/>
                <w:szCs w:val="4"/>
              </w:rPr>
            </w:r>
          </w:p>
        </w:tc>
        <w:tc>
          <w:tcPr>
            <w:tcW w:w="9257" w:type="dxa"/>
            <w:gridSpan w:val="3"/>
            <w:tcBorders/>
            <w:vAlign w:val="center"/>
          </w:tcPr>
          <w:p>
            <w:pPr>
              <w:pStyle w:val="TableContents"/>
              <w:bidi w:val="0"/>
              <w:spacing w:before="0" w:after="283"/>
              <w:jc w:val="left"/>
              <w:rPr>
                <w:sz w:val="4"/>
                <w:szCs w:val="4"/>
              </w:rPr>
            </w:pPr>
            <w:r>
              <w:rPr>
                <w:sz w:val="4"/>
                <w:szCs w:val="4"/>
              </w:rPr>
            </w:r>
          </w:p>
        </w:tc>
      </w:tr>
      <w:tr>
        <w:trPr/>
        <w:tc>
          <w:tcPr>
            <w:tcW w:w="948" w:type="dxa"/>
            <w:gridSpan w:val="3"/>
            <w:tcBorders/>
            <w:vAlign w:val="center"/>
          </w:tcPr>
          <w:p>
            <w:pPr>
              <w:pStyle w:val="TableContents"/>
              <w:bidi w:val="0"/>
              <w:spacing w:before="0" w:after="283"/>
              <w:jc w:val="left"/>
              <w:rPr>
                <w:sz w:val="4"/>
                <w:szCs w:val="4"/>
              </w:rPr>
            </w:pPr>
            <w:r>
              <w:rPr>
                <w:sz w:val="4"/>
                <w:szCs w:val="4"/>
              </w:rPr>
            </w:r>
          </w:p>
        </w:tc>
        <w:tc>
          <w:tcPr>
            <w:tcW w:w="9257" w:type="dxa"/>
            <w:gridSpan w:val="3"/>
            <w:tcBorders/>
            <w:vAlign w:val="center"/>
          </w:tcPr>
          <w:p>
            <w:pPr>
              <w:pStyle w:val="TableContents"/>
              <w:bidi w:val="0"/>
              <w:spacing w:before="0" w:after="283"/>
              <w:jc w:val="left"/>
              <w:rPr>
                <w:sz w:val="4"/>
                <w:szCs w:val="4"/>
              </w:rPr>
            </w:pPr>
            <w:r>
              <w:rPr>
                <w:sz w:val="4"/>
                <w:szCs w:val="4"/>
              </w:rPr>
            </w:r>
          </w:p>
        </w:tc>
      </w:tr>
      <w:tr>
        <w:trPr/>
        <w:tc>
          <w:tcPr>
            <w:tcW w:w="948" w:type="dxa"/>
            <w:gridSpan w:val="3"/>
            <w:tcBorders/>
            <w:vAlign w:val="center"/>
          </w:tcPr>
          <w:p>
            <w:pPr>
              <w:pStyle w:val="TableContents"/>
              <w:bidi w:val="0"/>
              <w:spacing w:before="0" w:after="283"/>
              <w:jc w:val="left"/>
              <w:rPr>
                <w:sz w:val="4"/>
                <w:szCs w:val="4"/>
              </w:rPr>
            </w:pPr>
            <w:r>
              <w:rPr>
                <w:sz w:val="4"/>
                <w:szCs w:val="4"/>
              </w:rPr>
            </w:r>
          </w:p>
        </w:tc>
        <w:tc>
          <w:tcPr>
            <w:tcW w:w="9257" w:type="dxa"/>
            <w:gridSpan w:val="3"/>
            <w:tcBorders/>
            <w:vAlign w:val="center"/>
          </w:tcPr>
          <w:p>
            <w:pPr>
              <w:pStyle w:val="TableContents"/>
              <w:bidi w:val="0"/>
              <w:spacing w:before="0" w:after="283"/>
              <w:jc w:val="left"/>
              <w:rPr>
                <w:sz w:val="4"/>
                <w:szCs w:val="4"/>
              </w:rPr>
            </w:pPr>
            <w:r>
              <w:rPr>
                <w:sz w:val="4"/>
                <w:szCs w:val="4"/>
              </w:rPr>
            </w:r>
          </w:p>
        </w:tc>
      </w:tr>
      <w:tr>
        <w:trPr/>
        <w:tc>
          <w:tcPr>
            <w:tcW w:w="948" w:type="dxa"/>
            <w:gridSpan w:val="3"/>
            <w:tcBorders/>
            <w:vAlign w:val="center"/>
          </w:tcPr>
          <w:p>
            <w:pPr>
              <w:pStyle w:val="TableContents"/>
              <w:bidi w:val="0"/>
              <w:spacing w:before="0" w:after="283"/>
              <w:jc w:val="left"/>
              <w:rPr>
                <w:sz w:val="4"/>
                <w:szCs w:val="4"/>
              </w:rPr>
            </w:pPr>
            <w:r>
              <w:rPr>
                <w:sz w:val="4"/>
                <w:szCs w:val="4"/>
              </w:rPr>
            </w:r>
          </w:p>
        </w:tc>
        <w:tc>
          <w:tcPr>
            <w:tcW w:w="9257" w:type="dxa"/>
            <w:gridSpan w:val="3"/>
            <w:tcBorders/>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 Chief Executive Officer</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 Chief Financial Officer</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22026.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 1350.</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q22026.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 1350.</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2026, formatted in Inline XBRL (included with the Exhibit 101 attachments).</w:t>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ind w:left="0" w:right="0" w:hanging="270"/>
        <w:jc w:val="left"/>
        <w:rPr/>
      </w:pPr>
      <w:r>
        <w:rPr/>
      </w:r>
    </w:p>
    <w:p>
      <w:pPr>
        <w:pStyle w:val="TextBody"/>
        <w:bidi w:val="0"/>
        <w:spacing w:before="0" w:after="240"/>
        <w:ind w:left="0" w:right="0" w:firstLine="720"/>
        <w:jc w:val="left"/>
        <w:rPr/>
      </w:pPr>
      <w:r>
        <w:rPr/>
      </w:r>
    </w:p>
    <w:p>
      <w:pPr>
        <w:pStyle w:val="TextBody"/>
        <w:bidi w:val="0"/>
        <w:spacing w:before="0" w:after="24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63ada1b6f30434a840b835ca148adb3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79" w:type="dxa"/>
        <w:jc w:val="left"/>
        <w:tblInd w:w="0" w:type="dxa"/>
        <w:tblLayout w:type="fixed"/>
        <w:tblCellMar>
          <w:top w:w="28" w:type="dxa"/>
          <w:left w:w="28" w:type="dxa"/>
          <w:bottom w:w="28" w:type="dxa"/>
          <w:right w:w="28" w:type="dxa"/>
        </w:tblCellMar>
      </w:tblPr>
      <w:tblGrid>
        <w:gridCol w:w="705"/>
        <w:gridCol w:w="621"/>
        <w:gridCol w:w="624"/>
        <w:gridCol w:w="633"/>
        <w:gridCol w:w="633"/>
        <w:gridCol w:w="633"/>
        <w:gridCol w:w="967"/>
        <w:gridCol w:w="967"/>
        <w:gridCol w:w="139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Money Express, Inc. (Registrant)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 and President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943"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700" w:before="0" w:after="240"/>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Robert Lisy,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International Money Express,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89"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935"/>
        <w:gridCol w:w="935"/>
        <w:gridCol w:w="134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604" w:before="0" w:after="180"/>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Andras Bende,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International Money Express,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94"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707"/>
        <w:gridCol w:w="707"/>
        <w:gridCol w:w="100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8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556" w:before="0" w:after="240"/>
        <w:jc w:val="both"/>
        <w:rPr>
          <w:rFonts w:ascii="Times New Roman;serif" w:hAnsi="Times New Roman;serif"/>
          <w:b w:val="false"/>
          <w:color w:val="000000"/>
          <w:sz w:val="20"/>
        </w:rPr>
      </w:pPr>
      <w:r>
        <w:rPr>
          <w:rFonts w:ascii="Times New Roman;serif" w:hAnsi="Times New Roman;serif"/>
          <w:b w:val="false"/>
          <w:color w:val="000000"/>
          <w:sz w:val="20"/>
        </w:rPr>
        <w:t>I, Robert Lisy, Chief Executive Officer and President of International Money Express, Inc. (the “Company”), certify, pursuant to 18 U.S.C. Section 1350, that, to my knowledge:</w:t>
      </w:r>
    </w:p>
    <w:p>
      <w:pPr>
        <w:pStyle w:val="TextBody"/>
        <w:bidi w:val="0"/>
        <w:spacing w:lineRule="auto" w:line="556"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quarterly period ended June 30, 2026 (the “Report”) fully complies with the requirements of Section 13(a) or 15(d) of the Securities Exchange Act of 1934, as amended; and</w:t>
      </w:r>
    </w:p>
    <w:p>
      <w:pPr>
        <w:pStyle w:val="TextBody"/>
        <w:bidi w:val="0"/>
        <w:spacing w:lineRule="auto" w:line="556"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731" w:type="dxa"/>
        <w:jc w:val="left"/>
        <w:tblInd w:w="0" w:type="dxa"/>
        <w:tblLayout w:type="fixed"/>
        <w:tblCellMar>
          <w:top w:w="28" w:type="dxa"/>
          <w:left w:w="28" w:type="dxa"/>
          <w:bottom w:w="28" w:type="dxa"/>
          <w:right w:w="28" w:type="dxa"/>
        </w:tblCellMar>
      </w:tblPr>
      <w:tblGrid>
        <w:gridCol w:w="705"/>
        <w:gridCol w:w="621"/>
        <w:gridCol w:w="624"/>
        <w:gridCol w:w="189"/>
        <w:gridCol w:w="189"/>
        <w:gridCol w:w="193"/>
        <w:gridCol w:w="935"/>
        <w:gridCol w:w="935"/>
        <w:gridCol w:w="134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556" w:before="0" w:after="240"/>
        <w:jc w:val="both"/>
        <w:rPr>
          <w:rFonts w:ascii="Times New Roman;serif" w:hAnsi="Times New Roman;serif"/>
          <w:b w:val="false"/>
          <w:color w:val="000000"/>
          <w:sz w:val="20"/>
        </w:rPr>
      </w:pPr>
      <w:r>
        <w:rPr>
          <w:rFonts w:ascii="Times New Roman;serif" w:hAnsi="Times New Roman;serif"/>
          <w:b w:val="false"/>
          <w:color w:val="000000"/>
          <w:sz w:val="20"/>
        </w:rPr>
        <w:t>I, Andras Bende, Chief Financial Officer of International Money Express, Inc. (the “Company”), certify, pursuant to 18 U.S.C. Section 1350, that, to my knowledge:</w:t>
      </w:r>
    </w:p>
    <w:p>
      <w:pPr>
        <w:pStyle w:val="TextBody"/>
        <w:bidi w:val="0"/>
        <w:spacing w:lineRule="auto" w:line="556"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quarterly period ended June 30, 2026 (the “Report”) fully complies with the requirements of Section 13(a) or 15(d) of the Securities Exchange Act of 1934, as amended; and</w:t>
      </w:r>
    </w:p>
    <w:p>
      <w:pPr>
        <w:pStyle w:val="TextBody"/>
        <w:bidi w:val="0"/>
        <w:spacing w:lineRule="auto" w:line="556"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994"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707"/>
        <w:gridCol w:w="707"/>
        <w:gridCol w:w="100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25256</Words>
  <Characters>141243</Characters>
  <CharactersWithSpaces>164863</CharactersWithSpaces>
  <Paragraphs>3061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