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be4e2b7e986647bebd101c553674214d_7">
        <w:r>
          <w:rPr>
            <w:rStyle w:val="InternetLink"/>
            <w:rFonts w:ascii="Times New Roman;serif" w:hAnsi="Times New Roman;serif"/>
            <w:b w:val="false"/>
            <w:i/>
            <w:color w:val="0000FF"/>
            <w:sz w:val="20"/>
            <w:u w:val="single"/>
          </w:rPr>
          <w:t>Index</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80"/>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2025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20"/>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to </w:t>
      </w:r>
      <w:r>
        <w:rPr>
          <w:color w:val="000000"/>
          <w:u w:val="single"/>
        </w:rPr>
        <w:t>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Commission File No. 001-37986</w:t>
      </w:r>
    </w:p>
    <w:tbl>
      <w:tblPr>
        <w:tblW w:w="6405" w:type="dxa"/>
        <w:jc w:val="center"/>
        <w:tblInd w:w="0" w:type="dxa"/>
        <w:tblLayout w:type="fixed"/>
        <w:tblCellMar>
          <w:top w:w="28" w:type="dxa"/>
          <w:left w:w="28" w:type="dxa"/>
          <w:bottom w:w="28" w:type="dxa"/>
          <w:right w:w="28" w:type="dxa"/>
        </w:tblCellMar>
      </w:tblPr>
      <w:tblGrid>
        <w:gridCol w:w="2051"/>
        <w:gridCol w:w="1802"/>
        <w:gridCol w:w="2552"/>
      </w:tblGrid>
      <w:tr>
        <w:trPr/>
        <w:tc>
          <w:tcPr>
            <w:tcW w:w="2051"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32"/>
              </w:rPr>
            </w:pPr>
            <w:r>
              <w:rPr>
                <w:rFonts w:ascii="Times New Roman;serif" w:hAnsi="Times New Roman;serif"/>
                <w:b/>
                <w:color w:val="000000"/>
                <w:sz w:val="32"/>
              </w:rPr>
              <w:t>INTERNATIONAL MONEY EXPRESS, INC.</w:t>
            </w:r>
          </w:p>
        </w:tc>
      </w:tr>
      <w:tr>
        <w:trPr/>
        <w:tc>
          <w:tcPr>
            <w:tcW w:w="64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47-4219082</w:t>
            </w:r>
          </w:p>
        </w:tc>
      </w:tr>
      <w:tr>
        <w:trPr/>
        <w:tc>
          <w:tcPr>
            <w:tcW w:w="49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9100 South Dadeland Blvd. Suite 1100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Miami, 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33156</w:t>
            </w:r>
          </w:p>
        </w:tc>
      </w:tr>
      <w:tr>
        <w:trPr/>
        <w:tc>
          <w:tcPr>
            <w:tcW w:w="49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4470" w:type="dxa"/>
        <w:jc w:val="left"/>
        <w:tblInd w:w="0" w:type="dxa"/>
        <w:tblLayout w:type="fixed"/>
        <w:tblCellMar>
          <w:top w:w="28" w:type="dxa"/>
          <w:left w:w="28" w:type="dxa"/>
          <w:bottom w:w="28" w:type="dxa"/>
          <w:right w:w="28" w:type="dxa"/>
        </w:tblCellMar>
      </w:tblPr>
      <w:tblGrid>
        <w:gridCol w:w="1428"/>
        <w:gridCol w:w="1257"/>
        <w:gridCol w:w="1785"/>
      </w:tblGrid>
      <w:tr>
        <w:trPr/>
        <w:tc>
          <w:tcPr>
            <w:tcW w:w="142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(305) 671-8000</w:t>
            </w:r>
          </w:p>
        </w:tc>
      </w:tr>
      <w:tr>
        <w:trPr/>
        <w:tc>
          <w:tcPr>
            <w:tcW w:w="4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before="0" w:after="60"/>
        <w:ind w:left="0" w:right="0" w:firstLine="720"/>
        <w:jc w:val="left"/>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03" w:type="dxa"/>
        <w:jc w:val="center"/>
        <w:tblInd w:w="0" w:type="dxa"/>
        <w:tblLayout w:type="fixed"/>
        <w:tblCellMar>
          <w:top w:w="28" w:type="dxa"/>
          <w:left w:w="28" w:type="dxa"/>
          <w:bottom w:w="28" w:type="dxa"/>
          <w:right w:w="28" w:type="dxa"/>
        </w:tblCellMar>
      </w:tblPr>
      <w:tblGrid>
        <w:gridCol w:w="1078"/>
        <w:gridCol w:w="947"/>
        <w:gridCol w:w="959"/>
        <w:gridCol w:w="564"/>
        <w:gridCol w:w="564"/>
        <w:gridCol w:w="566"/>
        <w:gridCol w:w="1118"/>
        <w:gridCol w:w="1118"/>
        <w:gridCol w:w="1589"/>
      </w:tblGrid>
      <w:tr>
        <w:trPr/>
        <w:tc>
          <w:tcPr>
            <w:tcW w:w="107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IMXI</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pPr>
      <w:r>
        <w:rPr/>
      </w:r>
    </w:p>
    <w:tbl>
      <w:tblPr>
        <w:tblW w:w="4928" w:type="dxa"/>
        <w:jc w:val="left"/>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689"/>
        <w:gridCol w:w="689"/>
        <w:gridCol w:w="9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r>
      <w:tr>
        <w:trPr/>
        <w:tc>
          <w:tcPr>
            <w:tcW w:w="22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August 6, 2025, there were 29,684,054 shares of the registrant’s common stock, $0.0001 par value per share, outstanding. The registrant has no other class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720"/>
                        <w:jc w:val="left"/>
                        <w:rPr/>
                      </w:pPr>
                      <w:r>
                        <w:rPr/>
                      </w:r>
                    </w:p>
                  </w:txbxContent>
                </v:textbox>
                <w10:wrap type="none"/>
              </v:rect>
            </w:pict>
          </mc:Fallback>
        </mc:AlternateContent>
      </w:r>
    </w:p>
    <w:p>
      <w:pPr>
        <w:pStyle w:val="TextBody"/>
        <w:bidi w:val="0"/>
        <w:spacing w:lineRule="auto" w:line="288" w:before="0" w:after="24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INDEX TO FINANCIAL STATEMENTS</w:t>
      </w:r>
    </w:p>
    <w:tbl>
      <w:tblPr>
        <w:tblW w:w="10205" w:type="dxa"/>
        <w:jc w:val="left"/>
        <w:tblInd w:w="0" w:type="dxa"/>
        <w:tblLayout w:type="fixed"/>
        <w:tblCellMar>
          <w:top w:w="28" w:type="dxa"/>
          <w:left w:w="28" w:type="dxa"/>
          <w:bottom w:w="28" w:type="dxa"/>
          <w:right w:w="28" w:type="dxa"/>
        </w:tblCellMar>
      </w:tblPr>
      <w:tblGrid>
        <w:gridCol w:w="848"/>
        <w:gridCol w:w="746"/>
        <w:gridCol w:w="746"/>
        <w:gridCol w:w="2516"/>
        <w:gridCol w:w="2380"/>
        <w:gridCol w:w="2395"/>
        <w:gridCol w:w="167"/>
        <w:gridCol w:w="167"/>
        <w:gridCol w:w="240"/>
      </w:tblGrid>
      <w:tr>
        <w:trPr/>
        <w:tc>
          <w:tcPr>
            <w:tcW w:w="84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e4e2b7e986647bebd101c553674214d_10">
              <w:r>
                <w:rPr>
                  <w:rStyle w:val="InternetLink"/>
                  <w:rFonts w:ascii="Times New Roman;serif" w:hAnsi="Times New Roman;serif"/>
                  <w:b/>
                  <w:color w:val="0000FF"/>
                  <w:sz w:val="20"/>
                  <w:u w:val="single"/>
                </w:rPr>
                <w:t>SPECIAL NOTE REGARDING FORWARD-LOOKING STATEMENTS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e4e2b7e986647bebd101c553674214d_10">
              <w:r>
                <w:rPr>
                  <w:rStyle w:val="InternetLink"/>
                  <w:rFonts w:ascii="Times New Roman;serif" w:hAnsi="Times New Roman;serif"/>
                  <w:b w:val="false"/>
                  <w:strike w:val="false"/>
                  <w:dstrike w:val="false"/>
                  <w:color w:val="0000FF"/>
                  <w:sz w:val="20"/>
                  <w:u w:val="none"/>
                  <w:effect w:val="none"/>
                </w:rPr>
                <w:t>3</w:t>
              </w:r>
            </w:hyperlink>
          </w:p>
        </w:tc>
      </w:tr>
      <w:tr>
        <w:trPr/>
        <w:tc>
          <w:tcPr>
            <w:tcW w:w="96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1 - FINANCIAL INFORMATION</w:t>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e4e2b7e986647bebd101c553674214d_16">
              <w:r>
                <w:rPr>
                  <w:rStyle w:val="InternetLink"/>
                  <w:rFonts w:ascii="Times New Roman;serif" w:hAnsi="Times New Roman;serif"/>
                  <w:b w:val="false"/>
                  <w:color w:val="0000FF"/>
                  <w:sz w:val="20"/>
                  <w:u w:val="single"/>
                </w:rPr>
                <w:t>Financial Statements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e4e2b7e986647bebd101c553674214d_16">
              <w:r>
                <w:rPr>
                  <w:rStyle w:val="InternetLink"/>
                  <w:rFonts w:ascii="Times New Roman;serif" w:hAnsi="Times New Roman;serif"/>
                  <w:b w:val="false"/>
                  <w:strike w:val="false"/>
                  <w:dstrike w:val="false"/>
                  <w:color w:val="0000FF"/>
                  <w:sz w:val="20"/>
                  <w:u w:val="none"/>
                  <w:effect w:val="none"/>
                </w:rPr>
                <w:t>4</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e4e2b7e986647bebd101c553674214d_19">
              <w:r>
                <w:rPr>
                  <w:rStyle w:val="InternetLink"/>
                  <w:rFonts w:ascii="Times New Roman;serif" w:hAnsi="Times New Roman;serif"/>
                  <w:b w:val="false"/>
                  <w:color w:val="0000FF"/>
                  <w:sz w:val="20"/>
                  <w:u w:val="single"/>
                </w:rPr>
                <w:t>Condensed Consolidated Balance Sheets as of June 30, 2025 and December 31, 2024</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e4e2b7e986647bebd101c553674214d_19">
              <w:r>
                <w:rPr>
                  <w:rStyle w:val="InternetLink"/>
                  <w:rFonts w:ascii="Times New Roman;serif" w:hAnsi="Times New Roman;serif"/>
                  <w:b w:val="false"/>
                  <w:strike w:val="false"/>
                  <w:dstrike w:val="false"/>
                  <w:color w:val="0000FF"/>
                  <w:sz w:val="20"/>
                  <w:u w:val="none"/>
                  <w:effect w:val="none"/>
                </w:rPr>
                <w:t>4</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e4e2b7e986647bebd101c553674214d_22">
              <w:r>
                <w:rPr>
                  <w:rStyle w:val="InternetLink"/>
                  <w:rFonts w:ascii="Times New Roman;serif" w:hAnsi="Times New Roman;serif"/>
                  <w:b w:val="false"/>
                  <w:color w:val="0000FF"/>
                  <w:sz w:val="20"/>
                  <w:u w:val="single"/>
                </w:rPr>
                <w:t>Condensed Consolidated Statements of Income and Comprehensive Income for the Three and Six Months Ended June 30, 2025 and 2024</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e4e2b7e986647bebd101c553674214d_22">
              <w:r>
                <w:rPr>
                  <w:rStyle w:val="InternetLink"/>
                  <w:rFonts w:ascii="Times New Roman;serif" w:hAnsi="Times New Roman;serif"/>
                  <w:b w:val="false"/>
                  <w:strike w:val="false"/>
                  <w:dstrike w:val="false"/>
                  <w:color w:val="0000FF"/>
                  <w:sz w:val="20"/>
                  <w:u w:val="none"/>
                  <w:effect w:val="none"/>
                </w:rPr>
                <w:t>5</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e4e2b7e986647bebd101c553674214d_25">
              <w:r>
                <w:rPr>
                  <w:rStyle w:val="InternetLink"/>
                  <w:rFonts w:ascii="Times New Roman;serif" w:hAnsi="Times New Roman;serif"/>
                  <w:b w:val="false"/>
                  <w:color w:val="0000FF"/>
                  <w:sz w:val="20"/>
                  <w:u w:val="single"/>
                </w:rPr>
                <w:t>Condensed Consolidated Statements of Changes in Stockholders’ Equity for the Three and Six Months Ended June 30, 2025 and 2024</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e4e2b7e986647bebd101c553674214d_25">
              <w:r>
                <w:rPr>
                  <w:rStyle w:val="InternetLink"/>
                  <w:rFonts w:ascii="Times New Roman;serif" w:hAnsi="Times New Roman;serif"/>
                  <w:b w:val="false"/>
                  <w:strike w:val="false"/>
                  <w:dstrike w:val="false"/>
                  <w:color w:val="0000FF"/>
                  <w:sz w:val="20"/>
                  <w:u w:val="none"/>
                  <w:effect w:val="none"/>
                </w:rPr>
                <w:t>6</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e4e2b7e986647bebd101c553674214d_28">
              <w:r>
                <w:rPr>
                  <w:rStyle w:val="InternetLink"/>
                  <w:rFonts w:ascii="Times New Roman;serif" w:hAnsi="Times New Roman;serif"/>
                  <w:b w:val="false"/>
                  <w:color w:val="0000FF"/>
                  <w:sz w:val="20"/>
                  <w:u w:val="single"/>
                </w:rPr>
                <w:t>Condensed Consolidated Statements of Cash Flows for the Six Months Ended June 30, 2025 and 2024</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e4e2b7e986647bebd101c553674214d_28">
              <w:r>
                <w:rPr>
                  <w:rStyle w:val="InternetLink"/>
                  <w:rFonts w:ascii="Times New Roman;serif" w:hAnsi="Times New Roman;serif"/>
                  <w:b w:val="false"/>
                  <w:strike w:val="false"/>
                  <w:dstrike w:val="false"/>
                  <w:color w:val="0000FF"/>
                  <w:sz w:val="20"/>
                  <w:u w:val="none"/>
                  <w:effect w:val="none"/>
                </w:rPr>
                <w:t>8</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e4e2b7e986647bebd101c553674214d_31">
              <w:r>
                <w:rPr>
                  <w:rStyle w:val="InternetLink"/>
                  <w:rFonts w:ascii="Times New Roman;serif" w:hAnsi="Times New Roman;serif"/>
                  <w:b w:val="false"/>
                  <w:color w:val="0000FF"/>
                  <w:sz w:val="20"/>
                  <w:u w:val="single"/>
                </w:rPr>
                <w:t>Notes to Condensed Consolidated Financial Statements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e4e2b7e986647bebd101c553674214d_31">
              <w:r>
                <w:rPr>
                  <w:rStyle w:val="InternetLink"/>
                  <w:rFonts w:ascii="Times New Roman;serif" w:hAnsi="Times New Roman;serif"/>
                  <w:b w:val="false"/>
                  <w:strike w:val="false"/>
                  <w:dstrike w:val="false"/>
                  <w:color w:val="0000FF"/>
                  <w:sz w:val="20"/>
                  <w:u w:val="none"/>
                  <w:effect w:val="none"/>
                </w:rPr>
                <w:t>10</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e4e2b7e986647bebd101c553674214d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e4e2b7e986647bebd101c553674214d_91">
              <w:r>
                <w:rPr>
                  <w:rStyle w:val="InternetLink"/>
                  <w:rFonts w:ascii="Times New Roman;serif" w:hAnsi="Times New Roman;serif"/>
                  <w:b w:val="false"/>
                  <w:strike w:val="false"/>
                  <w:dstrike w:val="false"/>
                  <w:color w:val="0000FF"/>
                  <w:sz w:val="20"/>
                  <w:u w:val="none"/>
                  <w:effect w:val="none"/>
                </w:rPr>
                <w:t>28</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e4e2b7e986647bebd101c553674214d_118">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e4e2b7e986647bebd101c553674214d_118">
              <w:r>
                <w:rPr>
                  <w:rStyle w:val="InternetLink"/>
                  <w:rFonts w:ascii="Times New Roman;serif" w:hAnsi="Times New Roman;serif"/>
                  <w:b w:val="false"/>
                  <w:strike w:val="false"/>
                  <w:dstrike w:val="false"/>
                  <w:color w:val="0000FF"/>
                  <w:sz w:val="20"/>
                  <w:u w:val="none"/>
                  <w:effect w:val="none"/>
                </w:rPr>
                <w:t>48</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e4e2b7e986647bebd101c553674214d_121">
              <w:r>
                <w:rPr>
                  <w:rStyle w:val="InternetLink"/>
                  <w:rFonts w:ascii="Times New Roman;serif" w:hAnsi="Times New Roman;serif"/>
                  <w:b w:val="false"/>
                  <w:color w:val="0000FF"/>
                  <w:sz w:val="20"/>
                  <w:u w:val="single"/>
                </w:rPr>
                <w:t>Controls and Procedures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e4e2b7e986647bebd101c553674214d_121">
              <w:r>
                <w:rPr>
                  <w:rStyle w:val="InternetLink"/>
                  <w:rFonts w:ascii="Times New Roman;serif" w:hAnsi="Times New Roman;serif"/>
                  <w:b w:val="false"/>
                  <w:strike w:val="false"/>
                  <w:dstrike w:val="false"/>
                  <w:color w:val="0000FF"/>
                  <w:sz w:val="20"/>
                  <w:u w:val="none"/>
                  <w:effect w:val="none"/>
                </w:rPr>
                <w:t>50</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 OTHER INFORMATION</w:t>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e4e2b7e986647bebd101c553674214d_127">
              <w:r>
                <w:rPr>
                  <w:rStyle w:val="InternetLink"/>
                  <w:rFonts w:ascii="Times New Roman;serif" w:hAnsi="Times New Roman;serif"/>
                  <w:b w:val="false"/>
                  <w:color w:val="0000FF"/>
                  <w:sz w:val="20"/>
                  <w:u w:val="single"/>
                </w:rPr>
                <w:t>Legal Proceedings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e4e2b7e986647bebd101c553674214d_127">
              <w:r>
                <w:rPr>
                  <w:rStyle w:val="InternetLink"/>
                  <w:rFonts w:ascii="Times New Roman;serif" w:hAnsi="Times New Roman;serif"/>
                  <w:b w:val="false"/>
                  <w:strike w:val="false"/>
                  <w:dstrike w:val="false"/>
                  <w:color w:val="0000FF"/>
                  <w:sz w:val="20"/>
                  <w:u w:val="none"/>
                  <w:effect w:val="none"/>
                </w:rPr>
                <w:t>51</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e4e2b7e986647bebd101c553674214d_130">
              <w:r>
                <w:rPr>
                  <w:rStyle w:val="InternetLink"/>
                  <w:rFonts w:ascii="Times New Roman;serif" w:hAnsi="Times New Roman;serif"/>
                  <w:b w:val="false"/>
                  <w:color w:val="0000FF"/>
                  <w:sz w:val="20"/>
                  <w:u w:val="single"/>
                </w:rPr>
                <w:t>Risk Factors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e4e2b7e986647bebd101c553674214d_130">
              <w:r>
                <w:rPr>
                  <w:rStyle w:val="InternetLink"/>
                  <w:rFonts w:ascii="Times New Roman;serif" w:hAnsi="Times New Roman;serif"/>
                  <w:b w:val="false"/>
                  <w:strike w:val="false"/>
                  <w:dstrike w:val="false"/>
                  <w:color w:val="0000FF"/>
                  <w:sz w:val="20"/>
                  <w:u w:val="none"/>
                  <w:effect w:val="none"/>
                </w:rPr>
                <w:t>51</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e4e2b7e986647bebd101c553674214d_133">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e4e2b7e986647bebd101c553674214d_133">
              <w:r>
                <w:rPr>
                  <w:rStyle w:val="InternetLink"/>
                  <w:rFonts w:ascii="Times New Roman;serif" w:hAnsi="Times New Roman;serif"/>
                  <w:b w:val="false"/>
                  <w:strike w:val="false"/>
                  <w:dstrike w:val="false"/>
                  <w:color w:val="0000FF"/>
                  <w:sz w:val="20"/>
                  <w:u w:val="none"/>
                  <w:effect w:val="none"/>
                </w:rPr>
                <w:t>52</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e4e2b7e986647bebd101c553674214d_136">
              <w:r>
                <w:rPr>
                  <w:rStyle w:val="InternetLink"/>
                  <w:rFonts w:ascii="Times New Roman;serif" w:hAnsi="Times New Roman;serif"/>
                  <w:b w:val="false"/>
                  <w:color w:val="0000FF"/>
                  <w:sz w:val="20"/>
                  <w:u w:val="single"/>
                </w:rPr>
                <w:t>Defaults Upon Senior Securities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e4e2b7e986647bebd101c553674214d_136">
              <w:r>
                <w:rPr>
                  <w:rStyle w:val="InternetLink"/>
                  <w:rFonts w:ascii="Times New Roman;serif" w:hAnsi="Times New Roman;serif"/>
                  <w:b w:val="false"/>
                  <w:strike w:val="false"/>
                  <w:dstrike w:val="false"/>
                  <w:color w:val="0000FF"/>
                  <w:sz w:val="20"/>
                  <w:u w:val="none"/>
                  <w:effect w:val="none"/>
                </w:rPr>
                <w:t>52</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e4e2b7e986647bebd101c553674214d_139">
              <w:r>
                <w:rPr>
                  <w:rStyle w:val="InternetLink"/>
                  <w:rFonts w:ascii="Times New Roman;serif" w:hAnsi="Times New Roman;serif"/>
                  <w:b w:val="false"/>
                  <w:color w:val="0000FF"/>
                  <w:sz w:val="20"/>
                  <w:u w:val="single"/>
                </w:rPr>
                <w:t>Mine Safety Disclosures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e4e2b7e986647bebd101c553674214d_139">
              <w:r>
                <w:rPr>
                  <w:rStyle w:val="InternetLink"/>
                  <w:rFonts w:ascii="Times New Roman;serif" w:hAnsi="Times New Roman;serif"/>
                  <w:b w:val="false"/>
                  <w:strike w:val="false"/>
                  <w:dstrike w:val="false"/>
                  <w:color w:val="0000FF"/>
                  <w:sz w:val="20"/>
                  <w:u w:val="none"/>
                  <w:effect w:val="none"/>
                </w:rPr>
                <w:t>52</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e4e2b7e986647bebd101c553674214d_142">
              <w:r>
                <w:rPr>
                  <w:rStyle w:val="InternetLink"/>
                  <w:rFonts w:ascii="Times New Roman;serif" w:hAnsi="Times New Roman;serif"/>
                  <w:b w:val="false"/>
                  <w:color w:val="0000FF"/>
                  <w:sz w:val="20"/>
                  <w:u w:val="single"/>
                </w:rPr>
                <w:t>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e4e2b7e986647bebd101c553674214d_142">
              <w:r>
                <w:rPr>
                  <w:rStyle w:val="InternetLink"/>
                  <w:rFonts w:ascii="Times New Roman;serif" w:hAnsi="Times New Roman;serif"/>
                  <w:b w:val="false"/>
                  <w:strike w:val="false"/>
                  <w:dstrike w:val="false"/>
                  <w:color w:val="0000FF"/>
                  <w:sz w:val="20"/>
                  <w:u w:val="none"/>
                  <w:effect w:val="none"/>
                </w:rPr>
                <w:t>52</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e4e2b7e986647bebd101c553674214d_145">
              <w:r>
                <w:rPr>
                  <w:rStyle w:val="InternetLink"/>
                  <w:rFonts w:ascii="Times New Roman;serif" w:hAnsi="Times New Roman;serif"/>
                  <w:b w:val="false"/>
                  <w:color w:val="0000FF"/>
                  <w:sz w:val="20"/>
                  <w:u w:val="single"/>
                </w:rPr>
                <w:t>Exhibits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e4e2b7e986647bebd101c553674214d_145">
              <w:r>
                <w:rPr>
                  <w:rStyle w:val="InternetLink"/>
                  <w:rFonts w:ascii="Times New Roman;serif" w:hAnsi="Times New Roman;serif"/>
                  <w:b w:val="false"/>
                  <w:strike w:val="false"/>
                  <w:dstrike w:val="false"/>
                  <w:color w:val="0000FF"/>
                  <w:sz w:val="20"/>
                  <w:u w:val="none"/>
                  <w:effect w:val="none"/>
                </w:rPr>
                <w:t>53</w:t>
              </w:r>
            </w:hyperlink>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e4e2b7e986647bebd101c553674214d_148">
              <w:r>
                <w:rPr>
                  <w:rStyle w:val="InternetLink"/>
                  <w:rFonts w:ascii="Times New Roman;serif" w:hAnsi="Times New Roman;serif"/>
                  <w:b w:val="false"/>
                  <w:color w:val="0000FF"/>
                  <w:sz w:val="20"/>
                  <w:u w:val="single"/>
                </w:rPr>
                <w:t>SIGNATURES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e4e2b7e986647bebd101c553674214d_148">
              <w:r>
                <w:rPr>
                  <w:rStyle w:val="InternetLink"/>
                  <w:rFonts w:ascii="Times New Roman;serif" w:hAnsi="Times New Roman;serif"/>
                  <w:b w:val="false"/>
                  <w:strike w:val="false"/>
                  <w:dstrike w:val="false"/>
                  <w:color w:val="0000FF"/>
                  <w:sz w:val="20"/>
                  <w:u w:val="none"/>
                  <w:effect w:val="none"/>
                </w:rPr>
                <w:t>54</w:t>
              </w:r>
            </w:hyperlink>
          </w:p>
        </w:tc>
      </w:tr>
    </w:tbl>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may contain certain “forward-looking statements” within the meaning of the Private Securities Litigation Reform Act, as amended, which reflect our current views with respect to certain events that are not historical facts but could have an effect on our future performance, including but without limitation, statements regarding our plans, objectives, financial performance, business strategies, projected results of operations, and expectations of the Company. These forward-looking statements include, but are not limited to, statements concerning the proposed acquisition of the Company by The Western Union Company (“Western Union”), including our expectations regarding the timing and completion of the proposed acquisition.</w:t>
      </w:r>
    </w:p>
    <w:p>
      <w:pPr>
        <w:pStyle w:val="TextBody"/>
        <w:bidi w:val="0"/>
        <w:spacing w:before="0" w:after="0"/>
        <w:ind w:left="0" w:right="0" w:firstLine="36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statements may include and be identified by words or phrases such as, without limitation, “would,” “will,” “should,” “expects,” “believes,” “anticipates,” “continues,” “could,” “may,” “might,” “plans,” “possible,” “potential,” “predicts,” “projects,” “forecasts,” “intends,” “assumes,” “estimates,” “approximately,” “shall,” “our planning assumptions,” “future outlook,” “currently,” “target,” “guidance,” and similar expressions (including the negative and plural forms of such words and phrases). These forward-looking statements are based largely on information currently available to our management and on our current expectations, assumptions, plans, estimates, judgments, projections about our business and our industry, and macroeconomic conditions, and are subject to various risks, uncertainties, estimates, contingencies and other factors, many of which are outside our control, that could cause actual results to differ materially from those expressed or implied by such forward-looking statements and could materially adversely affect our business, financial condition, results of operations, cash flows and liquidity. Factors that could cause or contribute to such differences include, but are not limited to,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applicable laws or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factors relating to the contemplated proposed acquisition of the Company by Western Union, including: the announcement of our entry into the Merger Agreement and pendency of the proposed acquisition may result in disruptions to our business, and the Merger could divert management's attention, disrupt our relationships with third parties and employees, and result in negative publicity or consumer concerns, any of which could negatively impact our operating results and ongoing business; the possibility that the conditions to the consummation of the proposed acquisition will not be satisfied on the terms or timeline expected, or at all; failure to obtain, or delays in obtaining, or adverse conditions related to obtaining stockholder or regulatory approvals sought in connection with the proposed acquisition; and the nature, cost and outcome of pending and future litigation and other legal proceedings, including any such proceedings related to the proposed acquisition and instituted against us and others;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factors relating to our business, operations and financial performance, including:</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rPr>
        <w:t>changes in immigration laws and their enforcement, including any adverse effects on the level of immigrant employment, earning potential, and other commercial activities;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success in expanding customer acceptance of our digital services and infrastructure, as well as developing, introducing and marketing new digital and other products and services;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new technology or competitors that disrupt the current money transfer and payment ecosystem, including the introduction of new digital platforms;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tax laws in the United States and other countries in which we operate, including the imposition of taxes on certain types of remittances beginning in 2026;</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loss of, or reduction in business with, key sending agents;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o</w:t>
      </w:r>
      <w:r>
        <w:rPr>
          <w:rFonts w:ascii="Times New Roman;serif" w:hAnsi="Times New Roman;serif"/>
          <w:b w:val="false"/>
          <w:color w:val="000000"/>
          <w:sz w:val="20"/>
        </w:rPr>
        <w:t>ur ability to effectively compete in the markets in which we operate;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economic factors such as inflation, the level of economic activity, recession risks and labor market conditions, as well as volatility in market interest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international political factors, including ongoing hostilities in Ukraine and the Middle East, political instability, tariffs, including the effects of tariffs on domestic markets and industrial activity and employment, border taxes or restrictions on remittances or transfers from the outbound countries in which we operate or plan to operate;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volatility in foreign exchange rates that could affect the volume of consumer remittance activity and/or affect our foreign exchange related gains and losses;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consumer confidence in our brands and in consumer money transfers generally;</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expansion into new geographic markets or product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successfully execute, manage, integrate and obtain the anticipated financial benefits of key acquisitions and mergers;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cybersecurity-attacks or disruptions to our information technology, computer network systems, data centers and mobile devices applications;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the ability of our risk management and compliance policies, procedures and systems to mitigate risk related to transaction monitoring;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consumer fraud and other risks relating to the authenticity of customers’ orders or the improper or illegal use of our services by consumers, sending agents or digital partners;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maintain favorable banking and paying agent relationships necessary to conduct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bank failures, sustained financial illiquidity, or illiquidity at the clearing, cash management or custodial financial institutions with which we do business;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changes to banking industry regulation and practice;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credit risks from our agents, digital partners and the financial institutions with which we do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recruit and retain key personnel;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maintain compliance with applicable laws and regulatory requirements, </w:t>
      </w:r>
      <w:r>
        <w:rPr>
          <w:rFonts w:ascii="Times New Roman;serif" w:hAnsi="Times New Roman;serif"/>
          <w:b w:val="false"/>
          <w:color w:val="000000"/>
          <w:sz w:val="20"/>
          <w:shd w:fill="FFFFFF" w:val="clear"/>
        </w:rPr>
        <w:t>including those intended to prevent use of our money remittance services for criminal activity, those related to data and cybersecurity protection, and those related to new business initiatives;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enforcement actions and private litigation under regulations applicable to money remittance services;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protect intellectual property rights;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satisfy our debt obligations and remain in compliance with our credit facility requirements;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 health conditions, responses thereto and the economic and market effects thereof;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use of third-party vendors and service providers;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weakness in U.S. or international economic conditions;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other economic, business and/or competitive factors, risks and uncertainties, including those described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sections in our Annual Report on Form 10-K for the year ended December 31, 2024, as well as any additional factors that may be described in our other filings with the SEC from time to time.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Accordingly, all forward-looking statements that are made or attributable to us are expressly qualified in their entirety by this cautionary notice. The forward-looking statements included herein are only made as of the date of this Quarterly Report on Form 10-Q. We undertake no obligation to update or revise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1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for share data)</w:t>
      </w:r>
    </w:p>
    <w:tbl>
      <w:tblPr>
        <w:tblW w:w="10205" w:type="dxa"/>
        <w:jc w:val="left"/>
        <w:tblInd w:w="0" w:type="dxa"/>
        <w:tblLayout w:type="fixed"/>
        <w:tblCellMar>
          <w:top w:w="28" w:type="dxa"/>
          <w:left w:w="28" w:type="dxa"/>
          <w:bottom w:w="28" w:type="dxa"/>
          <w:right w:w="28" w:type="dxa"/>
        </w:tblCellMar>
      </w:tblPr>
      <w:tblGrid>
        <w:gridCol w:w="2970"/>
        <w:gridCol w:w="2193"/>
        <w:gridCol w:w="2155"/>
        <w:gridCol w:w="217"/>
        <w:gridCol w:w="851"/>
        <w:gridCol w:w="112"/>
        <w:gridCol w:w="109"/>
        <w:gridCol w:w="109"/>
        <w:gridCol w:w="109"/>
        <w:gridCol w:w="243"/>
        <w:gridCol w:w="955"/>
        <w:gridCol w:w="182"/>
      </w:tblGrid>
      <w:tr>
        <w:trPr/>
        <w:tc>
          <w:tcPr>
            <w:tcW w:w="2970"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7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ASSETS</w:t>
            </w:r>
          </w:p>
        </w:tc>
        <w:tc>
          <w:tcPr>
            <w:tcW w:w="118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$5,146 and $3,546, respectively</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107,077 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wires, net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6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351,185 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297,783 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net</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518,015 </w:t>
            </w:r>
          </w:p>
        </w:tc>
        <w:tc>
          <w:tcPr>
            <w:tcW w:w="1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462,377 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transfers and money orders payable, net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6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215,486 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151,998 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156,623 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net</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net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liabilities</w:t>
            </w:r>
          </w:p>
        </w:tc>
        <w:tc>
          <w:tcPr>
            <w:tcW w:w="106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160,276 </w:t>
            </w:r>
          </w:p>
        </w:tc>
        <w:tc>
          <w:tcPr>
            <w:tcW w:w="1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175,455 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17</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5,000,000 shares authorized, none issued or outstanding</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200,000,000 shares authorized, 40,387,993 and 40,164,056 shares issued and 29,424,425 and 30,548,702 shares outstanding as of June 30, 2025 and December 31, 2024, respectively</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257,470 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10,963,568 and 9,615,354 shares as of June 30, 2025 and December 31, 2024, respectively</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(217,030)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(200,696)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6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142,253 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134,924 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518,015 </w:t>
            </w:r>
          </w:p>
        </w:tc>
        <w:tc>
          <w:tcPr>
            <w:tcW w:w="11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462,377 </w:t>
            </w:r>
          </w:p>
        </w:tc>
        <w:tc>
          <w:tcPr>
            <w:tcW w:w="18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74980"/>
                <wp:effectExtent l="0" t="0" r="0" b="0"/>
                <wp:wrapNone/>
                <wp:docPr id="5" name="Frame5"/>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AND COMPREHENSIVE INCOME</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for share data, unaudited)</w:t>
      </w:r>
    </w:p>
    <w:tbl>
      <w:tblPr>
        <w:tblW w:w="9986" w:type="dxa"/>
        <w:jc w:val="left"/>
        <w:tblInd w:w="0" w:type="dxa"/>
        <w:tblLayout w:type="fixed"/>
        <w:tblCellMar>
          <w:top w:w="28" w:type="dxa"/>
          <w:left w:w="28" w:type="dxa"/>
          <w:bottom w:w="28" w:type="dxa"/>
          <w:right w:w="28" w:type="dxa"/>
        </w:tblCellMar>
      </w:tblPr>
      <w:tblGrid>
        <w:gridCol w:w="1521"/>
        <w:gridCol w:w="1336"/>
        <w:gridCol w:w="1343"/>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4"/>
      </w:tblGrid>
      <w:tr>
        <w:trPr/>
        <w:tc>
          <w:tcPr>
            <w:tcW w:w="152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 and money order fees, net</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161,133 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171,531 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305,443 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321,943 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from agents and banks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 expenses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141,672 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148,627 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271,907 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279,453 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32,698,951 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30,213,762 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33,187,196 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33,090,806 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30,370,069 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33,639,811 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74980"/>
                <wp:effectExtent l="0" t="0" r="0" b="0"/>
                <wp:wrapNone/>
                <wp:docPr id="6" name="Frame6"/>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for share data, unaudited)</w:t>
      </w:r>
    </w:p>
    <w:tbl>
      <w:tblPr>
        <w:tblW w:w="12128" w:type="dxa"/>
        <w:jc w:val="left"/>
        <w:tblInd w:w="0" w:type="dxa"/>
        <w:tblLayout w:type="fixed"/>
        <w:tblCellMar>
          <w:top w:w="28" w:type="dxa"/>
          <w:left w:w="28" w:type="dxa"/>
          <w:bottom w:w="28" w:type="dxa"/>
          <w:right w:w="28" w:type="dxa"/>
        </w:tblCellMar>
      </w:tblPr>
      <w:tblGrid>
        <w:gridCol w:w="734"/>
        <w:gridCol w:w="263"/>
        <w:gridCol w:w="264"/>
        <w:gridCol w:w="344"/>
        <w:gridCol w:w="344"/>
        <w:gridCol w:w="348"/>
        <w:gridCol w:w="109"/>
        <w:gridCol w:w="109"/>
        <w:gridCol w:w="109"/>
        <w:gridCol w:w="253"/>
        <w:gridCol w:w="307"/>
        <w:gridCol w:w="131"/>
        <w:gridCol w:w="109"/>
        <w:gridCol w:w="109"/>
        <w:gridCol w:w="109"/>
        <w:gridCol w:w="363"/>
        <w:gridCol w:w="363"/>
        <w:gridCol w:w="370"/>
        <w:gridCol w:w="109"/>
        <w:gridCol w:w="109"/>
        <w:gridCol w:w="109"/>
        <w:gridCol w:w="211"/>
        <w:gridCol w:w="841"/>
        <w:gridCol w:w="109"/>
        <w:gridCol w:w="109"/>
        <w:gridCol w:w="109"/>
        <w:gridCol w:w="109"/>
        <w:gridCol w:w="211"/>
        <w:gridCol w:w="721"/>
        <w:gridCol w:w="109"/>
        <w:gridCol w:w="109"/>
        <w:gridCol w:w="109"/>
        <w:gridCol w:w="109"/>
        <w:gridCol w:w="211"/>
        <w:gridCol w:w="826"/>
        <w:gridCol w:w="109"/>
        <w:gridCol w:w="109"/>
        <w:gridCol w:w="109"/>
        <w:gridCol w:w="109"/>
        <w:gridCol w:w="269"/>
        <w:gridCol w:w="806"/>
        <w:gridCol w:w="141"/>
        <w:gridCol w:w="109"/>
        <w:gridCol w:w="109"/>
        <w:gridCol w:w="109"/>
        <w:gridCol w:w="211"/>
        <w:gridCol w:w="82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(Loss) Income</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12"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12"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12"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12" w:space="0" w:color="000000"/>
            </w:tcBorders>
            <w:tcMar>
              <w:top w:w="3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103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40,332,957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(9,983,227)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(205,677)</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80,775 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265,239 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w:t>
            </w:r>
          </w:p>
        </w:tc>
        <w:tc>
          <w:tcPr>
            <w:tcW w:w="14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139,243 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stock awards, net of shares withheld for taxes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 from foreign currency translation, net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treasury stock, at cost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1036"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40,387,993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(10,963,568)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(217,030)</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82,895 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276,246 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4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142,253 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219" w:type="dxa"/>
        <w:jc w:val="left"/>
        <w:tblInd w:w="0" w:type="dxa"/>
        <w:tblLayout w:type="fixed"/>
        <w:tblCellMar>
          <w:top w:w="28" w:type="dxa"/>
          <w:left w:w="28" w:type="dxa"/>
          <w:bottom w:w="28" w:type="dxa"/>
          <w:right w:w="28" w:type="dxa"/>
        </w:tblCellMar>
      </w:tblPr>
      <w:tblGrid>
        <w:gridCol w:w="734"/>
        <w:gridCol w:w="263"/>
        <w:gridCol w:w="264"/>
        <w:gridCol w:w="344"/>
        <w:gridCol w:w="344"/>
        <w:gridCol w:w="348"/>
        <w:gridCol w:w="109"/>
        <w:gridCol w:w="109"/>
        <w:gridCol w:w="109"/>
        <w:gridCol w:w="253"/>
        <w:gridCol w:w="307"/>
        <w:gridCol w:w="131"/>
        <w:gridCol w:w="109"/>
        <w:gridCol w:w="109"/>
        <w:gridCol w:w="109"/>
        <w:gridCol w:w="495"/>
        <w:gridCol w:w="496"/>
        <w:gridCol w:w="196"/>
        <w:gridCol w:w="109"/>
        <w:gridCol w:w="109"/>
        <w:gridCol w:w="109"/>
        <w:gridCol w:w="211"/>
        <w:gridCol w:w="841"/>
        <w:gridCol w:w="109"/>
        <w:gridCol w:w="109"/>
        <w:gridCol w:w="109"/>
        <w:gridCol w:w="109"/>
        <w:gridCol w:w="211"/>
        <w:gridCol w:w="721"/>
        <w:gridCol w:w="109"/>
        <w:gridCol w:w="109"/>
        <w:gridCol w:w="109"/>
        <w:gridCol w:w="109"/>
        <w:gridCol w:w="211"/>
        <w:gridCol w:w="826"/>
        <w:gridCol w:w="109"/>
        <w:gridCol w:w="109"/>
        <w:gridCol w:w="109"/>
        <w:gridCol w:w="109"/>
        <w:gridCol w:w="320"/>
        <w:gridCol w:w="730"/>
        <w:gridCol w:w="166"/>
        <w:gridCol w:w="109"/>
        <w:gridCol w:w="109"/>
        <w:gridCol w:w="109"/>
        <w:gridCol w:w="211"/>
        <w:gridCol w:w="82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2024</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Income (Loss)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2024</w:t>
            </w:r>
          </w:p>
        </w:tc>
        <w:tc>
          <w:tcPr>
            <w:tcW w:w="103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40,010,435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(6,974,510)</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(148,987)</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76,339 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210,755 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138,228 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stock awards, net of shares withheld for taxes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 from foreign currency translation, net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treasury stock, at cost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2024</w:t>
            </w:r>
          </w:p>
        </w:tc>
        <w:tc>
          <w:tcPr>
            <w:tcW w:w="1036" w:type="dxa"/>
            <w:gridSpan w:val="3"/>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40,091,006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(7,496,161)</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(160,186)</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78,066 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224,788 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6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142,415 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before="0" w:after="24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74980"/>
                <wp:effectExtent l="0" t="0" r="0" b="0"/>
                <wp:wrapNone/>
                <wp:docPr id="7" name="Frame7"/>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 (CONTINUED)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for share data, unaudited)</w:t>
      </w:r>
    </w:p>
    <w:tbl>
      <w:tblPr>
        <w:tblW w:w="12128" w:type="dxa"/>
        <w:jc w:val="left"/>
        <w:tblInd w:w="0" w:type="dxa"/>
        <w:tblLayout w:type="fixed"/>
        <w:tblCellMar>
          <w:top w:w="28" w:type="dxa"/>
          <w:left w:w="28" w:type="dxa"/>
          <w:bottom w:w="28" w:type="dxa"/>
          <w:right w:w="28" w:type="dxa"/>
        </w:tblCellMar>
      </w:tblPr>
      <w:tblGrid>
        <w:gridCol w:w="734"/>
        <w:gridCol w:w="263"/>
        <w:gridCol w:w="264"/>
        <w:gridCol w:w="344"/>
        <w:gridCol w:w="344"/>
        <w:gridCol w:w="348"/>
        <w:gridCol w:w="109"/>
        <w:gridCol w:w="109"/>
        <w:gridCol w:w="109"/>
        <w:gridCol w:w="253"/>
        <w:gridCol w:w="307"/>
        <w:gridCol w:w="131"/>
        <w:gridCol w:w="109"/>
        <w:gridCol w:w="109"/>
        <w:gridCol w:w="109"/>
        <w:gridCol w:w="363"/>
        <w:gridCol w:w="363"/>
        <w:gridCol w:w="370"/>
        <w:gridCol w:w="109"/>
        <w:gridCol w:w="109"/>
        <w:gridCol w:w="109"/>
        <w:gridCol w:w="211"/>
        <w:gridCol w:w="841"/>
        <w:gridCol w:w="109"/>
        <w:gridCol w:w="109"/>
        <w:gridCol w:w="109"/>
        <w:gridCol w:w="109"/>
        <w:gridCol w:w="211"/>
        <w:gridCol w:w="721"/>
        <w:gridCol w:w="109"/>
        <w:gridCol w:w="109"/>
        <w:gridCol w:w="109"/>
        <w:gridCol w:w="109"/>
        <w:gridCol w:w="211"/>
        <w:gridCol w:w="826"/>
        <w:gridCol w:w="109"/>
        <w:gridCol w:w="109"/>
        <w:gridCol w:w="109"/>
        <w:gridCol w:w="109"/>
        <w:gridCol w:w="269"/>
        <w:gridCol w:w="806"/>
        <w:gridCol w:w="141"/>
        <w:gridCol w:w="109"/>
        <w:gridCol w:w="109"/>
        <w:gridCol w:w="109"/>
        <w:gridCol w:w="211"/>
        <w:gridCol w:w="82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(Loss) Income</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12"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12"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12"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12" w:space="0" w:color="000000"/>
            </w:tcBorders>
            <w:tcMar>
              <w:top w:w="3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103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40,164,056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(200,696)</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257,470 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w:t>
            </w:r>
          </w:p>
        </w:tc>
        <w:tc>
          <w:tcPr>
            <w:tcW w:w="14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134,924 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stock awards, net of shares withheld for taxes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 from foreign currency translation, net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treasury stock, at cost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1036"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40,387,993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(10,963,568)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(217,030)</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82,895 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276,246 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4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142,253 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219" w:type="dxa"/>
        <w:jc w:val="left"/>
        <w:tblInd w:w="0" w:type="dxa"/>
        <w:tblLayout w:type="fixed"/>
        <w:tblCellMar>
          <w:top w:w="28" w:type="dxa"/>
          <w:left w:w="28" w:type="dxa"/>
          <w:bottom w:w="28" w:type="dxa"/>
          <w:right w:w="28" w:type="dxa"/>
        </w:tblCellMar>
      </w:tblPr>
      <w:tblGrid>
        <w:gridCol w:w="734"/>
        <w:gridCol w:w="263"/>
        <w:gridCol w:w="264"/>
        <w:gridCol w:w="344"/>
        <w:gridCol w:w="344"/>
        <w:gridCol w:w="348"/>
        <w:gridCol w:w="109"/>
        <w:gridCol w:w="109"/>
        <w:gridCol w:w="109"/>
        <w:gridCol w:w="253"/>
        <w:gridCol w:w="307"/>
        <w:gridCol w:w="131"/>
        <w:gridCol w:w="109"/>
        <w:gridCol w:w="109"/>
        <w:gridCol w:w="109"/>
        <w:gridCol w:w="495"/>
        <w:gridCol w:w="496"/>
        <w:gridCol w:w="196"/>
        <w:gridCol w:w="109"/>
        <w:gridCol w:w="109"/>
        <w:gridCol w:w="109"/>
        <w:gridCol w:w="211"/>
        <w:gridCol w:w="841"/>
        <w:gridCol w:w="109"/>
        <w:gridCol w:w="109"/>
        <w:gridCol w:w="109"/>
        <w:gridCol w:w="109"/>
        <w:gridCol w:w="211"/>
        <w:gridCol w:w="721"/>
        <w:gridCol w:w="109"/>
        <w:gridCol w:w="109"/>
        <w:gridCol w:w="109"/>
        <w:gridCol w:w="109"/>
        <w:gridCol w:w="211"/>
        <w:gridCol w:w="826"/>
        <w:gridCol w:w="109"/>
        <w:gridCol w:w="109"/>
        <w:gridCol w:w="109"/>
        <w:gridCol w:w="109"/>
        <w:gridCol w:w="320"/>
        <w:gridCol w:w="730"/>
        <w:gridCol w:w="166"/>
        <w:gridCol w:w="109"/>
        <w:gridCol w:w="109"/>
        <w:gridCol w:w="109"/>
        <w:gridCol w:w="211"/>
        <w:gridCol w:w="82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2024</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Income (Loss)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103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39,673,271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(5,850,034)</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(125,564)</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75,686 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198,649 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149,037 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stock awards, net of shares withheld for taxes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Fully vested shares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 from foreign currency translation, net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treasury stock, at cost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(1,646,127)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2024</w:t>
            </w:r>
          </w:p>
        </w:tc>
        <w:tc>
          <w:tcPr>
            <w:tcW w:w="1036"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40,091,006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(7,496,161)</w:t>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(160,186)</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78,066 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224,788 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6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142,415 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74980"/>
                <wp:effectExtent l="0" t="0" r="0" b="0"/>
                <wp:wrapNone/>
                <wp:docPr id="8" name="Frame8"/>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9396" w:type="dxa"/>
        <w:jc w:val="left"/>
        <w:tblInd w:w="0" w:type="dxa"/>
        <w:tblLayout w:type="fixed"/>
        <w:tblCellMar>
          <w:top w:w="28" w:type="dxa"/>
          <w:left w:w="28" w:type="dxa"/>
          <w:bottom w:w="28" w:type="dxa"/>
          <w:right w:w="28" w:type="dxa"/>
        </w:tblCellMar>
      </w:tblPr>
      <w:tblGrid>
        <w:gridCol w:w="2431"/>
        <w:gridCol w:w="2141"/>
        <w:gridCol w:w="2147"/>
        <w:gridCol w:w="213"/>
        <w:gridCol w:w="837"/>
        <w:gridCol w:w="109"/>
        <w:gridCol w:w="109"/>
        <w:gridCol w:w="109"/>
        <w:gridCol w:w="109"/>
        <w:gridCol w:w="211"/>
        <w:gridCol w:w="826"/>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5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origination costs amortization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benefit,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105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18,321 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wires,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transfers and money orders payable,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and other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5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81,184 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28,666 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agent locations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5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(20,150)</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term loan facility</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Borrowings under revolving credit facility</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Repayments under revolving credit facility</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other debt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for stock-based awards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5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(29,767)</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(14,066)</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174,723 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233,209 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74980"/>
                <wp:effectExtent l="0" t="0" r="0" b="0"/>
                <wp:wrapNone/>
                <wp:docPr id="9" name="Frame9"/>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7344" w:type="dxa"/>
        <w:jc w:val="left"/>
        <w:tblInd w:w="0" w:type="dxa"/>
        <w:tblLayout w:type="fixed"/>
        <w:tblCellMar>
          <w:top w:w="28" w:type="dxa"/>
          <w:left w:w="28" w:type="dxa"/>
          <w:bottom w:w="28" w:type="dxa"/>
          <w:right w:w="28" w:type="dxa"/>
        </w:tblCellMar>
      </w:tblPr>
      <w:tblGrid>
        <w:gridCol w:w="1770"/>
        <w:gridCol w:w="1556"/>
        <w:gridCol w:w="1564"/>
        <w:gridCol w:w="211"/>
        <w:gridCol w:w="721"/>
        <w:gridCol w:w="109"/>
        <w:gridCol w:w="109"/>
        <w:gridCol w:w="109"/>
        <w:gridCol w:w="109"/>
        <w:gridCol w:w="211"/>
        <w:gridCol w:w="721"/>
        <w:gridCol w:w="154"/>
      </w:tblGrid>
      <w:tr>
        <w:trPr/>
        <w:tc>
          <w:tcPr>
            <w:tcW w:w="177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11,998 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18,524 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liabilities arising from obtaining right-of-use assets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of receivables from agent acquisitions</w:t>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liabilities related to agent acquisitions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cashless exercise of options</w:t>
            </w:r>
          </w:p>
        </w:tc>
        <w:tc>
          <w:tcPr>
            <w:tcW w:w="211"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4,359 </w:t>
            </w:r>
          </w:p>
        </w:tc>
        <w:tc>
          <w:tcPr>
            <w:tcW w:w="154"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74980"/>
                <wp:effectExtent l="0" t="0" r="0" b="0"/>
                <wp:wrapNone/>
                <wp:docPr id="10" name="Frame10"/>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1 – BUSINESS AND ACCOUNTING POLICIES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International Money Express, Inc. (the “Company” or “us” or “we”) operates as a money transmitter between the United States of America (“United States” or “U.S.”), Canada, Spain, Italy, the United Kingdom and Germany primarily to Mexico, Guatemala and other countries in Latin America, Europe, Africa and Asia through a network of authorized agents located in various unaffiliated retail establishments and 117 Company-operated stores throughout those jurisdictions.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of the Company include International Money Express, Inc. and other entities in which the Company has a controlling financial interest. All significant inter-company balances and transactions have been eliminated in consolidation. The condensed consolidated financial statements are prepared in accordance with accounting principles generally accepted in the United States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interim condensed consolidated financial statements and related notes are unaudited. In the opinion of management, all adjustments (including normal recurring adjustments) and disclosures necessary for a fair presentation of these interim condensed consolidated financial statements have been included. The results reported in these interim condensed consolidated financial statements are not necessarily indicative of the results that may be reported for the entire year. Certain information and footnote disclosures required by GAAP have been condensed or omitted. These interim condensed consolidated financial statements should be read in conjunction with the consolidated financial statements and related notes thereto included in the Company’s Annual Report on Form 10-K for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Current political conditions in the United States have resulted in high levels of volatility in the market as well as uncertainty as to the economic and financial impacts of recent economic, trade and immigration enforcement actions taken by the current administration on the U.S., as well as foreign countries, including those that are a destination for money transfers or in which we currently operate. In addition, political, social and economic conditions in key Latin American markets continue to exhibit instability, as evidenced by higher interest rates, high unemployment rates, restricted lending activity, higher inflation, volatility in foreign currencies and low consumer confidence, among other economic, political and market factors.</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val="false"/>
          <w:color w:val="000000"/>
          <w:sz w:val="20"/>
        </w:rPr>
        <w:t>On August 10, 2025, the Company entered into an Agreement and Plan of Merger (the “</w:t>
      </w:r>
      <w:r>
        <w:rPr>
          <w:rFonts w:ascii="Times New Roman;serif" w:hAnsi="Times New Roman;serif"/>
          <w:b w:val="false"/>
          <w:color w:val="000000"/>
          <w:sz w:val="20"/>
          <w:u w:val="single"/>
        </w:rPr>
        <w:t>Merger Agreement</w:t>
      </w:r>
      <w:r>
        <w:rPr>
          <w:color w:val="000000"/>
        </w:rPr>
        <w:t>”</w:t>
      </w:r>
      <w:r>
        <w:rPr>
          <w:rFonts w:ascii="Times New Roman;serif" w:hAnsi="Times New Roman;serif"/>
          <w:b w:val="false"/>
          <w:color w:val="000000"/>
          <w:sz w:val="20"/>
        </w:rPr>
        <w:t>), by and among the Company, The Western Union Company, a Delaware corporation (“</w:t>
      </w:r>
      <w:r>
        <w:rPr>
          <w:rFonts w:ascii="Times New Roman;serif" w:hAnsi="Times New Roman;serif"/>
          <w:b w:val="false"/>
          <w:color w:val="000000"/>
          <w:sz w:val="20"/>
          <w:u w:val="single"/>
        </w:rPr>
        <w:t>Western Union</w:t>
      </w:r>
      <w:r>
        <w:rPr>
          <w:color w:val="000000"/>
        </w:rPr>
        <w:t>”</w:t>
      </w:r>
      <w:r>
        <w:rPr>
          <w:rFonts w:ascii="Times New Roman;serif" w:hAnsi="Times New Roman;serif"/>
          <w:b w:val="false"/>
          <w:color w:val="000000"/>
          <w:sz w:val="20"/>
        </w:rPr>
        <w:t>), and Ivey Merger Sub, Inc., a Delaware corporation and wholly owned subsidiary of Western Union (“</w:t>
      </w:r>
      <w:r>
        <w:rPr>
          <w:rFonts w:ascii="Times New Roman;serif" w:hAnsi="Times New Roman;serif"/>
          <w:b w:val="false"/>
          <w:color w:val="000000"/>
          <w:sz w:val="20"/>
          <w:u w:val="single"/>
        </w:rPr>
        <w:t>Merger Sub</w:t>
      </w:r>
      <w:r>
        <w:rPr>
          <w:color w:val="000000"/>
        </w:rPr>
        <w:t>”</w:t>
      </w:r>
      <w:r>
        <w:rPr>
          <w:rFonts w:ascii="Times New Roman;serif" w:hAnsi="Times New Roman;serif"/>
          <w:b w:val="false"/>
          <w:color w:val="000000"/>
          <w:sz w:val="20"/>
        </w:rPr>
        <w:t>). Pursuant to the Merger Agreement, on the terms and subject to the conditions set forth therein, Merger Sub will merge with and into the Company (the “</w:t>
      </w:r>
      <w:r>
        <w:rPr>
          <w:rFonts w:ascii="Times New Roman;serif" w:hAnsi="Times New Roman;serif"/>
          <w:b w:val="false"/>
          <w:color w:val="000000"/>
          <w:sz w:val="20"/>
          <w:u w:val="single"/>
        </w:rPr>
        <w:t>Merger</w:t>
      </w:r>
      <w:r>
        <w:rPr>
          <w:color w:val="000000"/>
        </w:rPr>
        <w:t>”</w:t>
      </w:r>
      <w:r>
        <w:rPr>
          <w:rFonts w:ascii="Times New Roman;serif" w:hAnsi="Times New Roman;serif"/>
          <w:b w:val="false"/>
          <w:color w:val="000000"/>
          <w:sz w:val="20"/>
        </w:rPr>
        <w:t>), with the Company continuing as the surviving corporation in the Merger and becoming a wholly owned subsidiary of Western Union. The Merger Agreement provides that each share of the Company’s common stock issued and outstanding immediately prior to the effective time of the Merger (subject to limited exceptions, such as treasury shares or shares as to which dissenters’ rights have been properly exercised in accordance with Delaware law) will be cancelled and converted into the right to receive $16.00 per share in cash, without interest.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Consummation of the Merger is subject to various customary closing conditions, including: (i) approval of the stockholders of the Company, (ii) the absence of any judgment by any governmental authority of competent jurisdiction or any applicable law that enjoins, restrains or otherwise makes illegal, prevents or prohibits consummation of the Merger, (iii) the expiration or termination of the applicable waiting period under the Hart-Scott-Rodino Antitrust Improvements Act of 1976 (the “</w:t>
      </w:r>
      <w:r>
        <w:rPr>
          <w:rFonts w:ascii="Times New Roman;serif" w:hAnsi="Times New Roman;serif"/>
          <w:b w:val="false"/>
          <w:color w:val="000000"/>
          <w:sz w:val="20"/>
          <w:u w:val="single"/>
        </w:rPr>
        <w:t>Hart-Scott-Rodino Act</w:t>
      </w:r>
      <w:r>
        <w:rPr>
          <w:color w:val="000000"/>
        </w:rPr>
        <w:t>”</w:t>
      </w:r>
      <w:r>
        <w:rPr>
          <w:rFonts w:ascii="Times New Roman;serif" w:hAnsi="Times New Roman;serif"/>
          <w:b w:val="false"/>
          <w:color w:val="000000"/>
          <w:sz w:val="20"/>
        </w:rPr>
        <w:t>), (iv) the receipt of applicable consents, approvals or other clearances required to be obtained under the Merger Agreement, including with respect to the Company’s or its subsidiaries’ money transmitter licenses, and (v) other customary closing conditions. The Company cannot predict with certainty whether and when any of the required closing conditions will be satisfied or if the Merger will close.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Concentrations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maintains certain of its cash balances in various U.S. banks, which at times, may exceed federally insured limits. The Company has not incurred any losses on these accounts. In addition, the Company maintains various bank accounts in Mexico, Guatemala, Canada, the Dominican Republic, Spain, Italy, Germany and the United Kingdom and short-term investment accounts in Mexico, which may not be fully insured. During the three and six months ended June 30, 2025, the Company did not incur any losses on these uninsured foreign bank accounts.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 substantial portion of our paying agents are concentrated in a few large banks and financial institutions and large retail chains in Latin American countries.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Accounting Standards Board (“FASB”) issued guidance, ASU 2023-09, Income Taxes (Topic 740): Improvements to Income Tax Disclosures, which focuses on the rate reconciliation and income taxes paid. This guidance requires a public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the Company, the new standard is effective for annual periods beginning after December 15, 2024, on a prospective basis with the option to apply retrospectively. The adoption of this guidance is not expected to have a material effect on the consolidated financial statements for the year ending December 31, 2025.</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FASB issued ASU 2024-03, Income Statement - Reporting Comprehensive Income - Expense Disaggregation Disclosures (Subtopic 220-40): Disaggregation of Income Statement Expenses, which requires more detailed disclosures about specified categories of expenses (including purchases of inventory, employee compensation, intangible asset amortization, and depreciation) included in certain expense captions presented on the face of the statement of income. ASU 2024-03 is effective for fiscal years beginning after December 15, 2026 and interim reporting periods within fiscal years beginning one year later. Early adoption is permitted. The Company is currently evaluating the impact this guidance will have on the consolidated financial statements. </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FASB issued ASU 2025-05, Financial Instruments - Credit Losses (Topic 326): Measurement of Credit Losses for Accounts Receivable and Contract Assets. This amendment introduces a practical expedient, under which an entity may elect to assume that current conditions as of the balance sheet date do not change for the remaining life of the asset when developing reasonable and supportable forecasts as part of estimating expected credit losses. ASU 2025-05 is effective for fiscal years beginning after December 15, 2025 and interim reporting periods within those fiscal years. Early adoption is permitted. The Company is currently evaluating the impact this guidance will have on the consolidated financial statements.</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Reclassifications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Certain reclassifications have been made to the prior year financial statements in order to concur with current financial presentation primarily as it relates to disclosure of the provision for credit losses as a separate item in the condensed consolidated statements of income and comprehensive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NOTE 2 – ACQUISITIONS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 2024, the Company completed the acquisition of 100% of the issued and outstanding stock of a money services entity incorporated in the United Kingdom. This acquisition provides the Company the opportunity to enter into markets in which it did not have a presence previously, such as the ability to provide outbound remittance services from the United Kingdom.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consideration transferred by the Company in connection with the acquisition was approximately $1.4 million in cash, subject to customary purchase price adjustments. The acquisition was funded with cash on hand.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identifiable net assets acquired and goodwill in the acquisition on July 2, 2024 amounted to approximately $0.2 million and $1.2 million, respectively. The measurement period ended June 30, 2025 and no adjustments were recorded through that date.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goodwill balance for this acquisition represents the estimated values of the Company’s assembled workforce and synergies expected to be achieved from the combined operations of the acquired entity and the Company. Goodwill resulting from this acquisition is not deductible for tax purposes.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Restructuring costs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2024, the Company started executing a restructuring plan primarily related to certain of its foreign operations and Envios de Valores La Nacional Corp (“La Nacional”). These restructuring costs are part of the Company's plan, for which the objectives are to reorganize the workforce, streamline operational processes, integrate technology functionality, as well as to develop efficiencies within the Company. For the six months ended June 30, 2025, the Company incurred approximately $0.3 million in expenses for a reduction of workforce in certain locations. These expenses primarily consisted of severance payments and related benefits, which are included in restructuring costs in the condensed consolidated statements of income and comprehensive income. For the three and six months ended June 30, 2024, the Company incurred approximately $2.5 million in expenses for a reduction of workforce in certain locations, closing of certain facilities, discontinuing technology and disposal of obsolete assets.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our liability balance related to restructuring costs for the three and six months ended June 30, 2025 (in thousands):</w:t>
      </w:r>
    </w:p>
    <w:tbl>
      <w:tblPr>
        <w:tblW w:w="10205" w:type="dxa"/>
        <w:jc w:val="left"/>
        <w:tblInd w:w="0" w:type="dxa"/>
        <w:tblLayout w:type="fixed"/>
        <w:tblCellMar>
          <w:top w:w="28" w:type="dxa"/>
          <w:left w:w="28" w:type="dxa"/>
          <w:bottom w:w="28" w:type="dxa"/>
          <w:right w:w="28" w:type="dxa"/>
        </w:tblCellMar>
      </w:tblPr>
      <w:tblGrid>
        <w:gridCol w:w="588"/>
        <w:gridCol w:w="516"/>
        <w:gridCol w:w="519"/>
        <w:gridCol w:w="424"/>
        <w:gridCol w:w="715"/>
        <w:gridCol w:w="213"/>
        <w:gridCol w:w="183"/>
        <w:gridCol w:w="183"/>
        <w:gridCol w:w="183"/>
        <w:gridCol w:w="653"/>
        <w:gridCol w:w="1251"/>
        <w:gridCol w:w="331"/>
        <w:gridCol w:w="109"/>
        <w:gridCol w:w="109"/>
        <w:gridCol w:w="109"/>
        <w:gridCol w:w="366"/>
        <w:gridCol w:w="799"/>
        <w:gridCol w:w="185"/>
        <w:gridCol w:w="160"/>
        <w:gridCol w:w="160"/>
        <w:gridCol w:w="160"/>
        <w:gridCol w:w="624"/>
        <w:gridCol w:w="1202"/>
        <w:gridCol w:w="463"/>
      </w:tblGrid>
      <w:tr>
        <w:trPr/>
        <w:tc>
          <w:tcPr>
            <w:tcW w:w="58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Severance costs</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Legal and professional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Severance costs</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Legal and professional fees</w:t>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incurred</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our liability balance related to restructuring costs for the three and six months ended June 30, 2024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91"/>
        <w:gridCol w:w="518"/>
        <w:gridCol w:w="521"/>
        <w:gridCol w:w="368"/>
        <w:gridCol w:w="803"/>
        <w:gridCol w:w="187"/>
        <w:gridCol w:w="169"/>
        <w:gridCol w:w="169"/>
        <w:gridCol w:w="169"/>
        <w:gridCol w:w="606"/>
        <w:gridCol w:w="1336"/>
        <w:gridCol w:w="310"/>
        <w:gridCol w:w="109"/>
        <w:gridCol w:w="109"/>
        <w:gridCol w:w="109"/>
        <w:gridCol w:w="367"/>
        <w:gridCol w:w="804"/>
        <w:gridCol w:w="186"/>
        <w:gridCol w:w="156"/>
        <w:gridCol w:w="156"/>
        <w:gridCol w:w="156"/>
        <w:gridCol w:w="584"/>
        <w:gridCol w:w="1291"/>
        <w:gridCol w:w="431"/>
      </w:tblGrid>
      <w:tr>
        <w:trPr/>
        <w:tc>
          <w:tcPr>
            <w:tcW w:w="59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2024</w:t>
            </w:r>
          </w:p>
        </w:tc>
      </w:tr>
      <w:tr>
        <w:trPr/>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Severance costs</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Legal and professional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Severance costs</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Legal and professional fees</w:t>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incurred</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Transaction Costs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 costs include all internal and external costs directly related to acquisition activities and the Company's evaluation of strategic alternatives, consisting primarily of legal, consulting, accounting and financial advisory fees. Transaction costs were $2.2 million and $26.0 thousand for the three months ended June 30, 2025 and 2024, respectively, and $3.4 million and $36.0 thousand for the six months ended June 30, 2025 and 2024, respectively.</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3 – REVENUES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recognized revenues from contracts with customers, sending agents and others for the three and six months ended June 30, 2025 and 2024, as follows (in thousands):</w:t>
      </w:r>
    </w:p>
    <w:tbl>
      <w:tblPr>
        <w:tblW w:w="8879" w:type="dxa"/>
        <w:jc w:val="left"/>
        <w:tblInd w:w="0" w:type="dxa"/>
        <w:tblLayout w:type="fixed"/>
        <w:tblCellMar>
          <w:top w:w="28" w:type="dxa"/>
          <w:left w:w="28" w:type="dxa"/>
          <w:bottom w:w="28" w:type="dxa"/>
          <w:right w:w="28" w:type="dxa"/>
        </w:tblCellMar>
      </w:tblPr>
      <w:tblGrid>
        <w:gridCol w:w="1184"/>
        <w:gridCol w:w="1038"/>
        <w:gridCol w:w="104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 and money order fees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133,608 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146,557 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254,497 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274,041 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Discounts and promotions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 and money order fees, net</w:t>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132,970 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145,837 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253,137 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272,758 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161,133 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171,531 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305,443 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321,943 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significant initial costs incurred to obtain contracts with customers. Until January 31, 2025, the Company had a loyalty program under which customers earned one point for each wire transfer completed. Points are redeemed for a discounted wire transaction fee or a foreign exchange rate that is more favorable to the customer. Because the loyalty program benefits represent a future performance obligation, a portion of the initial consideration was recorded as deferred revenue loyalty program (see Note 9) and a corresponding loyalty program entry was recorded as contra revenue. Revenue from this performance obligation is recognized upon customers redeeming points or upon expiration of any points outstanding. Effective February 1, 2025, the loyalty program was terminated. Under the termination conditions, customers were able to redeem their points by July 31, 2025. Any points not redeemed until that date expired automatically.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Except for the loyalty program discussed above, our revenues include only one performance obligation, which is to collect the consumer’s money and make funds available for payment, generally on the same day, to a designated recipient in the currency requested.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offers several other services, including money orders, and check cashing through its sending agents and Company-operated stores, for which revenue is derived from a fee per transaction. For substantially all of the Company’s revenues, the Company acts as principal in the transactions and reports revenue on a gross basis, because the Company controls the service at all times prior to transfer to the customer, is primarily responsible for fulfilling the customer contracts, has the risk of loss and has the ability to establish transaction prices. In addition, we generate revenue from our remittance-as-a-service relationships with digital partners where we receive a fee for facilitating money transfers processed through our proprietary software systems, using our money transmitter licenses and payer network relationships, which are recognized at the time the transaction is processed. The Company acts as the agent for these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Wire transfers and money order fees include money order fees of $0.5 million and $0.6 million for the three months ended June 30, 2025 and 2024, respectively, and $1.1 million for both the six months ended June 30, 2025 and 2024,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4 – ACCOUNTS RECEIVABLE AND AGENT ADVANCES RECEIVABLE, NET OF ALLOWANCE</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Accounts Receivable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Accounts receivable represents primarily outstanding balances from sending agents for pending wire transfers or money orders from our customers. The outstanding balance of accounts receivable, net of allowance for credit losses, consists of the following (in thousands):</w:t>
      </w:r>
    </w:p>
    <w:p>
      <w:pPr>
        <w:pStyle w:val="TextBody"/>
        <w:bidi w:val="0"/>
        <w:spacing w:before="0" w:after="0"/>
        <w:jc w:val="both"/>
        <w:rPr/>
      </w:pPr>
      <w:r>
        <w:rPr/>
      </w:r>
    </w:p>
    <w:tbl>
      <w:tblPr>
        <w:tblW w:w="5591" w:type="dxa"/>
        <w:jc w:val="left"/>
        <w:tblInd w:w="0" w:type="dxa"/>
        <w:tblLayout w:type="fixed"/>
        <w:tblCellMar>
          <w:top w:w="28" w:type="dxa"/>
          <w:left w:w="28" w:type="dxa"/>
          <w:bottom w:w="28" w:type="dxa"/>
          <w:right w:w="28" w:type="dxa"/>
        </w:tblCellMar>
      </w:tblPr>
      <w:tblGrid>
        <w:gridCol w:w="831"/>
        <w:gridCol w:w="730"/>
        <w:gridCol w:w="733"/>
        <w:gridCol w:w="229"/>
        <w:gridCol w:w="898"/>
        <w:gridCol w:w="118"/>
        <w:gridCol w:w="109"/>
        <w:gridCol w:w="109"/>
        <w:gridCol w:w="109"/>
        <w:gridCol w:w="305"/>
        <w:gridCol w:w="1197"/>
        <w:gridCol w:w="223"/>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146,797 </w:t>
            </w:r>
          </w:p>
        </w:tc>
        <w:tc>
          <w:tcPr>
            <w:tcW w:w="11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110,623 </w:t>
            </w:r>
          </w:p>
        </w:tc>
        <w:tc>
          <w:tcPr>
            <w:tcW w:w="22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141,651 </w:t>
            </w:r>
          </w:p>
        </w:tc>
        <w:tc>
          <w:tcPr>
            <w:tcW w:w="1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107,077 </w:t>
            </w:r>
          </w:p>
        </w:tc>
        <w:tc>
          <w:tcPr>
            <w:tcW w:w="22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Agent Advances Receivable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Agent advances receivable, net of allowance for credit losses, from sending agents is as follows (in thousands):</w:t>
      </w:r>
    </w:p>
    <w:p>
      <w:pPr>
        <w:pStyle w:val="TextBody"/>
        <w:bidi w:val="0"/>
        <w:spacing w:before="0" w:after="0"/>
        <w:jc w:val="left"/>
        <w:rPr/>
      </w:pPr>
      <w:r>
        <w:rPr/>
      </w:r>
    </w:p>
    <w:tbl>
      <w:tblPr>
        <w:tblW w:w="6475" w:type="dxa"/>
        <w:jc w:val="left"/>
        <w:tblInd w:w="0" w:type="dxa"/>
        <w:tblLayout w:type="fixed"/>
        <w:tblCellMar>
          <w:top w:w="28" w:type="dxa"/>
          <w:left w:w="28" w:type="dxa"/>
          <w:bottom w:w="28" w:type="dxa"/>
          <w:right w:w="28" w:type="dxa"/>
        </w:tblCellMar>
      </w:tblPr>
      <w:tblGrid>
        <w:gridCol w:w="1150"/>
        <w:gridCol w:w="1011"/>
        <w:gridCol w:w="1018"/>
        <w:gridCol w:w="280"/>
        <w:gridCol w:w="820"/>
        <w:gridCol w:w="145"/>
        <w:gridCol w:w="109"/>
        <w:gridCol w:w="109"/>
        <w:gridCol w:w="109"/>
        <w:gridCol w:w="371"/>
        <w:gridCol w:w="1083"/>
        <w:gridCol w:w="270"/>
      </w:tblGrid>
      <w:tr>
        <w:trPr/>
        <w:tc>
          <w:tcPr>
            <w:tcW w:w="115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advances receivable, current</w:t>
            </w:r>
          </w:p>
        </w:tc>
        <w:tc>
          <w:tcPr>
            <w:tcW w:w="2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4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27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w:t>
            </w:r>
          </w:p>
        </w:tc>
        <w:tc>
          <w:tcPr>
            <w:tcW w:w="2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4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2,087 </w:t>
            </w:r>
          </w:p>
        </w:tc>
        <w:tc>
          <w:tcPr>
            <w:tcW w:w="27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advances receivable, long-term</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long-term</w:t>
            </w:r>
          </w:p>
        </w:tc>
        <w:tc>
          <w:tcPr>
            <w:tcW w:w="28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4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27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net current portion of agent advances receivable is included in prepaid expenses and other current assets (see Note 5), and the net long-term portion is included in other assets (see Note 5) in the condensed consolidated balance sheets. At June 30, 2025 and December 31, 2024, there were $4.4 million and $4.6 million, respectively, of agent advances receivable collateralized by personal guarantees from sending agents and assets from their businesses in case of a default by the agent.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maturities of agent advances receivable at June 30, 2025 are as follows (in thousands):</w:t>
      </w:r>
    </w:p>
    <w:tbl>
      <w:tblPr>
        <w:tblW w:w="4260" w:type="dxa"/>
        <w:jc w:val="left"/>
        <w:tblInd w:w="0" w:type="dxa"/>
        <w:tblLayout w:type="fixed"/>
        <w:tblCellMar>
          <w:top w:w="28" w:type="dxa"/>
          <w:left w:w="28" w:type="dxa"/>
          <w:bottom w:w="28" w:type="dxa"/>
          <w:right w:w="28" w:type="dxa"/>
        </w:tblCellMar>
      </w:tblPr>
      <w:tblGrid>
        <w:gridCol w:w="869"/>
        <w:gridCol w:w="763"/>
        <w:gridCol w:w="768"/>
        <w:gridCol w:w="399"/>
        <w:gridCol w:w="1167"/>
        <w:gridCol w:w="29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Outstanding Balance</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 1 year</w:t>
            </w:r>
          </w:p>
        </w:tc>
        <w:tc>
          <w:tcPr>
            <w:tcW w:w="3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2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Between 1 and 2 years</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More than 2 years to 3 years</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4,446 </w:t>
            </w:r>
          </w:p>
        </w:tc>
        <w:tc>
          <w:tcPr>
            <w:tcW w:w="29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changes in the allowance for credit losses related to accounts receivable and agent advances receivable are as follows (in thousands):</w:t>
      </w:r>
    </w:p>
    <w:p>
      <w:pPr>
        <w:pStyle w:val="TextBody"/>
        <w:bidi w:val="0"/>
        <w:spacing w:before="0" w:after="0"/>
        <w:jc w:val="left"/>
        <w:rPr/>
      </w:pPr>
      <w:r>
        <w:rPr/>
      </w:r>
    </w:p>
    <w:tbl>
      <w:tblPr>
        <w:tblW w:w="6901" w:type="dxa"/>
        <w:jc w:val="left"/>
        <w:tblInd w:w="0" w:type="dxa"/>
        <w:tblLayout w:type="fixed"/>
        <w:tblCellMar>
          <w:top w:w="28" w:type="dxa"/>
          <w:left w:w="28" w:type="dxa"/>
          <w:bottom w:w="28" w:type="dxa"/>
          <w:right w:w="28" w:type="dxa"/>
        </w:tblCellMar>
      </w:tblPr>
      <w:tblGrid>
        <w:gridCol w:w="603"/>
        <w:gridCol w:w="529"/>
        <w:gridCol w:w="532"/>
        <w:gridCol w:w="243"/>
        <w:gridCol w:w="710"/>
        <w:gridCol w:w="125"/>
        <w:gridCol w:w="125"/>
        <w:gridCol w:w="125"/>
        <w:gridCol w:w="125"/>
        <w:gridCol w:w="243"/>
        <w:gridCol w:w="710"/>
        <w:gridCol w:w="125"/>
        <w:gridCol w:w="109"/>
        <w:gridCol w:w="109"/>
        <w:gridCol w:w="109"/>
        <w:gridCol w:w="224"/>
        <w:gridCol w:w="654"/>
        <w:gridCol w:w="115"/>
        <w:gridCol w:w="115"/>
        <w:gridCol w:w="115"/>
        <w:gridCol w:w="115"/>
        <w:gridCol w:w="224"/>
        <w:gridCol w:w="654"/>
        <w:gridCol w:w="163"/>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7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4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4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2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2,930 </w:t>
            </w:r>
          </w:p>
        </w:tc>
        <w:tc>
          <w:tcPr>
            <w:tcW w:w="12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3,836 </w:t>
            </w:r>
          </w:p>
        </w:tc>
        <w:tc>
          <w:tcPr>
            <w:tcW w:w="11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2,794 </w:t>
            </w:r>
          </w:p>
        </w:tc>
        <w:tc>
          <w:tcPr>
            <w:tcW w:w="16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allocated by financial instrument category is as follows (in thousands):</w:t>
      </w:r>
    </w:p>
    <w:p>
      <w:pPr>
        <w:pStyle w:val="TextBody"/>
        <w:bidi w:val="0"/>
        <w:spacing w:before="0" w:after="0"/>
        <w:jc w:val="both"/>
        <w:rPr/>
      </w:pPr>
      <w:r>
        <w:rPr/>
      </w:r>
    </w:p>
    <w:tbl>
      <w:tblPr>
        <w:tblW w:w="5590" w:type="dxa"/>
        <w:jc w:val="left"/>
        <w:tblInd w:w="0" w:type="dxa"/>
        <w:tblLayout w:type="fixed"/>
        <w:tblCellMar>
          <w:top w:w="28" w:type="dxa"/>
          <w:left w:w="28" w:type="dxa"/>
          <w:bottom w:w="28" w:type="dxa"/>
          <w:right w:w="28" w:type="dxa"/>
        </w:tblCellMar>
      </w:tblPr>
      <w:tblGrid>
        <w:gridCol w:w="831"/>
        <w:gridCol w:w="730"/>
        <w:gridCol w:w="733"/>
        <w:gridCol w:w="280"/>
        <w:gridCol w:w="820"/>
        <w:gridCol w:w="145"/>
        <w:gridCol w:w="109"/>
        <w:gridCol w:w="109"/>
        <w:gridCol w:w="109"/>
        <w:gridCol w:w="371"/>
        <w:gridCol w:w="1083"/>
        <w:gridCol w:w="270"/>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5,146 </w:t>
            </w:r>
          </w:p>
        </w:tc>
        <w:tc>
          <w:tcPr>
            <w:tcW w:w="14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27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advances receivable</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28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5,509 </w:t>
            </w:r>
          </w:p>
        </w:tc>
        <w:tc>
          <w:tcPr>
            <w:tcW w:w="14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3,836 </w:t>
            </w:r>
          </w:p>
        </w:tc>
        <w:tc>
          <w:tcPr>
            <w:tcW w:w="27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5 – PREPAID EXPENSES AND OTHER ASSETS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p>
      <w:pPr>
        <w:pStyle w:val="TextBody"/>
        <w:bidi w:val="0"/>
        <w:spacing w:before="0" w:after="0"/>
        <w:jc w:val="left"/>
        <w:rPr/>
      </w:pPr>
      <w:r>
        <w:rPr/>
      </w:r>
    </w:p>
    <w:tbl>
      <w:tblPr>
        <w:tblW w:w="7014" w:type="dxa"/>
        <w:jc w:val="left"/>
        <w:tblInd w:w="0" w:type="dxa"/>
        <w:tblLayout w:type="fixed"/>
        <w:tblCellMar>
          <w:top w:w="28" w:type="dxa"/>
          <w:left w:w="28" w:type="dxa"/>
          <w:bottom w:w="28" w:type="dxa"/>
          <w:right w:w="28" w:type="dxa"/>
        </w:tblCellMar>
      </w:tblPr>
      <w:tblGrid>
        <w:gridCol w:w="1345"/>
        <w:gridCol w:w="1186"/>
        <w:gridCol w:w="1188"/>
        <w:gridCol w:w="252"/>
        <w:gridCol w:w="862"/>
        <w:gridCol w:w="130"/>
        <w:gridCol w:w="109"/>
        <w:gridCol w:w="109"/>
        <w:gridCol w:w="109"/>
        <w:gridCol w:w="335"/>
        <w:gridCol w:w="1145"/>
        <w:gridCol w:w="244"/>
      </w:tblGrid>
      <w:tr>
        <w:trPr/>
        <w:tc>
          <w:tcPr>
            <w:tcW w:w="134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2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3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fees and services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Agent incentive advances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advances receivable, net of allowance</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marketing</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income taxes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11,098 </w:t>
            </w:r>
          </w:p>
        </w:tc>
        <w:tc>
          <w:tcPr>
            <w:tcW w:w="13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10,998 </w:t>
            </w:r>
          </w:p>
        </w:tc>
        <w:tc>
          <w:tcPr>
            <w:tcW w:w="24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 consisted of the following (in thousands):</w:t>
      </w:r>
    </w:p>
    <w:p>
      <w:pPr>
        <w:pStyle w:val="TextBody"/>
        <w:bidi w:val="0"/>
        <w:spacing w:before="0" w:after="0"/>
        <w:jc w:val="left"/>
        <w:rPr/>
      </w:pPr>
      <w:r>
        <w:rPr/>
      </w:r>
    </w:p>
    <w:tbl>
      <w:tblPr>
        <w:tblW w:w="7915" w:type="dxa"/>
        <w:jc w:val="left"/>
        <w:tblInd w:w="0" w:type="dxa"/>
        <w:tblLayout w:type="fixed"/>
        <w:tblCellMar>
          <w:top w:w="28" w:type="dxa"/>
          <w:left w:w="28" w:type="dxa"/>
          <w:bottom w:w="28" w:type="dxa"/>
          <w:right w:w="28" w:type="dxa"/>
        </w:tblCellMar>
      </w:tblPr>
      <w:tblGrid>
        <w:gridCol w:w="1673"/>
        <w:gridCol w:w="1472"/>
        <w:gridCol w:w="1475"/>
        <w:gridCol w:w="252"/>
        <w:gridCol w:w="862"/>
        <w:gridCol w:w="130"/>
        <w:gridCol w:w="109"/>
        <w:gridCol w:w="109"/>
        <w:gridCol w:w="109"/>
        <w:gridCol w:w="335"/>
        <w:gridCol w:w="1145"/>
        <w:gridCol w:w="244"/>
      </w:tblGrid>
      <w:tr>
        <w:trPr/>
        <w:tc>
          <w:tcPr>
            <w:tcW w:w="167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origination fees</w:t>
            </w:r>
          </w:p>
        </w:tc>
        <w:tc>
          <w:tcPr>
            <w:tcW w:w="2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3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Agent incentive advances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advances receivable, net of allowance</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held by seized banking entities, net of allowance</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29,628 </w:t>
            </w:r>
          </w:p>
        </w:tc>
        <w:tc>
          <w:tcPr>
            <w:tcW w:w="13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32,198 </w:t>
            </w:r>
          </w:p>
        </w:tc>
        <w:tc>
          <w:tcPr>
            <w:tcW w:w="24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2022, local banking regulators in Mexico resolved to close and liquidate a local financial institution, citing a lack of compliance with minimum capital requirements. The Company has approximately $5.9 million of exposure from deposits it held with this bank when it was closed. In accordance with the banking regulations in Mexico, large depositors such as the Company will be paid once the assets of the financial institution are liquidated. Currently, it is difficult to predict the length of the liquidation process or if the proceeds from the asset liquidation will be sufficient to recover any of the Company's funds on deposit. The Company maintains a valuation allowance of approximately $4.2 million as of June 30, 2025 in connection with the balance of deposits held by the financial institution as a result of its closure, which has not materially changed since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6 – GOODWILL AND INTANGIBLE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and the majority of intangible assets on the condensed consolidated balance sheets of the Company were recognized from business acquisition transactions. Intangible assets on the condensed consolidated balance sheets of the Company consist of agent relationships, trade names, developed technology and other intangible assets. Agent relationships, trade names and developed technology are amortized over their estimated useful lives of up to 15 years using an accelerated method that correlates with the projected realization of the benefit. The agent relationships intangible represents the network of independent sending agents; trade names refers to the Intermex, La Nacional, Amigo Paisano and I-Transfer names, branded on all applicable agent locations and well recognized in the market; and developed technology includes the state-of-the-art system that the Company has continued to develop and improve over the past 20 years. Other intangible assets relate to the acquisition of Company-operated stores, which are amortized on a straight line basis over 10 years, and non-competition agreements, which are amortized over the length of the agreement, typically 5 years. The determination of our intangible fair values includes several assumptions that are subject to various risks and uncertainties. Management believes it has made reasonable estimates and judgments concerning these risks and uncertainties, and no impairment charges were determined necessary to be recognized during the three and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goodwill and intangible assets (in thousands):</w:t>
      </w:r>
    </w:p>
    <w:p>
      <w:pPr>
        <w:pStyle w:val="TextBody"/>
        <w:bidi w:val="0"/>
        <w:spacing w:before="0" w:after="0"/>
        <w:jc w:val="both"/>
        <w:rPr/>
      </w:pPr>
      <w:r>
        <w:rPr/>
      </w:r>
    </w:p>
    <w:tbl>
      <w:tblPr>
        <w:tblW w:w="5048" w:type="dxa"/>
        <w:jc w:val="left"/>
        <w:tblInd w:w="0" w:type="dxa"/>
        <w:tblLayout w:type="fixed"/>
        <w:tblCellMar>
          <w:top w:w="28" w:type="dxa"/>
          <w:left w:w="28" w:type="dxa"/>
          <w:bottom w:w="28" w:type="dxa"/>
          <w:right w:w="28" w:type="dxa"/>
        </w:tblCellMar>
      </w:tblPr>
      <w:tblGrid>
        <w:gridCol w:w="939"/>
        <w:gridCol w:w="825"/>
        <w:gridCol w:w="830"/>
        <w:gridCol w:w="211"/>
        <w:gridCol w:w="721"/>
        <w:gridCol w:w="109"/>
        <w:gridCol w:w="109"/>
        <w:gridCol w:w="109"/>
        <w:gridCol w:w="109"/>
        <w:gridCol w:w="211"/>
        <w:gridCol w:w="72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Intangibles</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of agent locations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55,195 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26,905 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intangible assets of approximately $2.3 million resulting from the acquisition of agent locations during the three and six months ended June 30, 2025 have a weighted average useful life of 10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for the remainder of 2025 and thereafter is as follows (in thousands):</w:t>
      </w:r>
    </w:p>
    <w:p>
      <w:pPr>
        <w:pStyle w:val="TextBody"/>
        <w:bidi w:val="0"/>
        <w:spacing w:before="0" w:after="0"/>
        <w:jc w:val="both"/>
        <w:rPr/>
      </w:pPr>
      <w:r>
        <w:rPr/>
      </w:r>
    </w:p>
    <w:tbl>
      <w:tblPr>
        <w:tblW w:w="2032" w:type="dxa"/>
        <w:jc w:val="left"/>
        <w:tblInd w:w="0" w:type="dxa"/>
        <w:tblLayout w:type="fixed"/>
        <w:tblCellMar>
          <w:top w:w="28" w:type="dxa"/>
          <w:left w:w="28" w:type="dxa"/>
          <w:bottom w:w="28" w:type="dxa"/>
          <w:right w:w="28" w:type="dxa"/>
        </w:tblCellMar>
      </w:tblPr>
      <w:tblGrid>
        <w:gridCol w:w="342"/>
        <w:gridCol w:w="300"/>
        <w:gridCol w:w="304"/>
        <w:gridCol w:w="211"/>
        <w:gridCol w:w="72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26,905 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7 – LEASES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conduct certain of our operations, the Company is a party to leases for office space, warehouses and Company-operated store locations and vehicles. </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presentation of right-of-use assets and lease liabilities in the condensed consolidated balance sheets is as follows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before="0" w:after="0"/>
        <w:jc w:val="center"/>
        <w:rPr/>
      </w:pPr>
      <w:r>
        <w:rPr/>
      </w:r>
    </w:p>
    <w:tbl>
      <w:tblPr>
        <w:tblW w:w="8403" w:type="dxa"/>
        <w:jc w:val="left"/>
        <w:tblInd w:w="0" w:type="dxa"/>
        <w:tblLayout w:type="fixed"/>
        <w:tblCellMar>
          <w:top w:w="28" w:type="dxa"/>
          <w:left w:w="28" w:type="dxa"/>
          <w:bottom w:w="28" w:type="dxa"/>
          <w:right w:w="28" w:type="dxa"/>
        </w:tblCellMar>
      </w:tblPr>
      <w:tblGrid>
        <w:gridCol w:w="710"/>
        <w:gridCol w:w="625"/>
        <w:gridCol w:w="629"/>
        <w:gridCol w:w="109"/>
        <w:gridCol w:w="109"/>
        <w:gridCol w:w="109"/>
        <w:gridCol w:w="804"/>
        <w:gridCol w:w="804"/>
        <w:gridCol w:w="806"/>
        <w:gridCol w:w="109"/>
        <w:gridCol w:w="109"/>
        <w:gridCol w:w="109"/>
        <w:gridCol w:w="258"/>
        <w:gridCol w:w="883"/>
        <w:gridCol w:w="133"/>
        <w:gridCol w:w="109"/>
        <w:gridCol w:w="109"/>
        <w:gridCol w:w="109"/>
        <w:gridCol w:w="344"/>
        <w:gridCol w:w="1175"/>
        <w:gridCol w:w="251"/>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Classification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96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assets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jc w:val="both"/>
        <w:rPr>
          <w:rFonts w:ascii="Times New Roman;serif" w:hAnsi="Times New Roman;serif"/>
          <w:b w:val="false"/>
          <w:color w:val="000000"/>
          <w:sz w:val="18"/>
        </w:rPr>
      </w:pPr>
      <w:r>
        <w:rPr>
          <w:rFonts w:ascii="Times New Roman;serif" w:hAnsi="Times New Roman;serif"/>
          <w:b w:val="false"/>
          <w:color w:val="000000"/>
          <w:sz w:val="18"/>
        </w:rPr>
        <w:t>(1) Operating right-of-use assets are recorded net of accumulated amortization of $15.1 million and $14.5 million as of June 30, 2025 and December 31, 2024, respectively.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Operating lease cost for the three and six months ended June 30, 2025 and 2024, was as follows (in thousands):</w:t>
      </w:r>
    </w:p>
    <w:tbl>
      <w:tblPr>
        <w:tblW w:w="8104" w:type="dxa"/>
        <w:jc w:val="left"/>
        <w:tblInd w:w="0" w:type="dxa"/>
        <w:tblLayout w:type="fixed"/>
        <w:tblCellMar>
          <w:top w:w="28" w:type="dxa"/>
          <w:left w:w="28" w:type="dxa"/>
          <w:bottom w:w="28" w:type="dxa"/>
          <w:right w:w="28" w:type="dxa"/>
        </w:tblCellMar>
      </w:tblPr>
      <w:tblGrid>
        <w:gridCol w:w="712"/>
        <w:gridCol w:w="624"/>
        <w:gridCol w:w="628"/>
        <w:gridCol w:w="109"/>
        <w:gridCol w:w="109"/>
        <w:gridCol w:w="109"/>
        <w:gridCol w:w="109"/>
        <w:gridCol w:w="109"/>
        <w:gridCol w:w="109"/>
        <w:gridCol w:w="109"/>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96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cost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3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3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3,493 </w:t>
            </w:r>
          </w:p>
        </w:tc>
        <w:tc>
          <w:tcPr>
            <w:tcW w:w="11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3,524 </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Operating lease cost is included in other selling, general and administrative expenses in the condensed consolidated statements of income and comprehensive income for the three and six months ended June 30, 2025 and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of June 30, 2025 and December 31, 2024, the Company’s weighted-average remaining lease terms on its operating leases is </w:t>
      </w:r>
      <w:r>
        <w:rPr>
          <w:rFonts w:ascii="Times New Roman;serif" w:hAnsi="Times New Roman;serif"/>
          <w:b w:val="false"/>
          <w:color w:val="000000"/>
          <w:sz w:val="20"/>
          <w:shd w:fill="FFFFFF" w:val="clear"/>
        </w:rPr>
        <w:t>6.5</w:t>
      </w:r>
      <w:r>
        <w:rPr>
          <w:color w:val="000000"/>
        </w:rPr>
        <w:t xml:space="preserve"> </w:t>
      </w:r>
      <w:r>
        <w:rPr>
          <w:rFonts w:ascii="Times New Roman;serif" w:hAnsi="Times New Roman;serif"/>
          <w:b w:val="false"/>
          <w:color w:val="000000"/>
          <w:sz w:val="20"/>
        </w:rPr>
        <w:t xml:space="preserve">and 6.6 years, and the Company’s weighted-average discount rate is </w:t>
      </w:r>
      <w:r>
        <w:rPr>
          <w:rFonts w:ascii="Times New Roman;serif" w:hAnsi="Times New Roman;serif"/>
          <w:b w:val="false"/>
          <w:color w:val="000000"/>
          <w:sz w:val="20"/>
          <w:shd w:fill="FFFFFF" w:val="clear"/>
        </w:rPr>
        <w:t>6.35%</w:t>
      </w:r>
      <w:r>
        <w:rPr>
          <w:color w:val="000000"/>
        </w:rPr>
        <w:t xml:space="preserve"> </w:t>
      </w:r>
      <w:r>
        <w:rPr>
          <w:rFonts w:ascii="Times New Roman;serif" w:hAnsi="Times New Roman;serif"/>
          <w:b w:val="false"/>
          <w:color w:val="000000"/>
          <w:sz w:val="20"/>
        </w:rPr>
        <w:t xml:space="preserve">and 6.31%, respectively, which is the Company’s incremental borrowing rate. The Company used its incremental borrowing rate for all leases, as none of the Company’s lease agreements provide a readily determinable implicit rate.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Lease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for assets under non-cancelable operating lease agreements with original terms of more than one year are as follows (in thousands):</w:t>
      </w:r>
    </w:p>
    <w:p>
      <w:pPr>
        <w:pStyle w:val="TextBody"/>
        <w:bidi w:val="0"/>
        <w:spacing w:before="0" w:after="0"/>
        <w:jc w:val="both"/>
        <w:rPr/>
      </w:pPr>
      <w:r>
        <w:rPr/>
      </w:r>
    </w:p>
    <w:tbl>
      <w:tblPr>
        <w:tblW w:w="4098" w:type="dxa"/>
        <w:jc w:val="left"/>
        <w:tblInd w:w="0" w:type="dxa"/>
        <w:tblLayout w:type="fixed"/>
        <w:tblCellMar>
          <w:top w:w="28" w:type="dxa"/>
          <w:left w:w="28" w:type="dxa"/>
          <w:bottom w:w="28" w:type="dxa"/>
          <w:right w:w="28" w:type="dxa"/>
        </w:tblCellMar>
      </w:tblPr>
      <w:tblGrid>
        <w:gridCol w:w="970"/>
        <w:gridCol w:w="852"/>
        <w:gridCol w:w="863"/>
        <w:gridCol w:w="109"/>
        <w:gridCol w:w="109"/>
        <w:gridCol w:w="109"/>
        <w:gridCol w:w="211"/>
        <w:gridCol w:w="721"/>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29,162 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22,642 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8 – WIRE TRANSFERS AND MONEY ORDERS PAYABLE, NET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Wire transfers and money orders payable, net consisted of the following (in thousands):</w:t>
      </w:r>
    </w:p>
    <w:p>
      <w:pPr>
        <w:pStyle w:val="TextBody"/>
        <w:bidi w:val="0"/>
        <w:spacing w:before="0" w:after="0"/>
        <w:jc w:val="both"/>
        <w:rPr/>
      </w:pPr>
      <w:r>
        <w:rPr/>
      </w:r>
    </w:p>
    <w:tbl>
      <w:tblPr>
        <w:tblW w:w="5965" w:type="dxa"/>
        <w:jc w:val="left"/>
        <w:tblInd w:w="0" w:type="dxa"/>
        <w:tblLayout w:type="fixed"/>
        <w:tblCellMar>
          <w:top w:w="28" w:type="dxa"/>
          <w:left w:w="28" w:type="dxa"/>
          <w:bottom w:w="28" w:type="dxa"/>
          <w:right w:w="28" w:type="dxa"/>
        </w:tblCellMar>
      </w:tblPr>
      <w:tblGrid>
        <w:gridCol w:w="968"/>
        <w:gridCol w:w="849"/>
        <w:gridCol w:w="852"/>
        <w:gridCol w:w="229"/>
        <w:gridCol w:w="898"/>
        <w:gridCol w:w="118"/>
        <w:gridCol w:w="109"/>
        <w:gridCol w:w="109"/>
        <w:gridCol w:w="109"/>
        <w:gridCol w:w="335"/>
        <w:gridCol w:w="1145"/>
        <w:gridCol w:w="244"/>
      </w:tblGrid>
      <w:tr>
        <w:trPr/>
        <w:tc>
          <w:tcPr>
            <w:tcW w:w="9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transfers payable, net</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77,746 </w:t>
            </w:r>
          </w:p>
        </w:tc>
        <w:tc>
          <w:tcPr>
            <w:tcW w:w="11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22,437 </w:t>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voided wires payable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orders payable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144,196 </w:t>
            </w:r>
          </w:p>
        </w:tc>
        <w:tc>
          <w:tcPr>
            <w:tcW w:w="11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85,044 </w:t>
            </w:r>
          </w:p>
        </w:tc>
        <w:tc>
          <w:tcPr>
            <w:tcW w:w="24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Customer voided wires payable consist primarily of wire transfers that were not completed because the recipient did not collect the funds within 30 days and the sender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9 – ACCRUED AND OTHER LIABILITIES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 consisted of the following (in thousands):</w:t>
      </w:r>
    </w:p>
    <w:p>
      <w:pPr>
        <w:pStyle w:val="TextBody"/>
        <w:bidi w:val="0"/>
        <w:spacing w:before="0" w:after="0"/>
        <w:jc w:val="left"/>
        <w:rPr/>
      </w:pPr>
      <w:r>
        <w:rPr/>
      </w:r>
    </w:p>
    <w:tbl>
      <w:tblPr>
        <w:tblW w:w="6669" w:type="dxa"/>
        <w:jc w:val="left"/>
        <w:tblInd w:w="0" w:type="dxa"/>
        <w:tblLayout w:type="fixed"/>
        <w:tblCellMar>
          <w:top w:w="28" w:type="dxa"/>
          <w:left w:w="28" w:type="dxa"/>
          <w:bottom w:w="28" w:type="dxa"/>
          <w:right w:w="28" w:type="dxa"/>
        </w:tblCellMar>
      </w:tblPr>
      <w:tblGrid>
        <w:gridCol w:w="1221"/>
        <w:gridCol w:w="1074"/>
        <w:gridCol w:w="1079"/>
        <w:gridCol w:w="252"/>
        <w:gridCol w:w="862"/>
        <w:gridCol w:w="130"/>
        <w:gridCol w:w="109"/>
        <w:gridCol w:w="109"/>
        <w:gridCol w:w="109"/>
        <w:gridCol w:w="335"/>
        <w:gridCol w:w="1145"/>
        <w:gridCol w:w="244"/>
      </w:tblGrid>
      <w:tr>
        <w:trPr/>
        <w:tc>
          <w:tcPr>
            <w:tcW w:w="12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payable to sending agents</w:t>
            </w:r>
          </w:p>
        </w:tc>
        <w:tc>
          <w:tcPr>
            <w:tcW w:w="2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17,795 </w:t>
            </w:r>
          </w:p>
        </w:tc>
        <w:tc>
          <w:tcPr>
            <w:tcW w:w="13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18,080 </w:t>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bank charges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 current portion</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loyalty program</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liability</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liabilities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transaction costs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45,023 </w:t>
            </w:r>
          </w:p>
        </w:tc>
        <w:tc>
          <w:tcPr>
            <w:tcW w:w="13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47,434 </w:t>
            </w:r>
          </w:p>
        </w:tc>
        <w:tc>
          <w:tcPr>
            <w:tcW w:w="24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changes in the deferred revenue loyalty program liability (in thousands):</w:t>
      </w:r>
    </w:p>
    <w:p>
      <w:pPr>
        <w:pStyle w:val="TextBody"/>
        <w:bidi w:val="0"/>
        <w:spacing w:before="0" w:after="0"/>
        <w:jc w:val="left"/>
        <w:rPr/>
      </w:pPr>
      <w:r>
        <w:rPr/>
      </w:r>
    </w:p>
    <w:tbl>
      <w:tblPr>
        <w:tblW w:w="8477" w:type="dxa"/>
        <w:jc w:val="left"/>
        <w:tblInd w:w="0" w:type="dxa"/>
        <w:tblLayout w:type="fixed"/>
        <w:tblCellMar>
          <w:top w:w="28" w:type="dxa"/>
          <w:left w:w="28" w:type="dxa"/>
          <w:bottom w:w="28" w:type="dxa"/>
          <w:right w:w="28" w:type="dxa"/>
        </w:tblCellMar>
      </w:tblPr>
      <w:tblGrid>
        <w:gridCol w:w="1174"/>
        <w:gridCol w:w="1030"/>
        <w:gridCol w:w="1036"/>
        <w:gridCol w:w="243"/>
        <w:gridCol w:w="710"/>
        <w:gridCol w:w="125"/>
        <w:gridCol w:w="125"/>
        <w:gridCol w:w="125"/>
        <w:gridCol w:w="125"/>
        <w:gridCol w:w="243"/>
        <w:gridCol w:w="710"/>
        <w:gridCol w:w="125"/>
        <w:gridCol w:w="109"/>
        <w:gridCol w:w="109"/>
        <w:gridCol w:w="109"/>
        <w:gridCol w:w="224"/>
        <w:gridCol w:w="654"/>
        <w:gridCol w:w="115"/>
        <w:gridCol w:w="115"/>
        <w:gridCol w:w="115"/>
        <w:gridCol w:w="115"/>
        <w:gridCol w:w="224"/>
        <w:gridCol w:w="654"/>
        <w:gridCol w:w="163"/>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7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4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4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2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4,781 </w:t>
            </w:r>
          </w:p>
        </w:tc>
        <w:tc>
          <w:tcPr>
            <w:tcW w:w="12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1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4,771 </w:t>
            </w:r>
          </w:p>
        </w:tc>
        <w:tc>
          <w:tcPr>
            <w:tcW w:w="16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deferred during the period</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during the period</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4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2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4,794 </w:t>
            </w:r>
          </w:p>
        </w:tc>
        <w:tc>
          <w:tcPr>
            <w:tcW w:w="12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1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4,794 </w:t>
            </w:r>
          </w:p>
        </w:tc>
        <w:tc>
          <w:tcPr>
            <w:tcW w:w="16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10 – DEBT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Debt consisted primarily of the following (in thousands):</w:t>
      </w:r>
    </w:p>
    <w:p>
      <w:pPr>
        <w:pStyle w:val="TextBody"/>
        <w:bidi w:val="0"/>
        <w:spacing w:before="0" w:after="0"/>
        <w:jc w:val="left"/>
        <w:rPr/>
      </w:pPr>
      <w:r>
        <w:rPr/>
      </w:r>
    </w:p>
    <w:tbl>
      <w:tblPr>
        <w:tblW w:w="5426" w:type="dxa"/>
        <w:jc w:val="left"/>
        <w:tblInd w:w="0" w:type="dxa"/>
        <w:tblLayout w:type="fixed"/>
        <w:tblCellMar>
          <w:top w:w="28" w:type="dxa"/>
          <w:left w:w="28" w:type="dxa"/>
          <w:bottom w:w="28" w:type="dxa"/>
          <w:right w:w="28" w:type="dxa"/>
        </w:tblCellMar>
      </w:tblPr>
      <w:tblGrid>
        <w:gridCol w:w="771"/>
        <w:gridCol w:w="677"/>
        <w:gridCol w:w="681"/>
        <w:gridCol w:w="229"/>
        <w:gridCol w:w="898"/>
        <w:gridCol w:w="118"/>
        <w:gridCol w:w="109"/>
        <w:gridCol w:w="109"/>
        <w:gridCol w:w="109"/>
        <w:gridCol w:w="305"/>
        <w:gridCol w:w="1197"/>
        <w:gridCol w:w="223"/>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144,114 </w:t>
            </w:r>
          </w:p>
        </w:tc>
        <w:tc>
          <w:tcPr>
            <w:tcW w:w="11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156,600 </w:t>
            </w:r>
          </w:p>
        </w:tc>
        <w:tc>
          <w:tcPr>
            <w:tcW w:w="22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144,132 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156,623 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9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Until August 28, 2024, the Company and certain of its domestic subsidiaries as borrowers and the other guarantors from time to time party thereto (collectively, the “Loan Parties”) maintained an Amended and Restated Credit Agreement (as amended, the “A&amp;R Credit Agreement”) with a group of banking institutions. The A&amp;R Credit Agreement provided for a $220.0 million revolving credit facility, an $87.5 million term loan facility and an uncommitted incremental facility, which may have been utilized for additional revolving or term loans, of up to $70.0 million. The A&amp;R Credit Agreement also provided for the issuance of letters of credit, which would reduce availability under the revolving credit facility. The proceeds of the term loan were used to refinance the existing term loan facility under the Company’s previous credit agreement, and the revolving credit facility was available for working capital, general corporate purposes and to pay fees and expenses in connection with entry into the A&amp;R Credit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election of the Company, interest on the term loan facility and revolving loans under the A&amp;R Credit Agreement were determined by reference to the secured overnight financing rate as administered by the Federal Reserve Bank of New York (“SOFR”) plus an index adjustment of 0.10% and an applicable margin ranging between 2.50% and 3.00% based upon the Company’s consolidated leverage ratio, as calculated pursuant to the terms of the A&amp;R Credit Agreement. Loans (other than Term Loans, as defined in the A&amp;R Credit Agreement), were subject to interest at the base rate plus an applicable margin ranging between 1.50% and 2.00% based upon the Company’s consolidated leverage ratio, as so calculated. The Company was also required to pay a fee on the unused portion of the revolving credit facility equal to 0.35% per annum.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29, 2024, the Company entered into a Second Amended and Restated Credit Agreement (the “Second A&amp;R Credit Agreement”) with a group of banking institutions, which amended and restated in its entirety the A&amp;R Credit Agreement. The Second A&amp;R Credit Agreement provides for a new $425.0 million, multi-currency, revolving credit facility and an uncommitted incremental facility, which may be utilized for additional term and revolving loans of up to $100.0 million. The Second A&amp;R Credit Agreement also provides for the issuance of letters of credit, which would reduce availability under the revolving credit facility. The maturity date of the Second A&amp;R Credit Agreement is August 29, 2029. A portion of the initial borrowings under the new revolving credit facility were used to repay in full the remaining outstanding balance of the Company’s term loan under the A&amp;R Credit Agreement and to pay the costs associated with establishing the new revolving credit facility. Borrowings under the Second A&amp;R Credit Agreement are available for general corporate purposes to support the Company’s growth, as well as to fund share repurchases.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Entering into the Second A&amp;R credit agreement was accounted for as a debt modification. The unamortized portion of debt origination costs primarily related to the Second A&amp;R Credit Agreement totaled approximately $4.1 million and $4.6 million at June 30, 2025 and December 31, 2024, respectively. Amortization of debt origination costs is included as a component of interest expense in the condensed consolidated statements of income and comprehensive income and amounted to approximately $0.3 million for both the three months ended June 30, 2025 and 2024, respectively, and $0.5 million and $0.6 million for the six months ended June 30, 2025 and 2024,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Second A&amp;R Credit Agreement and at the election of the Company, interest on the revolving loans denominated in U.S. Dollars is determined by reference to either (i) the SOFR, (ii) the daily simple SOFR or (iii) a defined “base rate,” in each case, plus an applicable margin ranging from 1.75% to 2.25% for SOFR rate loans and from 0.75% to 1.25% for base rate loans based upon the Company’s consolidated leverage ratio, as so calculated pursuant to the terms of the Second A&amp;R Credit Agreement. Interest on revolving loans denominated in Euros or Pounds Sterling is determined by reference to the Euro Interbank Offered Rate (“EURIBOR”) or Sterling Overnight Index Average (“SONIA”), in each case, plus an applicable margin ranging from 1.75% to 2.25% based upon the Company’s consolidated leverage ratio, as so calculated.</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revolving loans may be borrowed, repaid, and reborrowed from time to time in accordance with the terms and conditions of the Second A&amp;R Credit Agreement. Interest is payable quarterly for base rate loans, daily simple SOFR loans, and daily simple SONIA loans, and on the expiration of the applicable interest period for term SOFR loans and EURIBOR loans. The Company also pays an annual commitment fee of up to 0.30% of the actual daily amount by which the maximum availability under the revolving credit facility exceeds the sum of the outstanding amount of revolving credit loans.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interest rate for the revolving credit facility was 2.74% for the six months ended June 30, 2025. The effective interest rates for the term loan facility and revolving credit facility were 8.70% and 2.31%, respectively, for the six months ended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Second A&amp;R Credit Agreement also provides the Company with increased flexibility to make certain restricted payments, including the repurchase of shares of its common stock, without limitation so long as the Company’s consolidated leverage ratio, as of the then most recently completed four fiscal quarters, after giving pro forma effect to such restricted payments, is 2.50 to 1.00 or less. In addition, the Company may make restricted payments that do not exceed in the aggregate during any fiscal year the greater of (i) $30.3 million and (ii) 25% of Consolidated EBITDA (as defined in the Second A&amp;R Credit Agreement) for the then most recently completed four fiscal quarters of the Company.</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Second A&amp;R Credit Agreement also contains customary covenants that limit the ability of the Company and its subsidiaries to, among other things, grant liens, incur additional indebtedness, make acquisitions or investments, dispose of certain assets, issue dividends and distributions (other than to the Company and certain of its subsidiaries), change the nature of their businesses, enter into certain transactions with affiliates, or amend the terms of material indebtedness, in each case subject to certain thresholds and exceptions.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Second A&amp;R Credit Agreement, the Company is required to maintain a quarterly minimum interest coverage ratio of 3.00:1.00 and a quarterly maximum consolidated leverage ratio of 3.50 with a step-up to 3.75 in the quarter during which the Company completes a material acquisition, in each case, as computed in accordance with the terms of the Second A&amp;R Credit Agreement. As of June 30, 2025, we were in compliance with these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obligations under the Second A&amp;R Credit Agreement are guaranteed by the Company and certain domestic subsidiaries of the Company and secured by liens on substantially all of the assets of the Loan Parties, subject to certain exclusions and limitations.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11 – FAIR VALUE MEASUREMENTS</w:t>
      </w:r>
    </w:p>
    <w:p>
      <w:pPr>
        <w:pStyle w:val="TextBody"/>
        <w:bidi w:val="0"/>
        <w:spacing w:lineRule="auto" w:line="288" w:before="0" w:after="0"/>
        <w:jc w:val="both"/>
        <w:rPr/>
      </w:pPr>
      <w:r>
        <w:rPr>
          <w:rFonts w:ascii="Times New Roman;serif" w:hAnsi="Times New Roman;serif"/>
          <w:b w:val="false"/>
          <w:color w:val="000000"/>
          <w:sz w:val="20"/>
        </w:rPr>
        <w:t xml:space="preserve">The Company determines fair value in accordance with the provisions of FASB guidance,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and for disclosure purposes. Level 1 relates to quoted market prices for identical assets or liabilities in active markets. Level 2 relates to observable inputs other than quoted prices included in Level 1. Level 3 relates to unobservable inputs that are supported by little or no market activity and that are significant to the fair value of the assets or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non-financial assets measured at fair value on a nonrecurring basis include goodwill and intangible assets. The determination of our intangible fair values is based on a discounted cash flows analysis that includes several assumptions and inputs to measure the economic benefit of these assets over their useful lives, such as the Company’s forecasted revenues, assumed turnover of agent locations, obsolescence assumptions for technology, market discount and royalty rates. These inputs are based on information not observable in the market and represent Level 3 measurements within the fair value hierarchy.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are carried at amortized cost. The Company’s cash and cash equivalents balances are representative of their fair values as these balances are comprised of deposits available on demand or overnight. The carrying amounts of accounts receivable, agent advances receivable, prepaid wires, accounts payable and wire transfers and money orders payable are representative of their fair values because of the short turnover of these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financial liabilities include its revolving credit facility. The estimated fair value of the revolving credit facility would approximate book value given the payment schedule and interest rate structure, which approximates current market interest rates.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financial instruments that are not measured at fair value, categorized based upon the fair value hierarchy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tbl>
      <w:tblPr>
        <w:tblW w:w="7121" w:type="dxa"/>
        <w:jc w:val="left"/>
        <w:tblInd w:w="0" w:type="dxa"/>
        <w:tblLayout w:type="fixed"/>
        <w:tblCellMar>
          <w:top w:w="28" w:type="dxa"/>
          <w:left w:w="28" w:type="dxa"/>
          <w:bottom w:w="28" w:type="dxa"/>
          <w:right w:w="28" w:type="dxa"/>
        </w:tblCellMar>
      </w:tblPr>
      <w:tblGrid>
        <w:gridCol w:w="1234"/>
        <w:gridCol w:w="1082"/>
        <w:gridCol w:w="1088"/>
        <w:gridCol w:w="211"/>
        <w:gridCol w:w="826"/>
        <w:gridCol w:w="109"/>
        <w:gridCol w:w="109"/>
        <w:gridCol w:w="109"/>
        <w:gridCol w:w="109"/>
        <w:gridCol w:w="211"/>
        <w:gridCol w:w="826"/>
        <w:gridCol w:w="109"/>
        <w:gridCol w:w="109"/>
        <w:gridCol w:w="109"/>
        <w:gridCol w:w="109"/>
        <w:gridCol w:w="211"/>
        <w:gridCol w:w="406"/>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advances, net of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wires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transfers and money orders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121" w:type="dxa"/>
        <w:jc w:val="left"/>
        <w:tblInd w:w="0" w:type="dxa"/>
        <w:tblLayout w:type="fixed"/>
        <w:tblCellMar>
          <w:top w:w="28" w:type="dxa"/>
          <w:left w:w="28" w:type="dxa"/>
          <w:bottom w:w="28" w:type="dxa"/>
          <w:right w:w="28" w:type="dxa"/>
        </w:tblCellMar>
      </w:tblPr>
      <w:tblGrid>
        <w:gridCol w:w="1234"/>
        <w:gridCol w:w="1082"/>
        <w:gridCol w:w="1088"/>
        <w:gridCol w:w="211"/>
        <w:gridCol w:w="826"/>
        <w:gridCol w:w="109"/>
        <w:gridCol w:w="109"/>
        <w:gridCol w:w="109"/>
        <w:gridCol w:w="109"/>
        <w:gridCol w:w="211"/>
        <w:gridCol w:w="826"/>
        <w:gridCol w:w="109"/>
        <w:gridCol w:w="109"/>
        <w:gridCol w:w="109"/>
        <w:gridCol w:w="109"/>
        <w:gridCol w:w="211"/>
        <w:gridCol w:w="406"/>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advances, net of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wires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transfers and money orders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assets measured at fair value on a non-recurring basis at the dates indicated (in thousands):</w:t>
      </w:r>
    </w:p>
    <w:p>
      <w:pPr>
        <w:pStyle w:val="TextBody"/>
        <w:bidi w:val="0"/>
        <w:spacing w:before="0" w:after="0"/>
        <w:jc w:val="both"/>
        <w:rPr/>
      </w:pPr>
      <w:r>
        <w:rPr/>
      </w:r>
    </w:p>
    <w:tbl>
      <w:tblPr>
        <w:tblW w:w="5110" w:type="dxa"/>
        <w:jc w:val="left"/>
        <w:tblInd w:w="0" w:type="dxa"/>
        <w:tblLayout w:type="fixed"/>
        <w:tblCellMar>
          <w:top w:w="28" w:type="dxa"/>
          <w:left w:w="28" w:type="dxa"/>
          <w:bottom w:w="28" w:type="dxa"/>
          <w:right w:w="28" w:type="dxa"/>
        </w:tblCellMar>
      </w:tblPr>
      <w:tblGrid>
        <w:gridCol w:w="657"/>
        <w:gridCol w:w="576"/>
        <w:gridCol w:w="582"/>
        <w:gridCol w:w="252"/>
        <w:gridCol w:w="862"/>
        <w:gridCol w:w="130"/>
        <w:gridCol w:w="109"/>
        <w:gridCol w:w="109"/>
        <w:gridCol w:w="109"/>
        <w:gridCol w:w="335"/>
        <w:gridCol w:w="1145"/>
        <w:gridCol w:w="244"/>
      </w:tblGrid>
      <w:tr>
        <w:trPr/>
        <w:tc>
          <w:tcPr>
            <w:tcW w:w="65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82,100 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82,042 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12 – SHARE-BASED COMPENSATION</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International Money Express, Inc. Omnibus Equity Compensation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International Money Express, Inc. 2020 Omnibus Equity Compensation Plan (the “2020 Plan”) provided for the granting of stock-based incentive awards, including stock options, restricted stock units (“RSUs”), restricted stock awards (“RSAs”) and performance stock units (“PSUs”) to employees, certain service providers and independent directors of the Company. There were 3.7 million shares of the Company’s common stock approved for issuance under the 2020 Plan, which included 0.4 million shares that were previously subject to awards granted under the International Money Express, Inc. 2018 Omnibus Equity Compensation Plan (the “2018 Plan”). Although awards remain outstanding under the 2018 Plan, which was terminated effective June 26, 2020, no additional awards may be granted under the 2018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20, 2025, the Company’s stockholders approved the Amended and Restated International Money Express, Inc. 2020 Omnibus Equity Compensation Plan (the “A&amp;R 2020 Plan” and together with the 2018 and 2020 Plans, the “Plans”), which amends and restates the 2020 Plan. The A&amp;R 2020 Plan increased the number of shares of common stock authorized for issuance under the 2020 Plan by an additional 2.5 million shares. As of June 30, 2025, 3.2 million shares remained available for future awards under the Plan.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Stock Options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value of each option grant is estimated on the grant date using the Black-Scholes option pricing model (“BSM”). The option pricing model requires the input of certain assumptions, including the grant date fair value of our common stock, expected volatility, risk-free interest rates, expected term and expected dividend yield. To determine the grant date fair value of the Company’s common stock, we use the closing market price of our common stock at the grant date. We also use an expected volatility based on the historical volatility of the Company’s common stock and the “simplified” method for calculating the expected life of our stock options as the options are “plain vanilla” and we do not have any significant historical post-vesting activity. We have elected to account for forfeitures as they occur. The risk-free interest rates are obtained from publicly available U.S. Treasury yield curve rates.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Share-based compensation is recognized as an expense on a straight-line basis over the requisite service period, which is generally the vesting period. The stock options issued under the Plans have 10-year terms and generally vest in four equal installments beginning one year after the date of the grant. The Company recognized compensation expense for stock options of approximately $42.4 thousand and $86.8 thousand for the </w:t>
      </w:r>
      <w:r>
        <w:rPr>
          <w:rFonts w:ascii="Times New Roman;serif" w:hAnsi="Times New Roman;serif"/>
          <w:b w:val="false"/>
          <w:color w:val="000000"/>
          <w:sz w:val="18"/>
        </w:rPr>
        <w:t>three and six</w:t>
      </w:r>
      <w:r>
        <w:rPr>
          <w:color w:val="000000"/>
        </w:rPr>
        <w:t xml:space="preserve"> </w:t>
      </w:r>
      <w:r>
        <w:rPr>
          <w:rFonts w:ascii="Times New Roman;serif" w:hAnsi="Times New Roman;serif"/>
          <w:b w:val="false"/>
          <w:color w:val="000000"/>
          <w:sz w:val="20"/>
        </w:rPr>
        <w:t xml:space="preserve">months ended June 30, 2024 (none in the </w:t>
      </w:r>
      <w:r>
        <w:rPr>
          <w:rFonts w:ascii="Times New Roman;serif" w:hAnsi="Times New Roman;serif"/>
          <w:b w:val="false"/>
          <w:color w:val="000000"/>
          <w:sz w:val="18"/>
        </w:rPr>
        <w:t>three and six</w:t>
      </w:r>
      <w:r>
        <w:rPr>
          <w:color w:val="000000"/>
        </w:rPr>
        <w:t xml:space="preserve"> </w:t>
      </w:r>
      <w:r>
        <w:rPr>
          <w:rFonts w:ascii="Times New Roman;serif" w:hAnsi="Times New Roman;serif"/>
          <w:b w:val="false"/>
          <w:color w:val="000000"/>
          <w:sz w:val="20"/>
        </w:rPr>
        <w:t>months ended June 30, 2025), which is included in salaries and benefits in the condensed consolidated statements of income and comprehensive income. As of June 30, 2025, there is no unrecognized compensation expense related to stock options.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stock option activity under the Plans during the six months ended June 30, 2025 is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09"/>
        <w:gridCol w:w="886"/>
        <w:gridCol w:w="891"/>
        <w:gridCol w:w="413"/>
        <w:gridCol w:w="413"/>
        <w:gridCol w:w="315"/>
        <w:gridCol w:w="109"/>
        <w:gridCol w:w="109"/>
        <w:gridCol w:w="109"/>
        <w:gridCol w:w="368"/>
        <w:gridCol w:w="1076"/>
        <w:gridCol w:w="192"/>
        <w:gridCol w:w="109"/>
        <w:gridCol w:w="109"/>
        <w:gridCol w:w="109"/>
        <w:gridCol w:w="658"/>
        <w:gridCol w:w="658"/>
        <w:gridCol w:w="660"/>
        <w:gridCol w:w="109"/>
        <w:gridCol w:w="109"/>
        <w:gridCol w:w="109"/>
        <w:gridCol w:w="404"/>
        <w:gridCol w:w="980"/>
        <w:gridCol w:w="301"/>
      </w:tblGrid>
      <w:tr>
        <w:trPr/>
        <w:tc>
          <w:tcPr>
            <w:tcW w:w="10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Remaining 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Grant Date</w:t>
              <w:br/>
              <w:t>Fair Value</w:t>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82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151,125 </w:t>
            </w:r>
          </w:p>
        </w:tc>
        <w:tc>
          <w:tcPr>
            <w:tcW w:w="31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9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30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Exercised</w:t>
            </w:r>
            <w:r>
              <w:rPr>
                <w:rFonts w:ascii="Times New Roman;serif" w:hAnsi="Times New Roman;serif"/>
                <w:b w:val="false"/>
                <w:color w:val="000000"/>
                <w:sz w:val="13"/>
              </w:rPr>
              <w:t>(1)</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2025</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151,125 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Exercisable at June 30, 2025</w:t>
            </w:r>
            <w:r>
              <w:rPr>
                <w:rFonts w:ascii="Times New Roman;serif" w:hAnsi="Times New Roman;serif"/>
                <w:b w:val="false"/>
                <w:color w:val="000000"/>
                <w:sz w:val="13"/>
              </w:rPr>
              <w:t>(2)</w:t>
            </w:r>
          </w:p>
        </w:tc>
        <w:tc>
          <w:tcPr>
            <w:tcW w:w="826"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151,125 </w:t>
            </w:r>
          </w:p>
        </w:tc>
        <w:tc>
          <w:tcPr>
            <w:tcW w:w="31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aggregate intrinsic value of stock options exercised during the six months ended June 30, 2024 was approximately $3.7 million (none in 2025).</w:t>
      </w:r>
    </w:p>
    <w:p>
      <w:pPr>
        <w:pStyle w:val="TextBody"/>
        <w:bidi w:val="0"/>
        <w:spacing w:lineRule="auto" w:line="28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aggregate fair value of all vested/exercisable options outstanding as of June 30, 2025 was $0.7 million, which was determined based on the market value of our stock as of that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Restricted Stock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RSUs granted under the Plans to the Company’s employees or certain service providers generally vest in four equal annual installments beginning one year after the date of the grant, while RSUs issued to the Company’s independent directors generally vest on the one-year anniversary from the grant date. The Company recognized compensation expense for all RSUs of approximately $1.0 million and $0.9 million for the three months ended June 30, 2025 and 2024, respectively, and $2.3 million and $1.9 million the six months ended June 30, 2025 and 2024, respectively, which is included in salaries and benefits in the condensed consolidated statements of income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comprehensive income. As of June 30, 2025, unrecognized compensation expense related to RSUs of approximately $9.3 million is expected to be recognized over a weighted-average period of 1.8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RSU activity during the six months ended June 30, 2025 is presented below:</w:t>
      </w:r>
    </w:p>
    <w:p>
      <w:pPr>
        <w:pStyle w:val="TextBody"/>
        <w:bidi w:val="0"/>
        <w:spacing w:before="0" w:after="0"/>
        <w:jc w:val="both"/>
        <w:rPr/>
      </w:pPr>
      <w:r>
        <w:rPr/>
      </w:r>
    </w:p>
    <w:tbl>
      <w:tblPr>
        <w:tblW w:w="7406" w:type="dxa"/>
        <w:jc w:val="left"/>
        <w:tblInd w:w="0" w:type="dxa"/>
        <w:tblLayout w:type="fixed"/>
        <w:tblCellMar>
          <w:top w:w="28" w:type="dxa"/>
          <w:left w:w="28" w:type="dxa"/>
          <w:bottom w:w="28" w:type="dxa"/>
          <w:right w:w="28" w:type="dxa"/>
        </w:tblCellMar>
      </w:tblPr>
      <w:tblGrid>
        <w:gridCol w:w="1429"/>
        <w:gridCol w:w="1254"/>
        <w:gridCol w:w="1261"/>
        <w:gridCol w:w="484"/>
        <w:gridCol w:w="484"/>
        <w:gridCol w:w="486"/>
        <w:gridCol w:w="109"/>
        <w:gridCol w:w="109"/>
        <w:gridCol w:w="109"/>
        <w:gridCol w:w="361"/>
        <w:gridCol w:w="1055"/>
        <w:gridCol w:w="265"/>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Grant Price</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(nonvested) at December 31, 2024</w:t>
            </w:r>
          </w:p>
        </w:tc>
        <w:tc>
          <w:tcPr>
            <w:tcW w:w="96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432,316 </w:t>
            </w:r>
          </w:p>
        </w:tc>
        <w:tc>
          <w:tcPr>
            <w:tcW w:w="48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20.71 </w:t>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w:t>
            </w:r>
            <w:r>
              <w:rPr>
                <w:rFonts w:ascii="Times New Roman;serif" w:hAnsi="Times New Roman;serif"/>
                <w:b w:val="false"/>
                <w:color w:val="000000"/>
                <w:sz w:val="13"/>
              </w:rPr>
              <w:t>(1)</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390,586 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(151,141)</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(40,828)</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(nonvested) at June 30, 2025</w:t>
            </w:r>
          </w:p>
        </w:tc>
        <w:tc>
          <w:tcPr>
            <w:tcW w:w="968"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630,933 </w:t>
            </w:r>
          </w:p>
        </w:tc>
        <w:tc>
          <w:tcPr>
            <w:tcW w:w="4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 aggregate fair value of all RSUs granted during the six months ended June 30, 2025 was approximately $5.5 million.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Share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2024, 911 fully vested shares were granted to the Lead Independent Director and Chairs of the Committees of the Board of Directors. The Company recognized compensation expense for the share awards of $20.1 thousand for the six months ended June 30, 2024 (none in 2025), which is included in salaries and benefits in the condensed consolidated statement of income and comprehensive income. Effective in the second quarter of 2024, the grant of share awards to certain of the Company's independent directors was replaced with the grant of RSAs as described below.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Restricted Stock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RSAs issued under the Plans to the Company’s employees generally vest in four equal annual installments beginning one year after the date of grant, while RSAs issued to certain of the Company’s independent directors vest at the end of the three-month calendar quarter in which the grant is made. The Company recognized compensation expense for RSAs granted of $0.5 million and $0.4 million for the three months ended June 30, 2025 and 2024, respectively, and $1.0 million and $0.8 million for the six months ended June 30, 2025 and 2024, respectively, which is included in salaries and benefits in the condensed consolidated statements of income and comprehensive income. As of June 30, 2025, there was $4.5 million of unrecognized compensation expense related to RSAs, which is expected to be recognized over a weighted-average period of 1.9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RSA activity during the six months ended June 30, 2025 is presented below:</w:t>
      </w:r>
    </w:p>
    <w:p>
      <w:pPr>
        <w:pStyle w:val="TextBody"/>
        <w:bidi w:val="0"/>
        <w:spacing w:before="0" w:after="0"/>
        <w:jc w:val="both"/>
        <w:rPr/>
      </w:pPr>
      <w:r>
        <w:rPr/>
      </w:r>
    </w:p>
    <w:tbl>
      <w:tblPr>
        <w:tblW w:w="7406" w:type="dxa"/>
        <w:jc w:val="left"/>
        <w:tblInd w:w="0" w:type="dxa"/>
        <w:tblLayout w:type="fixed"/>
        <w:tblCellMar>
          <w:top w:w="28" w:type="dxa"/>
          <w:left w:w="28" w:type="dxa"/>
          <w:bottom w:w="28" w:type="dxa"/>
          <w:right w:w="28" w:type="dxa"/>
        </w:tblCellMar>
      </w:tblPr>
      <w:tblGrid>
        <w:gridCol w:w="1429"/>
        <w:gridCol w:w="1254"/>
        <w:gridCol w:w="1261"/>
        <w:gridCol w:w="484"/>
        <w:gridCol w:w="484"/>
        <w:gridCol w:w="486"/>
        <w:gridCol w:w="109"/>
        <w:gridCol w:w="109"/>
        <w:gridCol w:w="109"/>
        <w:gridCol w:w="361"/>
        <w:gridCol w:w="1055"/>
        <w:gridCol w:w="265"/>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RSAs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Grant Price</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(nonvested) at December 31, 2024</w:t>
            </w:r>
          </w:p>
        </w:tc>
        <w:tc>
          <w:tcPr>
            <w:tcW w:w="96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227,518 </w:t>
            </w:r>
          </w:p>
        </w:tc>
        <w:tc>
          <w:tcPr>
            <w:tcW w:w="48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w:t>
            </w:r>
            <w:r>
              <w:rPr>
                <w:rFonts w:ascii="Times New Roman;serif" w:hAnsi="Times New Roman;serif"/>
                <w:b w:val="false"/>
                <w:color w:val="000000"/>
                <w:sz w:val="13"/>
              </w:rPr>
              <w:t>(1)</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123,401 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(93,750)</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(nonvested) at June 30, 2025</w:t>
            </w:r>
          </w:p>
        </w:tc>
        <w:tc>
          <w:tcPr>
            <w:tcW w:w="968"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257,169 </w:t>
            </w:r>
          </w:p>
        </w:tc>
        <w:tc>
          <w:tcPr>
            <w:tcW w:w="4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 aggregate fair value of all RSAs granted during the six months ended June 30, 2025 was approximately $2.3 million.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Performance Stock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PSUs granted under the Plans to the Company’s employees generally vest subject to attainment of performance criteria during the service period established by the Compensation Committee. Each PSU represents the right to receive one share of common stock, and the actual number of shares issuable upon vesting is determined based upon performance compared to financial performance targets. The PSUs vest based on the achievement of certain adjusted earnings per share targets for a period of up to three years combined with a service period of three years. Compensation cost is recognized over the requisite service period when it is probable that the performance condition will be satisfied.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compensation expense for PSUs of $0.6 million and $1.0 million for the three months ended June 30, 2025 and 2024, respectively, and $0.9 million and $1.7 million for the six months ended June 30, 2025 and 2024, respectively, which is included in salaries and benefits in the condensed consolidated statements of income and comprehensive income. As of June 30, 2025, there was $5.8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million of unrecognized compensation expense related to PSUs, which is expected to be recognized over a weighted-average period of 2.2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PSU activity during the six months ended June 30, 2025 is presented below:</w:t>
      </w:r>
    </w:p>
    <w:p>
      <w:pPr>
        <w:pStyle w:val="TextBody"/>
        <w:bidi w:val="0"/>
        <w:spacing w:before="0" w:after="0"/>
        <w:jc w:val="both"/>
        <w:rPr/>
      </w:pPr>
      <w:r>
        <w:rPr/>
      </w:r>
    </w:p>
    <w:tbl>
      <w:tblPr>
        <w:tblW w:w="9712" w:type="dxa"/>
        <w:jc w:val="left"/>
        <w:tblInd w:w="0" w:type="dxa"/>
        <w:tblLayout w:type="fixed"/>
        <w:tblCellMar>
          <w:top w:w="28" w:type="dxa"/>
          <w:left w:w="28" w:type="dxa"/>
          <w:bottom w:w="28" w:type="dxa"/>
          <w:right w:w="28" w:type="dxa"/>
        </w:tblCellMar>
      </w:tblPr>
      <w:tblGrid>
        <w:gridCol w:w="1429"/>
        <w:gridCol w:w="1254"/>
        <w:gridCol w:w="1261"/>
        <w:gridCol w:w="474"/>
        <w:gridCol w:w="474"/>
        <w:gridCol w:w="476"/>
        <w:gridCol w:w="109"/>
        <w:gridCol w:w="109"/>
        <w:gridCol w:w="109"/>
        <w:gridCol w:w="669"/>
        <w:gridCol w:w="669"/>
        <w:gridCol w:w="671"/>
        <w:gridCol w:w="109"/>
        <w:gridCol w:w="109"/>
        <w:gridCol w:w="109"/>
        <w:gridCol w:w="361"/>
        <w:gridCol w:w="1055"/>
        <w:gridCol w:w="265"/>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Remaining 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Grant Price</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(nonvested) at December 31, 2024</w:t>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321,530 </w:t>
            </w:r>
          </w:p>
        </w:tc>
        <w:tc>
          <w:tcPr>
            <w:tcW w:w="4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w:t>
            </w:r>
            <w:r>
              <w:rPr>
                <w:rFonts w:ascii="Times New Roman;serif" w:hAnsi="Times New Roman;serif"/>
                <w:b w:val="false"/>
                <w:color w:val="000000"/>
                <w:sz w:val="13"/>
              </w:rPr>
              <w:t>(1)</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337,814 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(nonvested) at June 30, 2025</w:t>
            </w:r>
          </w:p>
        </w:tc>
        <w:tc>
          <w:tcPr>
            <w:tcW w:w="948"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659,344 </w:t>
            </w:r>
          </w:p>
        </w:tc>
        <w:tc>
          <w:tcPr>
            <w:tcW w:w="4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aggregate fair value of all PSUs granted during the six months ended June 30, 2025 was approximately $4.1 million.</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NOTE 13 – EQUITY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18, 2021, the Company’s Board of Directors approved a stock repurchase program that authorizes the Company to purchase up to $40.0 million of outstanding shares of the Company’s common stock and which was increased on March 3, 2023 to an additional $100.0 million and on August 26, 2024 to an additional $63.8 million of its outstanding shares (the “Repurchase Program”).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Second A&amp;R Credit Agreement permits the Company to make restricted payments (including share repurchases, among others), (i) without limitation so long as the Consolidated Leverage Ratio (as defined in the Second A&amp;R Credit Agreement), as of the then most recently completed four fiscal quarters of the Company, after giving pro forma effect to such restricted payments, is 2.50:1.00 or less, (ii) that do not exceed, in the aggregate during any fiscal year, the greater of (x) $30.3 million and (y) 25.00% of Consolidated EBITDA (as defined in the Second A&amp;R Credit Agreement) for the then most recently completed four fiscal quarters of the Company and (iii) to repurchase Company common stock from current or former employees in an aggregate amount of up to $15.0 million per calendar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accounts for purchases of treasury stock under the cost method. Any direct costs incurred to acquire treasury stock are considered stock issue costs and added to the cost of the treasury stock. Separately from the Repurchase Program, on March 12, 2025 the Company entered into an agreement with Latin-American Investment Holdings Inc., a related party, for the purchase of 100,000 shares of the Company's common stock for a total purchase price of $1.3 million, in a privately-negotiated transaction. During the three and six months ended June 30, 2025, including the shares previously mentioned, the Company purchased 980,341 shares and 1,348,214 shares, respectively, for an aggregate purchase price of $11.4 million and $16.3 million, respectively. During the three and six months ended June 30, 2024, the Company purchased 521,651 shares and 1,646,127 shares for an aggregate purchase price of $11.2 million and $34.6 million, respectively. As of June 30, 2025, there was $48.3 million available for future share repurchases under the Repurchase Program.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14 – EARNINGS PER SHARE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calculated by dividing net income for the period by the weighted-average number of common shares outstanding for the period. In computing dilutive earnings per share, basic earnings per share is adjusted for the assumed issuance of all applicable potentially dilutive share-based awards, including common stock options, RSUs, RSAs and PSUs. Shares of treasury stock are not considered outstanding and therefore are excluded from the weighted-average number of common shares outstanding calculation.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Below are basic and diluted earnings per share for the periods indicated (in thousands, except for share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90"/>
        <w:gridCol w:w="1396"/>
        <w:gridCol w:w="1409"/>
        <w:gridCol w:w="244"/>
        <w:gridCol w:w="837"/>
        <w:gridCol w:w="113"/>
        <w:gridCol w:w="113"/>
        <w:gridCol w:w="113"/>
        <w:gridCol w:w="113"/>
        <w:gridCol w:w="244"/>
        <w:gridCol w:w="837"/>
        <w:gridCol w:w="113"/>
        <w:gridCol w:w="109"/>
        <w:gridCol w:w="109"/>
        <w:gridCol w:w="109"/>
        <w:gridCol w:w="244"/>
        <w:gridCol w:w="837"/>
        <w:gridCol w:w="109"/>
        <w:gridCol w:w="109"/>
        <w:gridCol w:w="109"/>
        <w:gridCol w:w="109"/>
        <w:gridCol w:w="244"/>
        <w:gridCol w:w="837"/>
        <w:gridCol w:w="158"/>
      </w:tblGrid>
      <w:tr>
        <w:trPr/>
        <w:tc>
          <w:tcPr>
            <w:tcW w:w="1590"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29,843,687 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32,698,951 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30,213,762 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33,187,196 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RSAs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diluted</w:t>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29,912,615 </w:t>
            </w:r>
          </w:p>
        </w:tc>
        <w:tc>
          <w:tcPr>
            <w:tcW w:w="11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33,090,806 </w:t>
            </w:r>
          </w:p>
        </w:tc>
        <w:tc>
          <w:tcPr>
            <w:tcW w:w="11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30,370,069 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33,639,811 </w:t>
            </w:r>
          </w:p>
        </w:tc>
        <w:tc>
          <w:tcPr>
            <w:tcW w:w="15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 basic</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 diluted</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2025, there were approximately 83.8 thousand stock options, 496.9 thousand RSUs, 257.2 thousand RSAs and 236.1 thousand PSUs excluded from the diluted earnings per share calculation because, under the treasury stock method, the inclusion of these would be anti-dilutive.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2024, there were approximately 213.3 thousand RSUs and 113.0 thousand RSAs excluded from the diluted earnings per share calculation because, under the treasury stock method, the inclusion of these would be anti-dilutive.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discussed in Note 13, the Company repurchased 980,341 shares and 1,348,214 shares of its common stock in the three and six months ended June 30, 2025, respectively. The effect of these repurchases on the Company’s weighted-average shares outstanding for the three and six months ended June 30, 2025 was a reduction of 880,152 shares and 476,934 shares, respectively, due to the timing of the repurchases.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15 – INCOME TAXES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reconciliation between the income tax provision at the U.S. statutory tax rate and the Company’s income tax provision on the condensed consolidated statements of income and comprehensive income is below (in thousands, except for tax rates):</w:t>
      </w:r>
    </w:p>
    <w:p>
      <w:pPr>
        <w:pStyle w:val="TextBody"/>
        <w:bidi w:val="0"/>
        <w:spacing w:before="0" w:after="0"/>
        <w:jc w:val="left"/>
        <w:rPr/>
      </w:pPr>
      <w:r>
        <w:rPr/>
      </w:r>
    </w:p>
    <w:tbl>
      <w:tblPr>
        <w:tblW w:w="9947" w:type="dxa"/>
        <w:jc w:val="left"/>
        <w:tblInd w:w="0" w:type="dxa"/>
        <w:tblLayout w:type="fixed"/>
        <w:tblCellMar>
          <w:top w:w="28" w:type="dxa"/>
          <w:left w:w="28" w:type="dxa"/>
          <w:bottom w:w="28" w:type="dxa"/>
          <w:right w:w="28" w:type="dxa"/>
        </w:tblCellMar>
      </w:tblPr>
      <w:tblGrid>
        <w:gridCol w:w="1488"/>
        <w:gridCol w:w="1305"/>
        <w:gridCol w:w="1316"/>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6"/>
      </w:tblGrid>
      <w:tr>
        <w:trPr/>
        <w:tc>
          <w:tcPr>
            <w:tcW w:w="148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16,368 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19,809 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27,743 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36,693 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statutory tax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at statutory rate</w:t>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5,826 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 expense, net of federal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 tax rates different from U.S. statutory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provision</w:t>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5,361 </w:t>
            </w:r>
          </w:p>
        </w:tc>
        <w:tc>
          <w:tcPr>
            <w:tcW w:w="2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5,776 </w:t>
            </w:r>
          </w:p>
        </w:tc>
        <w:tc>
          <w:tcPr>
            <w:tcW w:w="2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8,967 </w:t>
            </w:r>
          </w:p>
        </w:tc>
        <w:tc>
          <w:tcPr>
            <w:tcW w:w="2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10,554 </w:t>
            </w:r>
          </w:p>
        </w:tc>
        <w:tc>
          <w:tcPr>
            <w:tcW w:w="31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Effective income tax rates for interim periods are based upon our current estimated annual rate. The Company’s effective income tax rate varies based upon an estimate of taxable earnings as well as on the mix of taxable earnings in the various states and countries in which we operate. Changes in the annual allocation and apportionment of the Company’s activity among these jurisdictions results in changes to the effective rate utilized to measure the Company’s deferred tax assets and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income tax provision includes the expected benefit of all deferred tax assets, including our net operating loss carryforwards. With certain exceptions, these net operating loss carryforwards will expire from 2030 through 2037 for federal losses, from 2028 through 2038 for state losses, and from 2038 through 2044 for foreign losses. After consideration of all evidence, both positive and negative, management has determined that no valuation allowance is required at June 30, 2025 on the Company’s U.S. federal or state deferred tax assets; however, a valuation allowance has been recorded at June 30, 2025 on deferred tax assets associated with Canadian, Spanish, Italian, German, Dutch and British net operating loss carryforwards as these foreign subsidiaries have a history of incurring taxable losses in recent years. The valuation allowance will be maintained until sufficient positive evidence exists to support their future realization. Utilization of the Company’s net operating loss carryforwards is subject to limitation under Internal Revenue Code Section 382 and similar tax provisions in the foreign jurisdictions in which we operate.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presented in the income tax reconciliation above, the tax provision recognized on the condensed consolidated statements of income and comprehensive income was impacted by state taxes, non-deductible officer compensation and share-based compensation tax expense, and foreign tax rates applicable to the Company’s foreign subsidiaries that are higher or lower than the U.S. statutory rate. Our effective state tax rate for the three and six months ended June 30, 2025 was higher than our effective state tax rate for the three and six ended June 30, 2024. The increase in our effective state tax rate is primarily a result of lower share-based compensation tax benefits.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“OBBBA”) was enacted in the United States. The OBBBA includes provisions, such as the permanent extension of certain expiring provisions of the Tax Cuts and Jobs Act, modifications to the international tax framework and restoration of favorable tax treatment for certain business provisions. ASC 740, “Income Taxes”, requires the effect of changes in tax rates and laws on deferred tax balances to be recognized in the period in which the legislation is enacted. The legislation has multiple effective dates, with certain provisions effective in 2025, and others implemented through 2028. The Company is currently evaluating the impact of these provisions on our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16 – SEGMENT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 leading global omnichannel money remittance services company focused primarily on the U.S. to LAC corridor, which includes Mexico, Central and South America and the Caribbean. We also provide our remittances services to Africa and Asia from the United States and offer sending services from Canada to Latin America and Africa, as well as remittance services from Spain, Italy, the United Kingdom and Germany to Africa, Asia, Europe and Latin America. The Company has identified one operating and reportable segment. The Company defines its segment on the basis of the way in which internally reported financial information is regularly reviewed by the Company’s chief operating decision maker (the “CODM”) to analyze financial performance, make decisions, and allocate resources.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CODM is Robert Lisy, Chairman, Chief Executive Officer and President. The CODM uses the Company’s consolidated financial results as a basis for making key operating decisions. Examples of key operating decisions include entering new markets, stock repurchases, and managing liquidity. The CODM considers Net Income as one of the relevant metrics in his decision making process.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provides information about the Company's measure of segment performance and significant expense categories: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before="0" w:after="0"/>
        <w:jc w:val="both"/>
        <w:rPr/>
      </w:pPr>
      <w:r>
        <w:rPr/>
      </w:r>
    </w:p>
    <w:tbl>
      <w:tblPr>
        <w:tblW w:w="8880" w:type="dxa"/>
        <w:jc w:val="left"/>
        <w:tblInd w:w="0" w:type="dxa"/>
        <w:tblLayout w:type="fixed"/>
        <w:tblCellMar>
          <w:top w:w="28" w:type="dxa"/>
          <w:left w:w="28" w:type="dxa"/>
          <w:bottom w:w="28" w:type="dxa"/>
          <w:right w:w="28" w:type="dxa"/>
        </w:tblCellMar>
      </w:tblPr>
      <w:tblGrid>
        <w:gridCol w:w="1186"/>
        <w:gridCol w:w="1039"/>
        <w:gridCol w:w="104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8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Revenues: </w:t>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 and money order fees,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161,133 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171,531 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305,443 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321,943 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commissions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Payer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charges and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141,672 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148,627 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271,907 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279,453 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26,139 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segment items included in segment net income is primarily composed of other selling, general and administrative expenses, transaction processing costs, and other overhead expenses.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17 – COMMITMENTS AND CONTINGENCIES</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Contingencies and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all 50 states in the United States, two U.S. territories and eight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time, that the expected outcome of regulatory examinations will not have a material adverse effect on either the results of operations or financial condition of the Company.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Regulatory Requirements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applicable licensing laws, certain domestic and foreign subsidiaries of the Company are required to maintain minimum tangible net worth and liquid assets (eligible securities) to cover the amount outstanding of wire transfers and money orders payable. As of June 30, 2025, the Company’s subsidiaries were in compliance with these requirements.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18 – SUBSEQUENT EVENTS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through August 11, 2025, which is the date these condensed consolidated financial statements were available to be issued. Except as disclosed in Notes 1 and 15, the Company is not aware of any subsequent events which would require adjustment or disclosure in the condensed consolidated financial statements.</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This Management’s Discussion and Analysis of Financial Condition and Results of Operations (“MD&amp;A”) should be read in conjunction with our Unaudited Condensed Consolidated Financial Statements and related Notes included in this Quarterly Report on Form 10-Q, as well as our Audited Consolidated Financial Statements and related Notes and MD&amp;A included in our Annual Report on Form 10-K for the year ended December 31, 2024. This Quarterly Report on Form 10-Q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Quarterly Report on Form 10-Q, including “Risk Factors,” which are incorporated in the MD&amp;A by reference. See “Special Note Regarding Forward-Looking Statements” for additional factors relating to such statements, and see “Risk Factors” in the documents that we have filed with or furnished to the SEC for a discussion of certain risk factors applicable to our business, financial condition and results of operations. Past operating results are not necessarily indicative of operating results in any future periods.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leading global omnichannel money remittance services company focused primarily on the United States of America (“United States” or “U.S.”) to Latin America and the Caribbean (“LAC”) corridor, which includes Mexico, Central and South America and the Caribbean. In addition, our services allow remittances to Africa and Asia from the United States and also we offer money transfer services from Canada to Latin America and Africa. Also, through our recent acquisitions we now provide remittance services from Spain, Italy, the United Kingdom and Germany to Africa, Asia and Latin America. We utilize our proprietary technology to deliver convenient, reliable and value-added services to consumers through a broad network of sending and paying agents. Our remittance services, which include a comprehensive suite of ancillary financial processing solutions and payment services, are available in all 50 states in the U.S., Washington D.C., Puerto Rico and 13 provinces in Canada, as well as in certain locations in Spain, Italy, Germany and the United Kingdom, where consumers can send money to beneficiaries in more than 60 countries in LAC, Europe, Africa and Asia. Our services are accessible in person through over 100,000 independent sending and paying agents and 117 Company-operated stores, as well as digitally through the Internet via our websites and mobile device applications. Additionally, our product and service portfolio include online payment options, pre-paid debit cards and direct deposit payroll cards, which may present different cost, demand, regulatory and risk profiles relative to our core money remittance business.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Money remittance services to LAC countries, mainly Mexico, Guatemala, El Salvador, Honduras and the Dominican Republic,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consumers who use our services may have access to traditional banking services, but prefer to use our services based on reliability, convenience and value. We generate money remittance revenue from fees paid by consumers (i.e., the senders of funds), which we share with our sending agents in the originating country and our paying agents in the destination country. Remittances paid in local currencies that are not pegged to the U.S. dollar, Canadian dollar, Euro or British pound can also generate revenue if we are successful in our daily management of currency exchange spreads. We also generate revenue from our “Remittance-as-a-Service” relationships with digital partners where we receive a fee for facilitating money transfers processed through our proprietary software systems, money transmitter licenses and payer network relationships.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money remittance services enable consumers to send funds through our broad network of locations in the United States, Canada, Spain, Italy, Germany and the United Kingdom that are primarily operated by third-party businesses, as well as by Company-operated stores located in those jurisdictions. Transactions are processed and payment is collected by our agents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the Internet via our websites (intermexonline.com and online.i-transfer.es) and mobile device applications. For the six months ended June 30, 2025, we have grown our agent network by approximately 0.9%. For the six months ended June 30, 2025, principal amount sent decreased slightly by approximately 0.8% to $11.8 billion, as compared to the same period in 2024, and total remittances processed were approximately 26.9 million, representing a decrease of approximately 6.3%, as compared to the same period in 2024 primarily related to decreased volume generated that we attribute to a contraction in the remittance market, particularly the Mexico corridor coupled with a change in consumer behavior remitting a lower number of money transfers but at a higher average principal sent per transaction. This overall decrease was partially offset by increased volume generated by our digital channels and European subsidiaries.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Current political conditions in the United States have resulted in high levels of volatility in the market as well as uncertainty as to the economic and financial impacts of recent economic, trade and immigration enforcement actions taken by the current administration on the U.S., as well as foreign countries, including those that are a destination for money transfers or in which we currently operate. In addition,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political, social and economic conditions in key Latin American markets continue to exhibit instability, as evidenced by higher interest rates, high unemployment rates, restricted lending activity, higher inflation, volatility in foreign currencies and low consumer confidence, among other economic, political and market factors.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Proposed Merger with The Western Union Company</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10, 2025, the Company entered into the Merger Agreement by and among the Company, Western Union and Merger Sub, pursuant to which, on the terms and subject to the conditions set forth therein, Merger Sub will merge with and into the Company. The Merger Agreement provides that each share of the Company’s common stock issued and outstanding immediately prior to the effective time of the Merger (subject to limited exceptions) will be cancelled and converted into the right to receive $16.00 per share in cash, without interest. Consummation of the Merger is subject to the satisfaction or waiver of certain customary closing conditions, including: (i) approval of the stockholders of the Company, (ii) the absence of any judgment by any governmental authority of competent jurisdiction or any applicable law that enjoins, restrains or otherwise makes illegal, prevents or prohibits consummation of the Merger (“Restraint”), (iii) the expiration or termination of the applicable waiting period under the Hart-Scott-Rodino Act, (iv) the receipt of applicable consents, approvals or other clearances required to be obtained under the Merger Agreement, including with respect to the Company’s or its subsidiaries’ money transmitter licenses, and (v) other customary closing conditions. The Company cannot predict with certainty whether and when any of the required closing conditions will be satisfied or if the Merger will close.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termination rights for the Company and Western Union, including a right for either party to terminate if the Merger is not consummated by May 11, 2026 (subject to certain extensions as set forth in the Merger Agreement). Upon termination of the Merger Agreement, (i) Parent, upon termination of the Merger Agreement by the Company or Parent due to a Restraint relating to any antitrust laws, or the failure to obtain necessary consents, approvals or clearances related to antitrust laws, will be required to pay the Company a termination fee equal to $27,300,000, and (ii) the Company, under specified circumstances, including termination of the Merger Agreement by (a) the Company to enter into a Company Acquisition Agreement that provides for a Superior Proposal (each, as defined in the Merger Agreement) prior to receipt of approval of the stockholders of the Company or (b) by Parent as a result of an Adverse Recommendation Change (as defined in the Merger Agreement), will be required to pay Parent a termination fee equal to $19,800,000.</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Restructuring costs</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2024, the Company started executing a restructuring plan primarily related to certain of its foreign operations and La Nacional. These restructuring costs are part of the Company's restructuring plan, for which the objectives are to reorganize the workforce, streamline operational processes, integrate technology functionality, and to develop efficiencies within the Company. For the six months ended June 30, 2025, the Company incurred approximately $0.3 million in expenses for a reduction of workforce in certain locations. These expenses primarily consisted of severance payments and related benefits, which are included in restructuring costs in the condensed consolidated statements of income and comprehensive income.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paid out all of the above charges during the six months ended June 30, 2025 and has a liability of $69 thousand relating to other charges incurred in 2024 recorded in accrued and other liabilities in the condensed consolidated balance sheet as of June 30, 2025.</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implementing this strategy, the Company expects to reduce compensation expense and certain facilities related charges in an amount of approximately $2.0 million a year. The anticipated effect of this reduction in expenses will be primarily realized during 2026. In addition, the Company does not expect that the execution of this strategy will result in any material reduction of revenues or increase of its ongoing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Factors and Trends Affecting our Business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Various trends and other factors have affected and may continue to affect our business, financial condition and operating results, including, but not limited to:</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factors relating to the contemplated proposed acquisition of the Company by Western Union, including: the announcement of our entry into the Merger Agreement and pendency of the proposed acquisition may result in disruptions to our business, and the Merger could divert management's attention, disrupt our relationships with third parties and employees, and result in negative publicity or consumer concerns, any of which could negatively impact our operating results and ongoing business; the possibility that the conditions to the consummation of the proposed acquisition will not be satisfied on the terms or timeline expected, or at all; failure to obtain, or delays in obtaining, or adverse conditions related to obtaining stockholder or regulatory approvals sought in connection with the proposed acquisition; and the nature, cost and outcome of pending and future litigation and other legal proceedings, including any such proceedings related to the proposed acquisition and instituted against us and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immigration laws and their enforcement, including any adverse effects on the level of immigrant employment, earning potential, and other commercial activities;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success in expanding customer acceptance of our digital services, the cost of acquiring digital customers, as well as our ability to continue to develop new products, services and infrastructure;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new technology or competitors that disrupt the current money transfer and payment ecosystem, including the introduction and increased consumer preference for digital platforms;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tax laws in the United States and other countries in which we operate, including the imposition of taxes on certain types of remittances beginning in 2026;</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shd w:fill="FFFFFF" w:val="clear"/>
        </w:rPr>
        <w:t>loss of, or reduction in business with, key sending agents;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effectively compete in the markets in which we operate;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economic factors such as inflation, the level of economic activity, recession risks and labor market conditions, as well as volatility in market interest rates;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international political factors, including ongoing hostilities in Ukraine and the Middle East, political instability, tariffs, including the effects of tariffs on domestic markets and industrial activity and employment, border taxes or restrictions on remittances or transfers from the outbound countries in which we operate or plan to operate;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volatility in foreign exchange rates that could affect the volume of consumer remittance activity and/or affect our foreign exchange related gains and losses;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consumer confidence in our brands and in consumer money transfers generally;</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shd w:fill="FFFFFF" w:val="clear"/>
        </w:rPr>
        <w:t>expansion into new geographic markets or product markets;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successfully execute, manage, integrate and obtain the anticipated financial benefits of key acquisitions and mergers;</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rPr>
        <w:t>cybersecurity-attacks or disruptions to our information technology, computer network systems, data centers and mobile device applications;</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shd w:fill="FFFFFF" w:val="clear"/>
        </w:rPr>
        <w:t>the ability of our risk management and compliance policies, procedures and systems to mitigate risk related to transaction monitoring;</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shd w:fill="FFFFFF" w:val="clear"/>
        </w:rPr>
        <w:t>consumer fraud and other risks relating to the authenticity of customers’ orders or the improper or illegal use of our services by consumers, sending agents or digital partners;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maintain favorable banking and paying agent relationships necessary to conduct our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bank failures, sustained financial illiquidity, or illiquidity at the clearing, cash management or custodial financial institutions with which we do business;</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shd w:fill="FFFFFF" w:val="clear"/>
        </w:rPr>
        <w:t>changes to banking industry regulation and practice;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credit risks from our agents, digital partners and the financial institutions with which we do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recruit and retain key personnel;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maintain compliance with applicable laws and regulatory requirements</w:t>
      </w:r>
      <w:r>
        <w:rPr>
          <w:color w:val="000000"/>
          <w:shd w:fill="FFFFFF" w:val="clear"/>
        </w:rPr>
        <w:t xml:space="preserve"> </w:t>
      </w:r>
      <w:r>
        <w:rPr>
          <w:rFonts w:ascii="Times New Roman;serif" w:hAnsi="Times New Roman;serif"/>
          <w:b w:val="false"/>
          <w:color w:val="000000"/>
          <w:sz w:val="20"/>
          <w:shd w:fill="FFFFFF" w:val="clear"/>
        </w:rPr>
        <w:t>including those intended to prevent use of our money remittance services for criminal activity, those related to data and cybersecurity protection, and those related to new business initiatives;</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shd w:fill="FFFFFF" w:val="clear"/>
        </w:rPr>
        <w:t>enforcement actions and private litigation under regulations applicable to the money remittance services;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protect our brands and intellectual property rights;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satisfy our debt obligations and remain in compliance with our credit facility requirements;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 health conditions, responses thereto and the economic and market effects thereof;</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use of third-party vendors and service providers; and</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weakness in U.S. or international economic conditions.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encountered and continue to expect to encounter increasing competition as new electronic platforms emerge that enable consumers to send and receive money through a variety of channels. Regardless, we continue to innovate in the industry by differentiating our money remittance business through programs to foster loyalty among agents as well as consumers and have expanded our channels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through which our services are accessed to include online and mobile offerings which are experiencing higher consumer adoption. We are making a significant investment during 2025 and thereafter to increase our penetration of the digital market, to add digital customers, enhance our digital offerings and increase digital revenues, while maintaining and continuing to develop our retail service offerings. Although we believe that investment in our digital business should provide significant financial benefits in the mid to long term timeframes, these investments are likely, in the shorter term, to adversely affect our results of operation.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Remitly and Euronet, and a number of other smaller money services business (“MSB”) entities. We generally compete for money remittance agents on the basis of value, service, quality, technical and operational differences, commission structure and marketing efforts. As a philosophy, we sell credible solutions to our sending agents, not discounts or higher commissions, as is typical for the industry. We compete for money remittance customers on the basis of trust, convenience, service, efficiency of outlets, value, enhanced technology and brand recognition.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Current political conditions in the United States have resulted in high levels of volatility in the market as well as uncertainty as to the economic and financial impacts of recent economic, trade and immigration enforcement actions taken by the current administration on the U.S., as well as foreign countries, including those that are a destination for money transfers or in which we currently operate. In addition, political, social and economic conditions in key Latin American markets continue to exhibit instability, as evidenced by higher interest rates, high unemployment rates, restricted lending activity, higher inflation, volatility in foreign currencies and low consumer confidence, among other economic, political and market factors. Our business has generally been resilient during times of economic instability as money remittances are essential to many recipients, with the funds used by the receiving parties for their daily needs; however, prolonged volatility in the market, continued global economic and geopolitical uncertainty, and long-term sustained appreciation of the Mexican peso or Guatemalan quetzal as compared to the U.S. dollar could negatively affect our revenues and profitability. Moreover, as noted above, we have experienced a reduction in revenues generated that we attribute to a contraction in the remittance market, which may reflect this increased volatility.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Trends in the cross-border money remittance business tend to correlate to immigration trends, global economic opportunity and related employment levels in certain industries such as construction, information technology, manufacturing, agriculture and hospitality, as well as other service industries. The three largest remittance corridors we serve are United States to Mexico, United States to Guatemala and Unites States to the Dominican Republic. </w:t>
      </w:r>
      <w:r>
        <w:rPr>
          <w:rFonts w:ascii="Times New Roman;serif" w:hAnsi="Times New Roman;serif"/>
          <w:b w:val="false"/>
          <w:color w:val="000000"/>
          <w:sz w:val="20"/>
          <w:shd w:fill="FFFFFF" w:val="clear"/>
        </w:rPr>
        <w:t>According to the latest information available from the World Bank Remittance Matrix, the United States to Mexico remittance corridor was one of the largest in the world in 2024. In addition, changes to U.S. immigration, tariffs, trade, economic, tax and other policies may have both positive and negative effects on our business, none of which can be predicted with any degree of certainty.</w:t>
      </w:r>
    </w:p>
    <w:p>
      <w:pPr>
        <w:pStyle w:val="TextBody"/>
        <w:bidi w:val="0"/>
        <w:spacing w:before="0" w:after="0"/>
        <w:ind w:left="0" w:right="0" w:firstLine="36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human trafficking and other illicit activities, along with enhancements to improve consumer protection, including the Dodd-Frank Act and similar regulations outside the United States. In coming periods, we expect these and future regulatory requirements will continue to result in changes to certain of our business and administrative practices and may result in increased costs.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compliance departments in the United States as well as in certain of our foreign subsidiaries, the responsibility of which is to monitor transactions, detect and report suspicious activity, maintain appropriate records and train our employees and agents. Independent third-parties periodically review our policies and procedures and perform independent testing to assess the effectiveness of our anti-money laundering and Bank Secrecy Act compliance programs. We also maintain a regulatory affairs and licensing department, under the direction of our Chief Compliance Officer.</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How We Assess the Performance of Our Business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assessing the performance of our business, we consider a variety of performance and financial measures. The key indicators of the financial condition and operating performance of our business are revenues, service charges from agents and banks, salaries and benefits, other selling, general and administrative expenses and net income. To help us assess our performance with these key indicators, we primarily use Adjusted Net Income, Adjusted Earnings per Share and Adjusted EBITDA as non-GAAP financial measures. We believe these non-GAAP measures provide useful information to investors and expanded insight to measure our revenue and cost performance as a supplement to our U.S. GAAP condensed consolidated financial statements. See the “Adjusted Net Income and Adjusted Earnings per Share” and “Adjusted EBITDA” sections below for reconciliations of these non-GAAP financial measures to net income and earnings per share, our closest GAAP measures.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 volume is the primary generator of revenue in our business. Revenue on transactions is derived primarily from transaction fees paid by consumers to transfer money. Revenues per transaction vary based upon send and receive locations and the amount sent. In certain transactions involving different send and receive currencies, we generate foreign exchange gains based on the difference between the set exchange rate charged by us to the sender and the rate available to us in the wholesale foreign exchange market. Also, we generate revenues from technology services provided to the independent network of agents and other service partners that utilize the Company’s technology in processing transactions paid by credit or debit card, check cashing services and maintenance fees, for which revenue is derived by a fee per transaction. In addition, we generate revenue from our “remittance-as-a-service” contracts with digital partners under which we receive fees for facilitating money transfers processed through our proprietary software systems, as well as using our money transmitter licenses and payer network relationships.</w:t>
      </w:r>
    </w:p>
    <w:p>
      <w:pPr>
        <w:pStyle w:val="TextBody"/>
        <w:bidi w:val="0"/>
        <w:spacing w:before="0" w:after="0"/>
        <w:jc w:val="both"/>
        <w:rPr/>
      </w:pPr>
      <w:r>
        <w:rPr/>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Service Charges from Agents and Banks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Service charges primarily consist of sending and paying agent commissions and bank fees. Service charges vary based on agent commission percentages and the amount of fees charged by the banks. Sending agents earn a commission on each transaction they process of approximately 50% of the transaction fee. Service charges may increase if banks or payer organizations increase their fee structure or sending agents use higher fee methods to remit funds to us. Service charges also vary based on the method the consumer selects to send the transfer and the payer organization that facilitates the transaction. Also, service charges include transaction costs paid to third parties in connection with money transfers processed through our digital channels.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Salaries and Benefits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Salaries and benefits include cash and share-based compensation associated with our corporate employees and sales team as well as employees at our Company-operated stores. Corporate employees include management, customer service, compliance, information technology, operations, finance, legal and human resources. Our sales team, located throughout the United States, Canada, Spain and Italy, is focused on supporting and growing our sending agent network. Share-based compensation is primarily recognized as an expense on a straight-line basis over the requisite service period. Unrecognized compensation expense related to restricted stock units (“RSUs”), restricted stock awards (“RSAs”) and performance stock units (“PSUs”) of approximately $19.7 million is expected to be recognized over a weighted-average period of 1.9 years.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Other Selling, General and Administrative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primarily consist of fixed overhead expenses associated with our operations, including our Company-operated stores, such as information technology, telecommunications, rent, insurance, professional services, non-income or indirect taxes, facilities maintenance, selling expenses, public company reporting requirements, regulatory compliance requirements and other similar types of operating expenses. Selling expenses include expenses such as advertising and promotion, digital marketing, shipping, supplies and other expenses associated with serving and increasing our customer base, digital channel offerings and network of agents.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Provision for Credit Losses</w:t>
      </w:r>
    </w:p>
    <w:p>
      <w:pPr>
        <w:pStyle w:val="TextBody"/>
        <w:bidi w:val="0"/>
        <w:spacing w:before="0" w:after="0"/>
        <w:ind w:left="0" w:right="0" w:firstLine="3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Provision for credit losses represent the charges to adjust the allowance for estimated losses resulting from the inability of sending agents or digital partners to make the required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Restructuring Costs</w:t>
      </w:r>
    </w:p>
    <w:p>
      <w:pPr>
        <w:pStyle w:val="TextBody"/>
        <w:bidi w:val="0"/>
        <w:spacing w:before="0" w:after="0"/>
        <w:ind w:left="0" w:right="0" w:firstLine="3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incurred costs associated with restructuring plans primarily related to our foreign operations and La Nacional. These costs included all internal and external costs directly related with the restructuring and consist primarily of severance payments, write-off of assets and certain legal and professional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Transaction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incurred transaction costs associated with completed and potential acquisitions. These costs included all internal and external costs directly related to the transactions, consisting primarily of legal, consulting, accounting and advisory fees and certain incentive bonuses. Due to their significance, they are presented separately in our condensed consolidated statements of income and comprehensive income. Transaction costs also include internal and external costs related to the Board’s evaluation of strategic alternatives.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largely consists of depreciation of computer equipment and amortization of software that supports our technology platform. In addition, it includes amortization of intangible assets primarily related to our agent relationships, trade names and developed technology.</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Non-Operating Expenses</w:t>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consists primarily of interest associated with our debt, which consists of a revolving credit facility. The effective interest rate for the six months ended June 30, 2025 for the revolving credit facility was 2.74%.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Income tax provision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income tax provision includes the expected benefit of all deferred tax assets, including our net operating loss carryforwards. After consideration of all evidence, both positive and negative, management has determined that no valuation allowance is required at June 30, 2025 on the Company’s U.S. federal or state deferred tax assets; however, a valuation allowance has been recorded as of June 30, 2025 on deferred tax assets associated with foreign net operating loss carryforwards. Our income tax provision reflects the effects of state taxes, non-deductible expenses, share-based compensation expense, and foreign tax rates applicable to the Company’s foreign subsidiaries that are higher or lower than the U.S. statutory rate.</w:t>
      </w:r>
    </w:p>
    <w:p>
      <w:pPr>
        <w:pStyle w:val="TextBody"/>
        <w:bidi w:val="0"/>
        <w:spacing w:before="0" w:after="0"/>
        <w:ind w:left="0" w:right="0" w:firstLine="720"/>
        <w:jc w:val="both"/>
        <w:rPr/>
      </w:pPr>
      <w:r>
        <w:rPr/>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Net Income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income is determined by subtracting operating and non-operating expenses from revenues.</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RSUs, RSAs and PSUs have vested, using the treasury stock method. Shares of treasury stock are not considered outstanding and therefore are excluded from the weighted-average number of common shares outstanding calculation.</w:t>
      </w:r>
    </w:p>
    <w:p>
      <w:pPr>
        <w:pStyle w:val="TextBody"/>
        <w:bidi w:val="0"/>
        <w:spacing w:before="0" w:after="0"/>
        <w:ind w:left="0" w:right="0" w:firstLine="360"/>
        <w:jc w:val="left"/>
        <w:rPr/>
      </w:pPr>
      <w:r>
        <w:rPr/>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is organized around one reportable segment that provides money transmittal services primarily between the United States and Canada, and certain countries in Europe to Mexico, Guatemala and other countries in Latin America, Africa, Asia and Europe through a network of authorized agents located in various unaffiliated retail establishments and 117 Company-operated stores throughout the United States, Canada, Spain, Italy, Germany and the United Kingdom, as well as digitally through the Internet via our websites and mobile device applications. This is based on the objectives of the business and how our chief operating decision maker, the CEO and President, monitors operating performance and allocates resources.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key components of our results of operations for the periods indicated: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tbl>
      <w:tblPr>
        <w:tblW w:w="9810" w:type="dxa"/>
        <w:jc w:val="left"/>
        <w:tblInd w:w="0" w:type="dxa"/>
        <w:tblLayout w:type="fixed"/>
        <w:tblCellMar>
          <w:top w:w="28" w:type="dxa"/>
          <w:left w:w="28" w:type="dxa"/>
          <w:bottom w:w="28" w:type="dxa"/>
          <w:right w:w="28" w:type="dxa"/>
        </w:tblCellMar>
      </w:tblPr>
      <w:tblGrid>
        <w:gridCol w:w="1519"/>
        <w:gridCol w:w="1336"/>
        <w:gridCol w:w="134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for share data)</w:t>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 and money order fees,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161,133 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171,531 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305,443 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321,943 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from agents and banks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141,672 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148,627 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271,907 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279,453 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Three Months Ended June 30, 2025 Compared to Three Months Ended June 30, 2024</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Revenues for the above periods are presented below:</w:t>
      </w:r>
    </w:p>
    <w:tbl>
      <w:tblPr>
        <w:tblW w:w="10205" w:type="dxa"/>
        <w:jc w:val="left"/>
        <w:tblInd w:w="0" w:type="dxa"/>
        <w:tblLayout w:type="fixed"/>
        <w:tblCellMar>
          <w:top w:w="28" w:type="dxa"/>
          <w:left w:w="28" w:type="dxa"/>
          <w:bottom w:w="28" w:type="dxa"/>
          <w:right w:w="28" w:type="dxa"/>
        </w:tblCellMar>
      </w:tblPr>
      <w:tblGrid>
        <w:gridCol w:w="900"/>
        <w:gridCol w:w="791"/>
        <w:gridCol w:w="794"/>
        <w:gridCol w:w="436"/>
        <w:gridCol w:w="1709"/>
        <w:gridCol w:w="225"/>
        <w:gridCol w:w="109"/>
        <w:gridCol w:w="109"/>
        <w:gridCol w:w="109"/>
        <w:gridCol w:w="233"/>
        <w:gridCol w:w="233"/>
        <w:gridCol w:w="501"/>
        <w:gridCol w:w="109"/>
        <w:gridCol w:w="109"/>
        <w:gridCol w:w="109"/>
        <w:gridCol w:w="436"/>
        <w:gridCol w:w="1709"/>
        <w:gridCol w:w="225"/>
        <w:gridCol w:w="109"/>
        <w:gridCol w:w="109"/>
        <w:gridCol w:w="109"/>
        <w:gridCol w:w="233"/>
        <w:gridCol w:w="233"/>
        <w:gridCol w:w="566"/>
      </w:tblGrid>
      <w:tr>
        <w:trPr/>
        <w:tc>
          <w:tcPr>
            <w:tcW w:w="90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w:t>
              <w:br/>
              <w:t>Revenues</w:t>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37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 and money order fees, net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132,970 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145,837 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w:t>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4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161,133 </w:t>
            </w:r>
          </w:p>
        </w:tc>
        <w:tc>
          <w:tcPr>
            <w:tcW w:w="22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171,531 </w:t>
            </w:r>
          </w:p>
        </w:tc>
        <w:tc>
          <w:tcPr>
            <w:tcW w:w="22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Wire transfer and money order fees, net of $133.0 million for the three months ended June 30, 2025 decreased by $12.8 million, or 8.8%, from $145.8 million for the three months ended June 30, 2024. The decrease was primarily due to a lower transaction volume processed through our retail network of sending agents and Company-operated stores in the second quarter of 2025 compared to the second quarter of 2024 as a result of a contraction in the market, particularly the Mexico corridor coupled with a change in consumer behavior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sending a lower number of money transfers at a higher average principal sent per transaction. Therefore, the lower number of wire transfers sent resulted in lower fees paid by consumers.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Revenues from foreign exchange gain, net of $23.7 million for the three months ended June 30, 2025 increased by $0.9 million, or 3.9%, from $22.8 million for the three months ended June 30, 2024. This increase was primarily due to an increase in the average principal sent per transaction as well as a strengthening of the U.S. dollar against the Mexican peso.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of $4.5 million for the three months ended June 30, 2025 increased by $1.6 million, or 55.2%, from $2.9 million for the three months ended June 30, 2024 primarily due to the effect of higher fees related to increased activity of our remittance-as-a-service relationships, as well as higher revenues primarily as a result of an increase of the base fees charged on money transfers and money orders deemed abandoned property.</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expenses for the above periods are presented below:</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160"/>
        <w:gridCol w:w="895"/>
        <w:gridCol w:w="900"/>
        <w:gridCol w:w="406"/>
        <w:gridCol w:w="1591"/>
        <w:gridCol w:w="209"/>
        <w:gridCol w:w="109"/>
        <w:gridCol w:w="109"/>
        <w:gridCol w:w="109"/>
        <w:gridCol w:w="203"/>
        <w:gridCol w:w="203"/>
        <w:gridCol w:w="501"/>
        <w:gridCol w:w="109"/>
        <w:gridCol w:w="109"/>
        <w:gridCol w:w="109"/>
        <w:gridCol w:w="406"/>
        <w:gridCol w:w="1591"/>
        <w:gridCol w:w="209"/>
        <w:gridCol w:w="109"/>
        <w:gridCol w:w="109"/>
        <w:gridCol w:w="109"/>
        <w:gridCol w:w="193"/>
        <w:gridCol w:w="193"/>
        <w:gridCol w:w="564"/>
      </w:tblGrid>
      <w:tr>
        <w:trPr/>
        <w:tc>
          <w:tcPr>
            <w:tcW w:w="116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w:t>
              <w:br/>
              <w:t>Revenues</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20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from agents and banks</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102,257 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113,369 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 expenses</w:t>
            </w:r>
          </w:p>
        </w:tc>
        <w:tc>
          <w:tcPr>
            <w:tcW w:w="1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0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141,672 </w:t>
            </w:r>
          </w:p>
        </w:tc>
        <w:tc>
          <w:tcPr>
            <w:tcW w:w="2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148,627 </w:t>
            </w:r>
          </w:p>
        </w:tc>
        <w:tc>
          <w:tcPr>
            <w:tcW w:w="2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NM - Amounts round to less than 1%.</w:t>
      </w:r>
    </w:p>
    <w:p>
      <w:pPr>
        <w:pStyle w:val="TextBody"/>
        <w:bidi w:val="0"/>
        <w:spacing w:before="0" w:after="180"/>
        <w:jc w:val="left"/>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Service charges from agents and banks</w:t>
      </w:r>
      <w:r>
        <w:rPr>
          <w:color w:val="000000"/>
        </w:rPr>
        <w:t xml:space="preserve"> — </w:t>
      </w:r>
      <w:r>
        <w:rPr>
          <w:rFonts w:ascii="Times New Roman;serif" w:hAnsi="Times New Roman;serif"/>
          <w:b w:val="false"/>
          <w:color w:val="000000"/>
          <w:sz w:val="20"/>
        </w:rPr>
        <w:t>Service charges from agents and banks were $102.3 million for the three months ended June 30, 2025 compared to $113.4 million for the three months ended June 30, 2024. The decrease of $11.1 million, or 9.8%, was primarily due to the decrease in transaction volume described above, as well as lower payer fees as a result of better pricing negotiated with paying agents.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Salaries and benefits </w:t>
      </w:r>
      <w:r>
        <w:rPr>
          <w:color w:val="000000"/>
        </w:rPr>
        <w:t xml:space="preserve">— </w:t>
      </w:r>
      <w:r>
        <w:rPr>
          <w:rFonts w:ascii="Times New Roman;serif" w:hAnsi="Times New Roman;serif"/>
          <w:b w:val="false"/>
          <w:color w:val="000000"/>
          <w:sz w:val="20"/>
        </w:rPr>
        <w:t>Salaries and benefits of $18.5 million for the three months ended June 30, 2025 increased by $1.6 million, or 9.5%, from $16.9 million for the three months ended June 30, 2024. The increase is primarily due to the Company's investment in talent acquisition and improved compensation for our sales force and digital channel services, as well as severance payments.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Other selling, general and administrative expenses</w:t>
      </w:r>
      <w:r>
        <w:rPr>
          <w:color w:val="000000"/>
        </w:rPr>
        <w:t xml:space="preserve"> — </w:t>
      </w:r>
      <w:r>
        <w:rPr>
          <w:rFonts w:ascii="Times New Roman;serif" w:hAnsi="Times New Roman;serif"/>
          <w:b w:val="false"/>
          <w:color w:val="000000"/>
          <w:sz w:val="20"/>
        </w:rPr>
        <w:t>Other selling, general and administrative expenses of $12.4 million for the three months ended June 30, 2025 increased by $1.9 million, or 18.1%, from $10.5 million for the three months ended June 30,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was primarily the result of: </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$1.1 million - increase in advertising related expenses primarily as a result of campaigns to promote our digital channel services; and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$0.6 million - related to a gain on a legal contingency settlement that was recorded in the second quarter of 2024.</w:t>
      </w:r>
    </w:p>
    <w:p>
      <w:pPr>
        <w:pStyle w:val="TextBody"/>
        <w:bidi w:val="0"/>
        <w:spacing w:before="0" w:after="0"/>
        <w:ind w:left="0" w:right="0" w:firstLine="9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Restructuring costs</w:t>
      </w:r>
      <w:r>
        <w:rPr>
          <w:color w:val="000000"/>
        </w:rPr>
        <w:t xml:space="preserve"> — </w:t>
      </w:r>
      <w:r>
        <w:rPr>
          <w:rFonts w:ascii="Times New Roman;serif" w:hAnsi="Times New Roman;serif"/>
          <w:b w:val="false"/>
          <w:color w:val="000000"/>
          <w:sz w:val="20"/>
        </w:rPr>
        <w:t>Restructuring costs of $2.7 million for the three months ended June 30, 2024 included primarily severance costs related to the restructuring of La Nacional and our foreign operations (none for the three months ended June 30, 2025).</w:t>
      </w:r>
    </w:p>
    <w:p>
      <w:pPr>
        <w:pStyle w:val="TextBody"/>
        <w:bidi w:val="0"/>
        <w:spacing w:before="0" w:after="0"/>
        <w:ind w:left="0" w:right="0" w:firstLine="9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Transaction costs </w:t>
      </w:r>
      <w:r>
        <w:rPr>
          <w:color w:val="000000"/>
        </w:rPr>
        <w:t xml:space="preserve">— </w:t>
      </w:r>
      <w:r>
        <w:rPr>
          <w:rFonts w:ascii="Times New Roman;serif" w:hAnsi="Times New Roman;serif"/>
          <w:b w:val="false"/>
          <w:color w:val="000000"/>
          <w:sz w:val="20"/>
        </w:rPr>
        <w:t>Transaction costs of $2.2 million for the three months ended June 30, 2025 consist primarily of financial advisory fees as well as other professional fees and legal fees incurred in connection with the Company's evaluation of strategic alternatives and business acquisition transactions.</w:t>
      </w:r>
    </w:p>
    <w:p>
      <w:pPr>
        <w:pStyle w:val="TextBody"/>
        <w:bidi w:val="0"/>
        <w:spacing w:before="0" w:after="0"/>
        <w:ind w:left="0" w:right="0" w:firstLine="9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Depreciation and amortization</w:t>
      </w:r>
      <w:r>
        <w:rPr>
          <w:color w:val="000000"/>
        </w:rPr>
        <w:t xml:space="preserve"> — </w:t>
      </w:r>
      <w:r>
        <w:rPr>
          <w:rFonts w:ascii="Times New Roman;serif" w:hAnsi="Times New Roman;serif"/>
          <w:b w:val="false"/>
          <w:color w:val="000000"/>
          <w:sz w:val="20"/>
        </w:rPr>
        <w:t xml:space="preserve">Depreciation and amortization of $4.5 million for the three months ended June 30, 2025 increased by $1.1 million or 32.4% from $3.4 million for the three months ended June 30, 2024. The increase is primarily the result of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associated with additional software developed being placed into production and computer equipment acquired to support our digital channels services expansion initiatives and sending agent network, as well as amortization related to the Amigo Paisano brands. </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Non-Operating Expenses</w:t>
      </w:r>
    </w:p>
    <w:p>
      <w:pPr>
        <w:pStyle w:val="TextBody"/>
        <w:bidi w:val="0"/>
        <w:spacing w:lineRule="auto" w:line="288" w:before="0" w:after="0"/>
        <w:ind w:left="0" w:right="0" w:firstLine="360"/>
        <w:jc w:val="both"/>
        <w:rPr/>
      </w:pPr>
      <w:r>
        <w:rPr>
          <w:rFonts w:ascii="Times New Roman;serif" w:hAnsi="Times New Roman;serif"/>
          <w:b w:val="false"/>
          <w:i/>
          <w:color w:val="000000"/>
          <w:sz w:val="20"/>
        </w:rPr>
        <w:t>Interest expense</w:t>
      </w:r>
      <w:r>
        <w:rPr>
          <w:color w:val="000000"/>
        </w:rPr>
        <w:t xml:space="preserve"> — </w:t>
      </w:r>
      <w:r>
        <w:rPr>
          <w:rFonts w:ascii="Times New Roman;serif" w:hAnsi="Times New Roman;serif"/>
          <w:b w:val="false"/>
          <w:color w:val="000000"/>
          <w:sz w:val="20"/>
        </w:rPr>
        <w:t xml:space="preserve">Interest expense of $3.1 million for the three months ended June 30, 2025 remained virtually flat as compared to the three months ended June 30, 2024.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Income tax provision</w:t>
      </w:r>
      <w:r>
        <w:rPr>
          <w:color w:val="000000"/>
        </w:rPr>
        <w:t xml:space="preserve"> — </w:t>
      </w:r>
      <w:r>
        <w:rPr>
          <w:rFonts w:ascii="Times New Roman;serif" w:hAnsi="Times New Roman;serif"/>
          <w:b w:val="false"/>
          <w:color w:val="000000"/>
          <w:sz w:val="20"/>
        </w:rPr>
        <w:t>Income tax provision was $5.4 million for the three months ended June 30, 2025, which represents a decrease of $0.4 million from an income tax provision of $5.8 million for the three months ended June 30, 2024. The decrease in income tax provision was mainly attributable to lower income before taxes primarily due to the factors discussed above.</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Income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reported Net Income of $11.0 million for the three months ended June 30, 2025 compared to Net Income of $14.0 million for the three months ended June 30, 2024, which resulted in a decrease of $3.0 million, or 21.4%, due to the same factors discussed above.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Earnings per Share - Basic for the three months ended June 30, 2025 was $0.37, representing a decrease of $0.06, or 14.0%, compared to $0.43 for the three months ended June 30, 2024.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Earnings per Share - Diluted for the three months ended June 30, 2025 was $0.37, representing a decrease of $0.05, or 11.9%, compared to $0.42 for the three months ended June 30, 2024.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both basic and diluted earnings per share (“EPS”) largely reflects the decrease in net income discussed above, offset by a reduced share count as a result of the stock repurchases.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use Adjusted Net Income, Adjusted Earnings per Share and Adjusted EBITDA to evaluate our performance, both internally and as compared with our peers, because these measures exclude certain items that may not be indicative of our core operating results, as well as items that can vary widely among companies within our industry. For example, non-cash compensation costs can be subject to volatility from changes in the market price per share of our common stock or variations in the value and number of shares granted, and amortization of intangible assets is subject to business and asset acquisition activities, which varies from period to period.</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present these non-GAAP financial measures because we believe they are frequently used by analysts, investors and other interested parties to evaluate companies in our industry. Furthermore, we believe they are helpful in highlighting trends in our operating results by focusing on our core operating results and are useful to evaluate our performance in conjunction with our GAAP financial measures. Adjusted Net Income, Adjusted Earnings per Share and Adjusted EBITDA are non-GAAP financial measures and should not be considered as an alternative to operating income, net income or earnings per share as a measure of operating performance or cash flows or as a measure of liquidity. Non-GAAP financial measures are not necessarily calculated the same way by different companies and should not be considered a substitute for or superior to GAAP measures.</w:t>
      </w:r>
    </w:p>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Adjusted EBITDA is one of the primary metrics used by management to evaluate the financial performance of our business because it excludes, among other things, the effects of certain transactions that are outside the control of management, while other measures can differ significantly depending on long-term strategic decisions regarding capital structure, the jurisdictions in which we operate and capital investments.</w:t>
      </w:r>
    </w:p>
    <w:p>
      <w:pPr>
        <w:pStyle w:val="TextBody"/>
        <w:bidi w:val="0"/>
        <w:spacing w:lineRule="auto" w:line="288" w:before="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particular, Adjusted EBITDA is subject to certain limitations, including the following:</w:t>
      </w:r>
    </w:p>
    <w:p>
      <w:pPr>
        <w:pStyle w:val="TextBody"/>
        <w:bidi w:val="0"/>
        <w:spacing w:lineRule="auto" w:line="288" w:before="0" w:after="240"/>
        <w:ind w:left="0" w:right="0" w:hanging="360"/>
        <w:jc w:val="both"/>
        <w:rPr/>
      </w:pPr>
      <w:r>
        <w:rPr>
          <w:color w:val="000000"/>
          <w:shd w:fill="FFFFFF" w:val="clear"/>
        </w:rPr>
        <w:t>•</w:t>
      </w:r>
      <w:r>
        <w:rPr>
          <w:rFonts w:ascii="Times New Roman;serif" w:hAnsi="Times New Roman;serif"/>
          <w:b w:val="false"/>
          <w:color w:val="000000"/>
          <w:sz w:val="20"/>
          <w:shd w:fill="FFFFFF" w:val="clear"/>
        </w:rPr>
        <w:t>Adjusted EBITDA does not reflect interest expense, or the amounts necessary to service interest or principal payments on our debt;</w:t>
      </w:r>
    </w:p>
    <w:p>
      <w:pPr>
        <w:pStyle w:val="TextBody"/>
        <w:bidi w:val="0"/>
        <w:spacing w:lineRule="auto" w:line="288" w:before="0" w:after="240"/>
        <w:ind w:left="0" w:right="0" w:hanging="360"/>
        <w:jc w:val="both"/>
        <w:rPr/>
      </w:pPr>
      <w:r>
        <w:rPr>
          <w:color w:val="000000"/>
          <w:shd w:fill="FFFFFF" w:val="clear"/>
        </w:rPr>
        <w:t>•</w:t>
      </w:r>
      <w:r>
        <w:rPr>
          <w:rFonts w:ascii="Times New Roman;serif" w:hAnsi="Times New Roman;serif"/>
          <w:b w:val="false"/>
          <w:color w:val="000000"/>
          <w:sz w:val="20"/>
          <w:shd w:fill="FFFFFF" w:val="clear"/>
        </w:rPr>
        <w:t>Adjusted EBITDA does not reflect income tax provision (benefit), and because the payment of taxes is part of our operations, tax provision is a necessary element of our costs and ability to operate;</w:t>
      </w:r>
    </w:p>
    <w:p>
      <w:pPr>
        <w:pStyle w:val="TextBody"/>
        <w:bidi w:val="0"/>
        <w:spacing w:lineRule="auto" w:line="288" w:before="0" w:after="240"/>
        <w:ind w:left="0" w:right="0" w:hanging="360"/>
        <w:jc w:val="both"/>
        <w:rPr/>
      </w:pPr>
      <w:r>
        <w:rPr>
          <w:color w:val="000000"/>
          <w:shd w:fill="FFFFFF" w:val="clear"/>
        </w:rPr>
        <w:t>•</w:t>
      </w:r>
      <w:r>
        <w:rPr>
          <w:rFonts w:ascii="Times New Roman;serif" w:hAnsi="Times New Roman;serif"/>
          <w:b w:val="false"/>
          <w:color w:val="000000"/>
          <w:sz w:val="20"/>
          <w:shd w:fill="FFFFFF" w:val="clear"/>
        </w:rPr>
        <w:t>Although depreciation and amortization are eliminated in the calculation of Adjusted EBITDA, the assets being depreciated and amortized will often have to be replaced in the future, and Adjusted EBITDA does not reflect any costs of such replacements;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ind w:left="0" w:right="0" w:hanging="360"/>
        <w:jc w:val="both"/>
        <w:rPr/>
      </w:pPr>
      <w:r>
        <w:rPr>
          <w:color w:val="000000"/>
          <w:shd w:fill="FFFFFF" w:val="clear"/>
        </w:rPr>
        <w:t>•</w:t>
      </w:r>
      <w:r>
        <w:rPr>
          <w:rFonts w:ascii="Times New Roman;serif" w:hAnsi="Times New Roman;serif"/>
          <w:b w:val="false"/>
          <w:color w:val="000000"/>
          <w:sz w:val="20"/>
          <w:shd w:fill="FFFFFF" w:val="clear"/>
        </w:rPr>
        <w:t>Adjusted EBITDA does not reflect the non-cash component of share-based compensation;</w:t>
      </w:r>
    </w:p>
    <w:p>
      <w:pPr>
        <w:pStyle w:val="TextBody"/>
        <w:bidi w:val="0"/>
        <w:spacing w:lineRule="auto" w:line="288" w:before="0" w:after="240"/>
        <w:ind w:left="0" w:right="0" w:hanging="360"/>
        <w:jc w:val="both"/>
        <w:rPr/>
      </w:pPr>
      <w:r>
        <w:rPr>
          <w:color w:val="000000"/>
          <w:shd w:fill="FFFFFF" w:val="clear"/>
        </w:rPr>
        <w:t>•</w:t>
      </w:r>
      <w:r>
        <w:rPr>
          <w:rFonts w:ascii="Times New Roman;serif" w:hAnsi="Times New Roman;serif"/>
          <w:b w:val="false"/>
          <w:color w:val="000000"/>
          <w:sz w:val="20"/>
          <w:shd w:fill="FFFFFF" w:val="clear"/>
        </w:rPr>
        <w:t>Adjusted EBITDA does not reflect the impact of earnings or charges resulting from matters we consider not to be reflective, on a recurring basis, of our ongoing operations; and</w:t>
      </w:r>
    </w:p>
    <w:p>
      <w:pPr>
        <w:pStyle w:val="TextBody"/>
        <w:bidi w:val="0"/>
        <w:spacing w:lineRule="auto" w:line="288" w:before="0" w:after="240"/>
        <w:ind w:left="0" w:right="0" w:hanging="360"/>
        <w:jc w:val="both"/>
        <w:rPr/>
      </w:pPr>
      <w:r>
        <w:rPr>
          <w:color w:val="000000"/>
          <w:shd w:fill="FFFFFF" w:val="clear"/>
        </w:rPr>
        <w:t>•</w:t>
      </w:r>
      <w:r>
        <w:rPr>
          <w:rFonts w:ascii="Times New Roman;serif" w:hAnsi="Times New Roman;serif"/>
          <w:b w:val="false"/>
          <w:color w:val="000000"/>
          <w:sz w:val="20"/>
          <w:shd w:fill="FFFFFF" w:val="clear"/>
        </w:rPr>
        <w:t>other companies in our industry may calculate Adjusted EBITDA or similarly titled measures differently than we do, limiting its usefulness as a comparative measure.</w:t>
      </w:r>
    </w:p>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adjust for these limitations by relying primarily on our GAAP results and using Adjusted EBITDA, as well as our other non-GAAP financial measures, only as supplemental information.</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Adjusted Net Income and Adjusted Earnings per Share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Net Income is defined as net income adjusted to add back certain charges and expenses, such as non-cash amortization of intangible assets resulting from business and asset acquisition transactions, which will recur in future periods until these assets have been fully amortized, non-cash compensation costs and other items set forth in the table below, as these charges and expenses are not considered a part of our core business operations and are not an indicator of ongoing, future company performance.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Earnings per Share - Basic and Diluted is calculated by dividing Adjusted Net Income by GAAP weighted-average common shares outstanding (basic and diluted).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Net Income for the three months ended June 30, 2025 was $15.2 million, representing a decrease of $2.9 million from Adjusted Net Income of $18.1 million for the three months ended June 30, 2024. The decrease in Adjusted Net Income was primarily due to the decrease in Net Income discussed above, slightly offset by the higher net effect of the adjusting items detailed in the table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Net Income, our closest GAAP measure, to Adjusted Net Income:</w:t>
      </w:r>
    </w:p>
    <w:p>
      <w:pPr>
        <w:pStyle w:val="TextBody"/>
        <w:bidi w:val="0"/>
        <w:spacing w:before="0" w:after="0"/>
        <w:ind w:left="0" w:right="0" w:firstLine="360"/>
        <w:jc w:val="both"/>
        <w:rPr/>
      </w:pPr>
      <w:r>
        <w:rPr/>
      </w:r>
    </w:p>
    <w:tbl>
      <w:tblPr>
        <w:tblW w:w="6854" w:type="dxa"/>
        <w:jc w:val="left"/>
        <w:tblInd w:w="0" w:type="dxa"/>
        <w:tblLayout w:type="fixed"/>
        <w:tblCellMar>
          <w:top w:w="28" w:type="dxa"/>
          <w:left w:w="28" w:type="dxa"/>
          <w:bottom w:w="28" w:type="dxa"/>
          <w:right w:w="28" w:type="dxa"/>
        </w:tblCellMar>
      </w:tblPr>
      <w:tblGrid>
        <w:gridCol w:w="1476"/>
        <w:gridCol w:w="1298"/>
        <w:gridCol w:w="1306"/>
        <w:gridCol w:w="240"/>
        <w:gridCol w:w="841"/>
        <w:gridCol w:w="113"/>
        <w:gridCol w:w="113"/>
        <w:gridCol w:w="113"/>
        <w:gridCol w:w="113"/>
        <w:gridCol w:w="240"/>
        <w:gridCol w:w="841"/>
        <w:gridCol w:w="160"/>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for per share data)</w:t>
            </w:r>
          </w:p>
        </w:tc>
        <w:tc>
          <w:tcPr>
            <w:tcW w:w="11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11,007</w:t>
            </w:r>
            <w:r>
              <w:rPr>
                <w:color w:val="000000"/>
              </w:rPr>
              <w:t> </w:t>
            </w:r>
          </w:p>
        </w:tc>
        <w:tc>
          <w:tcPr>
            <w:tcW w:w="11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14,033</w:t>
            </w:r>
            <w:r>
              <w:rPr>
                <w:color w:val="000000"/>
              </w:rPr>
              <w:t> </w:t>
            </w:r>
          </w:p>
        </w:tc>
        <w:tc>
          <w:tcPr>
            <w:tcW w:w="16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for:</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(a)</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(b)</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contingency settlement (d)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and expenses (e)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(f)</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related to adjustments (g)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4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15,249</w:t>
            </w:r>
            <w:r>
              <w:rPr>
                <w:color w:val="000000"/>
              </w:rPr>
              <w:t> </w:t>
            </w:r>
          </w:p>
        </w:tc>
        <w:tc>
          <w:tcPr>
            <w:tcW w:w="11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18,095</w:t>
            </w:r>
            <w:r>
              <w:rPr>
                <w:color w:val="000000"/>
              </w:rPr>
              <w:t> </w:t>
            </w:r>
          </w:p>
        </w:tc>
        <w:tc>
          <w:tcPr>
            <w:tcW w:w="16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per Share</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29,843,687 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32,698,951 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29,912,615 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33,090,806 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(a)Represents share-based compensation relating to equity awards granted primarily to employees and independent directors of the Company.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(b)Represents primarily severance, write-off of assets and, legal and professional fees related to the execution of restructuring plans.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(c)Represents primarily financial advisory, professional and legal fees related to evaluation of strategic alternatives and business acquisition transactions.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(d)Represents a gain contingency related to a legal settlement.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(e)Represents primarily loss on disposal of fixed assets.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(f)Represents the amortization of certain intangible assets that resulted from business and asset acquisition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(g)Represents the current and deferred tax impact of the taxable adjustments to Net Income using the Company’s blended federal and state tax rate for each period. Relevant tax-deductible adjustments include all adjustments to Net Income.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Earnings per Share - Basic for the three months ended June 30, 2025 was $0.51, representing a decrease of $0.04, or 7.3%, compared to $0.55 for the three months ended June 30, 2024. The decrease in Adjusted Earnings per Share - Basic was primarily due to the decrease in Net Income, partially offset by the effect of a lower weighted average common shares total for the period due to stock repurchases as well as the higher net effect of the adjusting items detailed in the table above.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Earnings per Share - Diluted for the three months ended June 30, 2025 was $0.51, representing a decrease of $0.04, or 7.3%, compared to $0.55 for the three months ended June 30, 2024. The decrease in Adjusted Earnings per Share - Diluted was primarily due to the decrease in Net Income, partially offset by the effect of a lower weighted average common shares total for the period due to stock repurchases as well as the higher net effect of the adjusting items detailed in the table above.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GAAP Earnings per Share, our closest GAAP measure, to Adjusted Earnings per Share:</w:t>
      </w:r>
    </w:p>
    <w:tbl>
      <w:tblPr>
        <w:tblW w:w="7874" w:type="dxa"/>
        <w:jc w:val="left"/>
        <w:tblInd w:w="0" w:type="dxa"/>
        <w:tblLayout w:type="fixed"/>
        <w:tblCellMar>
          <w:top w:w="28" w:type="dxa"/>
          <w:left w:w="28" w:type="dxa"/>
          <w:bottom w:w="28" w:type="dxa"/>
          <w:right w:w="28" w:type="dxa"/>
        </w:tblCellMar>
      </w:tblPr>
      <w:tblGrid>
        <w:gridCol w:w="1254"/>
        <w:gridCol w:w="1103"/>
        <w:gridCol w:w="1107"/>
        <w:gridCol w:w="211"/>
        <w:gridCol w:w="526"/>
        <w:gridCol w:w="109"/>
        <w:gridCol w:w="109"/>
        <w:gridCol w:w="109"/>
        <w:gridCol w:w="109"/>
        <w:gridCol w:w="211"/>
        <w:gridCol w:w="526"/>
        <w:gridCol w:w="109"/>
        <w:gridCol w:w="109"/>
        <w:gridCol w:w="109"/>
        <w:gridCol w:w="109"/>
        <w:gridCol w:w="211"/>
        <w:gridCol w:w="526"/>
        <w:gridCol w:w="109"/>
        <w:gridCol w:w="109"/>
        <w:gridCol w:w="109"/>
        <w:gridCol w:w="109"/>
        <w:gridCol w:w="211"/>
        <w:gridCol w:w="52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Basic</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Basic</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Diluted</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Earnings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for:</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contingency settlement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and expenses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related to adjustments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per Share</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0.51</w:t>
            </w:r>
            <w:r>
              <w:rPr>
                <w:color w:val="000000"/>
              </w:rPr>
              <w:t>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0.51</w:t>
            </w:r>
            <w:r>
              <w:rPr>
                <w:color w:val="000000"/>
              </w:rPr>
              <w:t>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0.55</w:t>
            </w:r>
            <w:r>
              <w:rPr>
                <w:color w:val="000000"/>
              </w:rPr>
              <w:t>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0.55</w:t>
            </w:r>
            <w:r>
              <w:rPr>
                <w:color w:val="000000"/>
              </w:rPr>
              <w:t>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NM - Per share amounts are not meaningful.</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above may contain slight summation differences due to rounding.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Adjusted EBITDA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is defined as net income before depreciation and amortization, interest expense, income taxes, and also adjusted to add back certain charges and expenses, such as non-cash share-based compensation costs and other items set forth in the table below, as these charges and expenses are not considered a part of our core business operations and are not an indicator of ongoing, future company performance.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for the three months ended June 30, 2025 was $28.8 million, representing a decrease of $2.3 million, or 7.4%, from $31.1 million for the three months ended June 30, 2024. The decrease in Adjusted EBITDA was primarily due to the decrease in Net Income discussed above offset by the higher net effect of the adjusting items detailed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Net Income, our closest GAAP measure, to Adjusted EBITDA:</w:t>
      </w:r>
    </w:p>
    <w:p>
      <w:pPr>
        <w:pStyle w:val="TextBody"/>
        <w:bidi w:val="0"/>
        <w:spacing w:before="0" w:after="0"/>
        <w:ind w:left="0" w:right="0" w:firstLine="360"/>
        <w:jc w:val="both"/>
        <w:rPr/>
      </w:pPr>
      <w:r>
        <w:rPr/>
      </w:r>
    </w:p>
    <w:tbl>
      <w:tblPr>
        <w:tblW w:w="5382" w:type="dxa"/>
        <w:jc w:val="left"/>
        <w:tblInd w:w="0" w:type="dxa"/>
        <w:tblLayout w:type="fixed"/>
        <w:tblCellMar>
          <w:top w:w="28" w:type="dxa"/>
          <w:left w:w="28" w:type="dxa"/>
          <w:bottom w:w="28" w:type="dxa"/>
          <w:right w:w="28" w:type="dxa"/>
        </w:tblCellMar>
      </w:tblPr>
      <w:tblGrid>
        <w:gridCol w:w="1015"/>
        <w:gridCol w:w="894"/>
        <w:gridCol w:w="895"/>
        <w:gridCol w:w="219"/>
        <w:gridCol w:w="764"/>
        <w:gridCol w:w="113"/>
        <w:gridCol w:w="113"/>
        <w:gridCol w:w="113"/>
        <w:gridCol w:w="113"/>
        <w:gridCol w:w="219"/>
        <w:gridCol w:w="764"/>
        <w:gridCol w:w="160"/>
      </w:tblGrid>
      <w:tr>
        <w:trPr/>
        <w:tc>
          <w:tcPr>
            <w:tcW w:w="101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9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11,007</w:t>
            </w:r>
            <w:r>
              <w:rPr>
                <w:color w:val="000000"/>
              </w:rPr>
              <w:t> </w:t>
            </w:r>
          </w:p>
        </w:tc>
        <w:tc>
          <w:tcPr>
            <w:tcW w:w="11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14,033</w:t>
            </w:r>
            <w:r>
              <w:rPr>
                <w:color w:val="000000"/>
              </w:rPr>
              <w:t> </w:t>
            </w:r>
          </w:p>
        </w:tc>
        <w:tc>
          <w:tcPr>
            <w:tcW w:w="16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for:</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98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23,915</w:t>
            </w:r>
            <w:r>
              <w:rPr>
                <w:color w:val="000000"/>
              </w:rPr>
              <w:t> </w:t>
            </w:r>
          </w:p>
        </w:tc>
        <w:tc>
          <w:tcPr>
            <w:tcW w:w="11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26,275</w:t>
            </w:r>
            <w:r>
              <w:rPr>
                <w:color w:val="000000"/>
              </w:rPr>
              <w:t> </w:t>
            </w:r>
          </w:p>
        </w:tc>
        <w:tc>
          <w:tcPr>
            <w:tcW w:w="16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(a)</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(b)</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(c)</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contingency settlement (d)</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and expenses (e)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28,788</w:t>
            </w:r>
            <w:r>
              <w:rPr>
                <w:color w:val="000000"/>
              </w:rPr>
              <w:t> </w:t>
            </w:r>
          </w:p>
        </w:tc>
        <w:tc>
          <w:tcPr>
            <w:tcW w:w="11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31,052</w:t>
            </w:r>
            <w:r>
              <w:rPr>
                <w:color w:val="000000"/>
              </w:rPr>
              <w:t> </w:t>
            </w:r>
          </w:p>
        </w:tc>
        <w:tc>
          <w:tcPr>
            <w:tcW w:w="16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(a)Represents share-based compensation relating to equity awards granted primarily to employees and independent directors of the Company.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(b)Represents primarily severance, write-off of assets and legal and professional fees related to the execution of restructuring plans.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(c)Represents primarily financial advisory, professional and legal fees related to evaluation of strategic alternatives and business acquisition transactions.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(d)Represents a gain contingency related to a legal settlement.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(e)Represents primarily loss on disposal of fixed assets.</w:t>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Six Months Ended June 30, 2025 Compared to Six Months Ended June 30, 2024</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Revenues for the above periods are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39"/>
        <w:gridCol w:w="825"/>
        <w:gridCol w:w="828"/>
        <w:gridCol w:w="426"/>
        <w:gridCol w:w="1671"/>
        <w:gridCol w:w="220"/>
        <w:gridCol w:w="109"/>
        <w:gridCol w:w="109"/>
        <w:gridCol w:w="109"/>
        <w:gridCol w:w="233"/>
        <w:gridCol w:w="233"/>
        <w:gridCol w:w="501"/>
        <w:gridCol w:w="109"/>
        <w:gridCol w:w="109"/>
        <w:gridCol w:w="109"/>
        <w:gridCol w:w="426"/>
        <w:gridCol w:w="1671"/>
        <w:gridCol w:w="220"/>
        <w:gridCol w:w="109"/>
        <w:gridCol w:w="109"/>
        <w:gridCol w:w="109"/>
        <w:gridCol w:w="233"/>
        <w:gridCol w:w="233"/>
        <w:gridCol w:w="565"/>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w:t>
              <w:br/>
              <w:t>Revenues</w:t>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31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Wire transfer and money order fees, net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253,137 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272,758 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w:t>
            </w:r>
          </w:p>
        </w:tc>
        <w:tc>
          <w:tcPr>
            <w:tcW w:w="2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2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4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305,443 </w:t>
            </w:r>
          </w:p>
        </w:tc>
        <w:tc>
          <w:tcPr>
            <w:tcW w:w="22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321,943 </w:t>
            </w:r>
          </w:p>
        </w:tc>
        <w:tc>
          <w:tcPr>
            <w:tcW w:w="22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Wire transfer and money order fees, net of $253.1 million for the six months ended June 30, 2025 decreased by $19.7 million, or 7.2%, from $272.8 million for the six months ended June 30, 2024. The decrease was primarily due to a decrease in transaction volume processed through our retail network of sending agents and Company-operated stores in the six months ended June 30, 2025 compared to the six months ended June 30, 2024, which we primarily attribute to a contraction in the remittance market, particularly the Mexico corridor coupled with a change in consumer behavior of sending a lower number of money transfers at a higher average principal sent per transaction. Therefore, the lower number of wire transfers sent resulted in lower fees paid by consumers. As noted in the overview section above, for the six months ended June 30, 2025, principal amount sent decreased by approximately 0.8% to $11.8 billion whereas the number of transactions decreased by approximately 6.3% to 26.9 million, as compared to the same period in 2024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Revenues from foreign exchange gain, net of $43.9 million for the six months ended June 30, 2025 increased by $0.8 million, or 1.9%, from $43.1 million for the six months ended June 30, 2024. This increase was primarily due to an increase in the average principal sent per transaction as well as a strengthening of the U.S. dollar against the Mexican peso.</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of $8.4 million for the six months ended June 30, 2025 increased by $2.4 million, or 40.0%, from $6.0 million for the six months ended June 30, 2024 primarily due to the effect of higher fees related to increased activity of our remittance-as-a-service relationships, as well as higher revenues primarily as a result of an increase of the base fees charged on money transfers and money orders deemed abandoned property.</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expenses for the above periods are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91"/>
        <w:gridCol w:w="933"/>
        <w:gridCol w:w="938"/>
        <w:gridCol w:w="396"/>
        <w:gridCol w:w="1555"/>
        <w:gridCol w:w="204"/>
        <w:gridCol w:w="109"/>
        <w:gridCol w:w="109"/>
        <w:gridCol w:w="109"/>
        <w:gridCol w:w="200"/>
        <w:gridCol w:w="200"/>
        <w:gridCol w:w="501"/>
        <w:gridCol w:w="109"/>
        <w:gridCol w:w="109"/>
        <w:gridCol w:w="109"/>
        <w:gridCol w:w="396"/>
        <w:gridCol w:w="1555"/>
        <w:gridCol w:w="204"/>
        <w:gridCol w:w="109"/>
        <w:gridCol w:w="109"/>
        <w:gridCol w:w="109"/>
        <w:gridCol w:w="193"/>
        <w:gridCol w:w="193"/>
        <w:gridCol w:w="565"/>
      </w:tblGrid>
      <w:tr>
        <w:trPr/>
        <w:tc>
          <w:tcPr>
            <w:tcW w:w="119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w:t>
              <w:br/>
              <w:t>Revenues</w:t>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15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from agents and banks</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196,045 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211,303 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 expenses</w:t>
            </w:r>
          </w:p>
        </w:tc>
        <w:tc>
          <w:tcPr>
            <w:tcW w:w="1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271,907 </w:t>
            </w:r>
          </w:p>
        </w:tc>
        <w:tc>
          <w:tcPr>
            <w:tcW w:w="20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279,453 </w:t>
            </w:r>
          </w:p>
        </w:tc>
        <w:tc>
          <w:tcPr>
            <w:tcW w:w="20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NM - Amounts round to less than 1%.</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Service charges from agents and banks</w:t>
      </w:r>
      <w:r>
        <w:rPr>
          <w:color w:val="000000"/>
        </w:rPr>
        <w:t xml:space="preserve"> — </w:t>
      </w:r>
      <w:r>
        <w:rPr>
          <w:rFonts w:ascii="Times New Roman;serif" w:hAnsi="Times New Roman;serif"/>
          <w:b w:val="false"/>
          <w:color w:val="000000"/>
          <w:sz w:val="20"/>
        </w:rPr>
        <w:t>Service charges from agents and banks were $196.0 million for the six months ended June 30, 2025 compared to $211.3 million for the six months ended June 30, 2024. The decrease of $15.3 million, or 7.2%, was primarily due to the decrease in transaction volume described above, as well as lower payer fees as a result of better pricing negotiated with our paying agents.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Salaries and benefits </w:t>
      </w:r>
      <w:r>
        <w:rPr>
          <w:color w:val="000000"/>
        </w:rPr>
        <w:t xml:space="preserve">— </w:t>
      </w:r>
      <w:r>
        <w:rPr>
          <w:rFonts w:ascii="Times New Roman;serif" w:hAnsi="Times New Roman;serif"/>
          <w:b w:val="false"/>
          <w:color w:val="000000"/>
          <w:sz w:val="20"/>
        </w:rPr>
        <w:t>Salaries and benefits of $36.8 million for the six months ended June 30, 2025 increased by $1.8 million, or 5.1%, from $35.0 million for the six months ended June 30, 2024. The increase is primarily due to the Company's investment in talent acquisition and improved compensation for our sales force and digital channel services as well as severance payments.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Other selling, general and administrative expenses</w:t>
      </w:r>
      <w:r>
        <w:rPr>
          <w:color w:val="000000"/>
        </w:rPr>
        <w:t xml:space="preserve"> — </w:t>
      </w:r>
      <w:r>
        <w:rPr>
          <w:rFonts w:ascii="Times New Roman;serif" w:hAnsi="Times New Roman;serif"/>
          <w:b w:val="false"/>
          <w:color w:val="000000"/>
          <w:sz w:val="20"/>
        </w:rPr>
        <w:t>Other selling, general and administrative expenses of $23.3 million for the six months ended June 30, 2025 increased by $2.9 million, or 14.2%, from $20.4 million for the six months ended June 30,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was primarily the result of: </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$1.8 million - increase in advertising related expenses primarily as a result of campaigns to promote our digital channel services;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$0.7 million - higher IT related expenses incurred to sustain our business expansion and to improve our technology environment; and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$0.6 million - related to a gain on legal contingency settlement that was recorded in the second quarter of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Provision for credit losses </w:t>
      </w:r>
      <w:r>
        <w:rPr>
          <w:color w:val="000000"/>
        </w:rPr>
        <w:t xml:space="preserve">— </w:t>
      </w:r>
      <w:r>
        <w:rPr>
          <w:rFonts w:ascii="Times New Roman;serif" w:hAnsi="Times New Roman;serif"/>
          <w:b w:val="false"/>
          <w:color w:val="000000"/>
          <w:sz w:val="20"/>
        </w:rPr>
        <w:t>Provision for credit losses of $3.9 million for the six months ended June 30, 2025 increased by $0.5 million, or 14.7%, from $3.4 million for the six months ended June 30, 2024. The increase is primarily due to a higher average balance outstanding of receivable balances from sending agents during the period, and a slight increase in write-offs of receivable balances primarily as a result of sending agents that were not able to pay in accordance with the original terms of their agreements with us and are, accordingly, subject to our normal collection procedures.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Restructuring costs</w:t>
      </w:r>
      <w:r>
        <w:rPr>
          <w:color w:val="000000"/>
        </w:rPr>
        <w:t xml:space="preserve"> — </w:t>
      </w:r>
      <w:r>
        <w:rPr>
          <w:rFonts w:ascii="Times New Roman;serif" w:hAnsi="Times New Roman;serif"/>
          <w:b w:val="false"/>
          <w:color w:val="000000"/>
          <w:sz w:val="20"/>
        </w:rPr>
        <w:t xml:space="preserve">Restructuring costs of $0.3 million for the six months ended June 30, 2025 decreased by $2.4 million, or 89%, from $2.7 million for the six months ended June 30, 2024. Restructuring costs included primarily severance costs related to the restructuring of La Nacional and our foreign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Transaction Costs </w:t>
      </w:r>
      <w:r>
        <w:rPr>
          <w:color w:val="000000"/>
        </w:rPr>
        <w:t xml:space="preserve">— </w:t>
      </w:r>
      <w:r>
        <w:rPr>
          <w:rFonts w:ascii="Times New Roman;serif" w:hAnsi="Times New Roman;serif"/>
          <w:b w:val="false"/>
          <w:color w:val="000000"/>
          <w:sz w:val="20"/>
        </w:rPr>
        <w:t xml:space="preserve">Transaction costs of $3.4 million for the six months ended June 30, 2025 consist primarily of financial advisory fees as well as other professional fees and legal fees incurred in connection with the Company's evaluation of strategic alternative and business acquisition transactions.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Depreciation and amortization</w:t>
      </w:r>
      <w:r>
        <w:rPr>
          <w:color w:val="000000"/>
        </w:rPr>
        <w:t xml:space="preserve"> — </w:t>
      </w:r>
      <w:r>
        <w:rPr>
          <w:rFonts w:ascii="Times New Roman;serif" w:hAnsi="Times New Roman;serif"/>
          <w:b w:val="false"/>
          <w:color w:val="000000"/>
          <w:sz w:val="20"/>
        </w:rPr>
        <w:t xml:space="preserve">Depreciation and amortization of $8.1 million for the six months ended June 30, 2025 increased by $1.5 million from $6.6 million or 22.7%, for the six months ended June 30, 2024. The increase is primarily the result of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associated with additional software developed being placed into production and computer equipment acquired to support our digital channels services expansion initiatives and sending agent network, as well as amortization related to the Amigo Paisano brands.</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Non-Operating Expenses</w:t>
      </w:r>
    </w:p>
    <w:p>
      <w:pPr>
        <w:pStyle w:val="TextBody"/>
        <w:bidi w:val="0"/>
        <w:spacing w:lineRule="auto" w:line="288" w:before="0" w:after="0"/>
        <w:ind w:left="0" w:right="0" w:firstLine="360"/>
        <w:jc w:val="both"/>
        <w:rPr/>
      </w:pPr>
      <w:r>
        <w:rPr>
          <w:rFonts w:ascii="Times New Roman;serif" w:hAnsi="Times New Roman;serif"/>
          <w:b w:val="false"/>
          <w:i/>
          <w:color w:val="000000"/>
          <w:sz w:val="20"/>
        </w:rPr>
        <w:t>Interest expense</w:t>
      </w:r>
      <w:r>
        <w:rPr>
          <w:color w:val="000000"/>
        </w:rPr>
        <w:t xml:space="preserve"> — </w:t>
      </w:r>
      <w:r>
        <w:rPr>
          <w:rFonts w:ascii="Times New Roman;serif" w:hAnsi="Times New Roman;serif"/>
          <w:b w:val="false"/>
          <w:color w:val="000000"/>
          <w:sz w:val="20"/>
        </w:rPr>
        <w:t xml:space="preserve">Interest expense of $5.8 million for the six months ended June 30, 2025 remained virtually flat, from $5.8 million for the six months ended June 30, 2024.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Income tax provision</w:t>
      </w:r>
      <w:r>
        <w:rPr>
          <w:color w:val="000000"/>
        </w:rPr>
        <w:t xml:space="preserve"> — </w:t>
      </w:r>
      <w:r>
        <w:rPr>
          <w:rFonts w:ascii="Times New Roman;serif" w:hAnsi="Times New Roman;serif"/>
          <w:b w:val="false"/>
          <w:color w:val="000000"/>
          <w:sz w:val="20"/>
        </w:rPr>
        <w:t xml:space="preserve">Income tax provision was $9.0 million for the six months ended June 30, 2025, which represents a decrease of $1.6 million from an income tax provision of $10.6 million for the six months ended June 30, 2024. The decrease in income tax provision was mainly attributable to a decrease in income before taxes primarily due to the factors discussed above. </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Income</w:t>
      </w:r>
    </w:p>
    <w:p>
      <w:pPr>
        <w:pStyle w:val="TextBody"/>
        <w:bidi w:val="0"/>
        <w:spacing w:lineRule="auto" w:line="288" w:before="0" w:after="0"/>
        <w:ind w:left="0" w:right="0" w:firstLine="360"/>
        <w:jc w:val="both"/>
        <w:rPr/>
      </w:pPr>
      <w:r>
        <w:rPr>
          <w:rFonts w:ascii="Times New Roman;serif" w:hAnsi="Times New Roman;serif"/>
          <w:b w:val="false"/>
          <w:color w:val="000000"/>
          <w:sz w:val="20"/>
        </w:rPr>
        <w:t>We reported Net Income of $18.8 million for the six months ended June 30, 2025 compared to Net Income of $26.1 million for the six months ended June 30, 2024, which resulted in a decrease of $7.3 million, or 28.0%, due to the same factors discussed above.</w:t>
      </w:r>
      <w:r>
        <w:rPr>
          <w:color w:val="000000"/>
        </w:rPr>
        <w:t> </w:t>
      </w:r>
    </w:p>
    <w:p>
      <w:pPr>
        <w:pStyle w:val="TextBody"/>
        <w:bidi w:val="0"/>
        <w:spacing w:before="0" w:after="0"/>
        <w:ind w:left="0" w:right="0" w:firstLine="360"/>
        <w:jc w:val="both"/>
        <w:rPr/>
      </w:pPr>
      <w:r>
        <w:rPr/>
      </w:r>
    </w:p>
    <w:p>
      <w:pPr>
        <w:pStyle w:val="TextBody"/>
        <w:bidi w:val="0"/>
        <w:spacing w:lineRule="auto" w:line="288" w:before="0" w:after="240"/>
        <w:ind w:left="0" w:right="0" w:firstLine="90"/>
        <w:jc w:val="left"/>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Earnings per Share - Basic for the six months ended June 30, 2025 was $0.62, representing a decrease of $0.17, or 21.5%, compared to $0.79 for the six months ended June 30,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Earnings per Share - Diluted for the six months ended June 30, 2025 was $0.62, representing a decrease of $0.16, or 20.5%, compared to $0.78 for the six months ended June 30,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both basic and diluted EPS largely reflects the decrease in net income discussed above, offset by a reduced share count as a result of the stock repurchases.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Adjusted Net Income and Adjusted Earnings per Share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Net Income (previously defined and used as described above) for the six months ended June 30, 2025 was $26.2 million, representing a decrease of $6.6 million, or 20.1%, from Adjusted Net Income of $32.8 million for the six months ended June 30, 2024. The decrease in Adjusted Net Income was primarily due to the decrease in Net Income as discussed above, slightly offset by the higher net effect of the adjusting items detailed in the table below.</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Net Income, our closest GAAP measure, to Adjusted Net Income:</w:t>
      </w:r>
    </w:p>
    <w:p>
      <w:pPr>
        <w:pStyle w:val="TextBody"/>
        <w:bidi w:val="0"/>
        <w:spacing w:before="0" w:after="0"/>
        <w:jc w:val="both"/>
        <w:rPr/>
      </w:pPr>
      <w:r>
        <w:rPr/>
      </w:r>
    </w:p>
    <w:tbl>
      <w:tblPr>
        <w:tblW w:w="6832" w:type="dxa"/>
        <w:jc w:val="left"/>
        <w:tblInd w:w="0" w:type="dxa"/>
        <w:tblLayout w:type="fixed"/>
        <w:tblCellMar>
          <w:top w:w="28" w:type="dxa"/>
          <w:left w:w="28" w:type="dxa"/>
          <w:bottom w:w="28" w:type="dxa"/>
          <w:right w:w="28" w:type="dxa"/>
        </w:tblCellMar>
      </w:tblPr>
      <w:tblGrid>
        <w:gridCol w:w="1476"/>
        <w:gridCol w:w="1298"/>
        <w:gridCol w:w="1306"/>
        <w:gridCol w:w="240"/>
        <w:gridCol w:w="841"/>
        <w:gridCol w:w="109"/>
        <w:gridCol w:w="109"/>
        <w:gridCol w:w="109"/>
        <w:gridCol w:w="109"/>
        <w:gridCol w:w="240"/>
        <w:gridCol w:w="841"/>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for per share data)</w:t>
            </w:r>
          </w:p>
        </w:tc>
        <w:tc>
          <w:tcPr>
            <w:tcW w:w="1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18,776</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26,139</w:t>
            </w:r>
            <w:r>
              <w:rPr>
                <w:color w:val="000000"/>
              </w:rPr>
              <w:t>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(a)</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(b)</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contingency settlement (d)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and expenses (e)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(f)</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related to adjustments (g)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4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26,177</w:t>
            </w: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32,772</w:t>
            </w:r>
            <w:r>
              <w:rPr>
                <w:color w:val="000000"/>
              </w:rPr>
              <w:t>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30,213,762 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33,187,196 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30,370,069 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33,639,811 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both"/>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(a)Represents share-based compensation relating to equity awards granted primarily to employees and independent directors of the Company.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(b)Represents primarily severance, write-off of assets and, legal and professional fees related to the execution of restructuring plans.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(c)Represents primarily financial advisory, professional and legal fees related to evaluation of strategic alternatives and business acquisition transactions.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(d)Represents a gain contingency related to a legal settlement.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(e)Represents primarily loss on disposal of fixed assets.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(f)Represents the amortization of certain intangible assets that resulted from business and asset acquisition transactions.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(g)Represents the current and deferred tax impact of the taxable adjustments to Net Income using the Company’s blended federal and state tax rate for each period. Relevant tax-deductible adjustments include all adjustments to Net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Earnings per Share - Basic and Diluted (previously defined and used as described above) are as follows:</w:t>
      </w:r>
    </w:p>
    <w:p>
      <w:pPr>
        <w:pStyle w:val="TextBody"/>
        <w:bidi w:val="0"/>
        <w:spacing w:before="0" w:after="6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Adjusted Earnings per Share - Basic for the six months ended June 30, 2025 was $0.87, representing a decrease of $0.12, or 12.1%, compared to $0.99 for the six months ended June 30, 2024. The decrease in Adjusted Earnings per Share - Basic was primarily due to the decrease in Net Income, partially offset by the effect of a lower weighted average common shares total for the period due to stock repurchases as well as the higher net effect of the adjusting items detailed in the table above.</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Earnings per Share - Diluted for the six months ended June 30, 2025 was $0.86, representing a decrease of $0.11, or 11.3%, compared to $0.97 for the six months ended June 30, 2024. The decrease in Adjusted Earnings per Share - Diluted was primarily due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decrease in Net Income, partially offset by the effect of a lower weighted average common shares total for the period due to stock repurchases as well as the higher net effect of the adjusting items detailed in the table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Earnings per Share, our closest GAAP measure, to Adjusted Earnings per Share:</w:t>
      </w:r>
    </w:p>
    <w:p>
      <w:pPr>
        <w:pStyle w:val="TextBody"/>
        <w:bidi w:val="0"/>
        <w:spacing w:before="0" w:after="0"/>
        <w:jc w:val="both"/>
        <w:rPr/>
      </w:pPr>
      <w:r>
        <w:rPr/>
      </w:r>
    </w:p>
    <w:tbl>
      <w:tblPr>
        <w:tblW w:w="7874" w:type="dxa"/>
        <w:jc w:val="left"/>
        <w:tblInd w:w="0" w:type="dxa"/>
        <w:tblLayout w:type="fixed"/>
        <w:tblCellMar>
          <w:top w:w="28" w:type="dxa"/>
          <w:left w:w="28" w:type="dxa"/>
          <w:bottom w:w="28" w:type="dxa"/>
          <w:right w:w="28" w:type="dxa"/>
        </w:tblCellMar>
      </w:tblPr>
      <w:tblGrid>
        <w:gridCol w:w="1252"/>
        <w:gridCol w:w="1103"/>
        <w:gridCol w:w="1109"/>
        <w:gridCol w:w="211"/>
        <w:gridCol w:w="526"/>
        <w:gridCol w:w="109"/>
        <w:gridCol w:w="109"/>
        <w:gridCol w:w="109"/>
        <w:gridCol w:w="109"/>
        <w:gridCol w:w="211"/>
        <w:gridCol w:w="526"/>
        <w:gridCol w:w="109"/>
        <w:gridCol w:w="109"/>
        <w:gridCol w:w="109"/>
        <w:gridCol w:w="109"/>
        <w:gridCol w:w="211"/>
        <w:gridCol w:w="526"/>
        <w:gridCol w:w="109"/>
        <w:gridCol w:w="109"/>
        <w:gridCol w:w="109"/>
        <w:gridCol w:w="109"/>
        <w:gridCol w:w="211"/>
        <w:gridCol w:w="526"/>
        <w:gridCol w:w="154"/>
      </w:tblGrid>
      <w:tr>
        <w:trPr/>
        <w:tc>
          <w:tcPr>
            <w:tcW w:w="125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Basic</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Basic</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Diluted</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for:</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contingency settlement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and expenses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related to adjustments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per Share</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0.87</w:t>
            </w:r>
            <w:r>
              <w:rPr>
                <w:color w:val="000000"/>
              </w:rPr>
              <w:t>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0.86</w:t>
            </w:r>
            <w:r>
              <w:rPr>
                <w:color w:val="000000"/>
              </w:rPr>
              <w:t>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0.99</w:t>
            </w:r>
            <w:r>
              <w:rPr>
                <w:color w:val="000000"/>
              </w:rPr>
              <w:t>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0.97</w:t>
            </w:r>
            <w:r>
              <w:rPr>
                <w:color w:val="000000"/>
              </w:rPr>
              <w:t>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NM - Per share amounts are not meaningful.</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above may contain slight summation differences due to rounding.</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Adjusted EBITDA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(previously defined and used as described above) for the six months ended June 30, 2025 was $50.4 million, representing a decrease of $6.1 million, or 10.8%, from $56.5 million for the six months ended June 30, 2024. The decrease in Adjusted EBITDA was primarily due to the decrease in Net Income as discussed above, partially offset by the higher net effect of the adjusting items detailed in the table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Net Income, our closest GAAP measure, to Adjusted EBITDA:</w:t>
      </w:r>
    </w:p>
    <w:p>
      <w:pPr>
        <w:pStyle w:val="TextBody"/>
        <w:bidi w:val="0"/>
        <w:spacing w:before="0" w:after="0"/>
        <w:jc w:val="both"/>
        <w:rPr/>
      </w:pPr>
      <w:r>
        <w:rPr/>
      </w:r>
    </w:p>
    <w:tbl>
      <w:tblPr>
        <w:tblW w:w="5258" w:type="dxa"/>
        <w:jc w:val="left"/>
        <w:tblInd w:w="0" w:type="dxa"/>
        <w:tblLayout w:type="fixed"/>
        <w:tblCellMar>
          <w:top w:w="28" w:type="dxa"/>
          <w:left w:w="28" w:type="dxa"/>
          <w:bottom w:w="28" w:type="dxa"/>
          <w:right w:w="28" w:type="dxa"/>
        </w:tblCellMar>
      </w:tblPr>
      <w:tblGrid>
        <w:gridCol w:w="1015"/>
        <w:gridCol w:w="894"/>
        <w:gridCol w:w="895"/>
        <w:gridCol w:w="211"/>
        <w:gridCol w:w="721"/>
        <w:gridCol w:w="109"/>
        <w:gridCol w:w="109"/>
        <w:gridCol w:w="109"/>
        <w:gridCol w:w="109"/>
        <w:gridCol w:w="211"/>
        <w:gridCol w:w="72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contingency settlement (d)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and expenses (e)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(a)Represents share-based compensation relating to equity awards granted primarily to employees and independent directors of the Company.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(b)Represents primarily severance, write-off of assets and legal and professional fees related to the execution of restructuring plans.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(c)Represents primarily financial advisory, professional and legal fees related to evaluation of strategic alternatives and business acquisition transactions.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(d)Represents a gain contingency related to a legal settlement.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(e)Represents primarily loss on disposal of fixed assets.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consider liquidity in terms of our cash and cash equivalents position, cash flows from operations and their sufficiency to fund business operations, including working capital needs, debt service, acquisitions, capital expenditures, contractual obligations and other commitments. In particular, to meet our payment service obligations at all times, we must have sufficient highly liquid assets and be able to move funds on a timely basis.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principal sources of liquidity are our cash generated by operating activities supplemented with borrowings under our revolving credit facility. Our primary cash needs are for day-to-day operations, to pay interest and principal on our indebtedness, to fund working capital requirements, and to make capital expenditures and repurchases of our common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funded and still expect to continue funding our liquidity requirements through internally generated funds, supplemented in the ordinary course, with borrowings under our revolving credit facility. We maintain a strong cash and cash equivalents balance position and have access to committed funding sources, which we have used only on an ordinary course basis during the six months ended June 30, 2025. Therefore, we believe that our current cash and cash equivalents position, as well as projected cash flows generated from operations, together with borrowings under our revolving credit facility are sufficient to fund our principal and interest payments, lease expenses, our working capital needs, our business acquisitions, our expected capital expenditures and projected common stock repurchases in the short and long terms.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and certain of its subsidiaries are party to a Second Amended and Restated Credit Agreement (the “Second A&amp;R Credit Agreement”) with a group of banking institutions, which amended and restated in its entirety the A&amp;R Credit Agreement. The Second A&amp;R Credit Agreement provides for a new $425.0 million, multi-currency, revolving credit facility and an uncommitted incremental facility, which may be utilized for additional term and revolving loans of up to $100.0 million. The Second A&amp;R Credit Agreement also provides for the issuance of letters of credit, which would reduce availability under the revolving credit facility. The maturity date of the Second A&amp;R Credit Agreement is August 29, 2029. Borrowings under the Second A&amp;R Credit Agreement are available for general corporate purposes to support the Company’s growth, as well as to fund share repurchases.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there were $144.1 million of outstanding amounts drawn on the revolving credit facility. There were $380.9 million of additional borrowings available under this facility as of June 30,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Second A&amp;R Credit Agreement and at the election of the Company, interest on the revolving loans denominated in U.S. Dollars is determined by reference to either (i) the secured overnight financing rate (“SOFR”), (ii) the daily simple SOFR or (iii) a defined “base rate,” in each case, plus an applicable margin ranging from 1.75% to 2.25% for SOFR rate loans and from 0.75% to 1.25% for base rate loans based upon the Company’s consolidated leverage ratio, as so calculated pursuant to the terms of the Second A&amp;R Credit Agreement. Interest on revolving loans denominated in Euros or Pounds Sterling is determined by reference to the Euro Interbank Offered Rate (“EURIBOR”) or Sterling Overnight Index Average (“SONIA”), in each case, plus an applicable margin ranging from 1.75% to 2.25% based upon the Company’s consolidated leverage ratio, as so calculated.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revolving loans may be borrowed, repaid, and reborrowed from time to time in accordance with the terms and conditions of the Second A&amp;R Credit Agreement. Interest is payable quarterly for base rate loans, daily simple SOFR loans, and daily simple SONIA loans, and on the expiration of the applicable interest period for term SOFR loans and EURIBOR loans. The Company also pays an annual commitment fee of up to 0.30% of the actual daily amount by which the maximum availability under the revolving credit facility exceeds the sum of the outstanding amount of revolving credit loans.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interest rate for the six months ended June 30, 2025 for the revolving credit facility was 2.74%.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Second A&amp;R Credit Agreement also provides the Company with increased flexibility to make certain restricted payments, including the repurchase of its common stock, without limitation so long as the Company’s consolidated leverage ratio, as of the then most recently completed four fiscal quarters, after giving pro forma effect to such restricted payments, is 2.50 to 1.00 or less. In addition, the Company may make restricted payments that do not exceed in the aggregate during any fiscal year the greater of (i) $30.3 million and (ii) 25% of Consolidated EBITDA (as defined in the Second A&amp;R Credit Agreement) for the then most recently completed four fiscal quarters of the Company.</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Second A&amp;R Credit Agreement also contains customary covenants that limit the ability of the Company and its subsidiaries to, among other things, grant liens, incur additional indebtedness, make acquisitions or investments, dispose of certain assets, issue dividends and distributions (other than to the Company and certain of its subsidiaries), change the nature of their businesses, enter into certain transactions with affiliates, or amend the terms of material indebtedness, in each case subject to certain thresholds and exceptions.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Second A&amp;R Credit Agreement, the Company is required to maintain a quarterly minimum interest coverage ratio of 3.00:1.00 and a quarterly maximum consolidated leverage ratio of 3.50 with a step-up to 3.75 in the quarter during which the Company completes a material acquisition, in each case, as computed in accordance with the terms of the Second A&amp;R Credit Agreement.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we were in compliance with the covenants of the Second A&amp;R Credit Agreement that require the Company to maintain a quarterly minimum interest coverage ratio of 3.00:1.00 and a quarterly maximum consolidated leverage ratio of 3.50:1.00.</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Our indebtedness could adversely affect our ability to raise additional capital, limit our ability to react to changes in the economy or our industry, expose us to interest rate risk and prevent us from meeting our obligations. See “</w:t>
      </w:r>
      <w:r>
        <w:rPr>
          <w:rFonts w:ascii="Times New Roman;serif" w:hAnsi="Times New Roman;serif"/>
          <w:b w:val="false"/>
          <w:i/>
          <w:color w:val="000000"/>
          <w:sz w:val="20"/>
        </w:rPr>
        <w:t>Risk Factors—Risks Relating to Our Indebtedness”</w:t>
      </w:r>
      <w:r>
        <w:rPr>
          <w:color w:val="000000"/>
        </w:rPr>
        <w:t xml:space="preserve"> </w:t>
      </w:r>
      <w:r>
        <w:rPr>
          <w:rFonts w:ascii="Times New Roman;serif" w:hAnsi="Times New Roman;serif"/>
          <w:b w:val="false"/>
          <w:color w:val="000000"/>
          <w:sz w:val="20"/>
        </w:rPr>
        <w:t>included in our Annual Report on Form 10-K for the year ended December 31,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Repurchase Program</w:t>
      </w:r>
    </w:p>
    <w:p>
      <w:pPr>
        <w:pStyle w:val="TextBody"/>
        <w:bidi w:val="0"/>
        <w:spacing w:before="0" w:after="0"/>
        <w:ind w:left="0" w:right="0" w:firstLine="72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18, 2021, the Company’s Board of Directors approved a stock repurchase program (the “Repurchase Program”) that authorizes the Company to purchase up to $40.0 million of its outstanding shares of the Company’s common stock. On March 3, 2023, the Board of Directors approved an increase to the Repurchase Program that authorizes the Company to purchase an additional $100.0 million of its outstanding shares. On August 26, 2024, the Board of Directors approved a second increase to the Repurchase Program that authorizes the Company to purchase an additional $63.8 million of its outstanding shares.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Second A&amp;R Credit Agreement permits the Company to make restricted payments (including share repurchases, among others) under a variety of tests as described above, including, without limitation, so long as the Consolidated Leverage Ratio (as defined in the Second A&amp;R Credit Agreement), as of the then most recently completed four fiscal quarters of the Company, after giving pro forma effect to such restricted payments, is 2.50:1.00 or less.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accounts for purchases of treasury stock under the cost method. Any direct costs incurred to acquire treasury stock are considered stock issue costs and added to the cost of the treasury stock. During the six months ended June 30, 2025, including the shares purchased in the privately-negotiated transaction described below, the Company purchased 1,348,214 shares for an aggregate purchase price of $16.3 million. During the six months ended June 30, 2024, the Company purchased 1,646,127 shares for an aggregate purchase price of $34.6 million. As of June 30, 2025, there was $48.3 million available for future share repurchases under the Repurchase Program.</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Privately-Negotiated Share Repurchase Transaction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12, 2025, the Company entered into an agreement with Latin-American Investment Holdings Inc., a related party, for the purchase of 100,000 shares of the Company’s common stock for a total purchase price of $1.3 million, or a per share price of $13.30 (reflecting a discount of 2.6% from the last reported sale price as reported on the Nasdaq Stock Market of the Company’s Common Stock on March 10, 2025), in a privately-negotiated transaction.</w:t>
      </w:r>
    </w:p>
    <w:p>
      <w:pPr>
        <w:pStyle w:val="TextBody"/>
        <w:bidi w:val="0"/>
        <w:spacing w:before="0" w:after="0"/>
        <w:ind w:left="0" w:right="0" w:firstLine="720"/>
        <w:jc w:val="both"/>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Operating Leases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party to operating leases for office space, warehouses and Company-operated store locations and vehicles, which we use as part of our day-to-day operations. Operating lease expenses were $1.7 million and $3.5 million for the three and six months ended June 30, 2025, respectively, which we expect to be consistent throughout the year. We have not entered into finance lease commitments. For additional information on operating lease obligations, refer to Note 7, Leases, to the Condensed Consolidated Financial Statements.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Merger Agreement</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Until the Merger closes, or the Merger Agreement is terminated, our liquidity requirements will primarily be funded by our cash flow from operations, borrowings under our existing credit facility and certain other capital activities allowed under the Merger Agreement. In particular, we are subject to various restrictions under the Merger Agreement (except for under limited exceptions) on assuming additional debt, issuing additional equity or debt, repurchasing equity, making certain capital expenditures, and entering into certain acquisition, disposition and leasing transactions, among other restrictions, subject to the restrictions under the Merger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to our cash flows for the periods presented:</w:t>
      </w:r>
    </w:p>
    <w:p>
      <w:pPr>
        <w:pStyle w:val="TextBody"/>
        <w:bidi w:val="0"/>
        <w:spacing w:before="0" w:after="0"/>
        <w:jc w:val="both"/>
        <w:rPr/>
      </w:pPr>
      <w:r>
        <w:rPr/>
      </w:r>
    </w:p>
    <w:tbl>
      <w:tblPr>
        <w:tblW w:w="7749" w:type="dxa"/>
        <w:jc w:val="left"/>
        <w:tblInd w:w="0" w:type="dxa"/>
        <w:tblLayout w:type="fixed"/>
        <w:tblCellMar>
          <w:top w:w="28" w:type="dxa"/>
          <w:left w:w="28" w:type="dxa"/>
          <w:bottom w:w="28" w:type="dxa"/>
          <w:right w:w="28" w:type="dxa"/>
        </w:tblCellMar>
      </w:tblPr>
      <w:tblGrid>
        <w:gridCol w:w="1841"/>
        <w:gridCol w:w="1619"/>
        <w:gridCol w:w="1625"/>
        <w:gridCol w:w="211"/>
        <w:gridCol w:w="826"/>
        <w:gridCol w:w="109"/>
        <w:gridCol w:w="109"/>
        <w:gridCol w:w="109"/>
        <w:gridCol w:w="109"/>
        <w:gridCol w:w="211"/>
        <w:gridCol w:w="826"/>
        <w:gridCol w:w="154"/>
      </w:tblGrid>
      <w:tr>
        <w:trPr/>
        <w:tc>
          <w:tcPr>
            <w:tcW w:w="1841"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Statements of Cash Flows Data:</w:t>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44,220 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174,723 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233,209 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$81.2 million for the six months ended June 30, 2025, an increase of $52.5 million from net cash provided by operating activities of $28.7 million for the six months ended June 30, 2024. The increase is primarily a result of a $58.8 million change in working capital, which varies due to timing of remittances of consumer funds by sending agents and transmittal orders and payments, as well as prefunding of payers primarily for weekends. This was partially offset by a $7.3 million decrease in net income.</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$10.0 million for the six months ended June 30, 2025, representing a decrease of $10.2 million from net cash used in investing activities of $20.2 million for the six months ended June 30, 2024. This decrease in cash used was primarily due to the capitalization of leasehold improvements, furniture and equipment related to the Company's move to the new U.S. headquarters during the six months ended June 30, 2024 in an amount of $9.9 million, which did not recur during the six months ended June 30, 2025.</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$29.8 million for the six months ended June 30, 2025, which primarily consisted of $12.5 million of net repayments under the revolving credit facility, $16.3 million used for repurchases of common stock and $0.9 million of payments for stock-based awards for shares withheld for tax payments in connection with share-based compensation arrangements.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$14.1 million for the six months ended June 30, 2024, which primarily consisted of $26.0 million of net borrowings from the revolving credit facility, $3.3 million in scheduled quarterly payments due on the term loan facility, $34.6 million used for repurchases of common stock and $2.2 million of payments for stock-based awards for shares withheld for tax payments in connection with share-based compensation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accordance with accounting principles generally accepted in the United States requires management to make estimates and assumptions about future events that affect amounts reported in our condensed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 that are reasonably likely to occur, could materially impact the consolidated financial statements. Our Critical Accounting Policies and Estimates disclosed in “</w:t>
      </w:r>
      <w:r>
        <w:rPr>
          <w:rFonts w:ascii="Times New Roman;serif" w:hAnsi="Times New Roman;serif"/>
          <w:b w:val="false"/>
          <w:i/>
          <w:color w:val="000000"/>
          <w:sz w:val="20"/>
        </w:rPr>
        <w:t>Management’s Discussion and Analysis of Financial Condition and Results of Operations - Critical Accounting Estimates</w:t>
      </w:r>
      <w:r>
        <w:rPr>
          <w:color w:val="000000"/>
        </w:rPr>
        <w:t xml:space="preserve">” </w:t>
      </w:r>
      <w:r>
        <w:rPr>
          <w:rFonts w:ascii="Times New Roman;serif" w:hAnsi="Times New Roman;serif"/>
          <w:b w:val="false"/>
          <w:color w:val="000000"/>
          <w:sz w:val="20"/>
        </w:rPr>
        <w:t>in our Annual Report on Form 10-K for the year ended December 31, 2024, for which there were no material changes during the three and six months ended June 30, 2025, included the following:</w:t>
      </w:r>
    </w:p>
    <w:p>
      <w:pPr>
        <w:pStyle w:val="TextBody"/>
        <w:bidi w:val="0"/>
        <w:spacing w:before="0" w:after="0"/>
        <w:jc w:val="both"/>
        <w:rPr/>
      </w:pPr>
      <w:r>
        <w:rPr/>
      </w:r>
    </w:p>
    <w:p>
      <w:pPr>
        <w:pStyle w:val="TextBody"/>
        <w:bidi w:val="0"/>
        <w:spacing w:lineRule="auto" w:line="288" w:before="0" w:after="0"/>
        <w:jc w:val="left"/>
        <w:rPr/>
      </w:pPr>
      <w:r>
        <w:rPr>
          <w:color w:val="000000"/>
        </w:rPr>
        <w:t>•</w:t>
      </w:r>
      <w:r>
        <w:rPr>
          <w:rFonts w:ascii="Times New Roman;serif" w:hAnsi="Times New Roman;serif"/>
          <w:b w:val="false"/>
          <w:color w:val="000000"/>
          <w:sz w:val="20"/>
        </w:rPr>
        <w:t>Allowance for Credit Losses</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Goodwill and Intangible Assets</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Income Taxes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Refer to Note 1, </w:t>
      </w:r>
      <w:r>
        <w:rPr>
          <w:rFonts w:ascii="Times New Roman;serif" w:hAnsi="Times New Roman;serif"/>
          <w:b w:val="false"/>
          <w:i/>
          <w:color w:val="000000"/>
          <w:sz w:val="20"/>
        </w:rPr>
        <w:t>Business and Accounting Policies</w:t>
      </w:r>
      <w:r>
        <w:rPr>
          <w:rFonts w:ascii="Times New Roman;serif" w:hAnsi="Times New Roman;serif"/>
          <w:b w:val="false"/>
          <w:color w:val="000000"/>
          <w:sz w:val="20"/>
        </w:rPr>
        <w:t>, of the Condensed Consolidated Financial Statements for information on recent accounting pronouncements.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manage foreign currency risk through the structure of the business and an active risk management process. One of the methods to settle with our payers in Latin America is entering into foreign exchange tom and spot transactions with local and foreign currency providers (“counterparties”). The foreign currency exposure on our foreign exchange tom and spot transactions is limited by the fact that all transactions are settled within two business days from trade date. Foreign currency fluctuations, however, may negatively affect our average exchange gain per transaction. The Company had open tom and spot foreign exchange contracts for Mexican pesos and Guatemalan quetzales amounting to approximately $58.6 million and $12.7 million at June 30, 2025 and December 31, 2024,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included in wire transfers and money orders payable, net in our condensed consolidated balance sheets as of June 30, 2025 and December 31, 2024, there are $59.2 million and $23.0 million, respectively, of wires payable denominated in foreign currencies, primarily Mexican pesos and Guatemalan quetzales.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Also, included in prepaid wires, net in our condensed consolidated balance sheets as of June 30, 2025 and December 31, 2024, there are $10.9 million and $29.8 million, respectively, of prepaid wires denominated in foreign currencies, primarily Mexican pesos and Guatemalan quetzales.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our foreign subsidiaries. Revenues from our foreign subsidiaries represents approximately 3% of our consolidated revenues for the six months ended June 30, 2025. Therefore, a 10% increase or decrease in these currency rates against the U.S. Dollar would result in a de minimis change to our overall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spot and average exchange rates for the currencies in which we operate to U.S. dollar are as follows:</w:t>
      </w:r>
    </w:p>
    <w:p>
      <w:pPr>
        <w:pStyle w:val="TextBody"/>
        <w:bidi w:val="0"/>
        <w:spacing w:before="0" w:after="0"/>
        <w:ind w:left="0" w:right="0" w:firstLine="360"/>
        <w:jc w:val="left"/>
        <w:rPr/>
      </w:pPr>
      <w:r>
        <w:rPr/>
      </w:r>
    </w:p>
    <w:tbl>
      <w:tblPr>
        <w:tblW w:w="7693" w:type="dxa"/>
        <w:jc w:val="left"/>
        <w:tblInd w:w="0" w:type="dxa"/>
        <w:tblLayout w:type="fixed"/>
        <w:tblCellMar>
          <w:top w:w="28" w:type="dxa"/>
          <w:left w:w="28" w:type="dxa"/>
          <w:bottom w:w="28" w:type="dxa"/>
          <w:right w:w="28" w:type="dxa"/>
        </w:tblCellMar>
      </w:tblPr>
      <w:tblGrid>
        <w:gridCol w:w="1089"/>
        <w:gridCol w:w="960"/>
        <w:gridCol w:w="965"/>
        <w:gridCol w:w="308"/>
        <w:gridCol w:w="308"/>
        <w:gridCol w:w="216"/>
        <w:gridCol w:w="109"/>
        <w:gridCol w:w="109"/>
        <w:gridCol w:w="109"/>
        <w:gridCol w:w="329"/>
        <w:gridCol w:w="329"/>
        <w:gridCol w:w="331"/>
        <w:gridCol w:w="109"/>
        <w:gridCol w:w="109"/>
        <w:gridCol w:w="109"/>
        <w:gridCol w:w="308"/>
        <w:gridCol w:w="308"/>
        <w:gridCol w:w="216"/>
        <w:gridCol w:w="109"/>
        <w:gridCol w:w="109"/>
        <w:gridCol w:w="109"/>
        <w:gridCol w:w="308"/>
        <w:gridCol w:w="308"/>
        <w:gridCol w:w="429"/>
      </w:tblGrid>
      <w:tr>
        <w:trPr/>
        <w:tc>
          <w:tcPr>
            <w:tcW w:w="108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Spot</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Average</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Spot</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Average</w:t>
            </w:r>
            <w:r>
              <w:rPr>
                <w:rFonts w:ascii="Times New Roman;serif" w:hAnsi="Times New Roman;serif"/>
                <w:b/>
                <w:color w:val="000000"/>
                <w:sz w:val="13"/>
              </w:rPr>
              <w:t>(2)</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dollar/Mexican Peso</w:t>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3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4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dollar/Guatemalan Quetzal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dollar/Canadian Dollar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dollar/Dominican Peso</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dollar/Euro</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dollar/British Pound Sterling</w:t>
            </w:r>
            <w:r>
              <w:rPr>
                <w:rFonts w:ascii="Times New Roman;serif" w:hAnsi="Times New Roman;serif"/>
                <w:b w:val="false"/>
                <w:color w:val="000000"/>
                <w:sz w:val="13"/>
              </w:rPr>
              <w:t>(3)</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Spot exchange rates are as of June 30, 2025 and December 31, 2024.</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Average exchange rates are for the six months ended June 30, 2025 and 2024.</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We commenced operations in the United Kingdom in connection with an acquisition of a money service entity in July 2024 and, therefore, no information is provided for the six months ended June 30,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Long-term sustained appreciation of the Mexican peso or Guatemalan quetzal as compared to the U.S. dollar could affect our revenues and profit margins.</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discussed above, interest under the Second A&amp;R Credit Agreement is variable based on certain benchmark rates, including SOFR, EURIBOR and SONIA. Because interest expense is subject to fluctuation, if interest rates increase, our debt service obligations on such variable rate indebtedness would increase even though the amount borrowed may remain the same. Accordingly, an increase in interest rates would adversely affect our profitability.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During the six months ended June 30, 2025, the Federal Reserve maintained the fed funds rate at 4.50% as it continues monitoring any potential impact on the U.S. economy of recent trade actions and other measures implemented by the United States and other countries. Although the Federal Reserve has lowered short-term interest rates since September 2024, interest rates, particularly long-term rates, remain elevated and the timing, direction and extent of any future interest rate changes remain uncertain</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As of June 30, 2025, we had $144.1 million in outstanding borrowings under the revolving credit facility. A hypothetical 1% increase or decrease in the interest rate on our indebtedness as of June 30, 2025 would have increased or decreased cash interest expense on our revolving credit facility by approximately $1.4 million per annum,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certain cash balances in various U.S. banks, which at times, may exceed federally insured limits. We have not incurred any losses on these accounts. In addition, we maintain cash in various bank accounts in Mexico, Guatemala, Canada, the Dominican Republic, Spain, the United Kingdom, Germany and Italy and short-term investment accounts in Mexico, which may not be fully insured. During the six months ended June 30, 2025, we did not incur any losses on these uninsured accounts. To manage our exposure to credit risk with respect to cash balances and other credit risk exposure resulting from our relationships with banks and financial institutions, we regularly review cash concentrations, and we attempt to diversify our cash balances among global financial institutions.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exposed to credit risk related to receivable balances from sending agents, digital partners and other parties. We perform a credit review before each agent signing and conduct ongoing analyses of sending agents and certain other parties we transact with directly. As of June 30, 2025, we also had $4.4 million outstanding of agent advances receivable from sending agents. Most of the agent advances receivable are collateralized by personal guarantees from the sending agents and by assets from their businesses.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provision for credit losses was approximately $3.9 million for the six months ended June 30, 2025 (1.3% of total revenues) and $3.4 million for the six months ended June 30, 2024 (1.1% of total revenues). The increase in our provision for credit losses in the six months ended June 30, 2025 is primarily due to higher outstanding balances of accounts receivable primarily related to higher principal amount sent processed by our sending agents.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President, and Chief Financial Officer, as appropriate, to allow timely decisions regarding required disclosure.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required by Rules 13a-15(b) and 15d-15(b) under the Exchange Act, our Chief Executive Officer and President, and Chief Financial Officer, carried out an evaluation of the effectiveness of our disclosure controls and procedures as of June 30, 2025.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Chief Financial Officer, as appropriate, to allow timely decisions regarding required disclosure as of June 30, 2025.</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Reference is made to Note 17 – Commitments and Contingencies in the Unaudited Condensed Consolidated Financial Statements of the Company contained elsewhere in this Quarterly Report on Form 10–Q for information regarding certain legal proceedings to which we are a party, which information is incorporated by reference herein.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Except as set forth below, there have been no material changes to our principal risks that we believe are material to our business, results of operations and financial condition, from the risk factors previously disclosed in the Annual Report on Form 10-K for the year ended December 31, 2024 (the “2024 Form 10-K”). Prospective investors are encouraged to consider the risks described in our 2024 Form 10-K, our Management’s Discussion and Analysis of Financial Condition and Results of Operations contained in this Quarterly Report on Form 10-Q and in our 2024 Form 10-K, and other information publicly disclosed or contained in documents we file with the Securities and Exchange Commission before purchasing our securities.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The announcement and pendency of the proposed Merger may adversely affect our business,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announcement and pendency of the proposed Merger could cause disruptions to our business or business relationships and create uncertainty surrounding our business, which could have an adverse impact on our financial condition and results of operations, regardless of whether the Merger is completed, including as a result of the following (all of which could be exacerbated by a delay in completion of the Merger):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customers, agents or other parties with which we maintain business relationships may experience uncertainty prior to the closing of the Merger and seek alternative relationships with third parties or seek to terminate or renegotiate their relationships with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employees may experience uncertainty about their future roles with us, which might adversely affect our ability to attract, retain and motivate key personnel and other employees;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restrictions imposed on our business and operations pursuant to certain covenants set forth in the Merger Agreement, which may prevent us from pursuing certain opportunities;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incurrence of significant costs, expenses, and fees for professional services and other transaction costs in connection with the Merger;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attention of our management may be directed to Merger-related considerations and may be diverted from the day-to-day operations of our business;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there may be litigation relating to the Merger, or injunctions or governmental orders initiated by a governmental entity restraining, enjoining or prohibiting the consummation of the Merger, and there may be costs related thereto.</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Failure to consummate the Merger within the expected time frame or at all could have a material adverse impact on our business,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proposed Merger will be consummated. The consummation of the proposed Merger is subject to various customary closing conditions, including: (i) approval of the stockholders of the Company, (ii) the absence of any judgment by any governmental authority of competent jurisdiction or any applicable law that enjoins, restrains or otherwise makes illegal, prevents or prohibits consummation of the Merger, (iii) the expiration or termination of the applicable waiting period under the Hart-Scott-Rodino Act, (iv) the receipt of applicable consents, approvals or other clearances required to be obtained under the Merger Agreement, including with respect to the Company’s or its subsidiaries’ money transmitter licenses, and (v) other customary closing conditions. There can be no assurance that these and other conditions to closing will be satisfied in a timely manner or at all. If the Merger is not completed, we may suffer consequences that could adversely affect our business, results of operations, and share price, including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could be required to pay a termination fee of $19,800,000 to Western Union under certain circumstances as described in the Merger Agreement;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there can be no assurance that a remedy will be available to us in the event of a breach of the Merger Agreement by Western Union or that we will wholly or partially recover for any damages incurred by us in connection with the Merger;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would have incurred and will incur significant costs in connection with the Merger that we would be unable to wholly or partially recover;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subject to legal proceedings related to the Merger;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failure of the Merger to be consummated may result in negative publicity and a negative impression of us among customers or in the investment community or business community generally;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disruptions to our business resulting from the announcement and pendency of the Merger, including any adverse changes in our relationships with our employees, customers, suppliers, and other business partners, may continue or intensify in the event the merger is not consummated;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not be able to take advantage of alternative business opportunities or effectively respond to competitive pressures;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experience a departure of management personnel and other employees.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We and our directors may be targets of securities class action and derivative lawsuits, which could result in substantial costs and may delay or prevent the Merger from being completed.</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Securities class action lawsuits and derivative lawsuits are often brought against public companies and their directors when companies enter into agreements for transactions similar to those contemplated by the Merger Agreement, and such lawsuits may be brought against us and our directors in connection with the Merger Agreement. Even if the lawsuits are without merit, these claims can result in substantial costs and divert management time and resources. Additionally, if a plaintiff is successful in obtaining an injunction prohibiting completion of the Merger, then that injunction may delay or prevent the Merger from being completed, which may adversely affect our business, financial position, and results of operations.</w:t>
      </w:r>
    </w:p>
    <w:p>
      <w:pPr>
        <w:pStyle w:val="TextBody"/>
        <w:bidi w:val="0"/>
        <w:spacing w:before="0" w:after="0"/>
        <w:ind w:left="0" w:right="0" w:firstLine="36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repurchases of our common stock during the quarter ended June 30, 2025:</w:t>
      </w:r>
    </w:p>
    <w:tbl>
      <w:tblPr>
        <w:tblW w:w="10205" w:type="dxa"/>
        <w:jc w:val="left"/>
        <w:tblInd w:w="0" w:type="dxa"/>
        <w:tblLayout w:type="fixed"/>
        <w:tblCellMar>
          <w:top w:w="28" w:type="dxa"/>
          <w:left w:w="28" w:type="dxa"/>
          <w:bottom w:w="28" w:type="dxa"/>
          <w:right w:w="28" w:type="dxa"/>
        </w:tblCellMar>
      </w:tblPr>
      <w:tblGrid>
        <w:gridCol w:w="386"/>
        <w:gridCol w:w="339"/>
        <w:gridCol w:w="343"/>
        <w:gridCol w:w="109"/>
        <w:gridCol w:w="109"/>
        <w:gridCol w:w="109"/>
        <w:gridCol w:w="486"/>
        <w:gridCol w:w="486"/>
        <w:gridCol w:w="488"/>
        <w:gridCol w:w="109"/>
        <w:gridCol w:w="109"/>
        <w:gridCol w:w="109"/>
        <w:gridCol w:w="297"/>
        <w:gridCol w:w="869"/>
        <w:gridCol w:w="153"/>
        <w:gridCol w:w="109"/>
        <w:gridCol w:w="109"/>
        <w:gridCol w:w="109"/>
        <w:gridCol w:w="761"/>
        <w:gridCol w:w="761"/>
        <w:gridCol w:w="763"/>
        <w:gridCol w:w="109"/>
        <w:gridCol w:w="109"/>
        <w:gridCol w:w="109"/>
        <w:gridCol w:w="402"/>
        <w:gridCol w:w="2062"/>
        <w:gridCol w:w="301"/>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Program</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Dollar Value of Shares that May Yet be Purchased under the Program</w:t>
            </w:r>
          </w:p>
        </w:tc>
      </w:tr>
      <w:tr>
        <w:trPr/>
        <w:tc>
          <w:tcPr>
            <w:tcW w:w="106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through April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5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55,510,523 </w:t>
            </w:r>
          </w:p>
        </w:tc>
        <w:tc>
          <w:tcPr>
            <w:tcW w:w="30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through May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51,596,312 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through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48,299,973 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(a)Includes (i) 725, (ii) 181 and (iii) 363 shares withheld for income tax purposes in April 2025, May 2025 and June 2025, respectively, in connection with shares issued under compensation and benefit programs.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(b)On August 18, 2021, the Company’s Board of Directors approved a stock repurchase program (the “Repurchase Program”) that authorizes the Company to purchase up to $40.0 million of outstanding shares of the Company’s common stock. The Repurchase Program does not have an expiration date. On March 3, 2023, the Board of Directors approved an increase to the Repurchase Program that authorizes the Company to purchase an additional $100.0 million of its outstanding shares. On August 26, 2024, the Board of Directors approved an increase to the Repurchase Program that authorizes the Company to purchase an additional $63.8 million of its outstanding shares. In consideration of the proposed Merger and pursuant to certain restrictive covenants under the Merger Agreement, the Company has suspended activity under the Repurchase Program and does not intend to make further repurchases under it during the pendency of the Merger Agreement.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During the quarter ended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no officer or director of the Company adopted or terminated any contract, instruction, or written plan for the purchase or sale of securities of the Company’s common stock that is intended to satisfy the affirmative defense conditions of Securities Exchange Act Rule 10b5-1(c) or any non-Rule 10b5-1 trading arrangement as defined in 17 CFR § 229.408(c).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43"/>
        <w:gridCol w:w="302"/>
        <w:gridCol w:w="303"/>
        <w:gridCol w:w="2699"/>
        <w:gridCol w:w="2699"/>
        <w:gridCol w:w="3859"/>
      </w:tblGrid>
      <w:tr>
        <w:trPr/>
        <w:tc>
          <w:tcPr>
            <w:tcW w:w="34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3859" w:type="dxa"/>
            <w:tcBorders/>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9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Document</w:t>
            </w:r>
          </w:p>
        </w:tc>
      </w:tr>
      <w:tr>
        <w:trPr/>
        <w:tc>
          <w:tcPr>
            <w:tcW w:w="948" w:type="dxa"/>
            <w:gridSpan w:val="3"/>
            <w:tcBorders/>
            <w:vAlign w:val="center"/>
          </w:tcPr>
          <w:p>
            <w:pPr>
              <w:pStyle w:val="TableContents"/>
              <w:bidi w:val="0"/>
              <w:spacing w:before="0" w:after="283"/>
              <w:jc w:val="left"/>
              <w:rPr>
                <w:sz w:val="4"/>
                <w:szCs w:val="4"/>
              </w:rPr>
            </w:pPr>
            <w:r>
              <w:rPr>
                <w:sz w:val="4"/>
                <w:szCs w:val="4"/>
              </w:rPr>
            </w:r>
          </w:p>
        </w:tc>
        <w:tc>
          <w:tcPr>
            <w:tcW w:w="9257" w:type="dxa"/>
            <w:gridSpan w:val="3"/>
            <w:tcBorders/>
            <w:vAlign w:val="center"/>
          </w:tcPr>
          <w:p>
            <w:pPr>
              <w:pStyle w:val="TableContents"/>
              <w:bidi w:val="0"/>
              <w:spacing w:before="0" w:after="283"/>
              <w:jc w:val="left"/>
              <w:rPr>
                <w:sz w:val="4"/>
                <w:szCs w:val="4"/>
              </w:rPr>
            </w:pPr>
            <w:r>
              <w:rPr>
                <w:sz w:val="4"/>
                <w:szCs w:val="4"/>
              </w:rPr>
            </w:r>
          </w:p>
        </w:tc>
      </w:tr>
      <w:tr>
        <w:trPr/>
        <w:tc>
          <w:tcPr>
            <w:tcW w:w="948" w:type="dxa"/>
            <w:gridSpan w:val="3"/>
            <w:tcBorders/>
            <w:vAlign w:val="center"/>
          </w:tcPr>
          <w:p>
            <w:pPr>
              <w:pStyle w:val="TableContents"/>
              <w:bidi w:val="0"/>
              <w:spacing w:before="0" w:after="283"/>
              <w:jc w:val="left"/>
              <w:rPr>
                <w:sz w:val="4"/>
                <w:szCs w:val="4"/>
              </w:rPr>
            </w:pPr>
            <w:r>
              <w:rPr>
                <w:sz w:val="4"/>
                <w:szCs w:val="4"/>
              </w:rPr>
            </w:r>
          </w:p>
        </w:tc>
        <w:tc>
          <w:tcPr>
            <w:tcW w:w="9257" w:type="dxa"/>
            <w:gridSpan w:val="3"/>
            <w:tcBorders/>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q22025.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9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the Sarbanes-Oxley Act - Chief Executive Officer</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q22025.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9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the Sarbanes-Oxley Act - Chief Financial Officer</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q22025.htm">
              <w:r>
                <w:rPr>
                  <w:rStyle w:val="InternetLink"/>
                  <w:rFonts w:ascii="Times New Roman;serif" w:hAnsi="Times New Roman;serif"/>
                  <w:b w:val="false"/>
                  <w:color w:val="0000FF"/>
                  <w:sz w:val="20"/>
                  <w:u w:val="single"/>
                </w:rPr>
                <w:t>32.1</w:t>
              </w:r>
            </w:hyperlink>
            <w:r>
              <w:rPr>
                <w:rFonts w:ascii="Times New Roman;serif" w:hAnsi="Times New Roman;serif"/>
                <w:b w:val="false"/>
                <w:color w:val="000000"/>
                <w:sz w:val="20"/>
              </w:rPr>
              <w:t>#</w:t>
            </w:r>
          </w:p>
        </w:tc>
        <w:tc>
          <w:tcPr>
            <w:tcW w:w="9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18 U.S.C. § 1350.</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2q22025.htm">
              <w:r>
                <w:rPr>
                  <w:rStyle w:val="InternetLink"/>
                  <w:rFonts w:ascii="Times New Roman;serif" w:hAnsi="Times New Roman;serif"/>
                  <w:b w:val="false"/>
                  <w:color w:val="0000FF"/>
                  <w:sz w:val="20"/>
                  <w:u w:val="single"/>
                </w:rPr>
                <w:t>32.2</w:t>
              </w:r>
            </w:hyperlink>
            <w:r>
              <w:rPr>
                <w:rFonts w:ascii="Times New Roman;serif" w:hAnsi="Times New Roman;serif"/>
                <w:b w:val="false"/>
                <w:color w:val="000000"/>
                <w:sz w:val="20"/>
              </w:rPr>
              <w:t>#</w:t>
            </w:r>
          </w:p>
        </w:tc>
        <w:tc>
          <w:tcPr>
            <w:tcW w:w="9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18 U.S.C. § 1350.</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5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Quarterly Report on Form 10-Q for the quarter ended June 30, 2025, formatted in Inline XBRL (included with the Exhibit 101 attachments).</w:t>
            </w:r>
          </w:p>
        </w:tc>
      </w:tr>
    </w:tbl>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Previously filed.</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0" w:after="24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be4e2b7e986647bebd101c553674214d_7">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179" w:type="dxa"/>
        <w:jc w:val="left"/>
        <w:tblInd w:w="0" w:type="dxa"/>
        <w:tblLayout w:type="fixed"/>
        <w:tblCellMar>
          <w:top w:w="28" w:type="dxa"/>
          <w:left w:w="28" w:type="dxa"/>
          <w:bottom w:w="28" w:type="dxa"/>
          <w:right w:w="28" w:type="dxa"/>
        </w:tblCellMar>
      </w:tblPr>
      <w:tblGrid>
        <w:gridCol w:w="705"/>
        <w:gridCol w:w="621"/>
        <w:gridCol w:w="624"/>
        <w:gridCol w:w="633"/>
        <w:gridCol w:w="633"/>
        <w:gridCol w:w="633"/>
        <w:gridCol w:w="967"/>
        <w:gridCol w:w="967"/>
        <w:gridCol w:w="139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 Money Express, Inc. (Registrant)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c>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Lisy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Robert Lisy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 and President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c>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Andras Bende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Andras Bende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before="0" w:after="24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943"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700" w:before="0" w:after="240"/>
        <w:jc w:val="center"/>
        <w:rPr>
          <w:rFonts w:ascii="Times New Roman;serif" w:hAnsi="Times New Roman;serif"/>
          <w:b/>
          <w:color w:val="000000"/>
          <w:sz w:val="20"/>
        </w:rPr>
      </w:pPr>
      <w:r>
        <w:rPr>
          <w:rFonts w:ascii="Times New Roman;serif" w:hAnsi="Times New Roman;serif"/>
          <w:b/>
          <w:color w:val="000000"/>
          <w:sz w:val="20"/>
        </w:rPr>
        <w:t>CERTIFICATION OF THE CHIEF EXECUTIVE OFFICER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 Robert Lisy, certify that: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International Money Express, Inc.;</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789" w:type="dxa"/>
        <w:jc w:val="left"/>
        <w:tblInd w:w="0" w:type="dxa"/>
        <w:tblLayout w:type="fixed"/>
        <w:tblCellMar>
          <w:top w:w="28" w:type="dxa"/>
          <w:left w:w="28" w:type="dxa"/>
          <w:bottom w:w="28" w:type="dxa"/>
          <w:right w:w="28" w:type="dxa"/>
        </w:tblCellMar>
      </w:tblPr>
      <w:tblGrid>
        <w:gridCol w:w="705"/>
        <w:gridCol w:w="621"/>
        <w:gridCol w:w="624"/>
        <w:gridCol w:w="208"/>
        <w:gridCol w:w="208"/>
        <w:gridCol w:w="213"/>
        <w:gridCol w:w="935"/>
        <w:gridCol w:w="935"/>
        <w:gridCol w:w="134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Lisy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Lisy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1094"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604" w:before="0" w:after="180"/>
        <w:jc w:val="center"/>
        <w:rPr>
          <w:rFonts w:ascii="Times New Roman;serif" w:hAnsi="Times New Roman;serif"/>
          <w:b/>
          <w:color w:val="000000"/>
          <w:sz w:val="20"/>
        </w:rPr>
      </w:pPr>
      <w:r>
        <w:rPr>
          <w:rFonts w:ascii="Times New Roman;serif" w:hAnsi="Times New Roman;serif"/>
          <w:b/>
          <w:color w:val="000000"/>
          <w:sz w:val="20"/>
        </w:rPr>
        <w:t>CERTIFICATION OF THE CHIEF FINANCIAL OFFICER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 Andras Bende, certify that: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International Money Express, Inc.;</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994" w:type="dxa"/>
        <w:jc w:val="left"/>
        <w:tblInd w:w="0" w:type="dxa"/>
        <w:tblLayout w:type="fixed"/>
        <w:tblCellMar>
          <w:top w:w="28" w:type="dxa"/>
          <w:left w:w="28" w:type="dxa"/>
          <w:bottom w:w="28" w:type="dxa"/>
          <w:right w:w="28" w:type="dxa"/>
        </w:tblCellMar>
      </w:tblPr>
      <w:tblGrid>
        <w:gridCol w:w="705"/>
        <w:gridCol w:w="621"/>
        <w:gridCol w:w="624"/>
        <w:gridCol w:w="208"/>
        <w:gridCol w:w="208"/>
        <w:gridCol w:w="213"/>
        <w:gridCol w:w="707"/>
        <w:gridCol w:w="707"/>
        <w:gridCol w:w="100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Andras Bende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Andras Bende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8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1094"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556" w:before="0" w:after="240"/>
        <w:jc w:val="both"/>
        <w:rPr>
          <w:rFonts w:ascii="Times New Roman;serif" w:hAnsi="Times New Roman;serif"/>
          <w:b w:val="false"/>
          <w:color w:val="000000"/>
          <w:sz w:val="20"/>
        </w:rPr>
      </w:pPr>
      <w:r>
        <w:rPr>
          <w:rFonts w:ascii="Times New Roman;serif" w:hAnsi="Times New Roman;serif"/>
          <w:b w:val="false"/>
          <w:color w:val="000000"/>
          <w:sz w:val="20"/>
        </w:rPr>
        <w:t>I, Robert Lisy, Chief Executive Officer and President of International Money Express, Inc. (the “Company”), certify, pursuant to 18 U.S.C. Section 1350, that, to my knowledge:</w:t>
      </w:r>
    </w:p>
    <w:p>
      <w:pPr>
        <w:pStyle w:val="TextBody"/>
        <w:bidi w:val="0"/>
        <w:spacing w:lineRule="auto" w:line="556"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quarterly period ended June 30, 2025 (the “Report”) fully complies with the requirements of Section 13(a) or 15(d) of the Securities Exchange Act of 1934, as amended; and</w:t>
      </w:r>
    </w:p>
    <w:p>
      <w:pPr>
        <w:pStyle w:val="TextBody"/>
        <w:bidi w:val="0"/>
        <w:spacing w:lineRule="auto" w:line="556"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731" w:type="dxa"/>
        <w:jc w:val="left"/>
        <w:tblInd w:w="0" w:type="dxa"/>
        <w:tblLayout w:type="fixed"/>
        <w:tblCellMar>
          <w:top w:w="28" w:type="dxa"/>
          <w:left w:w="28" w:type="dxa"/>
          <w:bottom w:w="28" w:type="dxa"/>
          <w:right w:w="28" w:type="dxa"/>
        </w:tblCellMar>
      </w:tblPr>
      <w:tblGrid>
        <w:gridCol w:w="705"/>
        <w:gridCol w:w="621"/>
        <w:gridCol w:w="624"/>
        <w:gridCol w:w="189"/>
        <w:gridCol w:w="189"/>
        <w:gridCol w:w="193"/>
        <w:gridCol w:w="935"/>
        <w:gridCol w:w="935"/>
        <w:gridCol w:w="134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Lisy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Lisy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1094"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556" w:before="0" w:after="240"/>
        <w:jc w:val="both"/>
        <w:rPr>
          <w:rFonts w:ascii="Times New Roman;serif" w:hAnsi="Times New Roman;serif"/>
          <w:b w:val="false"/>
          <w:color w:val="000000"/>
          <w:sz w:val="20"/>
        </w:rPr>
      </w:pPr>
      <w:r>
        <w:rPr>
          <w:rFonts w:ascii="Times New Roman;serif" w:hAnsi="Times New Roman;serif"/>
          <w:b w:val="false"/>
          <w:color w:val="000000"/>
          <w:sz w:val="20"/>
        </w:rPr>
        <w:t>I, Andras Bende, Chief Financial Officer of International Money Express, Inc. (the “Company”), certify, pursuant to 18 U.S.C. Section 1350, that, to my knowledge:</w:t>
      </w:r>
    </w:p>
    <w:p>
      <w:pPr>
        <w:pStyle w:val="TextBody"/>
        <w:bidi w:val="0"/>
        <w:spacing w:lineRule="auto" w:line="556"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quarterly period ended June 30, 2025 (the “Report”) fully complies with the requirements of Section 13(a) or 15(d) of the Securities Exchange Act of 1934, as amended; and</w:t>
      </w:r>
    </w:p>
    <w:p>
      <w:pPr>
        <w:pStyle w:val="TextBody"/>
        <w:bidi w:val="0"/>
        <w:spacing w:lineRule="auto" w:line="556"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994" w:type="dxa"/>
        <w:jc w:val="left"/>
        <w:tblInd w:w="0" w:type="dxa"/>
        <w:tblLayout w:type="fixed"/>
        <w:tblCellMar>
          <w:top w:w="28" w:type="dxa"/>
          <w:left w:w="28" w:type="dxa"/>
          <w:bottom w:w="28" w:type="dxa"/>
          <w:right w:w="28" w:type="dxa"/>
        </w:tblCellMar>
      </w:tblPr>
      <w:tblGrid>
        <w:gridCol w:w="705"/>
        <w:gridCol w:w="621"/>
        <w:gridCol w:w="624"/>
        <w:gridCol w:w="208"/>
        <w:gridCol w:w="208"/>
        <w:gridCol w:w="213"/>
        <w:gridCol w:w="707"/>
        <w:gridCol w:w="707"/>
        <w:gridCol w:w="100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Andras Bende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Andras Bende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2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28028</Words>
  <Characters>156153</Characters>
  <CharactersWithSpaces>182405</CharactersWithSpaces>
  <Paragraphs>3304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