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FORM 10-K</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120"/>
        <w:jc w:val="center"/>
        <w:rPr/>
      </w:pP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12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 to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No. 001-37986</w:t>
      </w:r>
    </w:p>
    <w:tbl>
      <w:tblPr>
        <w:tblW w:w="6405" w:type="dxa"/>
        <w:jc w:val="center"/>
        <w:tblInd w:w="0" w:type="dxa"/>
        <w:tblLayout w:type="fixed"/>
        <w:tblCellMar>
          <w:top w:w="28" w:type="dxa"/>
          <w:left w:w="28" w:type="dxa"/>
          <w:bottom w:w="28" w:type="dxa"/>
          <w:right w:w="28" w:type="dxa"/>
        </w:tblCellMar>
      </w:tblPr>
      <w:tblGrid>
        <w:gridCol w:w="2051"/>
        <w:gridCol w:w="1802"/>
        <w:gridCol w:w="2552"/>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INTERNATIONAL MONEY EXPRESS, INC.</w:t>
            </w:r>
          </w:p>
        </w:tc>
      </w:tr>
      <w:tr>
        <w:trPr/>
        <w:tc>
          <w:tcPr>
            <w:tcW w:w="6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bl>
    <w:tbl>
      <w:tblPr>
        <w:tblW w:w="7706" w:type="dxa"/>
        <w:jc w:val="left"/>
        <w:tblInd w:w="0" w:type="dxa"/>
        <w:tblLayout w:type="fixed"/>
        <w:tblCellMar>
          <w:top w:w="28" w:type="dxa"/>
          <w:left w:w="28" w:type="dxa"/>
          <w:bottom w:w="28" w:type="dxa"/>
          <w:right w:w="28" w:type="dxa"/>
        </w:tblCellMar>
      </w:tblPr>
      <w:tblGrid>
        <w:gridCol w:w="1684"/>
        <w:gridCol w:w="1479"/>
        <w:gridCol w:w="1501"/>
        <w:gridCol w:w="109"/>
        <w:gridCol w:w="109"/>
        <w:gridCol w:w="109"/>
        <w:gridCol w:w="793"/>
        <w:gridCol w:w="793"/>
        <w:gridCol w:w="1129"/>
      </w:tblGrid>
      <w:tr>
        <w:trPr/>
        <w:tc>
          <w:tcPr>
            <w:tcW w:w="168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47-4219082</w:t>
            </w:r>
          </w:p>
        </w:tc>
      </w:tr>
      <w:tr>
        <w:trPr/>
        <w:tc>
          <w:tcPr>
            <w:tcW w:w="4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9100 South Dadeland Blvd., Ste. 1100, Miami,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33156</w:t>
            </w:r>
          </w:p>
        </w:tc>
      </w:tr>
      <w:tr>
        <w:trPr/>
        <w:tc>
          <w:tcPr>
            <w:tcW w:w="4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tbl>
      <w:tblPr>
        <w:tblW w:w="3900" w:type="dxa"/>
        <w:jc w:val="left"/>
        <w:tblInd w:w="0" w:type="dxa"/>
        <w:tblLayout w:type="fixed"/>
        <w:tblCellMar>
          <w:top w:w="28" w:type="dxa"/>
          <w:left w:w="28" w:type="dxa"/>
          <w:bottom w:w="28" w:type="dxa"/>
          <w:right w:w="28" w:type="dxa"/>
        </w:tblCellMar>
      </w:tblPr>
      <w:tblGrid>
        <w:gridCol w:w="1246"/>
        <w:gridCol w:w="1097"/>
        <w:gridCol w:w="1557"/>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(305) 671-8000</w:t>
            </w:r>
          </w:p>
        </w:tc>
      </w:tr>
      <w:tr>
        <w:trPr/>
        <w:tc>
          <w:tcPr>
            <w:tcW w:w="39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27" w:type="dxa"/>
        <w:jc w:val="center"/>
        <w:tblInd w:w="0" w:type="dxa"/>
        <w:tblLayout w:type="fixed"/>
        <w:tblCellMar>
          <w:top w:w="28" w:type="dxa"/>
          <w:left w:w="28" w:type="dxa"/>
          <w:bottom w:w="28" w:type="dxa"/>
          <w:right w:w="28" w:type="dxa"/>
        </w:tblCellMar>
      </w:tblPr>
      <w:tblGrid>
        <w:gridCol w:w="1078"/>
        <w:gridCol w:w="947"/>
        <w:gridCol w:w="959"/>
        <w:gridCol w:w="109"/>
        <w:gridCol w:w="109"/>
        <w:gridCol w:w="109"/>
        <w:gridCol w:w="554"/>
        <w:gridCol w:w="554"/>
        <w:gridCol w:w="556"/>
        <w:gridCol w:w="109"/>
        <w:gridCol w:w="109"/>
        <w:gridCol w:w="109"/>
        <w:gridCol w:w="1118"/>
        <w:gridCol w:w="1118"/>
        <w:gridCol w:w="1589"/>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IMXI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tbl>
      <w:tblPr>
        <w:tblW w:w="4740" w:type="dxa"/>
        <w:jc w:val="center"/>
        <w:tblInd w:w="0" w:type="dxa"/>
        <w:tblLayout w:type="fixed"/>
        <w:tblCellMar>
          <w:top w:w="28" w:type="dxa"/>
          <w:left w:w="28" w:type="dxa"/>
          <w:bottom w:w="28" w:type="dxa"/>
          <w:right w:w="28" w:type="dxa"/>
        </w:tblCellMar>
      </w:tblPr>
      <w:tblGrid>
        <w:gridCol w:w="1514"/>
        <w:gridCol w:w="1332"/>
        <w:gridCol w:w="189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w:t>
            </w:r>
          </w:p>
        </w:tc>
      </w:tr>
      <w:tr>
        <w:trPr/>
        <w:tc>
          <w:tcPr>
            <w:tcW w:w="4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2"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08"/>
        <w:gridCol w:w="608"/>
        <w:gridCol w:w="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r>
      <w:tr>
        <w:trPr/>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240"/>
        <w:ind w:left="0" w:right="0" w:firstLine="72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Act). 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June 30, 2023, the aggregate market value of the voting stock held by non-affiliates was $804,577,352 based on the closing sale price of $24.53 of the common stock as reported on the Nasdaq Capital Market.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As of February 23, 2024, 33,732,409 shares of the registrant</w:t>
      </w:r>
      <w:r>
        <w:rPr>
          <w:color w:val="000000"/>
        </w:rPr>
        <w:t>’</w:t>
      </w:r>
      <w:r>
        <w:rPr>
          <w:rFonts w:ascii="Times New Roman;sans-serif" w:hAnsi="Times New Roman;sans-serif"/>
          <w:b w:val="false"/>
          <w:color w:val="000000"/>
          <w:sz w:val="18"/>
        </w:rPr>
        <w:t>s common stock, par value $0.0001 per share, were outstanding. The registrant has no other class of common stock outstanding.</w:t>
      </w:r>
    </w:p>
    <w:p>
      <w:pPr>
        <w:pStyle w:val="TextBody"/>
        <w:bidi w:val="0"/>
        <w:spacing w:before="0" w:after="1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The definitive Proxy Statement to be delivered to shareholders in connection with the 2024 Annual Meeting of Shareholders is incorporated by reference into Part III of this Form 10-K to the extent stated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976"/>
        <w:gridCol w:w="858"/>
        <w:gridCol w:w="858"/>
        <w:gridCol w:w="2344"/>
        <w:gridCol w:w="2315"/>
        <w:gridCol w:w="2341"/>
        <w:gridCol w:w="149"/>
        <w:gridCol w:w="149"/>
        <w:gridCol w:w="215"/>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0">
              <w:r>
                <w:rPr>
                  <w:rStyle w:val="InternetLink"/>
                  <w:rFonts w:ascii="Times New Roman;sans-serif" w:hAnsi="Times New Roman;sans-serif"/>
                  <w:b/>
                  <w:strike w:val="false"/>
                  <w:dstrike w:val="false"/>
                  <w:color w:val="0000FF"/>
                  <w:sz w:val="18"/>
                  <w:u w:val="none"/>
                  <w:effect w:val="none"/>
                </w:rPr>
                <w:t>SPECIAL NOTE REGARDING FORWARD-LOOKING STATEMENTS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0">
              <w:r>
                <w:rPr>
                  <w:rStyle w:val="InternetLink"/>
                  <w:rFonts w:ascii="Times New Roman;sans-serif" w:hAnsi="Times New Roman;sans-serif"/>
                  <w:b w:val="false"/>
                  <w:strike w:val="false"/>
                  <w:dstrike w:val="false"/>
                  <w:color w:val="0000FF"/>
                  <w:sz w:val="18"/>
                  <w:u w:val="none"/>
                  <w:effect w:val="none"/>
                </w:rPr>
                <w:t>1</w:t>
              </w:r>
            </w:hyperlink>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3">
              <w:r>
                <w:rPr>
                  <w:rStyle w:val="InternetLink"/>
                  <w:rFonts w:ascii="Times New Roman;sans-serif" w:hAnsi="Times New Roman;sans-serif"/>
                  <w:b w:val="false"/>
                  <w:color w:val="0000FF"/>
                  <w:sz w:val="18"/>
                  <w:u w:val="single"/>
                </w:rPr>
                <w:t>Business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3">
              <w:r>
                <w:rPr>
                  <w:rStyle w:val="InternetLink"/>
                  <w:rFonts w:ascii="Times New Roman;sans-serif" w:hAnsi="Times New Roman;sans-serif"/>
                  <w:b w:val="false"/>
                  <w:strike w:val="false"/>
                  <w:dstrike w:val="false"/>
                  <w:color w:val="0000FF"/>
                  <w:sz w:val="18"/>
                  <w:u w:val="none"/>
                  <w:effect w:val="none"/>
                </w:rPr>
                <w:t>3</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6">
              <w:r>
                <w:rPr>
                  <w:rStyle w:val="InternetLink"/>
                  <w:rFonts w:ascii="Times New Roman;sans-serif" w:hAnsi="Times New Roman;sans-serif"/>
                  <w:b w:val="false"/>
                  <w:color w:val="0000FF"/>
                  <w:sz w:val="18"/>
                  <w:u w:val="single"/>
                </w:rPr>
                <w:t>Risk Factors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6">
              <w:r>
                <w:rPr>
                  <w:rStyle w:val="InternetLink"/>
                  <w:rFonts w:ascii="Times New Roman;sans-serif" w:hAnsi="Times New Roman;sans-serif"/>
                  <w:b w:val="false"/>
                  <w:strike w:val="false"/>
                  <w:dstrike w:val="false"/>
                  <w:color w:val="0000FF"/>
                  <w:sz w:val="18"/>
                  <w:u w:val="none"/>
                  <w:effect w:val="none"/>
                </w:rPr>
                <w:t>12</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1B.</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9">
              <w:r>
                <w:rPr>
                  <w:rStyle w:val="InternetLink"/>
                  <w:rFonts w:ascii="Times New Roman;sans-serif" w:hAnsi="Times New Roman;sans-serif"/>
                  <w:b w:val="false"/>
                  <w:color w:val="0000FF"/>
                  <w:sz w:val="18"/>
                  <w:u w:val="single"/>
                </w:rPr>
                <w:t>Unresolved Staff Comments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9">
              <w:r>
                <w:rPr>
                  <w:rStyle w:val="InternetLink"/>
                  <w:rFonts w:ascii="Times New Roman;sans-serif" w:hAnsi="Times New Roman;sans-serif"/>
                  <w:b w:val="false"/>
                  <w:strike w:val="false"/>
                  <w:dstrike w:val="false"/>
                  <w:color w:val="0000FF"/>
                  <w:sz w:val="18"/>
                  <w:u w:val="none"/>
                  <w:effect w:val="none"/>
                </w:rPr>
                <w:t>25</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Item 1C.</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944">
              <w:r>
                <w:rPr>
                  <w:rStyle w:val="InternetLink"/>
                  <w:rFonts w:ascii="Times New Roman;sans-serif" w:hAnsi="Times New Roman;sans-serif"/>
                  <w:b w:val="false"/>
                  <w:color w:val="000080"/>
                  <w:sz w:val="18"/>
                  <w:u w:val="single"/>
                </w:rPr>
                <w:t>C</w:t>
              </w:r>
            </w:hyperlink>
            <w:hyperlink w:anchor="idf0bccd6adbf4603808b1fa7f2c43cfe_1944">
              <w:r>
                <w:rPr>
                  <w:rStyle w:val="InternetLink"/>
                  <w:rFonts w:ascii="Times New Roman;sans-serif" w:hAnsi="Times New Roman;sans-serif"/>
                  <w:b w:val="false"/>
                  <w:color w:val="000080"/>
                  <w:sz w:val="18"/>
                  <w:u w:val="single"/>
                </w:rPr>
                <w:t>ybersecurity</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944">
              <w:r>
                <w:rPr>
                  <w:rStyle w:val="InternetLink"/>
                  <w:rFonts w:ascii="Times New Roman;sans-serif" w:hAnsi="Times New Roman;sans-serif"/>
                  <w:b w:val="false"/>
                  <w:strike w:val="false"/>
                  <w:dstrike w:val="false"/>
                  <w:color w:val="0000FF"/>
                  <w:sz w:val="18"/>
                  <w:u w:val="none"/>
                  <w:effect w:val="none"/>
                </w:rPr>
                <w:t>25</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22">
              <w:r>
                <w:rPr>
                  <w:rStyle w:val="InternetLink"/>
                  <w:rFonts w:ascii="Times New Roman;sans-serif" w:hAnsi="Times New Roman;sans-serif"/>
                  <w:b w:val="false"/>
                  <w:color w:val="0000FF"/>
                  <w:sz w:val="18"/>
                  <w:u w:val="single"/>
                </w:rPr>
                <w:t>Properties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22">
              <w:r>
                <w:rPr>
                  <w:rStyle w:val="InternetLink"/>
                  <w:rFonts w:ascii="Times New Roman;sans-serif" w:hAnsi="Times New Roman;sans-serif"/>
                  <w:b w:val="false"/>
                  <w:strike w:val="false"/>
                  <w:dstrike w:val="false"/>
                  <w:color w:val="0000FF"/>
                  <w:sz w:val="18"/>
                  <w:u w:val="none"/>
                  <w:effect w:val="none"/>
                </w:rPr>
                <w:t>26</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25">
              <w:r>
                <w:rPr>
                  <w:rStyle w:val="InternetLink"/>
                  <w:rFonts w:ascii="Times New Roman;sans-serif" w:hAnsi="Times New Roman;sans-serif"/>
                  <w:b w:val="false"/>
                  <w:color w:val="0000FF"/>
                  <w:sz w:val="18"/>
                  <w:u w:val="single"/>
                </w:rPr>
                <w:t>Legal Proceedings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25">
              <w:r>
                <w:rPr>
                  <w:rStyle w:val="InternetLink"/>
                  <w:rFonts w:ascii="Times New Roman;sans-serif" w:hAnsi="Times New Roman;sans-serif"/>
                  <w:b w:val="false"/>
                  <w:strike w:val="false"/>
                  <w:dstrike w:val="false"/>
                  <w:color w:val="0000FF"/>
                  <w:sz w:val="18"/>
                  <w:u w:val="none"/>
                  <w:effect w:val="none"/>
                </w:rPr>
                <w:t>26</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28">
              <w:r>
                <w:rPr>
                  <w:rStyle w:val="InternetLink"/>
                  <w:rFonts w:ascii="Times New Roman;sans-serif" w:hAnsi="Times New Roman;sans-serif"/>
                  <w:b w:val="false"/>
                  <w:color w:val="0000FF"/>
                  <w:sz w:val="18"/>
                  <w:u w:val="single"/>
                </w:rPr>
                <w:t>Mine Safety Disclosures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28">
              <w:r>
                <w:rPr>
                  <w:rStyle w:val="InternetLink"/>
                  <w:rFonts w:ascii="Times New Roman;sans-serif" w:hAnsi="Times New Roman;sans-serif"/>
                  <w:b w:val="false"/>
                  <w:strike w:val="false"/>
                  <w:dstrike w:val="false"/>
                  <w:color w:val="0000FF"/>
                  <w:sz w:val="18"/>
                  <w:u w:val="none"/>
                  <w:effect w:val="none"/>
                </w:rPr>
                <w:t>26</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34">
              <w:r>
                <w:rPr>
                  <w:rStyle w:val="InternetLink"/>
                  <w:rFonts w:ascii="Times New Roman;sans-serif" w:hAnsi="Times New Roman;sans-serif"/>
                  <w:b w:val="false"/>
                  <w:color w:val="0000FF"/>
                  <w:sz w:val="18"/>
                  <w:u w:val="single"/>
                </w:rPr>
                <w:t>Market for Registrant’s Common Equity, Related Stockholder Matters and Issuer Purchases of Equity Securities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34">
              <w:r>
                <w:rPr>
                  <w:rStyle w:val="InternetLink"/>
                  <w:rFonts w:ascii="Times New Roman;sans-serif" w:hAnsi="Times New Roman;sans-serif"/>
                  <w:b w:val="false"/>
                  <w:strike w:val="false"/>
                  <w:dstrike w:val="false"/>
                  <w:color w:val="0000FF"/>
                  <w:sz w:val="18"/>
                  <w:u w:val="none"/>
                  <w:effect w:val="none"/>
                </w:rPr>
                <w:t>27</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37">
              <w:r>
                <w:rPr>
                  <w:rStyle w:val="InternetLink"/>
                  <w:rFonts w:ascii="Times New Roman;sans-serif" w:hAnsi="Times New Roman;sans-serif"/>
                  <w:b w:val="false"/>
                  <w:color w:val="0000FF"/>
                  <w:sz w:val="18"/>
                  <w:u w:val="single"/>
                </w:rPr>
                <w:t>[Reserved]</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37">
              <w:r>
                <w:rPr>
                  <w:rStyle w:val="InternetLink"/>
                  <w:rFonts w:ascii="Times New Roman;sans-serif" w:hAnsi="Times New Roman;sans-serif"/>
                  <w:b w:val="false"/>
                  <w:strike w:val="false"/>
                  <w:dstrike w:val="false"/>
                  <w:color w:val="0000FF"/>
                  <w:sz w:val="18"/>
                  <w:u w:val="none"/>
                  <w:effect w:val="none"/>
                </w:rPr>
                <w:t>28</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7.</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40">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40">
              <w:r>
                <w:rPr>
                  <w:rStyle w:val="InternetLink"/>
                  <w:rFonts w:ascii="Times New Roman;sans-serif" w:hAnsi="Times New Roman;sans-serif"/>
                  <w:b w:val="false"/>
                  <w:strike w:val="false"/>
                  <w:dstrike w:val="false"/>
                  <w:color w:val="0000FF"/>
                  <w:sz w:val="18"/>
                  <w:u w:val="none"/>
                  <w:effect w:val="none"/>
                </w:rPr>
                <w:t>29</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7A.</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73">
              <w:r>
                <w:rPr>
                  <w:rStyle w:val="InternetLink"/>
                  <w:rFonts w:ascii="Times New Roman;sans-serif" w:hAnsi="Times New Roman;sans-serif"/>
                  <w:b w:val="false"/>
                  <w:color w:val="0000FF"/>
                  <w:sz w:val="18"/>
                  <w:u w:val="single"/>
                </w:rPr>
                <w:t>Quantitative and Qualitative Disclosures About Market Risk</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73">
              <w:r>
                <w:rPr>
                  <w:rStyle w:val="InternetLink"/>
                  <w:rFonts w:ascii="Times New Roman;sans-serif" w:hAnsi="Times New Roman;sans-serif"/>
                  <w:b w:val="false"/>
                  <w:strike w:val="false"/>
                  <w:dstrike w:val="false"/>
                  <w:color w:val="0000FF"/>
                  <w:sz w:val="18"/>
                  <w:u w:val="none"/>
                  <w:effect w:val="none"/>
                </w:rPr>
                <w:t>44</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8.</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76">
              <w:r>
                <w:rPr>
                  <w:rStyle w:val="InternetLink"/>
                  <w:rFonts w:ascii="Times New Roman;sans-serif" w:hAnsi="Times New Roman;sans-serif"/>
                  <w:b w:val="false"/>
                  <w:color w:val="0000FF"/>
                  <w:sz w:val="18"/>
                  <w:u w:val="single"/>
                </w:rPr>
                <w:t>Financial Statements and Supplementary Data</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76">
              <w:r>
                <w:rPr>
                  <w:rStyle w:val="InternetLink"/>
                  <w:rFonts w:ascii="Times New Roman;sans-serif" w:hAnsi="Times New Roman;sans-serif"/>
                  <w:b w:val="false"/>
                  <w:strike w:val="false"/>
                  <w:dstrike w:val="false"/>
                  <w:color w:val="0000FF"/>
                  <w:sz w:val="18"/>
                  <w:u w:val="none"/>
                  <w:effect w:val="none"/>
                </w:rPr>
                <w:t>1</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54">
              <w:r>
                <w:rPr>
                  <w:rStyle w:val="InternetLink"/>
                  <w:rFonts w:ascii="Times New Roman;sans-serif" w:hAnsi="Times New Roman;sans-serif"/>
                  <w:b w:val="false"/>
                  <w:color w:val="0000FF"/>
                  <w:sz w:val="18"/>
                  <w:u w:val="single"/>
                </w:rPr>
                <w:t>Changes in and Disagreements with Accountants on Accounting and Financial Disclosure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54">
              <w:r>
                <w:rPr>
                  <w:rStyle w:val="InternetLink"/>
                  <w:rFonts w:ascii="Times New Roman;sans-serif" w:hAnsi="Times New Roman;sans-serif"/>
                  <w:b w:val="false"/>
                  <w:strike w:val="false"/>
                  <w:dstrike w:val="false"/>
                  <w:color w:val="0000FF"/>
                  <w:sz w:val="18"/>
                  <w:u w:val="none"/>
                  <w:effect w:val="none"/>
                </w:rPr>
                <w:t>74</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9A.</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57">
              <w:r>
                <w:rPr>
                  <w:rStyle w:val="InternetLink"/>
                  <w:rFonts w:ascii="Times New Roman;sans-serif" w:hAnsi="Times New Roman;sans-serif"/>
                  <w:b w:val="false"/>
                  <w:color w:val="0000FF"/>
                  <w:sz w:val="18"/>
                  <w:u w:val="single"/>
                </w:rPr>
                <w:t>Controls and Procedures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57">
              <w:r>
                <w:rPr>
                  <w:rStyle w:val="InternetLink"/>
                  <w:rFonts w:ascii="Times New Roman;sans-serif" w:hAnsi="Times New Roman;sans-serif"/>
                  <w:b w:val="false"/>
                  <w:strike w:val="false"/>
                  <w:dstrike w:val="false"/>
                  <w:color w:val="0000FF"/>
                  <w:sz w:val="18"/>
                  <w:u w:val="none"/>
                  <w:effect w:val="none"/>
                </w:rPr>
                <w:t>74</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9B.</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63">
              <w:r>
                <w:rPr>
                  <w:rStyle w:val="InternetLink"/>
                  <w:rFonts w:ascii="Times New Roman;sans-serif" w:hAnsi="Times New Roman;sans-serif"/>
                  <w:b w:val="false"/>
                  <w:color w:val="0000FF"/>
                  <w:sz w:val="18"/>
                  <w:u w:val="single"/>
                </w:rPr>
                <w:t>Other Information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63">
              <w:r>
                <w:rPr>
                  <w:rStyle w:val="InternetLink"/>
                  <w:rFonts w:ascii="Times New Roman;sans-serif" w:hAnsi="Times New Roman;sans-serif"/>
                  <w:b w:val="false"/>
                  <w:strike w:val="false"/>
                  <w:dstrike w:val="false"/>
                  <w:color w:val="0000FF"/>
                  <w:sz w:val="18"/>
                  <w:u w:val="none"/>
                  <w:effect w:val="none"/>
                </w:rPr>
                <w:t>76</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9C.</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df0bccd6adbf4603808b1fa7f2c43cfe_166">
              <w:r>
                <w:rPr>
                  <w:rStyle w:val="InternetLink"/>
                  <w:rFonts w:ascii="Times New Roman;sans-serif" w:hAnsi="Times New Roman;sans-serif"/>
                  <w:b w:val="false"/>
                  <w:color w:val="0000FF"/>
                  <w:sz w:val="18"/>
                  <w:u w:val="single"/>
                </w:rPr>
                <w:t>Disclosure Regarding Foreign Jurisdictions that Prevent Inspections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66">
              <w:r>
                <w:rPr>
                  <w:rStyle w:val="InternetLink"/>
                  <w:rFonts w:ascii="Times New Roman;sans-serif" w:hAnsi="Times New Roman;sans-serif"/>
                  <w:b w:val="false"/>
                  <w:strike w:val="false"/>
                  <w:dstrike w:val="false"/>
                  <w:color w:val="0000FF"/>
                  <w:sz w:val="18"/>
                  <w:u w:val="none"/>
                  <w:effect w:val="none"/>
                </w:rPr>
                <w:t>77</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III</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10.</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72">
              <w:r>
                <w:rPr>
                  <w:rStyle w:val="InternetLink"/>
                  <w:rFonts w:ascii="Times New Roman;sans-serif" w:hAnsi="Times New Roman;sans-serif"/>
                  <w:b w:val="false"/>
                  <w:color w:val="0000FF"/>
                  <w:sz w:val="18"/>
                  <w:u w:val="single"/>
                </w:rPr>
                <w:t>Directors, Executive Officers and Corporate Governance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72">
              <w:r>
                <w:rPr>
                  <w:rStyle w:val="InternetLink"/>
                  <w:rFonts w:ascii="Times New Roman;sans-serif" w:hAnsi="Times New Roman;sans-serif"/>
                  <w:b w:val="false"/>
                  <w:strike w:val="false"/>
                  <w:dstrike w:val="false"/>
                  <w:color w:val="0000FF"/>
                  <w:sz w:val="18"/>
                  <w:u w:val="none"/>
                  <w:effect w:val="none"/>
                </w:rPr>
                <w:t>78</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11.</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78">
              <w:r>
                <w:rPr>
                  <w:rStyle w:val="InternetLink"/>
                  <w:rFonts w:ascii="Times New Roman;sans-serif" w:hAnsi="Times New Roman;sans-serif"/>
                  <w:b w:val="false"/>
                  <w:color w:val="0000FF"/>
                  <w:sz w:val="18"/>
                  <w:u w:val="single"/>
                </w:rPr>
                <w:t>Executive Compensation</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78">
              <w:r>
                <w:rPr>
                  <w:rStyle w:val="InternetLink"/>
                  <w:rFonts w:ascii="Times New Roman;sans-serif" w:hAnsi="Times New Roman;sans-serif"/>
                  <w:b w:val="false"/>
                  <w:strike w:val="false"/>
                  <w:dstrike w:val="false"/>
                  <w:color w:val="0000FF"/>
                  <w:sz w:val="18"/>
                  <w:u w:val="none"/>
                  <w:effect w:val="none"/>
                </w:rPr>
                <w:t>78</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12.</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84">
              <w:r>
                <w:rPr>
                  <w:rStyle w:val="InternetLink"/>
                  <w:rFonts w:ascii="Times New Roman;sans-serif" w:hAnsi="Times New Roman;sans-serif"/>
                  <w:b w:val="false"/>
                  <w:color w:val="0000FF"/>
                  <w:sz w:val="18"/>
                  <w:u w:val="single"/>
                </w:rPr>
                <w:t>Security Ownership of Certain Beneficial Owners and Management and Related Stockholder Matters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84">
              <w:r>
                <w:rPr>
                  <w:rStyle w:val="InternetLink"/>
                  <w:rFonts w:ascii="Times New Roman;sans-serif" w:hAnsi="Times New Roman;sans-serif"/>
                  <w:b w:val="false"/>
                  <w:strike w:val="false"/>
                  <w:dstrike w:val="false"/>
                  <w:color w:val="0000FF"/>
                  <w:sz w:val="18"/>
                  <w:u w:val="none"/>
                  <w:effect w:val="none"/>
                </w:rPr>
                <w:t>79</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13.</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90">
              <w:r>
                <w:rPr>
                  <w:rStyle w:val="InternetLink"/>
                  <w:rFonts w:ascii="Times New Roman;sans-serif" w:hAnsi="Times New Roman;sans-serif"/>
                  <w:b w:val="false"/>
                  <w:color w:val="0000FF"/>
                  <w:sz w:val="18"/>
                  <w:u w:val="single"/>
                </w:rPr>
                <w:t>Certain Relationships and Related Transactions, and Director Independence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90">
              <w:r>
                <w:rPr>
                  <w:rStyle w:val="InternetLink"/>
                  <w:rFonts w:ascii="Times New Roman;sans-serif" w:hAnsi="Times New Roman;sans-serif"/>
                  <w:b w:val="false"/>
                  <w:strike w:val="false"/>
                  <w:dstrike w:val="false"/>
                  <w:color w:val="0000FF"/>
                  <w:sz w:val="18"/>
                  <w:u w:val="none"/>
                  <w:effect w:val="none"/>
                </w:rPr>
                <w:t>80</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14.</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93">
              <w:r>
                <w:rPr>
                  <w:rStyle w:val="InternetLink"/>
                  <w:rFonts w:ascii="Times New Roman;sans-serif" w:hAnsi="Times New Roman;sans-serif"/>
                  <w:b w:val="false"/>
                  <w:color w:val="0000FF"/>
                  <w:sz w:val="18"/>
                  <w:u w:val="single"/>
                </w:rPr>
                <w:t>Principal Accounting Fees and Services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93">
              <w:r>
                <w:rPr>
                  <w:rStyle w:val="InternetLink"/>
                  <w:rFonts w:ascii="Times New Roman;sans-serif" w:hAnsi="Times New Roman;sans-serif"/>
                  <w:b w:val="false"/>
                  <w:strike w:val="false"/>
                  <w:dstrike w:val="false"/>
                  <w:color w:val="0000FF"/>
                  <w:sz w:val="18"/>
                  <w:u w:val="none"/>
                  <w:effect w:val="none"/>
                </w:rPr>
                <w:t>81</w:t>
              </w:r>
            </w:hyperlink>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IV</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15.</w:t>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199">
              <w:r>
                <w:rPr>
                  <w:rStyle w:val="InternetLink"/>
                  <w:rFonts w:ascii="Times New Roman;sans-serif" w:hAnsi="Times New Roman;sans-serif"/>
                  <w:b w:val="false"/>
                  <w:color w:val="0000FF"/>
                  <w:sz w:val="18"/>
                  <w:u w:val="single"/>
                </w:rPr>
                <w:t>Exhibits, Financial Statement Schedules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199">
              <w:r>
                <w:rPr>
                  <w:rStyle w:val="InternetLink"/>
                  <w:rFonts w:ascii="Times New Roman;sans-serif" w:hAnsi="Times New Roman;sans-serif"/>
                  <w:b w:val="false"/>
                  <w:strike w:val="false"/>
                  <w:dstrike w:val="false"/>
                  <w:color w:val="0000FF"/>
                  <w:sz w:val="18"/>
                  <w:u w:val="none"/>
                  <w:effect w:val="none"/>
                </w:rPr>
                <w:t>83</w:t>
              </w:r>
            </w:hyperlink>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16.</w:t>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202">
              <w:r>
                <w:rPr>
                  <w:rStyle w:val="InternetLink"/>
                  <w:rFonts w:ascii="Times New Roman;sans-serif" w:hAnsi="Times New Roman;sans-serif"/>
                  <w:b w:val="false"/>
                  <w:color w:val="0000FF"/>
                  <w:sz w:val="18"/>
                  <w:u w:val="single"/>
                </w:rPr>
                <w:t>Form 10–K Summary</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202">
              <w:r>
                <w:rPr>
                  <w:rStyle w:val="InternetLink"/>
                  <w:rFonts w:ascii="Times New Roman;sans-serif" w:hAnsi="Times New Roman;sans-serif"/>
                  <w:b w:val="false"/>
                  <w:strike w:val="false"/>
                  <w:dstrike w:val="false"/>
                  <w:color w:val="0000FF"/>
                  <w:sz w:val="18"/>
                  <w:u w:val="none"/>
                  <w:effect w:val="none"/>
                </w:rPr>
                <w:t>84</w:t>
              </w:r>
            </w:hyperlink>
          </w:p>
        </w:tc>
      </w:tr>
      <w:tr>
        <w:trPr/>
        <w:tc>
          <w:tcPr>
            <w:tcW w:w="969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205">
              <w:r>
                <w:rPr>
                  <w:rStyle w:val="InternetLink"/>
                  <w:rFonts w:ascii="Times New Roman;sans-serif" w:hAnsi="Times New Roman;sans-serif"/>
                  <w:b/>
                  <w:color w:val="0000FF"/>
                  <w:sz w:val="18"/>
                  <w:u w:val="single"/>
                </w:rPr>
                <w:t>Signatures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f0bccd6adbf4603808b1fa7f2c43cfe_205">
              <w:r>
                <w:rPr>
                  <w:rStyle w:val="InternetLink"/>
                  <w:rFonts w:ascii="Times New Roman;sans-serif" w:hAnsi="Times New Roman;sans-serif"/>
                  <w:b w:val="false"/>
                  <w:strike w:val="false"/>
                  <w:dstrike w:val="false"/>
                  <w:color w:val="0000FF"/>
                  <w:sz w:val="18"/>
                  <w:u w:val="none"/>
                  <w:effect w:val="none"/>
                </w:rPr>
                <w:t>85</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those described in Item 1A, “Risk Factors” in this Annual Report on Form 10-K and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factors relating to our business, operations and financial performance, including:</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loss of, or reduction in business with, key sending agents;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compete in the markets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economic factors such as inflation, the level of economic activity, recession risks and labor market conditions, as well as rising interest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international political factors, political instability, tariffs, border taxes or restrictions on remittances or transfers from the outbound countries in which we operate or plan to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public health conditions, responses thereto and the economic and market effects thereof;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consumer confidence in our brands and in consumer money transfers generally;</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expansion into new geographic markets or product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successfully execute, manage, integrate and obtain the anticipated financial benefits of key acquisitions and mergers;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consumer fraud and other risks relating to the authenticity of customers’ orders or the improper or illegal use of our services by consumers;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cybersecurity-attacks or disruptions to our information technology, computer network systems, data centers and mobile devices apps;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new technology or competitors that disrupt the current money transfer and payment ecosystem, including the introduction of new digital platforms;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success in developing and introducing new products, services and infrastructure;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favorable banking and paying agent relationships necessary to conduct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changes to banking industry regulation and practice;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credit risks from our agents and the financial institutions with which we do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recruit and retain key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maintain compliance with applicable laws and regulatory requirements, </w:t>
      </w:r>
      <w:r>
        <w:rPr>
          <w:rFonts w:ascii="Times New Roman;sans-serif" w:hAnsi="Times New Roman;sans-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enforcement actions and private litigation under regulations applicable to the money remittance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immigration laws and their enforcement;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tax laws in the countries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protect intellectual property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third-party vendors and service providers;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weakness in U.S. or international economic conditions;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economic, business and/or competitive factors, risks and uncertainties, including those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sections of this Annual Report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 10-K, as well as any additional risk factors that may be described herein or in our other filings with the SEC from time to time.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there is no assurance that our expectations will, in fact, occur or that our estimates or assumptions will be correct, and we caution investors and all others not to place undue reliance on such forward-looking statements. The forward-looking statements included herein are only made as of the date of this Annual Report on Form 10-K. We undertake no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(the “Company” or “Intermex”) is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Also, through the acquisition of LAN Holdings, Corp. (“LAN Holdings”), which was completed in the second quarter of 2023, we now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Africa and Asia. Our services are accessible in person through over 100,000 independent sending and paying agents and 122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or Euro can also generate revenue if we are successful in our daily management of currency exchange spreads.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services enable consumers to send funds through our broad network of locations in the United States, Canada, Spain, Italy and Germany that are primarily operated by third-party businesses, as well as through our Company-operated stores, located in those jurisdictions.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online.i-transfer.es and via Internet-enabled mobile devices. For the year ended December 31, 2023, we grew our agent network by approximately 16.4% primarily due to agents added as a result of the acquisition of LAN Holdings, partially offset by the termination of low volume and unproductive sending agents. For the year ended December 31, 2023, principal amount sent increased by approximately 17.2% to $24.5 billion compared to fiscal year 2022 primarily as a result of an increase in volume in our existing sending agents. In 2023, we processed approximately 58.7 million remittances, representing over 22.8% growth in transactions as compared to 2022, also reflecting the effect of the acquisitions noted above.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Primary focus on profitable corridors.</w:t>
      </w:r>
      <w:r>
        <w:rPr>
          <w:color w:val="000000"/>
        </w:rPr>
        <w:t xml:space="preserve"> </w:t>
      </w:r>
      <w:r>
        <w:rPr>
          <w:rFonts w:ascii="Times New Roman;sans-serif" w:hAnsi="Times New Roman;sans-serif"/>
          <w:b w:val="false"/>
          <w:color w:val="000000"/>
          <w:sz w:val="20"/>
        </w:rPr>
        <w:t>Unlike many of our competitors, who we believe prioritize global reach over growth and profitability, we are focused on certain geographical regions in which there is a concentration of a significant portion of the world’s money remittance volume. We believe the LAC, Africa and Asia corridors provide an attractive operating environment with significant opportunity for future growth. According to the latest available data published by the World Bank, the LAC corridor continues to be one of the most rapidly growing remittance corridors in the world.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Highly scalable, proprietary software platform.</w:t>
      </w:r>
      <w:r>
        <w:rPr>
          <w:color w:val="000000"/>
        </w:rPr>
        <w:t xml:space="preserve"> </w:t>
      </w:r>
      <w:r>
        <w:rPr>
          <w:rFonts w:ascii="Times New Roman;sans-serif" w:hAnsi="Times New Roman;sans-serif"/>
          <w:b w:val="false"/>
          <w:color w:val="000000"/>
          <w:sz w:val="20"/>
        </w:rPr>
        <w:t>We provide our money remittance services utilizing our internally developed proprietary software systems and applications, which we believe enhance the productivity of our network of sending agents, enabling them to quickly, reliably and cost-effectively process remittance transactions. Our proprietary software systems were designed to incorporate real-time compliance functionality, which improves our regulatory compliance and helps to minimize fraud. We have developed a platform that has the capacity to handle traffic well in excess of the number of transactions we currently process. Our money remittance platform has proven reliable, with our 2023 downtime being less than 0.05%.</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Highly selective sending agent recruitment process designed to identify productive long-term partners.</w:t>
      </w:r>
      <w:r>
        <w:rPr>
          <w:color w:val="000000"/>
        </w:rPr>
        <w:t xml:space="preserve"> </w:t>
      </w:r>
      <w:r>
        <w:rPr>
          <w:rFonts w:ascii="Times New Roman;sans-serif" w:hAnsi="Times New Roman;sans-serif"/>
          <w:b w:val="false"/>
          <w:color w:val="000000"/>
          <w:sz w:val="20"/>
        </w:rPr>
        <w:t xml:space="preserve">We strategically target sending agents for our network only after a metric-based analysis of potential productivity and a thorough vetting process. In our sending agent selection process, we focus on geographic locations that we believe are likely to have high customer volume and demand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services. By closely monitoring individual sending agent performance and money remittance trends, we can offer our sending agents real-time technical support and marketing assistance to help increase their productivity and remittance volume.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Strong relationships with major banks and financial institutions.</w:t>
      </w:r>
      <w:r>
        <w:rPr>
          <w:color w:val="000000"/>
        </w:rPr>
        <w:t xml:space="preserve"> </w:t>
      </w:r>
      <w:r>
        <w:rPr>
          <w:rFonts w:ascii="Times New Roman;sans-serif" w:hAnsi="Times New Roman;sans-serif"/>
          <w:b w:val="false"/>
          <w:color w:val="000000"/>
          <w:sz w:val="20"/>
        </w:rPr>
        <w:t>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Spain, Italy and Latin America. For example, we have maintained a long-term relationship with Wells Fargo, Bank of America and US Bank, among others. Due to increasing regulatory scrutiny of banks and financial institutions, we believe that new banking relationships may be difficult to develop for new, start-up competitors in the industry, hence creating a barrier to entry to new competition and making our existing relationships a competitive advantage.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Powerful brand with strong consumer awareness and loyalty in the corridors we operate.</w:t>
      </w:r>
      <w:r>
        <w:rPr>
          <w:color w:val="000000"/>
        </w:rPr>
        <w:t xml:space="preserve"> </w:t>
      </w:r>
      <w:r>
        <w:rPr>
          <w:rFonts w:ascii="Times New Roman;sans-serif" w:hAnsi="Times New Roman;sans-serif"/>
          <w:b w:val="false"/>
          <w:color w:val="000000"/>
          <w:sz w:val="20"/>
        </w:rPr>
        <w:t>We believe we are a leading money remittance provider from the United States to the LAC corridor, processing 20.8% of the aggregate volume of remittances to Mexico according to the latest available data published by the Central Bank of Mexico in 2023 and 29.7% of the aggregate volume of remittances to Guatemala according to the latest available data published by the Central Bank of Guatemala in 2023. We believe that consumers associate the Intermex brand with reliability, strong customer service and the ability to safely and efficiently remit their funds. The information contained in this paragraph is based on “Revenues by Workers’ Remittances” published in the Central Bank of Mexico’s website and “Income from family remittance” published in the Central Bank of Guatemala’s website.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Strong compliance processes and procedures.</w:t>
      </w:r>
      <w:r>
        <w:rPr>
          <w:color w:val="000000"/>
        </w:rPr>
        <w:t xml:space="preserve"> </w:t>
      </w:r>
      <w:r>
        <w:rPr>
          <w:rFonts w:ascii="Times New Roman;sans-serif" w:hAnsi="Times New Roman;sans-serif"/>
          <w:b w:val="false"/>
          <w:color w:val="000000"/>
          <w:sz w:val="20"/>
        </w:rPr>
        <w:t>We operate in a highly-regulated environment and are reviewed by regulators and external auditors periodically. We maintain a comprehensive and rigorous compliance process with policies, procedures and internal controls designed to exceed current regulatory requirements. Our software also includes embedded compliance systems that provide real-time transaction alerts and Office of Foreign Assets Control (“OFAC”) screening. Our risk and compliance management tools include programs by Equifax, Experian, LexisNexis and TransUnion, among others.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Experienced and proven management team.</w:t>
      </w:r>
      <w:r>
        <w:rPr>
          <w:color w:val="000000"/>
        </w:rPr>
        <w:t xml:space="preserve"> </w:t>
      </w:r>
      <w:r>
        <w:rPr>
          <w:rFonts w:ascii="Times New Roman;sans-serif" w:hAnsi="Times New Roman;sans-serif"/>
          <w:b w:val="false"/>
          <w:color w:val="000000"/>
          <w:sz w:val="20"/>
        </w:rPr>
        <w:t>Our management team consists of financial services industry veterans with a track record of achieving profitable growth. Our team is led by our Chief Executive Officer (“CEO”) and President, Robert Lisy, with a successful 30-plus year track record in the retail financial services and electronic payment processing industry.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well positioned to drive continued growth by executing on the following core strategies either organically or through acquisitions of other entities: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Expand our market share in our largest corridors</w:t>
      </w:r>
      <w:r>
        <w:rPr>
          <w:rFonts w:ascii="Times New Roman;sans-serif" w:hAnsi="Times New Roman;sans-serif"/>
          <w:b w:val="false"/>
          <w:color w:val="000000"/>
          <w:sz w:val="20"/>
        </w:rPr>
        <w:t>. The three largest remittance corridors we serve are the United States to Mexico, United States to Guatemala and United States to the Dominican Republic. According to the latest available data in the World Bank Remittance Matrix, the United States to Mexico remittance market continues to be one of the largest in the world. We aim to continue to expand our market share in those states where we are currently well-established and poised for continued profitable growth within those markets via targeted regional penetration. We believe that we can leverage our current customer data to increase repeat customer usage, track and effectively recapture one-time users of our service and improve sending agent productivity to drive growth in these states. We also execute a targeted marketing effort to realize significantly increased market share growth in large states where we are underrepresented.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Expand our services into new corridors and emerging markets.</w:t>
      </w:r>
      <w:r>
        <w:rPr>
          <w:color w:val="000000"/>
        </w:rPr>
        <w:t xml:space="preserve"> </w:t>
      </w:r>
      <w:r>
        <w:rPr>
          <w:rFonts w:ascii="Times New Roman;sans-serif" w:hAnsi="Times New Roman;sans-serif"/>
          <w:b w:val="false"/>
          <w:color w:val="000000"/>
          <w:sz w:val="20"/>
        </w:rPr>
        <w:t>We believe that there is significant room to grow our business in underserved geographic regions in the LAC corridor where there is demand from consumers and agents for our value-added approach to money remittances. Specifically, we are targeting future growth opportunities via new corridors from the United States to other non-Spanish speaking regions, including the Caribbean and other continents. In recent years, we expanded our services to allow remittances to Africa and Asia from the United States and also began offering sending services from Canada to Latin America and Africa. Our acquisition of La Nacional further strengthens our presence in Latin America and our acquisition of LAN Holdings positions us to grow in the Europe to Africa and Asia corridors.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Continue to grow online and mobile remittance channels.</w:t>
      </w:r>
      <w:r>
        <w:rPr>
          <w:color w:val="000000"/>
        </w:rPr>
        <w:t xml:space="preserve"> </w:t>
      </w:r>
      <w:r>
        <w:rPr>
          <w:rFonts w:ascii="Times New Roman;sans-serif" w:hAnsi="Times New Roman;sans-serif"/>
          <w:b w:val="false"/>
          <w:color w:val="000000"/>
          <w:sz w:val="20"/>
        </w:rPr>
        <w:t>Our money remittance platforms currently enable consumers to send funds from the United States, Spain, Italy and Germany to the LAC corridor, Asia and Africa through the Internet via Intermexonline.com, online.i-transfer.es and on consumers' Internet-enabled mobile devices. We have and continue to make significant investments in enhancing our digital mobile money remittance applications to provide consumers with safe, easy-to-use features for remitting funds. We believe these online channels not only expand our potential customer base as digital transaction capabilities become more relevant to LAC corridor consumers, but also generate growth from secular and demographic trends as consumers continue to migrate to conducting financial transactions online.</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organized around one reportable segment that provides money remittance services primarily between the U.S. and Canada to Mexico, Guatemala and other countries in Latin America, Africa and Asia through a network of authorized agents located in various unaffiliated retail establishments and 122 Company-operated stores throughout the U.S., Canada, Spain, Italy and Germany. This is based on the objectives of the business and how our chief operating decision maker, the CEO and President, monitors operating performance and allocates resources.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Operations and 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services to LAC countries, primarily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or Euro also earn revenue through our daily management of currency exchange spreads.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money remittance transactions are generated through our agent network of retail locations and Company-operated stores where the transaction is processed and payment is collected by our sending agent. Those funds become available for pickup by the beneficiary at the designated receiving destination, usually within minutes, at any Intermex payer location. In select countries, the designated recipient may also receive the remitted funds via a deposit directly to the recipient’s bank account, mobile device account or prepaid card. Our locations in the United States, Canada, Spain and Italy, also referred to as our sending agents, tend to be individual establishments, such as multi-service stores, grocery stores, convenience stores, bodegas and other retail locations. Our payers in LAC countries are referred to as paying agents, and generally consist of large banks and financial institutions or large retail chains. Grupo Elektra, S.A.B. de C.V. (“Elektra”) is our largest paying agent and processes a significant portion of remittances in the LAC corridor. Each of our sending agents and our paying agents are primarily operated by third-party businesses where our money remittance services are offered. Additionally, we operate a number of retail locations in the United States, Canada, Spain, Italy and Germany, which we refer to as Company-operated stores and where our money remittance services are available. We also operate subsidiary payer networks in Mexico under the Pago Express brand and in Guatemala under the Intermex brand. These networks contribute payer locations that reach some of the most remote areas in those countries, providing increased convenience to consumers in the United States, Canada, Mexico and Guatemala.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sending agent locations, consumers may initiate a transaction directly with an agent, or through a direct-dialed telephone conversation from the agent location to our call centers. Many of our sending agents operate in locations that are open outside of traditional banking hours, including nights and weekends. Our sending agents understand the markets that they serve and coordinate with our sales and marketing teams to develop business plans for those markets. We hold promotional events for our sending agents to help familiarize them with the Intermex brand and to incentivize the agents to promote our services to consumers.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money remittance services are also available on the Internet via Intermexonline.com and online.i-transfer.es, enabling consumers to send money twenty-four hours a day conveniently from their computer or Internet-enabled mobile device. Those funds can be sent to any of our paying agent locations or to a recipient’s bank account, funding the transaction using debit card, credit card, or through electronic funds transfer processed through the automated clearing house (“ACH”) payment system. Also, our enhanced digital mobile money remittance applications provide consumers with safe, easy-to-use features for remitting funds with a debit or credit card, or ACH transfer. Consumers are able to select a variety of sending methods, including cash pickup at thousands of locations, direct deposit into bank accounts, debit cards, mobile wallets, and home delivery in selected markets. Although our internet-based money transmission services grew significantly in 2023, they still do not constitute a material percentage of the Company’s overall business.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call centers in Mexico and Guatemala, providing call center services 365 days per year and customer service in English, French and Spanish, as well as the possibility of service in many of the regional dialects that our customers speak. Our call centers are able to provide customer service for inbound customer calls and have technology available for direct calls from customers at our agent locations in processing remittance transactions.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Cash Management Bank Relationships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buy and sell a number of global currencies and maintain a network of settlement accounts to facilitate the timely funding of money remittances and foreign exchange trades. Our relationships with clearing, check processing, trading and exchange rate and cash management banks are critical to an efficient and reliable remittance network. We benefit from our strong and long-term relationships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large banks and financial institutions. We maintain strong relationships with a number of other national and regional banking and financial institutions in the United States, Canada, Spain, Italy and Latin America. In addition, we have benefited from our long relationship with US Bank, which manages our main operating account, and from strong relationships with PNC Global Transfer, Wells Fargo and Bank of America, which serve as our primary banks for exchange rate management with respect to the foreign currencies in which we transact.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Information Technology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Currently, all of our money processing software used in the United States and Canada is proprietary and has been developed primarily by our internal software development team. Our money processing software acts as a point of sale for our money remittance transactions and incorporates real-time compliance functionality, which improves our regulatory compliance and helps to minimize fraud. Our money processing software is critical to our operations while our back-office software is critical for settling our transactions.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our money remittance platforms enable consumers to send funds through the Internet via Intermexonline.com, online.i-transfer.es and on consumers' Internet-enabled mobile devices and our enhanced digital mobile money remittance application provides consumers with safe, easy-to-use features for remitting funds.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money remittance software, digital platforms and mobile applications, we continue to develop programs and defenses against cyber-attacks. We are fully aligned with the National Institute of Standards and Technology cybersecurity framework, which is a voluntary framework that most companies in the financial services industry follow. We utilize a number of third-party vendors that monitor our systems and inform us of any attempted attacks. Our Chief Information Officer and Chief Information Security Officer report periodically to our board of directors regarding our cybersecurity policies and practices.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proprietary and internally developed software systems, we have analytical data that enable us to analyze market trends, performance of market territories, agent performance and consumer habits in real time.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invest in our technology platform that has the capacity to handle traffic well in excess of the number of transactions we currently process. A load balancing configuration between tier-1 datacenters, in addition to failover redundancy, provides uptime performance. Our technology platforms have experienced limited downtime, with our 2023 downtime being less than 0.05%.</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Transaction Processing Engine (“TPE”) allows us to process money remittances reliably and quickly by leveraging a proprietary rules engine to apply granular-level product feature customization. The TPE also leverages real-time risk management algorithms to improve our regulatory compliance and helps to minimize fraud.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internally developed and proprietary payer Application Programming Interface platform securely and efficiently integrates our TPE directly with the platforms of our paying agents, so that we can deliver money remittances quickly to our paying agents while optimizing the efficiency/speed of adding new payers to our network and integrating payers’ software and systems with our software and systems.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Intermex brand is critical to our business. In the markets in which we compete, we derive benefit from our brand, as we believe the Intermex brand is recognized for its speed, cost effectiveness and reliability for money remittances throughout the United States, the LAC corridor, Canada and Africa. We use various trademarks and service marks in our business, including, but not limited, to Intermex, International Money Express, IntermexDirect, CheckDirect, La Nacional and Pago Express, some of which are registered in the United States and other countries. In addition, we rely on trade secret protection to protect certain proprietary rights in our information technology, trademarks, and licenses. See the section entitled “</w:t>
      </w:r>
      <w:r>
        <w:rPr>
          <w:rFonts w:ascii="Times New Roman;sans-serif" w:hAnsi="Times New Roman;sans-serif"/>
          <w:b w:val="false"/>
          <w:i/>
          <w:color w:val="000000"/>
          <w:sz w:val="20"/>
        </w:rPr>
        <w:t>Information Technology</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trademark and copyright laws and trade secret protection and invention assignment, confidentiality or license agreements to protect our intellectual property rights in products, services, expertise, and information. We believe the intellectual property rights in processing equipment, computer systems, software and business processes held by us and our subsidiaries provide us with a competitive advantage. We take appropriate measures to protect our intellectual property to the extent such intellectual property can be protected.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money remittance transactions are generated through our agent network of retail locations and Company-operated stores where the transaction is processed and payment is collected by our sending agent or store. Sending agent locations include multi-service stores, grocery stores, convenience stores, bodegas and other retail locations. The vast majority of our sending agents are provided access to our proprietary money remittance software systems, while others have access to our combination telephone and fax/tablet set up, which we call telewire, enabling direct access to our call centers for money remittance services. In all of our independent sending agent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pPr>
      <w:r>
        <w:rPr>
          <w:rFonts w:ascii="Times New Roman;sans-serif" w:hAnsi="Times New Roman;sans-serif"/>
          <w:b w:val="false"/>
          <w:color w:val="000000"/>
          <w:sz w:val="20"/>
        </w:rPr>
        <w:t>locations the agent provides the physical infrastructure and staff required to complete the remittances, while we provide the central operating functions, such as transaction processing, settlement, marketing support, compliance training and support, and customer relationship management. We also maintain 122</w:t>
      </w:r>
      <w:r>
        <w:rPr>
          <w:color w:val="000000"/>
        </w:rPr>
        <w:t xml:space="preserve"> </w:t>
      </w:r>
      <w:r>
        <w:rPr>
          <w:rFonts w:ascii="Times New Roman;sans-serif" w:hAnsi="Times New Roman;sans-serif"/>
          <w:b w:val="false"/>
          <w:color w:val="000000"/>
          <w:sz w:val="20"/>
        </w:rPr>
        <w:t>Company-operated stores in the United States, Canada, Spain, Italy and Germany. We retain customer data, which enables us to increase repeat customer usage, track and effectively recapture one-time users of our service and improve sending agent productivity.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services to consumers in a number of ways, directly and indirectly through our sending agents and paying agents, promotional activities, traditional media and digital advertising, and our loyalty program, which we call “Interpuntos”. This loyalty program offers consumers faster service at our sending agent locations and the ability to earn points with each transaction that are redeemable for rewards, such as reduced transaction fees or more favorable foreign exchange rates.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We are a rapidly growing and leading money remittance service company primarily focused on the United States to the LAC corridor. We utilize our proprietary technology to deliver convenient, reliable and value-added services to consumers through a broad network of sending and paying agents. The three largest remittance corridors we serve are United States to Mexico, United States to Guatemala, and United States to the Dominican Republic. </w:t>
      </w:r>
      <w:r>
        <w:rPr>
          <w:rFonts w:ascii="Times New Roman;sans-serif" w:hAnsi="Times New Roman;sans-serif"/>
          <w:b w:val="false"/>
          <w:color w:val="000000"/>
          <w:sz w:val="20"/>
          <w:shd w:fill="FFFFFF" w:val="clear"/>
        </w:rPr>
        <w:t>According to the latest information available from the World Bank Remittance Matrix, the United States to Mexico remittance corridor was one of the largest in the world in 2023. Furthermore, remittances volume to low and middle income countries grew approximately 3.8% during 2023 according to the latest Migrations and Development Brief report from the World Bank.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Political, social and economic conditions in key Latin American markets, from which we derive a significant portion of our revenue, continue to exhibit instability, as evidenced by higher interest rates, high unemployment rates, restricted lending activity, higher inflation, volatility in foreign currencies and low consumer confidence, among other economic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Another significant trend impacting the money remittance industry is increasing regulation on money remittance providers, banks, and other financial institutions, making it difficult for money remittance companies to develop and maintain strong banking relationships and for sending agents to open operating bank accounts. Regulations in the United States and elsewhere focus, in part, on cybersecurity, anti-money laundering and consumer protection. Regulations require money remittance providers, banks and other financial institutions to develop systems to prevent, detect, monitor and report certain transactions. In coming periods, we expect these and future regulatory requirements, as well as investigatory and enforcement activities by law enforcement agencies, will continue to result in changes to certain of our business and administrative practices and may result in increased costs.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non-bank financial institution in the United States, we are regulated by the Department of Treasury, the Internal Revenue Service, the U.S. Department of the Treasury’s Financial Crimes Enforcement Network (“FinCEN”), the Consumer Financial Protection Bureau (“CFPB”), the Department of Banking and Finance of the State of Florida and the equivalent regulatory authorities in all of the states, the District of Columbia and the Commonwealth of Puerto Rico, in which we hold an operating money transmission license. We are duly registered as a Money Services Business (“MSB”) with FinCEN, the financial intelligence unit of the U.S. Department of the Treasury. We are also subject to a wide range of regulations in the United States and other countries in which we operate, including: minimum capital or capital adequacy requirements; anti-money laundering laws and regulations; financial services regulations; currency control regulations; anti-bribery laws; money transfer and payment instrument licensing laws; escheatment laws; privacy, data protection and information security laws, such as the Gramm-Leach-Bliley Act (“GLBA”); and consumer disclosure and consumer protection laws, such as the California Consumer Privacy Act (“CCPA”).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Regulators worldwide are exercising heightened supervision of money remittance providers and requiring increased efforts to ensure compliance. Failure to comply with any applicable laws and regulations could result in restrictions on our ability to provide our products and services, as well as the potential imposition of civil fines and possibly criminal penalties, including suspension or cancellation of an affected license. We continually monitor and enhance our compliance programs to stay current and compliant with legal and regulatory changes.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Anti-Money Laundering, Counter-Terrorism Financing and Sanctions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services are subject to anti-money laundering laws and regulations of the United States, including the Bank Secrecy Act (“BSA”), as amended by the USA PATRIOT Act of 2001, as well as state laws and regulations and the anti-money laundering laws and regulations in many of the countries in which we operate. The countries in which we operate may require one or more of the following:</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reporting of large cash transactions and suspicious activity;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transaction screening against government watch-lists, including the sanctions list maintained by OFAC;</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prohibition of transactions in, to or from certain countries, governments, individuals and entities;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limitations on amounts that may be transferred by a consumer or from a jurisdiction at any one time or over specified periods of time, which require aggregation over multiple transactions;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consumer information gathering and reporting requirements;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consumer disclosure requirements, including language requirements and foreign currency restrictions;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notification requirements as to the identity of contracting agents, governmental approval of contracting agents or requirements and limitations on contract terms with our agents;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registration or licensing of us or our agents with a state or federal agency in the United States or with the central bank or other proper authority in a foreign country.</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Anti-money laundering regulations are constantly evolving and vary from country to country.</w:t>
      </w:r>
      <w:r>
        <w:rPr>
          <w:color w:val="000000"/>
        </w:rPr>
        <w:t xml:space="preserve"> </w:t>
      </w:r>
      <w:r>
        <w:rPr>
          <w:rFonts w:ascii="Times New Roman;sans-serif" w:hAnsi="Times New Roman;sans-serif"/>
          <w:b w:val="false"/>
          <w:color w:val="000000"/>
          <w:sz w:val="20"/>
        </w:rPr>
        <w:t>We continuously monitor our compliance with anti-money laundering regulations and implement policies and procedures to stay current with legal requirements. Our money remittance services are primarily offered through third-party agents under contract with us, but we do not directly control these agents. As a MSB, we and our agents are required to establish anti-money laundering compliance programs that include internal policies and controls; a designated compliance officer; employee training and an independent review function. We have developed an anti-money laundering training manual and a program to assist with the education of our agents and employees on the applicable rules and regulations. We also offer in-person and online training as part of our agent compliance training program, engage in various activities to enable agent oversight and have adopted compliance policies that outline key principles of our compliance program to our agents. We have developed a regulatory compliance department, under the direction of our Chief Compliance Officer, whose foremost responsibility is to monitor transactions, detect suspicious activity, maintain financial records and train our employees and agents. Independent third-party consulting firms periodically review our policies and procedures to ensure the efficacy of our anti-money laundering and regulatory compliance programs. Key milestones in the compliance processes include: (1) mandatory fields and identification requirements at the time the sending agents initiate a transaction; (2) the sender and receiver are screened against government-required lists (for OFAC and other purposes); (3) before the transaction is sent to the paying agent, it is screened and any flagged exceptions are sent to the compliance unit for investigation and release or rejection; and (4) the transaction is screened for limit restrictions, velocity levels, structuring and identification requirements.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and when required by regulatory requirements, we make information available to certain U.S. federal and state, as well as certain foreign, government agencies to assist in the prevention of money laundering, terrorism financing and other illegal activities and pursuant to legal obligations and authorizations. In certain circumstances, we may be required by government agencies to deny transactions that may be related to persons suspected of money laundering, terrorism financing or other illegal activities, and it is possible that we may inadvertently deny transactions from consumers who are making legal money transfers.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Licensing</w:t>
      </w:r>
      <w:r>
        <w:rPr>
          <w:rFonts w:ascii="Times New Roman;sans-serif" w:hAnsi="Times New Roman;sans-serif"/>
          <w:b w:val="false"/>
          <w:color w:val="000000"/>
          <w:sz w:val="20"/>
        </w:rPr>
        <w:t>. In most countries in which we operate, either we or our agents are required to obtain licenses or to register with a government authority in order to offer money transfer services. Almost all states in the United States, the District of Columbia and Puerto Rico, as well as certain provinces in Canada and certain countries in Europe, require us to be licensed to conduct business within their jurisdictions. Licensing requirements may include requirements related to net worth, providing surety bonds and letters of credit, operational procedures, agent oversight and maintenance of reserves to cover outstanding payment obligations. Acceptable forms of such reserves will vary based on jurisdiction and the applicable regulator, but generally include cash and cash equivalents, U.S. government securities and other highly rated debt instruments. Many regulators require us to file reports on a quarterly or more frequent basis to verify our compliance with their requirements. We are also subject to periodic examinations by the governmental agencies with regulatory authority over our business.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Escheatment</w:t>
      </w:r>
      <w:r>
        <w:rPr>
          <w:rFonts w:ascii="Times New Roman;sans-serif" w:hAnsi="Times New Roman;sans-serif"/>
          <w:b w:val="false"/>
          <w:color w:val="000000"/>
          <w:sz w:val="20"/>
        </w:rPr>
        <w:t>.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 We have an ongoing program designed to comply with escheatment laws as they apply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Data Privacy and Cybersecurity</w:t>
      </w:r>
      <w:r>
        <w:rPr>
          <w:rFonts w:ascii="Times New Roman;sans-serif" w:hAnsi="Times New Roman;sans-serif"/>
          <w:b w:val="false"/>
          <w:color w:val="000000"/>
          <w:sz w:val="20"/>
        </w:rPr>
        <w:t xml:space="preserve">. We are subject to federal, state and international laws and regulations relating to the collection, use, retention, security, transfer, storage and disposal of personally identifiable information of our customers, agents and employees. In the United States, we are subject to various federal privacy laws, including the Gramm-Leach-Bliley Act, which requires that financial institutions provide consumers with privacy notices and have in place policies and procedures regarding the safeguarding of personal information. We are also subject to privacy and data breach laws of various states. </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Consumer Protection</w:t>
      </w:r>
      <w:r>
        <w:rPr>
          <w:rFonts w:ascii="Times New Roman;sans-serif" w:hAnsi="Times New Roman;sans-serif"/>
          <w:b w:val="false"/>
          <w:color w:val="000000"/>
          <w:sz w:val="20"/>
        </w:rPr>
        <w:t xml:space="preserve">. The Dodd-Frank Wall Street Reform and Consumer Protection Act (the “Dodd-Frank Act”) imposes additional regulatory requirements and creates additional regulatory oversight over us. The Dodd-Frank Act created the CFPB which issues and enforces consumer protection initiatives governing financial products and services, including money remittance services, in the United States through the CFPB’s Remittance Transfer Rule. Its requirements include: a disclosure requirement to provide consumers sending funds internationally from the United States enhanced pre-transaction written disclosures, an obligation to resolve certain errors, including errors that may be outside our control, and an obligation to cancel transactions that have not been completed at a consumer’s request. As a “larger participant” in the market for international money transfers, we are subject to direct examination and supervision by the CFPB. We have modified our systems and consumer disclosures in light of the requirements of the Remittance Transfer Rule.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Dodd-Frank Act, it is unlawful for any provider of consumer financial products or services to engage in unfair, deceptive, or abusive acts or practices. The CFPB has substantial rule making and enforcement authority to prevent unfair, deceptive, or abusive acts or practices in connection with any transaction with a consumer for a financial product or service. In addition, each state of the United States from time to time, may enact new laws and regulations, such as the CCPA, which creates new consumer rights relating to the access to, deletion of, and sharing of personal information that is collected by businesses. We have taken the necessary steps to review, modify and implement, as needed, policies and procedures designed to comply with the CFPB’s Remittance Transfer Rule. The Company’s communications, advertising and sales practices and that of its agent network are subject to regulation by, among other things, state and federal consumer protection laws including the Telephone Consumer Protection Act (“TCPA”). The FTC and the Federal Communications Commission have issued regulations under the TCPA that place restrictions on, among other things, unsolicited automated telephone calls or text messages to residential and wireless telephone subscribers by means of automatic telephone dialing systems and the use of prerecorded or artificial voice messages. The Company has taken steps to insulate itself from any such wrongful conduct, including conduct engaged in by its agents, by, among other things, requiring its agents to comply with the TCPA and such regulations.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Anti-Bribery Regulation</w:t>
      </w:r>
      <w:r>
        <w:rPr>
          <w:rFonts w:ascii="Times New Roman;sans-serif" w:hAnsi="Times New Roman;sans-serif"/>
          <w:b w:val="false"/>
          <w:color w:val="000000"/>
          <w:sz w:val="20"/>
        </w:rPr>
        <w:t>. We are subject to regulations imposed by the Foreign Corrupt Practices Act (the “FCPA”) in the United States and similar anti-bribery laws in other jurisdictions. These laws may impose recordkeeping and other requirements on us. We maintain a compliance program designed to comply with anti-bribery laws and regulations applicable to our business.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certain of its cash balances in various U.S. banks, which at times, may exceed federally insured limits. In addition, the Company maintains various bank accounts in Mexico, Guatemala, Canada, the Dominican Republic, Spain and Italy, which may not be fully insured. Management believes it is not exposed to any significant credit risk regarding these accounts as it performs periodic reviews of the creditworthiness of the financial institutions the Company uses.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times, we are exposed to credit risk related to receivable balances from sending agents in the money remittance process if agents do not timely make payments to us.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monitor fraud risk, perform credit reviews before adding agents to our network and conduct periodic credit risk analyses of agents and certain other parties that we transact with directly. For the year ended December 31, 2023, our provision for credit losses was equal to 0.8% of our total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online and electronic platforms, we also are exposed to credit risk directly from transactions that are originated through means other than cash, such as credit, debit cards and “ACH” transfers, and therefore are subject to “chargebacks” for insufficient funds or other collection impediments, such as fraud.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nature of our business, we are also subject to liquidity risk as the timing of the funds to be remitted by our sending agents may extend in comparison with the timing when we make the funds available to the money transfer beneficiary in the destination country. Our current liquidity sources as well as our ability to generate free cash are mitigating factors in our liquidity management strategy.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bears interest at variable rates, which exposes us to interest rate risk as a result of fluctuations on market interest rate benchmarks.</w:t>
      </w:r>
    </w:p>
    <w:p>
      <w:pPr>
        <w:pStyle w:val="TextBody"/>
        <w:bidi w:val="0"/>
        <w:spacing w:lineRule="auto" w:line="288" w:before="0" w:after="24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experience meaningful seasonality in our business. We may experience, however, increased transaction volume around certain holidays, such as Mother’s Day and the December holidays.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money remittance services is very competitive. Our competitors include a small number of large money remittance providers, financial institutions and banks as well as a large number of small niche money remittance service providers that serve select regions. We compete with larger companies, such as The Western Union Company (“Western Union”), MoneyGram International, Inc. (“MoneyGram”), Remitly Global, Inc. (“Remitly”) and Euronet Worldwide Inc. (“Euronet”), and a number of other smaller competitors. We generally compete for money remittance agents on the basis of value, service, quality, technical and operational differences, commission, and marketing efforts. As a philosophy, we sell credible solutions to agents, not discounts or higher commissions as is typical for the industry. We compete for money remittance customers on the basis of trust, convenience, service, efficiency of outlets, value, technology and brand recognition. We believe that our ongoing investments in new products and services will help us to remain competitive in our evolving business environment, given the increasing competition from digital platform providers.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encounter increasing competition as new technologies emerge that enable customers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in preparation for consumer adoption.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invest in our workforce by offering a competitive total rewards package that in addition to a salary, includes performance incentives and comprehensive benefits that are intended to be competitive in the market and focused on the needs of our employees in order to attract and retain highly qualified talent. Our incentives are primarily measurable and performance-based, and are designed to align compensation to our business strategy and goals. We have enhanced our onboarding process and plan to further improve training and development programs to drive quicker integration, development and higher productivity of new employees, as well as the ongoing development of team members to ensure robust recruitment and retention.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value diversity and inclusion and strive to create a work environment where everyone feels valued and devoted to their work. As of December 31, 2023, approximately 95% of our U.S. team members identified themselves as racially or ethnically diverse. Also, approximately 60% of our U.S. team identified themselves as female. In 2024, we intend to continue to promote greater community involvement through philanthropic and volunteer efforts, with a focus on diversity, community improvement, and STEM programs.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534 employees in the United States, all of whom are full-time. We also have 698 employees in Mexico, of whom 261 are part-time and 427 are full-time, 79 employees in Guatemala, all of whom are full-time and, 76 employees in Spain and Italy, of whom 70 are full-time.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five of the nine members of our board of directors are considered diverse based on gender or ethnic backgrounds.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Annual Report on Form 10-K, quarterly reports on Form 10-Q, current reports on Form 8-K, and amendments to those reports are available free of charge through the “Investor Relations” section of the Company’s website, www.intermexonline.com, as soon as reasonably practical after they are filed with the Securities and Exchange Commission (“SEC”). The SEC maintains a website, www.sec.gov, which contains reports, proxy and information statements, and other information filed electronically with the SEC by the Company. In addition, you may automatically receive email alerts and other information when you enroll your email address by visiting the “Investor Relations” section of our website. We use our website as a channel of distribution for important Company information, including press releases, investor presentations and financial information, which may be accessed by clicking on the Investors Relations section. We may also use our website to expedite public access to time-critical information regarding our Company in advance of or in lieu of distributing a press release or a filing with the SEC disclosing the same information. Therefore, investors should look to the Investor Relations section of our website for important and time-critical information. The content of any website referred to in this document is not incorporated by reference into this document.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Information about our Executive Officers </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Set forth below is certain information regarding the Company’s current executive officers as of February 27</w:t>
      </w:r>
      <w:r>
        <w:rPr>
          <w:rFonts w:ascii="Times New Roman;sans-serif" w:hAnsi="Times New Roman;sans-serif"/>
          <w:b w:val="false"/>
          <w:color w:val="000000"/>
          <w:sz w:val="20"/>
          <w:shd w:fill="FFFFFF" w:val="clear"/>
        </w:rPr>
        <w:t>, 2023</w:t>
      </w:r>
      <w:r>
        <w:rPr>
          <w:rFonts w:ascii="Times New Roman;sans-serif" w:hAnsi="Times New Roman;sans-serif"/>
          <w:b w:val="false"/>
          <w:color w:val="000000"/>
          <w:sz w:val="20"/>
        </w:rPr>
        <w:t>:</w:t>
      </w:r>
    </w:p>
    <w:tbl>
      <w:tblPr>
        <w:tblW w:w="8304" w:type="dxa"/>
        <w:jc w:val="left"/>
        <w:tblInd w:w="0" w:type="dxa"/>
        <w:tblLayout w:type="fixed"/>
        <w:tblCellMar>
          <w:top w:w="28" w:type="dxa"/>
          <w:left w:w="28" w:type="dxa"/>
          <w:bottom w:w="28" w:type="dxa"/>
          <w:right w:w="28" w:type="dxa"/>
        </w:tblCellMar>
      </w:tblPr>
      <w:tblGrid>
        <w:gridCol w:w="390"/>
        <w:gridCol w:w="343"/>
        <w:gridCol w:w="347"/>
        <w:gridCol w:w="109"/>
        <w:gridCol w:w="109"/>
        <w:gridCol w:w="109"/>
        <w:gridCol w:w="145"/>
        <w:gridCol w:w="145"/>
        <w:gridCol w:w="146"/>
        <w:gridCol w:w="109"/>
        <w:gridCol w:w="109"/>
        <w:gridCol w:w="109"/>
        <w:gridCol w:w="1791"/>
        <w:gridCol w:w="1791"/>
        <w:gridCol w:w="2552"/>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Chairman of the Board of Directors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tbl>
      <w:tblPr>
        <w:tblW w:w="6499" w:type="dxa"/>
        <w:jc w:val="left"/>
        <w:tblInd w:w="0" w:type="dxa"/>
        <w:tblLayout w:type="fixed"/>
        <w:tblCellMar>
          <w:top w:w="28" w:type="dxa"/>
          <w:left w:w="28" w:type="dxa"/>
          <w:bottom w:w="28" w:type="dxa"/>
          <w:right w:w="28" w:type="dxa"/>
        </w:tblCellMar>
      </w:tblPr>
      <w:tblGrid>
        <w:gridCol w:w="553"/>
        <w:gridCol w:w="487"/>
        <w:gridCol w:w="489"/>
        <w:gridCol w:w="109"/>
        <w:gridCol w:w="109"/>
        <w:gridCol w:w="109"/>
        <w:gridCol w:w="109"/>
        <w:gridCol w:w="109"/>
        <w:gridCol w:w="109"/>
        <w:gridCol w:w="109"/>
        <w:gridCol w:w="109"/>
        <w:gridCol w:w="109"/>
        <w:gridCol w:w="1167"/>
        <w:gridCol w:w="1167"/>
        <w:gridCol w:w="1655"/>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Joseph Aguilar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General Manager - Latin America</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Hunt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Robert Lisy</w:t>
      </w:r>
      <w:r>
        <w:rPr>
          <w:color w:val="000000"/>
        </w:rPr>
        <w:t xml:space="preserve"> </w:t>
      </w:r>
      <w:r>
        <w:rPr>
          <w:rFonts w:ascii="Times New Roman;sans-serif" w:hAnsi="Times New Roman;sans-serif"/>
          <w:b w:val="false"/>
          <w:color w:val="000000"/>
          <w:sz w:val="20"/>
        </w:rPr>
        <w:t>has served as a director of International Money Express, Inc. since 2018. Mr. Lisy served as a director of International Money Express Sub 2, LLC’s predecessor entities from 2009 to 2018. Mr. Lisy is the Chief Executive Officer, President, and Chairman of the Board of Directors of International Money Express, Inc. and its predecessors, which he joined in 2009. Mr. Lisy has more than 30 years of experience in the retail financial services and electronic payment processing industry in various positions, including three years as the Chief Marketing and Sales Officer of Vigo Remittance Corp., a money transfer and bill payments service in the United States and internationally, and over seven years at Western Union in various sales, marketing and operational positions of increasing responsibility. Mr. Lisy was a founding partner of Direct Express/Paystation America, which offered, among other things, prepaid debit cards to federal benefit recipients, where he served as Chief Operating Officer and on the board of directors. He was an integral part in the efforts to successfully sell Direct Express in 2000 to American Payment Systems. Mr. Lisy holds a bachelor’s degree in Finance from Cleveland State University.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Andras Bende</w:t>
      </w:r>
      <w:r>
        <w:rPr>
          <w:color w:val="000000"/>
        </w:rPr>
        <w:t xml:space="preserve"> </w:t>
      </w:r>
      <w:r>
        <w:rPr>
          <w:rFonts w:ascii="Times New Roman;sans-serif" w:hAnsi="Times New Roman;sans-serif"/>
          <w:b w:val="false"/>
          <w:color w:val="000000"/>
          <w:sz w:val="20"/>
        </w:rPr>
        <w:t>joined International Money Express, Inc. as Chief Financial Officer in December 2020. Prior to joining the Company, Mr. Bende served as the Chief Financial Officer of Computer Services, Inc., a financial technology company, from 2018 to 2019, where he helped guide the company during a period of significant growth and share price appreciation. Prior to his time at Computer Services, Inc., Mr. Bende held several international Chief Financial Officer and Controller roles at GE Capital from 2005 to 2017. Mr. Bende is a graduate of GE’s Financial Management Program and the GE Corporate Audit Staff and holds a bachelor’s degree in financial management from Clemson University.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Joseph Aguilar</w:t>
      </w:r>
      <w:r>
        <w:rPr>
          <w:color w:val="000000"/>
        </w:rPr>
        <w:t xml:space="preserve"> </w:t>
      </w:r>
      <w:r>
        <w:rPr>
          <w:rFonts w:ascii="Times New Roman;sans-serif" w:hAnsi="Times New Roman;sans-serif"/>
          <w:b w:val="false"/>
          <w:color w:val="000000"/>
          <w:sz w:val="20"/>
        </w:rPr>
        <w:t>joined International Money Express, Inc. in September 2019 as Chief Operating Officer. Effective January 2023, Mr. Aguilar was appointed President and General Manager - Latin America. Prior to joining Intermex, Mr. Aguilar was a senior executive at Sigue Corporation, a money transfer company; starting in 2005 as the Chief Auditor, where he established the Internal Audit function for its U.S. and Mexico Operations. Following several successful audit cycles, he was promoted to Chief Operating Officer, responsible for all operations and technology functions of the global organization. In 2014, Mr. Aguilar was promoted to President of SGS, Ltd. UK, the International Division of Sigue Corporation, with responsibility for all aspects of the business in the EU, Eastern Europe, Africa, Asia and South Asia. Prior to his roles at Sigue Corporation, Mr. Aguilar held senior roles at BBVA Bancomer, California Commerce Bank and Dai-Ichi Kangyo Bank of California. Mr. Aguilar holds a bachelor’s degree in English from University of California at Santa Barbara.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Christopher Hunt</w:t>
      </w:r>
      <w:r>
        <w:rPr>
          <w:color w:val="000000"/>
        </w:rPr>
        <w:t xml:space="preserve"> </w:t>
      </w:r>
      <w:r>
        <w:rPr>
          <w:rFonts w:ascii="Times New Roman;sans-serif" w:hAnsi="Times New Roman;sans-serif"/>
          <w:b w:val="false"/>
          <w:color w:val="000000"/>
          <w:sz w:val="20"/>
        </w:rPr>
        <w:t>joined International Money Express, Inc. in March 2021 as Chief Information Officer. Effective April 20, 2023, Mr. Hunt was appointed Chief Operating Officer. Prior to joining the Company, Mr. Hunt was the Chief Technology Officer of Bankers Healthcare Group, a financial services company (“Bankers”), from 2013 to 2021. Prior to his role at Bankers, Mr. Hunt worked at several companies where he held a variety of IT positions with increasing responsibility for all aspects of overall IT strategy, product development, compliance and cybersecurity. Mr. Hunt earned a bachelor’s degree in Business Administration with a major in Decision Information Sciences from the University of Florida in Gainesville, Florida.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certain risks. The risks and uncertainties described below are not the only risks that may have a material and adverse effect on the Company, and the risks described herein are not listed in order of the potential occurrence or severity. There is no assurance that we have identified, assessed and appropriately addressed all risks affecting our business operations. Additional risks and uncertainties could adversely affect our business and our results of operations. If any of the following risks actually occur, our business, consolidated financial condition or results of operations could be negatively affected, and the market price for our shares could decline. Further, to the extent that any of the information contained in this Annual Report on Form 10-K constitutes forward-looking statements, the risk factors set forth below are cautionary statements, identifying important factors that could cause the Company’s actual results to differ materially from those expressed in or implied by any forward-looking statements made by or on behalf of the Company. There can also be no assurance that the actual future results, performance, benefits or achievements that we expect from our strategies, systems, initiatives or products will occur.</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Relating to Our Business and Industry</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we lose key sending agents, our business with key sending agents is reduced or we are unable to maintain our sending agent network under terms consistent with those currently in place,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 is earned through our sending agent network. Sending agents are the persons who interact with consumers and provide them with our money remittance services. If sending agents decide to leave our network, our revenue and profits could be adversely affected. The loss of sending agents may occur for a number of reasons, including competition from other money remittance providers, a sending agent’s dissatisfaction with its relationship with us or the revenue earned from the relationship, or a sending agent’s unwillingness or inability to comply with our standards or legal requirements, including those related to compliance with anti-money laundering regulations, anti-fraud measures or agent monitoring. Sending agents also may generate fewer transactions or reduce locations for reasons unrelated to our relationship with them, including increased competition in their business, general economic conditions, regulatory costs or other reasons. In addition, larger sending agents may demand additional financial concessions, which could increase competitive pressure.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and if we are unable to continue to compete effectively,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in which we operate are highly competitive, and we face a variety of competitors across our businesses, some of which have larger and more established customer bases and substantially greater financial, marketing and other resources than we have. We compete in a concentrated industry, with a small number of large competitors and a large number of small, niche competitors, including consumer money remittance companies, banks, card associations, web-based services, payment processors, informal remittance systems and others. We also face competition from new digital and nontraditional remittance service providers within the financial technology industry. We believe our services are differentiated by features and functionalities, including trust, convenience, service, efficiency of outlets, value, technology and brand recognition. Distribution channels and digital platforms such as online, account based and mobile solutions continue to evolve and impact the competitive environment for money remittances.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depends on our ability to compete effectively. For example, if our services do not offer competitive features and functionalities, we may lose customers to our competitors, which could adversely affect our business, financial condition and results of operations. In addition, if we fail to price our services appropriately relative to our competitors, consumers may not use our services, which could adversely affect our business and financial results. For example, transaction volume where we face intense competition could be adversely affected by increasing pricing pressures between our money remittance services and those of some of our competitors, which could reduce margins and adversely affect our financial results. We have historically implemented and may continue implementing price adjustments from time to time in response to competition and other factors. If we reduce prices in order to mitigate the actions of competitors, such reductions could adversely affect our financial results in the short term and may also adversely affect our financial results in the long term if transaction volumes do not increase sufficiently or we do not implement other pricing strategies.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Weakness in economic conditions, in both the U.S. and international markets, could adversely affect our business, financial condition and results of operations. We are subject to business cycles and other outside factors, including geopolitical events, natural disasters and other factors, that may negatively affect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money remittance business relies in part on the overall strength of economic conditions. Consumer money remittance transactions are affected by, among other things, employment opportunities and overall economic conditions, such as recession, rising inflation and higher market interest rates. Additionally, consumers tend to be employed in industries such as construction, information technology, manufacturing, agriculture, hospitality and certain service industries that tend to be cyclical and are more significantly affected by weak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economic conditions than other industries. This may result in reduced job opportunities for consumers in the United States or other countries in which we operate or that are important to our business, which could adversely affect our business, financial condition and results of operations. In addition, increases in employment opportunities may lag other elements of any economic recovery.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general market and economic conditions in the United States or other countries in which we operate or are important to our business were to deteriorate, our business, financial condition and results of operations could be adversely impacted. Our agents may have reduced sales or business as a result of weak economic conditions. As a result, our agents may reduce their number of locations, hours of operation, or cease doing business altogether. If consumer transactions decline due to deteriorating economic conditions, we may be unable to timely and effectively reduce our operating costs or take other actions in response, which could adversely affect our business, financial condition and results of operations. Our employees, agents and consumers in a particular country or region in the world may be negatively affected as a result of a variety of diversions, including: geopolitical events, such as war, the threat of war, or terrorist activity; natural disasters or the effects of climate change (such as drought, flooding, wildfires, increased storm severity, and sea level rise); power shortages or outages; major public health issues, including pandemics; and significant local, national or global events capturing the attention of a large part of the population. If any of these, or any other factors, disrupt a country or region where we have a significant workforce, customers or agents, our business could be materially adversely affected. Additionally, economic or political instability, wars, civil unrest, terrorism and natural disasters may make money transfers to, from or within a particular country more difficult. The inability to timely complete money transfers could adversely affect our business.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and results of operations may be adversely affected by international political, economic and social instability risks, foreign currency restrictions and volatility, tariffs or restrictions on remittances or transfers from the countries in which we operate.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our revenue from our money remittance transactions from the United States to the LAC corridor, particularly Mexico, Guatemala, El Salvador, Honduras and the Dominican Republic, and we are exposed to certain political, economic and other uncertainties not encountered in U.S. operations. Consequently, actions or events in LAC or other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and adverse impact on our business, financial condition and results of operations. We are also exposed to new political, economic and other uncertainties as a result of the geographic expansion to Europe, Africa, and Asia, any of which could adversely impact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countries in which we operate may impose or tighten foreign currency exchange control restrictions, taxes or limitations with regard to repatriation of earnings and investments from these countries. If exchange control restrictions, taxes or limitations are imposed or tightened, our ability to receive dividends or other payments from affected jurisdictions could be reduced, which could have an adverse effect on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grow in international markets and our future results could be adversely affected by a number of factors, including:</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changes in geopolitical and economic conditions and potential instability in certain regions;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restrictions on money transfers to, from and between certain countries;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inability to recruit and retain paying agents and consumers for new corridors;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currency exchange controls, new currency adoptions and repatriation issues;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changes in regulatory requirements or in foreign policy, including the adoption of domestic or foreign laws, regulations and interpretations detrimental to our business;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possible increased costs and additional regulatory burdens imposed on our business;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the implementation of U.S. sanctions, resulting in bank closures in certain countries and the ultimate freezing of our assets;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burdens of complying with a wide variety of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possible fraud or theft losses, and lack of compliance by international representatives in foreign legal jurisdictions where collection and legal enforcement may be difficult or costly;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inability to maintain or improve our software and technology systems;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reduced protection of our intellectual property rights;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unfavorable tax rules or trade barriers;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inability to secure, train or monitor international agents.</w:t>
      </w:r>
    </w:p>
    <w:p>
      <w:pPr>
        <w:pStyle w:val="TextBody"/>
        <w:bidi w:val="0"/>
        <w:spacing w:lineRule="auto" w:line="288" w:before="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financial condition, results of operations or business may be affected by volatility in foreign exchange rates of the countries to which we send a significant portion of consumer remittances.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shd w:fill="FFFFFF" w:val="clear"/>
        </w:rPr>
        <w:t>Significant volatility in foreign exchange rates could affect the volume of consumer remittance activity in terms of the principal amount sent or the frequency of money remittances, which</w:t>
      </w:r>
      <w:r>
        <w:rPr>
          <w:color w:val="000000"/>
        </w:rPr>
        <w:t xml:space="preserve"> </w:t>
      </w:r>
      <w:r>
        <w:rPr>
          <w:rFonts w:ascii="Times New Roman;sans-serif" w:hAnsi="Times New Roman;sans-serif"/>
          <w:b w:val="false"/>
          <w:color w:val="000000"/>
          <w:sz w:val="20"/>
        </w:rPr>
        <w:t>may negatively affect our average foreign exchange gain per transaction. Long-term sustained appreciation of the Mexican peso or Guatemalan quetzal as compared to the U.S. dollar could negatively affect our revenues and results of operations.</w:t>
      </w:r>
    </w:p>
    <w:p>
      <w:pPr>
        <w:pStyle w:val="TextBody"/>
        <w:bidi w:val="0"/>
        <w:spacing w:lineRule="auto" w:line="288" w:before="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financial condition, results of operations, business and cash flow may be negatively affected by a public health conditions, responses thereto and the economic and market effects thereof.</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face risks related to health epidemics and pandemics or other outbreaks of communicable diseases. A public health epidemic or pandemic can have a material adverse effect on the demand for our money remittance services to the extent it adversely affects the markets in which we operate, and poses the risk that we or our employees, network of agents and consumers and their beneficiaries may be prevented from conducting business activities for an indefinite period of time, including due to shutdowns requested or mandated by governmental authorities, or that such epidemic may otherwise interrupt or impair business activities.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consumer confidence in our business, brands or in consumer money remittance providers generally deteriorates,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built on consumer confidence in our brands and our ability to provide convenient, reliable and value-added money remittance services. Erosion in consumer confidence in our business, or in consumer money remittance service providers as a means to transfer money more generally, could adversely impact transaction volumes which would in turn adversely impact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factors could adversely affect consumer confidence in our business, or in consumer money remittance providers more generally, many of which are beyond our control, and could have an adverse impact on our business, financial condition and results of operations. These factors include: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the quality of our services and our customer experience, and our ability to meet evolving consumer needs and preferences;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failure of our agents to deliver services in accordance with our requirements;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reputational concerns resulting from actual or perceived events, including those related to fraud, consumer protection, cybersecurity incidents, money laundering, corruption or other matters;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changes or proposed changes in laws or regulations, or regulator or judicial interpretation thereof, that have the effect of making it more difficult or less desirable to transfer money using consumer money remittance service providers, including additional customer due diligence, identification, reporting, and recordkeeping requirements;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actions by federal, state or foreign regulators that interfere with our ability to remit consumers’ money reliably; for example, attempts to seize money remittance funds, imposition of tariffs or limits on our ability to, or that prohibit us from, remitting money in the corridors in which we operate;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federal, state or foreign legal requirements, including those that require us to provide consumer or transaction data, and other requirements or to a greater extent than is currently required;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any interruption or downtime in our systems, including those caused by fire, natural disaster, power loss, telecommunications failure, terrorism, vendor failure, cybersecurity breaches, such as unauthorized entry and computer viruses or disruptions in our workforce;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any attack or breach of our computer systems or other data storage facilities resulting in a compromise of personal data.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consumers that use our services are migrants. Consumer advocacy groups or governmental agencies could consider migrants to be disadvantaged and entitled to protection, enhanced consumer disclosure, or other different treatment. If consumer advocacy groups are able to generate widespread support for actions that are detrimental to our business, then our business, financial condition and results of operations could be adversely affected.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profit margins may be adversely affected by expansion into new geographic or product markets, which we may enter by acquisition or otherwise, that do not have the same profitability as our core markets.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expansion of our business into new geographic or product markets may increase our aggregate revenues, such new geographic or product markets may be more expensive to operate in and may require us to receive lower payment per wire or remittance than that which we currently experience in our core geographic markets of Mexico, Guatemala, El Salvador, Honduras and the Dominican Republic or other more established product markets due to, among other things: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increased compliance and regulatory costs requiring us to dedicate more expense, time and resources to comply with such regulatory requirements;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potentially higher operational expenses, such as higher agent fees, taxes, fees, technology costs, support costs or other charges and expenses associated with engaging in the money transfer business in different jurisdictions or as a result of new product offerings;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reduced pricing models due to more intense competition with entities that may have more experience and resources as well as more established relationships with relevant customers, regulators and industry participants;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potentially reduced demand for remittance services;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difficulty building and maintaining a network of sending and paying agents in a particular geographic area or with respect to a particular product offering.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process remittances to Latin America, Africa and Asia from the United States, Spain, Italy and Germany and from Canada to Latin America and Africa. Additionally, we have expanded our product and service portfolio to include online payment options, pre-paid debit cards and direct deposit payroll cards, which may present different cost, demand, regulatory and risk profiles relative to our core remittance business. If we are unable to capitalize on these markets, or if we spend significant time and resources on expansion plans that fail or are delayed, our business will be adversely affected. Even if we are successful, we will be exposed to additional risks in these markets that we do not face in the United States or in our core remittance business, which could have an adverse effect on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Acquisitions and integration of new businesses create risks and may affect operating results. Failure to successfully complete, manage or integrate strategic transactions can adversely affect our business,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our businesses strategy and evaluate potential acquisitions, joint ventures, divestitures, and other strategic transactions. We have acquired and may acquire businesses both inside and outside the United States. The success of these transactions is dependent upon, among other things, our ability to realize the full extent of the expected returns, benefits, cost savings or synergies as a result of a transaction within the anticipated time frame, or at all, and receipt of necessary consents, clearances and approvals. Acquisitions often involve additional or increased risks including, for example:</w:t>
      </w:r>
    </w:p>
    <w:p>
      <w:pPr>
        <w:pStyle w:val="TextBody"/>
        <w:bidi w:val="0"/>
        <w:spacing w:before="0" w:after="0"/>
        <w:ind w:left="0" w:right="0" w:firstLine="360"/>
        <w:jc w:val="both"/>
        <w:rPr/>
      </w:pPr>
      <w:r>
        <w:rPr/>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 xml:space="preserve">managing the complex process of integrating the acquired company’s employees, products and services, technology and other assets in an effort to realize the projected value of the acquired company and the projected synergies of the acquisition; </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realizing the anticipated financial benefits from these acquisitions and where necessary, improving controls of these acquired businesses (including internal control over financial reporting and disclosure controls and procedures);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 xml:space="preserve">retaining existing customers and attracting new customers; </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maintaining good relations with agents of acquired companies;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managing geographically separated organizations, systems and facilities;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managing multi-jurisdictional operating, tax and financing structures or any inefficiencies;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integrating personnel with diverse business backgrounds and organizational cultures;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integrating the acquired systems and technologies into our Company;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complying with regulatory requirements, including those particular to the industry and jurisdiction of the acquired business, and the need to improve regulatory compliance systems and controls;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obtaining and enforcing intellectual property rights in some foreign countries;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entering new markets with the services of the acquired businesses;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general economic, social and political conditions, including legal and other barriers to cross-border investment in general, or by United States companies in particular.</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Integrating operations could also cause an interruption of, or divert resources from, one or more of our businesses and could result in the loss of key personnel. The diversion of management’s attention and any delays or difficulties encountered in connection with an acquisition and the integration of the acquired company’s operations could have an adverse effect on our business, financial condition, results of operations, and cash flows. Strategic transactions that are not successfully completed or managed effectively, or our failure to effectively manage the risks associated with such transactions, could result in adverse effects on our business, financial condition and results of operations.</w:t>
      </w:r>
    </w:p>
    <w:p>
      <w:pPr>
        <w:pStyle w:val="TextBody"/>
        <w:bidi w:val="0"/>
        <w:spacing w:before="0" w:after="0"/>
        <w:ind w:left="0" w:right="0" w:firstLine="408"/>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current risk management and compliance systems may not be able to exhaustively assess or mitigate all risks to which we are exposed from a transaction monitoring perspective.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engaged in ongoing efforts to enhance our risk management and compliance policies, procedures and systems to assure compliance with anti-money laundering laws and economic sanctions regulations. We have implemented, and are continuing to implement, policies, procedures and systems designed to address these laws and regulations, including monitoring on an automated and manual basis, the transactions processed through our systems and restricting business involving certain countries or individuals. However, the implementation of such policies, procedures and systems may be subject to human error. Further, we may be exposed to fraud or other misconduct committed by our employees, or other third parties, including but not limited to consumers and agents, or other events that are out of our control. Additionally, our risk management policies, procedures and systems are based upon our experience in the industry, and may not be adequate or effective in managing our future risk exposures or protecting us against unidentified or unanticipated risks, which could be significantly greater than those indicated by our past experience. As a result, we can offer no assurances that these policies, procedures and systems will be adequate to detect or prevent money laundering activity or OFAC violations. If any of these policies, procedures or systems do not operate properly, or are disabled, or are subject to intentional manipulation or inadvertent human error, we could suffer financial loss, a disruption of our business, regulatory intervention or reputational damage.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services might be used for illegal or improper purposes, such as consumer fraud or money laundering, which could expose us to additional liability.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remain susceptible to potentially illegal or improper uses as criminals are using increasingly sophisticated methods to engage in illegal activities involving internet services and payment services, such as identity theft, fraud and paper instrument counterfeiting. As we make more of our services available online and via Internet-enabled mobile devices, we subject ourselves to new types of consumer fraud risk because requirements relating to consumer authentication are more complex with internet services and such other technologies. Additionally, it is possible that our agents could engage in fraud against consumers. We use a variety of tools to protect against fraud; however, these tools may not always be successful. Allegations of fraud may result in fines, settlements, litigation expenses and reputational damage.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illegal or improper uses of our services may include money laundering, terrorist financing, drug trafficking, human trafficking, illegal online gaming, romance and other online scams, illegal sexually-oriented services, prohibited sales of pharmaceuticals, fraudulent sale of goods or services, piracy of software, movies, music and other copyrighted or trademarked goods, unauthorized uses of credit and debit cards or bank accounts and similar misconduct. Users of our services also may encourage, promote, facilitate or instruct others to engage in illegal activities. If the measures we have taken are too restrictive it could diminish our customer experience which could harm our business. There is no assurance that the measures we have taken to detect and reduce the risk of this kind of conduct will stop all illegal or improper uses of our services. Our business could be harmed if consumers use our system for illegal or improper purposes.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cybersecurity incident or breach of security in the information systems on which we rely could adversely affect our reputation,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we face constant exposure to continually evolving cybersecurity risks and other technological risks. Our inability to protect our systems and data from these risks could adversely affect our reputation among consumers, agents, card issuers, paying agents, financial institutions, card networks, partners, and investors and may expose us to penalties, fines, liabilities, and legal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business is conducted over the internet, and we rely on the secure processing, storage, and transmission of confidential, sensitive, proprietary, and other types of information relating to our business operations and confidential and sensitive information about consumers, agents, and employees in our computer systems and networks, and in those of our third-party vendors. Additionally, our business is built upon a proprietary platform that is supported by Intermex employees and partners. Keeping this platform safe, private, and agile so that we may adjust to market demands is critical to our success. Individuals, groups, and state-sponsored organizations may take steps that pose threats to our operations, our computer systems, our employees, our consumers, and our agents. The cybersecurity risks we face range from cyberattacks that are common to most industries, such as the development and deployment of malicious software to gain access to our networks and to attempt to steal confidential information, launching distributed denial of service attacks, or attempting other coordinated disruptions. They may also include more advanced threats that target us because of our position in the remittance industry. Ransomware risk has increased significantly in recent years and presents a significant risk of financial extortion and loss of data. With the Intermex operating model, certain employees continue to work remotely or on a hybrid basis, which increases the importance of the integrity of our remote access security measures. We also face risk from our third-party suppliers if they are affected by cyber security incidents, which could result in their loss of service (which could be a significant component of our services to agents and consumers), exposure of Intermex proprietary, agent and consumer data, or a potential backdoor into the Company’s systems and networks.</w:t>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While plans and procedures are in place to protect our sensitive data, systems, and networks, we cannot be certain that these measures will be successful and will be sufficient to counter all current and emerging technological threats that are designed to breach our systems to gain access to sensitive information or disrupt our operations. The methods used to obtain unauthorized access, disable or degrade service, or compromise systems change frequently, have become increasingly complex and sophisticated, and are often difficult to detect timely. Threats to our systems and our associated third parties’ systems can derive from human error, fraud, or malice on the part of employees or third parties as well as may result from accidental technological failure. Our defensive data protection measures may not prevent unauthorized access or use of sensitive data. While we maintain insurance coverage that may cover certain aspects of cyber risks and incidents, our insurance coverage may be insufficient to cover all losses, and we may not be able to renew the insurance on commercially reasonable terms or at all. Further, we do not control the actions or technological environments of our agents and they may be susceptible to similar threats as previously mentioned which could lead to liability claims against the Company. Although agents have experienced security breaches, in the aggregate, none of these breaches has had a significant or material impact to the Company. In addition, following an acquisition, we take steps to ensure our data and system security protection measures cover the acquired business as part of our integration process. As such, there may be a period of increased cybersecurity risk during the period between closing an acquisition and the completion of our data and system security integration. Our inability to protect our systems and data from these and similar risks could, among other consequences, adversely affect our reputation, business, financial condition, and results of operations.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is particularly dependent on the efficient and uninterrupted operation of our information technology, computer network systems, and data centers. Disruptions to these systems and data centers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provide reliable services largely depends on the efficient and uninterrupted operation of our computer network systems and data centers. Our business involves the physical and electronic movement of large sums of money and the management of data necessary to do so. The success of our business particularly depends upon the efficient and error-free handling of transactions and data. We rely on the ability of our employees and our internal systems and procedures to process these transactions in an efficient, uninterrupted, and error-free manner.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breakdown, catastrophic event (such as fire, natural disaster, power loss, telecommunications failure, or physical break-in), security breach, computer virus, improper operation, improper action by our employees, agents, consumers, financial institutions, or third-party vendors or any other event impacting our systems or processes or our agents’ or vendors’ systems or processes, we could suffer financial loss, loss of consumers, regulatory sanctions, lawsuits, and damage to our reputation or consumers’ confidence in our business. The measures we have enacted, such as the implementation of business continuity and disaster recovery plans and redundant computer systems, may not be successful. We may also experience problems other than system failures, including software defects, development delays, and installation difficulties, which would harm our business and reputation and expose us to potential liability and increased operating expenses. In addition, any work stoppages or other labor actions by employees who support our systems or perform any of our major functions could adversely affect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continue to provide our services to a growing number of agents and consumers in a growing number of countries, as well as to enhance our existing services and offer new services across new distribution platforms, is dependent on our information technology systems. If we are unable to effectively manage the technology associated with our business, we could experience increased costs, reductions in system availability, and loss of agents or consumers.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we fail to successfully develop and timely introduce new and enhanced services, including the introduction of new digital platforms, or if we make substantial investments in an unsuccessful new service or infrastructure change,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will depend, in part, on our ability to continue to develop and successfully introduce new and enhanced methods of providing money remittance services, including the introduction of new digital platforms, that keep pace with competitive introductions, technological changes, and the demands and preferences of our agents, consumers and the financial institutions with which we conduct our business. Distribution channels such as online, account based, and mobile solutions continue to evolve and impact the competitive environment for money remittances. If alternative payment mechanisms become widely accepted as substitutes for our current services, and we do not develop and offer similar alternative payment mechanisms successfully and on a timely basis, our business, financial condition and results of operations could be adversely affected. We may make future acquisitions and investments or enter into strategic alliances to develop new technologies and services or to implement infrastructure changes to further our strategic objectives, strengthen our existing businesses and remain competitive. Such acquisitions, investments and strategic alliances, however, are inherently risky, and we cannot guarantee that such investments or strategic alliances will be successful.</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significant percentage of our banking relationships are concentrated in a few banks.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the transactions that we conduct with and through banks are concentrated in a few banks, notably Wells Fargo, Bank of America and US Bank. Because of the current concentration of our major banking relationships, if we lose such a banking relationship, which could be the result of many factors including, but not limited to, changes in regulation or the requirements imposed by banks and other financial institutions with respect to anti-money laundering, our business, financial condition and results of operations could be adversely affected.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paying agents are concentrated in a few large banks and financial institutions or large retail chains.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our paying agents are concentrated in a few large banks and financial institutions and large retail chains. Because of the current concentration, if we lose an institution as a paying agent, which could be the result of many factors including, but not limited to, changes in regulation, our business, financial condition and results of operations could be adversely affected. Elektra, our largest paying agent by volume, accounted for approximately 25% of Intermex’s total remittance volume in fiscal year 2023. The loss of Elektra as one of our paying agents could have a material adverse impact on our business and results of operations.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Bank failures, sustained financial market illiquidity, or illiquidity at the clearing, cash management and custodial financial institutions with which we do business,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certain risks in the event of a sustained deterioration of domestic or international financial market liquidity, as well as in the event of sustained deterioration in the liquidity, or failure, of the clearing, cash management and custodial financial institutions with which we do business. In particular:</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We may be unable to access funds in our deposit accounts and clearing accounts on a timely basis to pay money remittances and make related settlements to agents. Any resulting need to access other sources of liquidity or short-term borrowings would increase our costs. Any delay or inability to pay money remittances or make related settlements with our agents could adversely impact our business, financial condition and results of operations.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 the event of a bank failure, we could face risks to the recovery of our bank deposits used for the purpose of settling with our agents. A substantial portion of our cash and cash equivalents held at U.S. banks are not subject to federal deposit insurance protection against loss as they exceed the federal deposit insurance limit. Similarly, we hold cash and cash equivalents at foreign banks, which may not enjoy benefits such as the United States’ federal deposit insurance protection.</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We may be unable to borrow from financial institutions or institutional investors on favorable terms, or at all, which could adversely impact our ability to pursue our growth strategy and fund key strategic initiatives.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financial liquidity deteriorates, there can be no assurance we will not experience an adverse effect, which may be material, on our ability to access capital or contingent liquidity sources.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banking industry regulation and practice could make it more difficult for us and our sending agents to maintain depository accounts with banks, which would harm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banking industry, in light of increased regulatory oversight, is continually examining its business relationships with companies that offer money remittance services and with retail agents that collect and remit cash collected from end consumers. Certain major national and international banks have withdrawn from providing service to money remittance services businesses. Should our existing relationship banks decide to not offer depository services to companies engaged in processing money remittance transactions, or to retail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agents that collect and remit cash from end consumers, our ability to complete money remittances, and to administer and collect fees from money remittance transactions,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regulatory status and the regulatory status of our agents as MSBs could affect our ability to offer our services. We also rely on bank accounts to provide our payment services. We and some of our agents may in the future have difficulty establishing or maintaining banking relationships due to the banks’ policies, including policies with respect to anti-money laundering. If we or a significant number of our agents are unable to maintain existing or establish new banking relationships, or if we or these agents face higher fees and other costs to maintain or establish new bank accounts, our ability and the ability of our agents to continue to offer our services may be adversely impacted.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credit risks from our sending agents and financial institutions with which we do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business is conducted through independent sending agents that provide our services to consumers at their business locations. Our sending agents receive the proceeds from the sale of our money remittances, and we must then collect these funds from the sending agents. If a sending agent becomes insolvent, files for bankruptcy, commits fraud or otherwise fails to remit money remittance proceeds to us, we must nonetheless complete the money remittance on behalf of the consumer.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the creditworthiness of our sending agents and the financial institutions with which we do business on an ongoing basis. There can be no assurance that the models and approaches we use to assess and monitor the creditworthiness of our sending agents and these financial institutions will be sufficiently predictive, and we may be unable to detect and take steps to timely mitigate an increased credit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sending agent bankruptcy, we would generally be in the position of creditor, possibly with limited security or financial guarantees of performance, and we would therefore be at risk of a reduced recovery. We are not insured against credit losses, except in circumstances of agent theft or fraud. Significant credit losses could have a material and adverse effect on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Retaining our chief executive officer and other key executives and recruiting and retaining qualified personnel is important to our continued success, and any inability to attract and retain such personnel could harm our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operate our business will depend upon the efforts of certain key personnel. The development and implementation of our strategy has depended in large part on our Chief Executive Officer, President and Chairman of the Board of Directors, Robert Lisy. The retention of Mr. Lisy is important to our continued success, and we expect him to remain with the Company for the foreseeable future.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Mr. Lisy, we have a number of key executives who have a significant impact on our business. The unexpected loss of key personnel may adversely affect the operations and profitability of the Company. Our success also depends to a large extent upon our ability to attract and retain key employees. Qualified individuals with experience in our industry are in high demand. Our IT personnel have designed and implemented key portions of our proprietary software and are crucial to the success of our business. In addition, legal or enforcement actions against compliance and other personnel in the money remittance industry may affect our ability to attract and retain key employees and directors. The lack of management continuity or the loss of one or more members of our executive management team could harm our business and future development. A failure to recruit and retain key personnel including operating, marketing, financial and technical personnel, could also have a material and adverse impact on our business, financial condition and results of operations.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Regulatory and Legal Risks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and our agents are subject to numerous U.S. and international laws and regulations. Failure to comply with these laws and regulations could result in material settlements, fines or penalties and reputational harm, and changes in these laws or regulations could result in increased operating costs or reduced demand for our services, all of which may adversely affect our business,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regulated environment, and our business is subject to a wide range of laws and regulations that vary from jurisdiction to jurisdiction. We are also subject to oversight by various governmental agencies, both in the United States and abroad and, in any given year, we are subject to examinations by relevant federal and state agencies. Lawmakers and regulators in the United States in particular have increased their focus on the regulation of the financial services industry. New or modified regulations and increased oversight may have unforeseen or unintended adverse effects on the financial services industry, which could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money transfer business is subject to a variety of regulations aimed at preventing money laundering, human trafficking and terrorism. We are subject to U.S. federal anti-money laundering laws, including the BSA and the requirements of the U.S. Treasury Department’s OFAC, which prohibit us from transmitting money to specified countries or to or from prohibited individuals. Additionally,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anti-money laundering laws in the other countries and jurisdictions in which we operate and hold licenses including Europe, Mexico and Guatemala. We are also subject to financial services regulations, money transfer licensing regulations, consumer protection laws, currency control regulations, escheat laws, privacy and data protection laws and anti-bribery laws. Many of these laws are constantly evolving, unclear and inconsistent across various jurisdictions, making compliance challenging. Subsequent legislation, regulation, litigation, court rulings or other events could expose us to increased program costs, liability and reputational damage.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MSB, we are subject to reporting, recordkeeping and anti-money laundering provisions in the United States as well as many other jurisdictions. In the past few years there have been significant regulatory reviews and actions taken by U.S. and other regulators and law enforcement agencies against banks, MSBs and other financial institutions related to money laundering, and the trend appears to be greater scrutiny by regulators of potential money laundering activity through financial institutions. We are also subject to regulatory oversight and enforcement by FinCEN. Any determination that we or our agents have violated the anti-money-laundering laws could have an adverse effect on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increases the regulation and oversight of the financial services industry. The Dodd-Frank Act requires enforcement by various governmental agencies, including the CFPB. We could be subject to fines or other penalties if we are found to have violated the Dodd-Frank Act’s prohibition against unfair, deceptive or abusive acts or practices. The CFPB’s authority to change regulations adopted in the past by other regulators could increase our compliance costs and litigation exposure. Our litigation exposure may also be increased by the CFPB’s authority to limit or ban pre-dispute arbitration clauses. We may also be liable for failure of our agents to comply with the Dodd-Frank Act. The legislation and implementation of regulations associated with the Dodd-Frank Act have increased our costs of compliance and required changes in the way we and our agents conduct business. In addition, we are subject to periodic examination by the CFPB. These examinations may require us to change the way we conduct business or increase the costs of compliance.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escheatment laws in the United States. We are subject to the laws of various states in the United States which from time to time take inconsistent or conflicting positions regarding the requirements to escheat property to a particular state, making compliance challenging. In some instances, we escheat items to states pursuant to statutory requirements and then subsequently pay those items to consumers. For such amounts, we must file claims for reimbursement from the states.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violation by us or our agents of the laws and regulations set forth above could lead to significant settlements, fines or penalties and could limit our ability to conduct business in some jurisdictions. Our systems, employees and processes may not be sufficient to detect and prevent violations of the laws and regulations set forth above by our agents, which could also lead to us being subject to significant settlements, fines or penalties. In addition to these fines and penalties, a failure by us or our agents to comply with applicable laws and regulations also could seriously damage our reputation, result in diminished revenue and profit and increase our operating costs and could result in, among other things, revocation of required licenses or registrations, loss of approved status, termination of contracts with banks or retail representatives, administrative enforcement actions and fines, class action lawsuits, cease and desist or consent orders and civil and criminal liability. The occurrence of one or more of these events could have a material and adverse effect on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regulations may provide administrative discretion regarding enforcement. As a result, regulations may be applied inconsistently across the industry, which could result in additional costs for us that may not be required to be incurred by our competitors. If we were required to maintain a price higher than most of our competitors to reflect our regulatory costs, this could harm our ability to compete effectively, which could adversely affect our business, financial condition and results of operations. In addition, changes in laws, regulations or other industry practices and standards, or interpretations of legal or regulatory requirements, may reduce the market for or value of our services or render our services less profitable or obsolete. Changes in the laws affecting the kinds of entities that are permitted to act as money remittance agents (such as changes in requirements for capitalization or ownership) could adversely affect our ability to distribute our services and the cost of providing such services. Many of our sending agents are in the check cashing industry. Any regulatory action that negatively impacts check cashers could also cause this portion of our agent base to decline. If onerous regulatory requirements were imposed on our agents, the requirements could lead to a loss of agents, which, in turn, could adversely affect our business, financial condition or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Regulators around the world compare approaches to the regulation of the payments and other industries. Consequently, a development in any one country, state or region may influence regulatory approaches in other jurisdictions. Similarly, new laws and regulations in a country, state or region involving one service may cause lawmakers there to extend the regulations to another service. As a result, the risks created by any new laws or regulations are magnified by the potential that they may be replicated, affecting our business in another market or involving another service. Conversely, if widely varying regulations come into existence worldwide, we may have difficulty adjusting our services, fees, foreign exchange spreads and other important aspects of our business, with the same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Current and future data privacy and cybersecurity laws and regulations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requirements relating to data privacy and cybersecurity under U.S. federal, state and foreign laws. For example, in the U.S. the FTC routinely investigates the privacy practices of companies and has commenced enforcement actions against many, resulting in multi-million dollar settlements and multi-year agreements governing the settling companies’ privacy practices. If we are unable to meet such requirements, we may be subject to significant fines or penalties. Furthermore, certain industry groups require us to adhere to privacy requirements in addition to federal, state, and foreign laws, and certain of our business relationships depend upon our compliance with these requirements.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number of jurisdictions enacting privacy and related laws increases and the scope of these laws and enforcement efforts expands, we will increasingly become subject to new and varying requirements. For example, the CCPA requires covered companies to provide California consumers with new disclosures and expands the rights afforded to consumers regarding their data. The costs of compliance with, and other burdens imposed by, the CCPA and similar laws may limit the use and adoption of our products and services and/or require us to incur substantial compliance costs, which could have an adverse impact on our business. In addition, the California Privacy Rights Act of 2020 (CPRA), effective January 1, 2023, expanded the CCPA. For example, the CPRA establishes a new California Privacy Protection Agency to implement and enforce the CPRA, which could increase the risk of an enforcement action. Other states have also enacted data privacy laws. For example, Virginia passed the Consumer Data Protection Act, Colorado passed the Colorado Privacy Act, and Utah passed the Consumer Privacy Act, all of which became effective in 2023. Additionally, several states and localities have enacted measures related to the use of artificial intelligence and machine learning in products and services. In addition, data privacy and security laws have been proposed at the federal, state, and local levels in recent years, which could further complicate compliance efforts. Failure to comply with existing or future data privacy and cybersecurity laws, regulations, and requirements, including by reason of inadvertent disclosure of personal information, could result in significant adverse consequences, including reputational harm, civil litigation, regulatory enforcement, costs of remediation, increased expenses for security systems and personnel, or harm to our consumers and harm to our agents.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regulatory requirements to assist in the prevention of money laundering and terrorist financing and pursuant to legal obligations and authorizations, we make information available to certain U.S. federal and state, as well as certain foreign, government agencies. Periodically, we receive data sharing requests by these agencies, particularly in connection with efforts to prevent terrorist financing, human traffic or reduce the risk of identity theft. During the same period, there has also been increased public attention to the corporate use and disclosure of personal information, accompanied by legislation and regulations intended to strengthen data protection, information security, and consumer privacy. These regulatory goals may conflict, and the law in these areas is not consistent or settled. While we believe that we are compliant with our regulatory responsibilities, the legal, political, and business environments in these areas are rapidly changing, and subsequent legislation, regulation, litigation, court rulings, or other events could expose us to increased program costs, liability, and reputational damage that could have a material and adverse effect on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Litigation or investigations involving us or our agents could result in material settlements, fines or penalties.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from time to time are subject to allegations and complaints that individuals or entities have used our money remittance services for fraud-induced money transfers, as well as certain money laundering activities. In addition, we have been and from time to time are subject to requests for customer and transactional information related to civil and criminal investigations by law enforcement agencies that are concerned with the use of money sending services to facilitate improper activities. These matters could result in fines, penalties, judgments, settlements and investigatory and litigation expenses. We also are the subject from time to time of litigation related to other aspects of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and judicial proceedings and potential adverse developments in connection with ongoing litigation may adversely affect our business, financial condition and results of operations. There also may be adverse publicity associated with lawsuits and investigations that could decrease agent and consumer acceptance of our services. Additionally, our business has been in the past, and may be in the future, the subject of class action lawsuits, regulatory actions and investigations and other general litigation. The outcome of class action lawsuits, regulatory actions and investigations and other litigation is difficult to assess or quantify but may include substantial fines and expenses, as well as the revocation of required licenses or registrations or the loss of approved status, which could have a material and adverse effect on our business, financial condition and results of operations or consumers’ confidence in our business. Plaintiffs or regulatory agencies in these lawsuits, actions or investigations may seek recovery of very large or indeterminate amounts, and the magnitude of these actions may remain unknown for substantial periods of time. The cost to defend or settle future lawsuits or investigations may be significant. In addition, improper activities, lawsuits or investigations involving our agents may adversely impact our business, financial condition and results of operations or reputation even if we are not directly involved.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could be adversely affected by violations of the FCPA or other similar anti-corruption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around the world, particularly in LAC countries and Africa, are subject to anti-corruption laws and regulations, including restrictions imposed by the U.S. FCPA. The FCPA and similar anti-corruption laws in other jurisdictions generally prohibit companies and their intermediaries from making improper payments to government officials or employees of commercial enterprises for the purpose of obtaining or retaining business, a business advantage or a governmental approval. We operate in parts of the world that are perceived as having higher incidence of corruption and, in certain circumstances, strict compliance with anti-corruption laws may conflict with local customs and practices. Because of the scope and nature of our operations, we experience a higher risk associated with compliance with the FCPA and similar anti-corruption laws than many other companies.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and agents interact with government officials on our behalf, including as necessary to obtain licenses and other regulatory approvals necessary to operate our business, employ expatriates and resolve tax disputes. We also have a number of contracts with third-party paying agents that are owned or controlled by non-U.S. governments. These interactions and contracts create a risk of payments or offers of payments by one of our employees or agents that could be in violation of the FCPA or other similar anti-corruption laws. Under the FCPA and other similar anti-corruption laws, we may be held liable for actions taken by our employees or agents.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there have been significant regulatory reviews and actions taken by the United States and other governments related to anti-corruption laws, and the trend appears to be greater scrutiny on payments to, and relationships with, foreign entities and individuals.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all of our employees and agents will abide by the policies and procedures we have implemented to promote compliance with local laws and regulations as well as U.S. laws and regulations, including FCPA and similar anti-corruption laws. If we are found to be liable for violations of the FCPA or similar anti-corruption laws in other jurisdictions, either due to our own or others’ acts or inadvertence, we could suffer, among other consequences, substantial civil and criminal penalties, including fines, incarceration, prohibitions or limitations on the conduct of our business, the loss of our financing facilities and significant reputational damage, any of which could have a material and adverse effect on our results of business, financial condition or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or regulatory investigations into potential violations of the FCPA or other similar anti-corruption laws by U.S. agencies or other governments could also have a material and adverse effect on our results of business, financial condition and results of operations. Furthermore, detecting, investigating and resolving actual or alleged violations of the FCPA and other similar anti-corruption laws is expensive and can consume significant time and attention of our senior management.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New business initiatives, such as modifications to our current product offerings or the introduction of new products, may modify our risk profile from a regulatory perspective.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recent and planned business initiatives and expansions of existing businesses may bring us into contact, directly or indirectly, with information, individuals and entities that are not within our traditional customer and agent network and that could expose us to new or enhanced regulatory scrutiny. For example, our offering of services across newer distribution platforms could expose us to increased anti-money laundering, anti-terrorist financing and consumer protection regulations and compliance requirements. Any change in our risk profile stemming from this or any of our other business initiatives could result in increased compliance costs and litigation exposure, which could adversely impact our business, financial condition and results of operations.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use of third-party vendors and service providers is subject to regulatory review and scrutiny.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CFPB and other regulators have issued regulatory guidance focusing on the need for entities to perform due diligence and ongoing monitoring of third-party vendor and service provider relationships. Moreover, if our regulators conclude that we have not met the standards for oversight of our third-party vendors, we could be subject to enforcement actions, civil monetary penalties, supervisory orders to cease and desist or other remedial actions, which could adversely impact our business, reputation, financial condition and results of operations.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tax laws in the countries we operate could adversely affect our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tax legislation by U.S. federal, state and local governments as well as foreign jurisdictions could impact our effective tax rates. If statutory tax rates are increased, our results of operations and cash flows could be adversely affected.</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Risks Relating to Our Intellectual Property</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adequately protect our brands and the intellectual property rights related to our existing and any new or enhanced services, or if we infringe on the rights of others, our business, financial condition and results of operations could be adversely affected.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Intermex brand as well as other brands we operate under are critical to our business. We utilize trademark registrations and other tools to protect our brands. We have not applied for trademark registrations for our name and logo in all geographic markets where we provide services. In those markets where we have applied for trademark registrations, failure to secure those registrations could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affect our ability to enforce and defend our trademark rights. Our business would be harmed if we were unable to adequately protect our brands and the value of our brands was to decrease as a result.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trademark and copyright laws and trade secret protection and invention assignment, confidentiality or license agreements to protect the intellectual property rights related to our services, all of which only offer limited protection. We may be subject to third-party claims alleging that we infringe their intellectual property rights or have misappropriated other proprietary rights. We may be required to spend resources to defend such claims or to protect and police our own rights. Some of our legal rights in information or technology that we deem proprietary may not be protected by intellectual property laws, particularly in foreign jurisdictions. The loss of our intellectual property protection, the inability to secure or enforce intellectual property protection or to successfully defend against claims of intellectual property infringement or misappropriation could have an adverse effect on our business, financial condition and results of operation.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processes and systems we employ may be subject to patent protection by other parties, and any claims could adversely affect our business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countries, including the United States, patent laws permit the protection of processes and systems. We employ processes and systems in various markets that have been used in the industry by other parties for many years. We or other companies that use these processes and systems consider many of them to be in the public domain.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also may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Relating to Our Indebtedness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Company’s indebtedness may limit our operating flexibility and could adversely affect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approximately $189.5 million of indebtedness as of December 31, 2023, consisting of $75.5 million in outstanding borrowings under the term loan facility and $114.0 million in outstanding borrowings under our revolving credit facility. Our indebtedness, which bears interest at variable rates, could have important consequences to our business and operations, including, but not limited to:</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increasing our vulnerability to, and reducing our flexibility to respond to, general adverse economic and industry conditions;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requiring the dedication of a substantial portion of our cash flow from operations to servicing debt, including from increased interest rates;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limiting our flexibility in planning for, or reacting to, changes in our business and the competitive environment;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limiting our ability to borrow additional funds and increasing the cost of any such borrowing.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subject to capital requirements imposed by various regulatory bodies in the jurisdictions in which we operate. We may need access to external capital to support these regulatory requirements in order to maintain our licenses and our ability to earn revenue in these jurisdictions. An interruption of our access to capital could impair our ability to conduct business if our regulatory capital falls below requirements.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Credit Agreement contains covenants that may limit our ability to conduct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Credit Agreement (the "A&amp;R Credit Agreement") contains operating covenants and financial covenants that may in each case limit management’s discretion with respect to certain business matters. Among other things, these covenants restrict our and our subsidiaries’ ability to, among other things, grant liens, incur additional indebtedness, make acquisitions or investments, dispose of certain assets, change the nature of their businesses, enter into certain transactions with affiliates, amend the terms of material indebtedness or make certain restricted payments, including the repurchase of shares of our common stock above certain limits. We are required to comply with a minimum fixed charge coverage ratio and a maximum consolidated leverage ratio. As a result of these covenants, we may be limited in how we conduct our business. Failure to comply with such covenants may lead to default and acceleration under our A&amp;R Credit Agreement and may impair our ability to conduct business. We may not be able to maintain compliance with these covenants in the future and, if we fail to do so, that we will be able to obtain waivers from the lenders and/or amend the covenants, which may result in foreclosure of our assets. See the section entitled “Management’s Discussion and Analysis of Financial Condition and Results of Operations of Intermex—Liquidity and Capital Resources”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A&amp;R Credit Agreement, upon the occurrence of an event of default, we will be unable to continue to borrow funds under the A&amp;R Credit Agreement for so long as an event of default is not remedied or waived. In addition, the lenders will be able to elect to declare all amounts outstanding under the A&amp;R Credit Agreement to be immediately due and payable and terminate all commitments to lend additional funds. If we are unable to repay those amounts, the lenders under the A&amp;R Credit Agreement could proceed to foreclose against our collateral that secures that indebtedness. We have granted the lenders a security interest in substantially all of our assets, including the assets of certain subsidiaries.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Relating to Our Securities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Because we have no current plans to pay cash dividends on our common stock for the foreseeable future, stockholders may not receive any return on investment unless they sell our common stock for a price greater than that which was paid for it.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our ability to comply with restrictions in our existing credit facilities and may be limited by covenants of any future indebtedness we or our subsidiaries incur. As a result, stockholders may not receive any return on an investment in our common stock unless they sell our common stock for a price greater than that which was paid for it.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ability to meet expectations and projections in any research or reports published by securities or industry analysts, or a lack of coverage by securities or industry analysts, could result in a depressed market price and limited liquidity for our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be influenced by the research and reports that industry or securities analysts may publish about us, our business, our market, or our competitors. If no or few securities or industry analysts cover the Company, our stock price would likely be less than that which we would obtain if we had such coverage and the liquidity, or trading volume of our common stock may be limited, making it more difficult for a stockholder to sell shares at an acceptable price or amount. If any analysts do cover the Company, their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and Delaware law may inhibit a takeover of us, which could limit the price investors might be willing to pay in the future for our common stock and could entrench management.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that opt out of Section 203 of the Delaware General Corporation Law (the “DGCL”).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lineRule="auto" w:line="288" w:before="0" w:after="180"/>
        <w:ind w:left="0" w:right="0" w:hanging="270"/>
        <w:jc w:val="both"/>
        <w:rPr/>
      </w:pPr>
      <w:r>
        <w:rPr>
          <w:color w:val="000000"/>
        </w:rPr>
        <w:t>•</w:t>
      </w:r>
      <w:r>
        <w:rPr>
          <w:rFonts w:ascii="Times New Roman;sans-serif" w:hAnsi="Times New Roman;sans-serif"/>
          <w:b w:val="false"/>
          <w:color w:val="000000"/>
          <w:sz w:val="20"/>
        </w:rPr>
        <w:t>prior to such time, our board of directors approved either the business combination or the transaction that resulted in the stockholder becoming an interested stockholder;</w:t>
      </w:r>
    </w:p>
    <w:p>
      <w:pPr>
        <w:pStyle w:val="TextBody"/>
        <w:bidi w:val="0"/>
        <w:spacing w:lineRule="auto" w:line="288" w:before="0" w:after="180"/>
        <w:ind w:left="0" w:right="0" w:hanging="270"/>
        <w:jc w:val="both"/>
        <w:rPr/>
      </w:pPr>
      <w:r>
        <w:rPr>
          <w:color w:val="000000"/>
        </w:rPr>
        <w:t>•</w:t>
      </w:r>
      <w:r>
        <w:rPr>
          <w:rFonts w:ascii="Times New Roman;sans-serif" w:hAnsi="Times New Roman;sans-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bidi w:val="0"/>
        <w:spacing w:lineRule="auto" w:line="288" w:before="0" w:after="180"/>
        <w:ind w:left="0" w:right="0" w:hanging="270"/>
        <w:jc w:val="both"/>
        <w:rPr/>
      </w:pPr>
      <w:r>
        <w:rPr>
          <w:color w:val="000000"/>
        </w:rPr>
        <w:t>•</w:t>
      </w:r>
      <w:r>
        <w:rPr>
          <w:rFonts w:ascii="Times New Roman;sans-serif" w:hAnsi="Times New Roman;sans-serif"/>
          <w:b w:val="false"/>
          <w:color w:val="000000"/>
          <w:sz w:val="20"/>
        </w:rPr>
        <w:t>at or subsequent to that time, the business combination is approved by our board of directors and by the affirmative vote of holders of at least two-thirds of our outstanding voting stock that is not owned by the interested stockholder.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us. These provisions could also discourage proxy contests and make it more difficult for you and other stockholders to elect directors of your choosing and cause us to take corporate actions other than those you desire.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charter designates the Court of Chancery of the State of Delaware as the exclusive forum for certain litigation that may be initiated by our stockholders, which could limit our stockholders’ ability to obtain a favorable judicial forum for disputes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240"/>
        <w:ind w:left="0" w:right="0" w:firstLine="360"/>
        <w:jc w:val="both"/>
        <w:rPr/>
      </w:pPr>
      <w:hyperlink w:anchor="idf0bccd6adbf4603808b1fa7f2c43cfe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the Court of Chancery of the State of Delaware will be the sole and exclusive forum for (i) any derivative action or proceeding brought on our behalf, (ii) any action asserting a claim of breach of a fiduciary duty owed to us or our stockholders by any of our directors, officers, employees or agents, (iii) any action asserting a claim against us arising under the DGCL or (iv) any action asserting a claim against us that is governed by the internal affairs doctrine. The exclusive forum provision of our bylaws does not establish exclusive jurisdiction in the Court of Chancery of the State of Delaware for claims that arise under the Securities Act, the Exchange Act or other federal securities laws if there is exclusive or concurrent jurisdiction in the federal courts. By becoming our stockholder, you will be deemed to have notice of and have consented to the provisions of our charter related to choice of forum. The choice of forum provision in our charter may limit our stockholders’ ability to obtain a favorable judicial forum for disputes with us.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management’s attention.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and adverse effect on our business, financial condition and results of operations. Any adverse determination in litigation could also subject us to significant liabilities.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faces risks from cybersecurity incidents that could have a material adverse effect on our business, financial condition, results of operations, cash flows or reputation. Cybersecurity incidents may target and compromise our systems, as well as confidential consumer, employer, and agent information that we store and manage in connection with some of our services. Any cybersecurity incidents affecting our computer networks, databases, third-party services or facilities could lead to potential interruptions of our operations or our ability to manage and report our operating results. Cybersecurity incidents may also result in the inappropriate use or disclosure of personal information, which could adversely affect consumers’ confidence in our or our agents’ business and expose us to liabilities. As a result, we are required to expend significant capital and other resources to protect us against these security breaches or to alleviate problems caused by these breaches. Intermex has experienced, and may continue to experience, cybersecurity threats in the normal course of its business. To date, however, these events have not had a material adverse effect on the Company’s business, financial condition, results of operations, cash flows or reputation. See Item 1A. Risk Factors for additional information on how risks could materially affect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mitigate cybersecurity risks, the Company has designed and implemented a Cybersecurity and Information Security Program ("Cybersecurity Program"), which is managed and executed by our Chief Information Security Officer ("CISO"). Our CISO has over 20 years of experience in information technology and cybersecurity primarily focused in the financial services industry. Our CISO is an experienced professional in technology, security, risk management, and compliance principles related to most United States and global financial services related regulations. Also, our CISO holds and maintains an active Certified Information Systems Security Professional certification as well as other relevant technical certifications. The Board of Directors of the Company (the "Board") generally oversees management’s processes for identifying and mitigating risks we are exposed to, including cybersecurity risks, to help align our risk exposure with our strategic objectives, and has delegated specific oversight of cybersecurity risk management to the Board’s Audit Committee. At least on a quarterly basis, or more frequently as may be warranted, the Board and the Audit Committee are apprised of cybersecurity incidents, if any, and initiatives related to any identified heightened risks. In addition, the CISO provides a comprehensive annual report on cybersecurity as well as quarterly updates to the Audit Committee, the Board and Internal Technology Steering Committee ("IT Steering Committee"), which is composed of members from our Executive Management team and key Information Technology ("IT") personnel.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foundation of our Cybersecurity Program is based on recognized best practices and standards for cybersecurity and information technology that include the Center of Internet Security ("CIS") Controls Framework. The CIS Critical Security Controls Framework is a prioritized set of safeguards to mitigate the most prevalent cyber-attacks against systems and networks. They are mapped to and referenced by multiple legal, regulatory, and policy frameworks. This framework is employed to guide cybersecurity investments similar to third party audits and risk assessments. Our Cybersecurity Program employs a practical risk-based approach with a focus on addressing risk factors with the highest possible impact, high levels of likelihood, and least amount of existing compensating controls. Key risk factors, along with action plans and a status of identified matters are communicated to Executive Management, the Audit Committee and the Board as part of the CISO's quarterly updates. We have created and continually update, as required, a detailed cybersecurity incident response plan, which outlines the steps to be followed from incident detection to eradication, recovery and notification and which we implement in the event of a cybersecurity incident.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engages a third party to perform an annual cybersecurity audit, which attests compliance with our Cybersecurity Program and industry best practices. The results of the third-party audit and internal vulnerability reviews are used by the CISO to guide investments in cybersecurity capabilities, solutions, and services to reduce the Company's exposure to cybersecurity risks. To aid managing, prioritizing and remediating any identified cybersecurity, software engineering, and IT infrastructure risks, the Company has implemented a risk register. The risk register is maintained by the IT Department and the status of remediation efforts is communicated to management during the quarterly meetings of the IT Steering Committee. Any significant, control failure, weakness or cybersecurity incident is reported by the CISO to the Company's incident response team and prioritized for remediation in accordance with our cybersecurity incident response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third-party audit, we perform ongoing vulnerability reviews and conduct annual penetration testing of both external and internal systems. These tests are conducted by qualified external consultants and all findings are reported to the CISO and any deficiency is tracked until it has been fully remediated. A risk assessment is conducted regularly against NIST and CIS frameworks to determine gaps in controls that exposes the Company to a risk level that requires mitigation efforts. The Company requires in depth security monitoring continuous and real-time, detection of, and responses to cybersecurity threats and has partnered with industry leading managed service providers to accomplish this objective. Our cybersecurity partners maintain continuous security operations centers, threat intelligence, response capabilities, and incident response services. These services are tested for effectiveness annually as part of the internal penetration testing process. As mentioned above, the Company has implemented an incident response plan and incident response team that meets at least annually to assess breach scenarios and improve our response capabilities. All findings from testing, vulnerability analysis, breach scenarios, and event detection are reported quarterly by the CISO to the IT Steering Committee and Audit Committee.</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leased corporate offices are located in Miami, Florida. We lease four other facilities in the United States, located in Miami, Florida and New York, New York and two facilities internationally, located in Madrid, Spain and Milan, Italy. In addition, as of December 31, 2023, we lease 107 Company-operated stores throughout the United States, one Company-operated store in Canada and 12 Company-operated stores throughout Spain, Italy and Germany. Substantially all our facilities are leased. Our main international customer service centers are located in Guatemala City, Guatemala, Aguascalientes, Mexico, and Puebla, Mexico where our employees answer operational questions from agents and customers. Our facilities are used for operational, sales and administrative purposes in support of our business, and are all currently being utilized as intended.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properties are sufficient to meet our current and projected business needs. We periodically review our facility requirements and may acquire new facilities, or modify, update, consolidate, dispose of or sublet existing facilities, based on evolving business needs. In December 2022, we entered into a lease agreement, which expires in 2033, for our new headquarters to accommodate our growing workforce. We completed the move to the new headquarters in February 2024.</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Note 18 – Commitments and Contingencies in the Consolidated Financial Statements of International Money Express, Inc. contained elsewhere in this Annual Report on Form 10–K for information regarding certain legal proceedings to which we are a party, which information is incorporated by reference herein.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for the Company’s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Nasdaq Capital Market under the symbol “IMXI”.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23, 2024, there were 61 holders of record of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declared or paid, and do not anticipate declaring or paying in the foreseeable future, any cash dividends on our common stock. In addition, the terms of our credit facility include restrictions on our ability to pay dividends to our common stockholders. Any payment of future dividends will be at the discretion of the Company’s Board of Directors and will depend upon, among other factors, the Company’s earnings, financial condition, current and anticipated capital and liquidity requirements, plans for expansion, level of indebtedness and contractual restrictions. The payment of future cash dividends, if any, would be made only from assets legally available.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5 with respect to securities authorized for issuance under equity compensation plans is incorporated herein by reference to Part III, Item 12 of this Form 10-K.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peer group (“Peer Group”) consists of publicly-traded companies that are in the money remittance and payment industries and is composed of the following: MoneyGram, Euronet, Remitly and Western Union.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of cumulative total shareholder return, calculated on a dividend-reinvested basis, for (1) the Company’s common stock, (2) the NASDAQ US Benchmark TR Index and (3) our Peer Group, for the period from December 31, 2018 through December 31, 2023. The graph assumes the value of the investment in our common stock and each index was $100 on December 31, 2018 and that all dividends were reinvested. The graph plots the value of the initial $100 investment at quarterly intervals for the fiscal years shown. We have not paid any cash dividends and, therefore, the cumulative total return calculation for us is based solely upon stock price appreciation and not upon reinvestment of cash dividends. Historic stock price performance is not necessarily indicative of future stock price performance.</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AMONG 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NASDAQ INDEX AND PEER GROUP INDEX</w:t>
      </w:r>
    </w:p>
    <w:p>
      <w:pPr>
        <w:pStyle w:val="TextBody"/>
        <w:bidi w:val="0"/>
        <w:spacing w:before="0" w:after="240"/>
        <w:jc w:val="center"/>
        <w:rPr/>
      </w:pPr>
      <w:r>
        <w:rPr/>
      </w:r>
    </w:p>
    <w:p>
      <w:pPr>
        <w:pStyle w:val="TextBody"/>
        <w:bidi w:val="0"/>
        <w:spacing w:before="0" w:after="0"/>
        <w:ind w:left="0" w:right="0" w:firstLine="360"/>
        <w:jc w:val="center"/>
        <w:rPr/>
      </w:pPr>
      <w:r>
        <w:rPr/>
        <w:drawing>
          <wp:inline distT="0" distB="0" distL="0" distR="0">
            <wp:extent cx="6848475" cy="3657600"/>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6848475" cy="3657600"/>
                    </a:xfrm>
                    <a:prstGeom prst="rect">
                      <a:avLst/>
                    </a:prstGeom>
                  </pic:spPr>
                </pic:pic>
              </a:graphicData>
            </a:graphic>
          </wp:inline>
        </w:drawing>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 Index Data: Copyright NASDAQ OMX, Inc. Used with permission. All rights reserved.</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 Corporate Performance Graph with peer group uses peer group only performance (excludes only Intermex).</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graph is furnished and shall not be deemed “filed” with the SEC or subject to Section 18 of the Securities Exchange Act of 1934, as amended (the “Exchange Act”),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Repurchases of Equity Securities of the Issuer</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 Repurchase Program (as defined below) provides for the repurchase, from time to time, of shares of Company common stock in open market transactions or in privately negotiated transactions in accordance with applicable securities laws. The timing and the amount of any repurchases is determined based on market conditions, legal requirements, cash flow and liquidity needs and other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repurchases of our common stock during the quarter ended December 31, 2023:</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92"/>
        <w:gridCol w:w="383"/>
        <w:gridCol w:w="388"/>
        <w:gridCol w:w="109"/>
        <w:gridCol w:w="109"/>
        <w:gridCol w:w="109"/>
        <w:gridCol w:w="470"/>
        <w:gridCol w:w="470"/>
        <w:gridCol w:w="472"/>
        <w:gridCol w:w="109"/>
        <w:gridCol w:w="109"/>
        <w:gridCol w:w="109"/>
        <w:gridCol w:w="288"/>
        <w:gridCol w:w="843"/>
        <w:gridCol w:w="149"/>
        <w:gridCol w:w="109"/>
        <w:gridCol w:w="109"/>
        <w:gridCol w:w="109"/>
        <w:gridCol w:w="737"/>
        <w:gridCol w:w="737"/>
        <w:gridCol w:w="739"/>
        <w:gridCol w:w="109"/>
        <w:gridCol w:w="109"/>
        <w:gridCol w:w="109"/>
        <w:gridCol w:w="382"/>
        <w:gridCol w:w="1961"/>
        <w:gridCol w:w="286"/>
      </w:tblGrid>
      <w:tr>
        <w:trPr/>
        <w:tc>
          <w:tcPr>
            <w:tcW w:w="5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Program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the Program</w:t>
            </w:r>
          </w:p>
        </w:tc>
      </w:tr>
      <w:tr>
        <w:trPr/>
        <w:tc>
          <w:tcPr>
            <w:tcW w:w="136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through October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77,464,691 </w:t>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through November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74,097,603 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through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70,681,122 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 59, (ii) 2,813 and (iii) 128,238 shares withheld for income tax purposes in October 2023, November 2023 and December 2023, respectively, in connection with shares issued under compensation and benefit programs. In addition, on December 4, 2023 the Company repurchased 100,000 shares at a price of $20.57 per share in a privately negotiated transaction outside of the Repurchase Program. In addition, on December 12, 2023, the Company repurchased 670,403 shares at a price of $19.78 per share in a privately negotiated transaction outside of the Repurchase Program.</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(b)On August 18, 2021, the Company’s Board of Directors approved a stock repurchase program that authorizes the Company to purchase up to $40.0 million of outstanding shares of the Company’s common stock and which authorization was increased on March 3, 2023 to an additional $100 million of the Company's outstanding shares (the “Repurchase Program”). The Repurchase Program does not have an expiration date.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objectives of our Management’s Discussion and Analysis of Financial Condition and Results of Operations are to provide users of our consolidated financial statements with a narrative explanation from the perspective of management of our financial condition, results of operations, cash flows, liquidity and certain other factors that may affect future results. This Management’s Discussion and Analysis of Financial Condition and Results of Operations should be read in conjunction with our Consolidated Financial Statements and related Notes included elsewhere in this Annual Report on Form 10-K. This Annual Report on Form 10-K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Annual Report on Form 10-K. See “Special Note Regarding Forward-Looking Statements” for additional factors relating to such statements and see “Risk Factors” included in Item 1A of this Annual Report on Form 10-K. Our past operating results are not necessarily indicative of operating results in any future periods.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Also, through the acquisition of LAN Holdings we now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Africa and Asia. Our services are accessible in person through over 100,000 independent sending and paying agents and 122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or Euro can also generate revenue if we are successful in our daily management of currency exchange spreads.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services enable consumers to send funds through our broad network of locations in the United States, Canada, Spain, Italy and Germany, which are primarily operated by third-party businesses, as well as by Company-operated stores located in those jurisdictions.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online.i-transfer.es and via Internet-enabled mobile devices. For the year ended December 31, 2023, we grew our agent network by approximately 16.4% primarily due to the agents added as a result of the acquisition of LAN Holdings, partially offset by the termination of low volume and unproductive sending agents. For the year ended December 31, 2023, principal amount sent increased by approximately 17.2% to $24.5 billion as compared to fiscal year 2022 primarily as a result of an increase in volume in our existing sending agents. In 2023, we processed approximately 58.7 million remittances, representing over 22.8% growth in transactions as compared to fiscal year 2022.</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Acquisition of La Nacional and LAN Holdings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November 1, 2022, the Company completed the acquisition of La Nacional and effective April 5, 2023, we completed the acquisition of LAN Holdings. See Note 3 in Item 8 Financial Statements and supplementary data for additional information regarding the acquisitions of La Nacional and LAN Holdings. The acquisitions of La Nacional and LAN Holdings strengthen the Company’s presence in the Dominican Republic, Europe and other key markets in Latin America, Africa and Asia.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section below includes the impact of (i) La Nacional for the period of November 1, 2022 through December 31, 2022 and the whole fiscal year ended December 31, 2023 and (ii) LAN Holdings for the period of April 6, 2023 through December 31, 2023. See Part II, Item 8, Financial Statements and Supplementary Data, Note 3, “Acquisitions” for additional financial information regarding La Nacional and LAN Holdings.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 Nacional Restructuring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implemented a Restructuring Plan (the "Plan") for La Nacional. The objectives were to reorganize the workforce, streamline operational processes, as well as develop efficiencies within the Company. The Plan contemplated a reduction of La Nacional's workforce due to closing of operations, and surrendering of money transmitter licenses in certain states, termination of selected sending agents, centralization of functions at the consolidated Company level and closing of certain facilities.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incurred $1.2 million in expenses related to the Plan. These expenses include approximately $0.9 million in severance payments and related benefits included in salaries and benefits in the consolidated statement of income and comprehensive income, $0.3 million in computer equipment write-offs, $38 thousand for the early termination of a lease agreement and $31 thousand in legal fees related to the surrender of money transmitter licenses within states where La Nacional will no longer operate, which are included in other selling, general and administrative expenses in the consolidated statement of income and comprehensive income.</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paid out the above charges during 2023 and does not have a liability recorded as of December 31, 2023. The Company anticipates that the total costs associated with the Plan through March 31, 2024 will approximate $1.5 million.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Plan, the Company expects to reduce compensation expense and certain facilities related charges in an amount of approximately $1.5 million a year. The anticipated effect of this reduction in expenses will be primarily realized during 2024. In addition, the Company does not expect that the Plan will result in any material reduction of revenues or increase of its operating expenses.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Key Factors and Trends Affecting our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trends and other factors have affected and may continue to affect our business, financial condition and operating results, including, but not limited to:</w:t>
      </w:r>
    </w:p>
    <w:p>
      <w:pPr>
        <w:pStyle w:val="TextBody"/>
        <w:bidi w:val="0"/>
        <w:spacing w:before="0" w:after="0"/>
        <w:ind w:left="0" w:right="0" w:firstLine="360"/>
        <w:jc w:val="both"/>
        <w:rPr/>
      </w:pPr>
      <w:r>
        <w:rPr/>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loss of, or reduction in business with, key sending agents;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effectively compete in the markets in which we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economic factors such as inflation, the level of economic activity, recession risks and labor market conditions, as well as rising interest rates;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international political factors, political instability, tariffs, border taxes or restrictions on remittances or transfers from the outbound countries in which we operate or plan to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public health conditions, responses thereto and the economic and market effects thereof;</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consumer confidence in our brands and in consumer money transfers generally;</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expansion into new geographic markets or product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Company’s ability to successfully execute, manage, integrate and obtain the anticipated financial benefits of key acquisitions and mergers;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ability of our risk management and compliance policies, procedures and systems to mitigate risk related to transaction monitoring;</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consumer fraud and other risks relating to the authenticity of customers’ orders or the improper or illegal use of our services by consumers;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cybersecurity-attacks or disruptions to our information technology, computer network systems, data centers and mobile device apps;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new technology or competitors that disrupt the current money transfer and payment ecosystem, including the introduction of new digital platforms;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success in developing and introducing new products, services and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favorable banking and paying agent relationships necessary to conduct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bank failures, sustained financial illiquidity, or illiquidity at the clearing, cash management or custodial financial institutions with which we do business;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changes to banking industry regulation and practice;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credit risks from our agents and the financial institutions with which we do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recruit and retain key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compliance with applicable laws and regulatory requirements</w:t>
      </w:r>
      <w:r>
        <w:rPr>
          <w:color w:val="000000"/>
          <w:shd w:fill="FFFFFF" w:val="clear"/>
        </w:rPr>
        <w:t xml:space="preserve"> </w:t>
      </w:r>
      <w:r>
        <w:rPr>
          <w:rFonts w:ascii="Times New Roman;sans-serif" w:hAnsi="Times New Roman;sans-serif"/>
          <w:b w:val="false"/>
          <w:color w:val="000000"/>
          <w:sz w:val="20"/>
          <w:shd w:fill="FFFFFF" w:val="clear"/>
        </w:rPr>
        <w:t>including those intended to prevent use of our money remittance services for criminal activity, those related to data and cyber-security protection, and those related to new business initiatives;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enforcement actions and private litigation under regulations applicable to the money remittance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immigration laws and their enforcement;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tax laws in the countries we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protect our brands and intellectual property rights;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third-party vendors and service providers; and</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weakness in U.S. or international economic conditions.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w:t>
      </w:r>
      <w:r>
        <w:rPr>
          <w:rFonts w:ascii="Times New Roman;sans-serif" w:hAnsi="Times New Roman;sans-serif"/>
          <w:b w:val="false"/>
          <w:color w:val="000000"/>
          <w:sz w:val="20"/>
          <w:shd w:fill="FFFFFF" w:val="clear"/>
        </w:rPr>
        <w:t>According to the latest information available from the World Bank Remittance Matrix, the United States to Mexico remittance corridor was one of the largest in the world in 2023. Furthermore, remittances volume to low and middle income countries grew approximately 3.8% during 2023 according to the latest Migrations and Development Brief report from the World Bank.</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Compliance Officer.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encountered and continue to expect to encounter increasing competition as new electronic platforms emerge that enable consumers to send and receive money through a variety of channels, but we do not expect adoption rates to be as significant in the near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How We Assess the Performance of Our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that utilize the Company’s technology in processing transactions paid by credit or debit card, check cashing services and maintenance fees, for which revenue is derived by a fee per transaction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Charges from Agents and Banks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Salaries and Benefits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stock options, restricted stock units (“RSUs”), restricted stock awards (“RSAs”) and performance stock units (“PSUs”) of approximately $11.9 million is expected to be recognized over a weighted-average period of 1.8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Selling, General and Administrative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shipping, supplies and other expenses associated with serving and increasing our network of sending agents.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transaction costs primarily associated with the acquisitions of La Nacional and LAN Holdings. These costs included all internal and external costs directly related to the transaction, consisting primarily of legal, consulting, accounting and advisory fees and certain incentive bonuses. Due to their significance, they are presented separately in our consolidated statements of income and comprehensive income. For additional information on these acquisitions, see Note 3 to the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consists primarily of interest associated with our debt, which consists of a term loan facility and a revolving credit facility. The effective interest rates for the year ended December 31, 2023 for the term loan facility and revolving credit facility, which related to the Company’s A&amp;R Credit Agreement (as defined herein), were 8.33% and 1.92%, respectively.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includes the expected benefit of all deferred tax assets, including our net operating loss carryforwards. With few exceptions, our net operating loss carryforwards will expire from 2029 through 2043. After consideration of all evidence, both positive and negative, management has determined that no valuation allowance is required at December 31, 2023 on the Company’s U.S. federal or state deferred tax assets; however, a valuation allowance has been recorded as of December 31, 2023 on deferred tax assets associated with foreign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is determined by subtracting operating and non-operating expenses from revenues.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 average number of common shares outstanding calculation.</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organized around one reportable segment that provides money transmittal services primarily between the United States and Canada to Mexico, Guatemala and other countries in Latin America, Africa and Asia through a network of authorized agents located in various unaffiliated retail establishments and 122 Company-operated stores throughout the United States, Canada, Spain, Italy and Germany. This is based on the objectives of the business and how our chief operating decision maker, the CEO and President, monitors operating performance and allocates resources.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of changes in our results of operations and cash flows from fiscal year 2022 to fiscal year 2021 has been omitted from this Annual Report on Form 10-K, but may be found in “Item 7. Management’s Discussion and Analysis of Financial Condition and Results of Operations” of our Annual Report on Form 10-K for the fiscal year ended December 31, 2022, filed with the SEC on March 15, 2023, which is available free of charge on the SEC’s website at www.sec.gov and at www.intermexonline.com, by clicking “Investors” located at the bottom of the page. The content of any website referred to in this document is not incorporated by reference into this document.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periods indicated: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tbl>
      <w:tblPr>
        <w:tblW w:w="8664" w:type="dxa"/>
        <w:jc w:val="left"/>
        <w:tblInd w:w="0" w:type="dxa"/>
        <w:tblLayout w:type="fixed"/>
        <w:tblCellMar>
          <w:top w:w="28" w:type="dxa"/>
          <w:left w:w="28" w:type="dxa"/>
          <w:bottom w:w="28" w:type="dxa"/>
          <w:right w:w="28" w:type="dxa"/>
        </w:tblCellMar>
      </w:tblPr>
      <w:tblGrid>
        <w:gridCol w:w="1519"/>
        <w:gridCol w:w="1336"/>
        <w:gridCol w:w="1345"/>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data)</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546,805 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459,206 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563,245 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391,354 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Year Ended December 31, 2023 Compared to the Year Ended December 31, 2022</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above periods are presented below:</w:t>
      </w:r>
    </w:p>
    <w:tbl>
      <w:tblPr>
        <w:tblW w:w="8536" w:type="dxa"/>
        <w:jc w:val="left"/>
        <w:tblInd w:w="0" w:type="dxa"/>
        <w:tblLayout w:type="fixed"/>
        <w:tblCellMar>
          <w:top w:w="28" w:type="dxa"/>
          <w:left w:w="28" w:type="dxa"/>
          <w:bottom w:w="28" w:type="dxa"/>
          <w:right w:w="28" w:type="dxa"/>
        </w:tblCellMar>
      </w:tblPr>
      <w:tblGrid>
        <w:gridCol w:w="1184"/>
        <w:gridCol w:w="1041"/>
        <w:gridCol w:w="1045"/>
        <w:gridCol w:w="211"/>
        <w:gridCol w:w="826"/>
        <w:gridCol w:w="109"/>
        <w:gridCol w:w="109"/>
        <w:gridCol w:w="109"/>
        <w:gridCol w:w="109"/>
        <w:gridCol w:w="233"/>
        <w:gridCol w:w="233"/>
        <w:gridCol w:w="501"/>
        <w:gridCol w:w="109"/>
        <w:gridCol w:w="109"/>
        <w:gridCol w:w="109"/>
        <w:gridCol w:w="211"/>
        <w:gridCol w:w="826"/>
        <w:gridCol w:w="109"/>
        <w:gridCol w:w="109"/>
        <w:gridCol w:w="109"/>
        <w:gridCol w:w="109"/>
        <w:gridCol w:w="233"/>
        <w:gridCol w:w="233"/>
        <w:gridCol w:w="560"/>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546,805 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Wire transfer and money order fees, net of $561.5 million, for the year ended December 31, 2023 increased by $92.3 million, or 19.7%, from $469.2 million for the year ended December 31, 2022. This increase was primarily due to a 22.8% increase in transaction volume compared to the year ended December 31, 2022, largely due to the continued growth in our agent network that expanded as a result of the La Nacional and LAN Holdings acquisitions, which network increased on a net basis by 16.4% when compared to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2022. These increases were partially offset by a lower average price per transaction on money transfers processed by La Nacional and LAN Holdings that is consistent with the conditions of the markets in which they operate.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foreign exchange gain, net of $87.9 million for the year ended December 31, 2023, increased by $15.0 million, or 20.6%, from $72.9 million for the year ended December 31, 2022. This increase was primarily due to higher transaction volume achieved by growth in our agent network.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of $9.3 million for the year ended December 31, 2023 increased by $4.6 million or 97.9% from $4.7 million for the year ended December 31, 2022, primarily due to the impact of the revenue generated from other ancillary services provided by La Nacional and LAN Holdings to a particular segment of their consumers and commercial customers, an increase in fees related to higher volume of transfers deemed abandoned property, fees related to advances to sending agents and an increase in income related to money transfer transactions paid with debit or credit cards.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above periods are presented below:</w:t>
      </w:r>
    </w:p>
    <w:p>
      <w:pPr>
        <w:pStyle w:val="TextBody"/>
        <w:bidi w:val="0"/>
        <w:spacing w:before="0" w:after="0"/>
        <w:ind w:left="0" w:right="0" w:firstLine="360"/>
        <w:jc w:val="both"/>
        <w:rPr/>
      </w:pPr>
      <w:r>
        <w:rPr/>
      </w:r>
    </w:p>
    <w:tbl>
      <w:tblPr>
        <w:tblW w:w="9319" w:type="dxa"/>
        <w:jc w:val="left"/>
        <w:tblInd w:w="0" w:type="dxa"/>
        <w:tblLayout w:type="fixed"/>
        <w:tblCellMar>
          <w:top w:w="28" w:type="dxa"/>
          <w:left w:w="28" w:type="dxa"/>
          <w:bottom w:w="28" w:type="dxa"/>
          <w:right w:w="28" w:type="dxa"/>
        </w:tblCellMar>
      </w:tblPr>
      <w:tblGrid>
        <w:gridCol w:w="1521"/>
        <w:gridCol w:w="1335"/>
        <w:gridCol w:w="1343"/>
        <w:gridCol w:w="211"/>
        <w:gridCol w:w="826"/>
        <w:gridCol w:w="109"/>
        <w:gridCol w:w="109"/>
        <w:gridCol w:w="109"/>
        <w:gridCol w:w="109"/>
        <w:gridCol w:w="200"/>
        <w:gridCol w:w="200"/>
        <w:gridCol w:w="501"/>
        <w:gridCol w:w="109"/>
        <w:gridCol w:w="109"/>
        <w:gridCol w:w="109"/>
        <w:gridCol w:w="211"/>
        <w:gridCol w:w="826"/>
        <w:gridCol w:w="109"/>
        <w:gridCol w:w="109"/>
        <w:gridCol w:w="109"/>
        <w:gridCol w:w="109"/>
        <w:gridCol w:w="193"/>
        <w:gridCol w:w="193"/>
        <w:gridCol w:w="560"/>
      </w:tblGrid>
      <w:tr>
        <w:trPr/>
        <w:tc>
          <w:tcPr>
            <w:tcW w:w="15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563,245 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463,897 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NM - Amounts rounds to less than 1%.</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Service charges from agents and banks</w:t>
      </w:r>
      <w:r>
        <w:rPr>
          <w:color w:val="000000"/>
        </w:rPr>
        <w:t xml:space="preserve">— </w:t>
      </w:r>
      <w:r>
        <w:rPr>
          <w:rFonts w:ascii="Times New Roman;sans-serif" w:hAnsi="Times New Roman;sans-serif"/>
          <w:b w:val="false"/>
          <w:color w:val="000000"/>
          <w:sz w:val="20"/>
        </w:rPr>
        <w:t>Service charges from agents and banks were $430.9 million for the year ended December 31, 2023 compared to $364.8 million for the year ended December 31, 2022. The increase of $66.1 million, or 18.1%, was primarily due to the increase in transaction volume described above. For the year ended December 31, 2023, service charges from agents and banks represented 65% of total revenues compared to 67% for the year ended December 31, 2022. The decrease is primarily due to a lower average cost per transaction processed by our agents.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Salaries and benefits</w:t>
      </w:r>
      <w:r>
        <w:rPr>
          <w:color w:val="000000"/>
        </w:rPr>
        <w:t xml:space="preserve">— </w:t>
      </w:r>
      <w:r>
        <w:rPr>
          <w:rFonts w:ascii="Times New Roman;sans-serif" w:hAnsi="Times New Roman;sans-serif"/>
          <w:b w:val="false"/>
          <w:color w:val="000000"/>
          <w:sz w:val="20"/>
        </w:rPr>
        <w:t xml:space="preserve">Salaries and benefits were $71.1 million for the year ended December 31, 2023, an increase of $18.9 million, or 36.2%, from $52.2 million for the year ended December 31, 2022. The increase is primarily due to </w:t>
      </w:r>
      <w:r>
        <w:rPr>
          <w:rFonts w:ascii="Times New Roman;sans-serif" w:hAnsi="Times New Roman;sans-serif"/>
          <w:b w:val="false"/>
          <w:color w:val="000000"/>
          <w:sz w:val="20"/>
          <w:shd w:fill="FFFFFF" w:val="clear"/>
        </w:rPr>
        <w:t>$16.1 million</w:t>
      </w:r>
      <w:r>
        <w:rPr>
          <w:color w:val="000000"/>
        </w:rPr>
        <w:t xml:space="preserve"> </w:t>
      </w:r>
      <w:r>
        <w:rPr>
          <w:rFonts w:ascii="Times New Roman;sans-serif" w:hAnsi="Times New Roman;sans-serif"/>
          <w:b w:val="false"/>
          <w:color w:val="000000"/>
          <w:sz w:val="20"/>
        </w:rPr>
        <w:t>spent in talent acquisition and retention, as well as increased wages, health benefits and related payroll taxes, including the additional compensation related to La Nacional and LAN Holdings employees, which represents approximately 23.9% of salaries and benefits. In addition, share-based compensation increased by $1.0 million as a result of new grants awarded to employees. The increase also includes $0.9 million in severance payments and related benefits as a result of the execution of the restructuring of La Nacional under the Plan. Salaries and benefits for the year ended December 31, 2023 represent 11% of total Revenues compared to 10% for the year ended December 31, 2022, which increase is attributable to our expanded workforce as a result of the La Nacional and LAN Holdings acquisitions as they carry out independently the execution of certain operational functions.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selling, general and administrative expenses</w:t>
      </w:r>
      <w:r>
        <w:rPr>
          <w:color w:val="000000"/>
        </w:rPr>
        <w:t xml:space="preserve">— </w:t>
      </w:r>
      <w:r>
        <w:rPr>
          <w:rFonts w:ascii="Times New Roman;sans-serif" w:hAnsi="Times New Roman;sans-serif"/>
          <w:b w:val="false"/>
          <w:color w:val="000000"/>
          <w:sz w:val="20"/>
        </w:rPr>
        <w:t>Other selling, general and administrative expenses of $48.0 million for the year ended December 31, 2023 increased by $13.6 million, or 39.5%, from $34.4 million for the year ended December 31,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the result of:</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$6.3 million - higher facilities and rent expenses for scheduled maintenance and contracted lease rate increases to support our business growth and expenses related to the company-operated stores and other facilities added as a result of the La Nacional and LAN Holdings acquisitions;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$2.8 million - higher IT related expenses incurred to sustain our business expansion and to improve our technology environment;</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$2.4 million - increase in provision for credit losses due to higher net write-offs of accounts receivable during the year ended December 31, 2023 compared to the year ended December 31, 2022, primarily as a result of sending agents that were not able to pay in accordance with the original terms and are, accordingly, subject to our normal collection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$1.0 million - higher loss on disposal of assets primarily due to replacement of equipment used by our agent network and write-off of equipment assigned to sending agents closed during the year ended December 31, 2023, as well as $0.3 million in computer equipment write offs related to the restructuring of La Nacional under the Plan;</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$0.6 million - higher professional and legal fees to support our expanded operations in the United States and Europe;</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$0.5 million - higher property and other indirect taxes due to the acquisition of LAN Holdings;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$0.3 million - higher state license &amp; bond insurance due to the acquisition of La Nacional; and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$0.8 million - refund of state business and occupancy tax from the state of Washington in 2022 that did not recur in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$0.7 million - in lower advertising and promotion expenses, primarily as a result of lower investment in advertising during 2023 and higher co-branding investment by some of our paying agents during 2022; and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$1.6 million - related to a provision recorded on deposits frozen at certain closed financial institutions in Mexico in 2022 that did not recur in 2023.</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Transaction Costs</w:t>
      </w:r>
      <w:r>
        <w:rPr>
          <w:color w:val="000000"/>
        </w:rPr>
        <w:t xml:space="preserve">— </w:t>
      </w:r>
      <w:r>
        <w:rPr>
          <w:rFonts w:ascii="Times New Roman;sans-serif" w:hAnsi="Times New Roman;sans-serif"/>
          <w:b w:val="false"/>
          <w:color w:val="000000"/>
          <w:sz w:val="20"/>
        </w:rPr>
        <w:t>Transaction Costs of $0.4 million and $3.0 million for the years ended December 31, 2023 and 2022, respectively, relate primarily to financial advisory fees as well as other professional fees and legal fees incurred in connection with business acquisition transactions. Transaction costs for the year ended December 31, 2023 primarily related to the LAN Holdings acquisition, while transaction costs for the year ended December 31, 2022 related to costs incurred in connection with both the La Nacional and LAN Holdings acquisitions.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of $12.9 million for the year ended December 31, 2023 increased by $3.4 million from $9.5 million, or 35.8%, for the year ended December 31, 2022. The increase is the result of a $1.7 million increase in depreciation associated with additional software internally developed and computer equipment to support our growing business and sending agent network, as well as approximately $1.2 million of depreciation for assets assumed in the La Nacional and LAN Holdings acquisitions and approximately $1.9 million for amortization of intangibles resulting from the La Nacional and LAN Holdings acquisitions. These increases were partially offset by a decrease of approximately $1.0 million in amortization related to our Intermex trade name, developed technology and agent relationships during the year ended December 31, 2023, as these intangibles are being amortized on an accelerated basis, which declines over time.</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was $10.4 million for the year ended December 31, 2023, an increase of $4.8 million, or 85.7%, from $5.6 million for the year ended December 31, 2022. The increase was primarily due to higher market interest rates paid under our A&amp;R Credit Agreement, as well as higher and more frequent draws under our revolving credit facility during the year ended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Income tax provision</w:t>
      </w:r>
      <w:r>
        <w:rPr>
          <w:color w:val="000000"/>
        </w:rPr>
        <w:t xml:space="preserve">— </w:t>
      </w:r>
      <w:r>
        <w:rPr>
          <w:rFonts w:ascii="Times New Roman;sans-serif" w:hAnsi="Times New Roman;sans-serif"/>
          <w:b w:val="false"/>
          <w:color w:val="000000"/>
          <w:sz w:val="20"/>
        </w:rPr>
        <w:t>Income tax provision was $25.5 million for the year ended December 31, 2023, an increase of $5.6 million, or 28.1%, from an income tax provision of $19.9 million for the year ended December 31, 2022. The increase in income tax provision was mainly attributable to an increase in our effective state tax rate primarily as a result of revenue from La Nacional earned during the year ended December 31, 2023, which is sourced to states with relatively higher tax rates and from increases in non-deductible officer expenses. In addition, the income tax provision for the year ended December 31, 2022 was favorably affected by a tax windfall from deductible stock-compensation as a result of stock option exercises during the year.</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income of $59.5 million for the year ended December 31, 2023 compared to net income of $57.3 million for the year ended December 31, 2022, which resulted in an increase of $2.2 million due to the same factors discussed above.</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 Basic for the year ended December 31, 2023 was $1.67, representing an increase of $0.15, or 9.9%, compared to $1.52 for the year ended December 31, 2022.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 Diluted for the year ended December 31, 2023 was $1.63, representing an increase of $0.15, or 10.1%, compared to $1.48 for the year ended December 31, 2022.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both basic and diluted EPS largely reflect the increased net income discussed above and the effect of a reduced share count as a result of the stock repurchases.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acquisition activities, which varies from period to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Adjusted EBITDA is subject to certain limitations, including the following: </w:t>
      </w:r>
    </w:p>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interest expense, or the amounts necessary to service interest or principal payments on our debt;</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income tax provision (benefit), and because the payment of taxes is part of our operations, tax provision is a necessary element of our costs and ability to operate;</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Although depreciation and amortization are eliminated in the calculation of Adjusted EBITDA, the assets being depreciated and amortized will often have to be replaced in the future, and Adjusted EBITDA does not reflect any costs of such replacements;</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the noncash component of share-based compensation;</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the impact of earnings or charges resulting from matters we consider not to be reflective, on a recurring basis, of our ongoing operations; and</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other companies in our industry may calculate Adjusted EBITDA or similarly titled measures differently than we do, limiting its usefulness as a comparative measure.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adjust for these limitations by relying primarily on our GAAP results and using Adjusted EBITDA, as well as our other non-GAAP financial measures, only as supplemental information.</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Net Income and Adjusted 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Income is defined as net income adjusted to add back certain charges and expenses, such as non-cash amortization of intangible assets resulting from business acquisition transactions, non-cash compensation costs and other items set forth in the table below, as these charges and expenses are not considered a part of our core business operations and are not an indicator of ongoing, future company performance.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and Diluted is calculated by dividing Adjusted Net Income by GAAP weighted-average common shares outstanding (basic and diluted).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for the year ended December 31, 2023 was $71.0 million, representing an increase of $1.1 million, or 1.6%, from Adjusted Net Income of $69.9 million for the year ended December 31, 2022. The increase in Adjusted Net Income was primarily due to the increase in net income discussed above partially offset by the lower net effect of the adjusting items detailed in the table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Net Income, our closest GAAP measure, to Adjusted Net Income: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tbl>
      <w:tblPr>
        <w:tblW w:w="6832" w:type="dxa"/>
        <w:jc w:val="left"/>
        <w:tblInd w:w="0" w:type="dxa"/>
        <w:tblLayout w:type="fixed"/>
        <w:tblCellMar>
          <w:top w:w="28" w:type="dxa"/>
          <w:left w:w="28" w:type="dxa"/>
          <w:bottom w:w="28" w:type="dxa"/>
          <w:right w:w="28" w:type="dxa"/>
        </w:tblCellMar>
      </w:tblPr>
      <w:tblGrid>
        <w:gridCol w:w="1476"/>
        <w:gridCol w:w="1297"/>
        <w:gridCol w:w="1307"/>
        <w:gridCol w:w="240"/>
        <w:gridCol w:w="841"/>
        <w:gridCol w:w="109"/>
        <w:gridCol w:w="109"/>
        <w:gridCol w:w="109"/>
        <w:gridCol w:w="109"/>
        <w:gridCol w:w="240"/>
        <w:gridCol w:w="84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data)</w:t>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59,515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57,331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 (d)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(f)</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 (g)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70,961</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69,904</w:t>
            </w:r>
            <w:r>
              <w:rPr>
                <w:color w:val="000000"/>
              </w:rPr>
              <w:t>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37,733,047 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shared-based compensation relating to equity awards granted primarily to employees and independent directors of the Company.</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fixed assets and professional fees related to the restructuring of La Nacional.</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primarily financial advisory, professional and legal fees related to business acquisition transactions.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losses related to the closure of a financial institution in Mexico during 2021.</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(e)Represents primarily loss on disposal of fixed assets.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(f)Represents the amortization of intangible assets that resulted from business acquisition transactions.</w:t>
      </w:r>
    </w:p>
    <w:p>
      <w:pPr>
        <w:pStyle w:val="TextBody"/>
        <w:bidi w:val="0"/>
        <w:spacing w:lineRule="auto" w:line="288" w:before="0" w:after="24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(g)Represents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(previously defined and used as described above) for the year ended December 31, 2023 was $1.99, representing an increase of $0.14, or 7.6%, compared to $1.85 for the year ended December 31, 2022. The increase in Adjusted Earnings per Share - Basic was primarily due to higher net income for the year combined with the effect of a lower weighted average common shares total for the year due to stock repurchases, partially offset by the lower net effect of the adjusting items detailed in the table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Earnings per Share - Diluted (previously defined and used as described above) for the year ended December 31, 2023 was $1.95, representing an increase of $0.14, or 7.7%, compared to $1.81 for the year ended December 31, 2022. The increase in Adjusted Earnings per Share - Diluted was primarily due to higher net income for the year combined with the effect of a lower weighted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shares total for the year due to stock repurchases, partially offset by the lower net effect of the adjusting items detailed in the table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GAAP Earnings per Share, our closest GAAP measure, to Adjusted Earnings per Share:</w:t>
      </w:r>
    </w:p>
    <w:p>
      <w:pPr>
        <w:pStyle w:val="TextBody"/>
        <w:bidi w:val="0"/>
        <w:spacing w:before="0" w:after="0"/>
        <w:ind w:left="0" w:right="0" w:firstLine="360"/>
        <w:jc w:val="both"/>
        <w:rPr/>
      </w:pPr>
      <w:r>
        <w:rPr/>
      </w:r>
    </w:p>
    <w:tbl>
      <w:tblPr>
        <w:tblW w:w="8442" w:type="dxa"/>
        <w:jc w:val="left"/>
        <w:tblInd w:w="0" w:type="dxa"/>
        <w:tblLayout w:type="fixed"/>
        <w:tblCellMar>
          <w:top w:w="28" w:type="dxa"/>
          <w:left w:w="28" w:type="dxa"/>
          <w:bottom w:w="28" w:type="dxa"/>
          <w:right w:w="28" w:type="dxa"/>
        </w:tblCellMar>
      </w:tblPr>
      <w:tblGrid>
        <w:gridCol w:w="1253"/>
        <w:gridCol w:w="1104"/>
        <w:gridCol w:w="1108"/>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211"/>
        <w:gridCol w:w="586"/>
        <w:gridCol w:w="109"/>
        <w:gridCol w:w="109"/>
        <w:gridCol w:w="109"/>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7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may contain slight summation differences due to rounding.</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EBITDA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may not be indicative of ongoing, future company performance.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year ended December 31, 2023 was $120.0 million, representing an increase of $14.8 million, or 14.1%, from $105.2 million for the year ended December 31, 2022. The increase in Adjusted EBITDA was primarily due to the higher net effect of the adjusting items detailed in the table below combined with the increase in net income discussed above.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reconciliation of Net Income, our closest GAAP measure, to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tbl>
      <w:tblPr>
        <w:tblW w:w="5304" w:type="dxa"/>
        <w:jc w:val="left"/>
        <w:tblInd w:w="0" w:type="dxa"/>
        <w:tblLayout w:type="fixed"/>
        <w:tblCellMar>
          <w:top w:w="28" w:type="dxa"/>
          <w:left w:w="28" w:type="dxa"/>
          <w:bottom w:w="28" w:type="dxa"/>
          <w:right w:w="28" w:type="dxa"/>
        </w:tblCellMar>
      </w:tblPr>
      <w:tblGrid>
        <w:gridCol w:w="945"/>
        <w:gridCol w:w="832"/>
        <w:gridCol w:w="833"/>
        <w:gridCol w:w="211"/>
        <w:gridCol w:w="841"/>
        <w:gridCol w:w="109"/>
        <w:gridCol w:w="109"/>
        <w:gridCol w:w="109"/>
        <w:gridCol w:w="109"/>
        <w:gridCol w:w="211"/>
        <w:gridCol w:w="841"/>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59,515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57,331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10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108,356</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92,378</w:t>
            </w:r>
            <w:r>
              <w:rPr>
                <w:color w:val="000000"/>
              </w:rPr>
              <w:t>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 (d)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119,976</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105,225</w:t>
            </w:r>
            <w:r>
              <w:rPr>
                <w:color w:val="000000"/>
              </w:rPr>
              <w:t>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shared-based compensation relating to equity awards granted primarily to employees and independent directors of the Company.</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fixed assets and professional fees related to the restructuring of La Nacional.</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primarily financial advisory, professional and legal fees related to business acquisition transactions.</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losses related to the closure of a financial institution in Mexico during 2021.</w:t>
      </w:r>
    </w:p>
    <w:p>
      <w:pPr>
        <w:pStyle w:val="TextBody"/>
        <w:bidi w:val="0"/>
        <w:spacing w:lineRule="auto" w:line="288" w:before="0" w:after="24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(e)Represents primarily loss on disposal of fixed assets.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liquidity in terms of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year ended December 31, 2023. Therefore, we believe that our current cash and cash equivalents position, as well as projected cash flows generated from operations, together with borrowings under our revolving credit facility are sufficient to fund the principal and interest payments on our debt, lease expenses, our working capital needs, our business acquisitions and our expected capital expenditures in the long-term.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Amended and Restated Credit Agreement (as amended, the “A&amp;R Credit Agreement”) with a group of banking institutions. The A&amp;R Credit Agreement provides for a $220.0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under the Company’s previous credit agreement, and the revolving credit facility is available for general corporate purposes to support the Company's growth and to fund working capital needs. The maturity date of the A&amp;R Credit Agreement is June 24,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$75.5 million of borrowings under the term loan facility excluding debt origination costs of $1.2 million. As of December 31, 2023 there were $114.0 million of outstanding amounts drawn on the revolving credit facility. There were $176.0 million of additional borrowings available under these facilities as of December 31, 2023.</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election of the Company, interest on the term loan facility and revolving loans under the A&amp;R Credit Agreement may be determined by reference to the secured overnight financing rate as administered by the Federal Reserve Bank of New York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rates for the year ended December 31, 2023 for the term loan facility and revolving credit facility were 8.33% and 1.92%, respectively. Interest is payable (x)(i) generally on the last day of each interest period selected for SOFR loans, but in any event, not less frequently than every three months, and (ii) on the last business day of each quarter for base rate loans and (y) at final maturity.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A&amp;R Credit Agreement contains financial covenants that require the Company to maintain a quarterly minimum fixed charge coverage ratio of 1.25:1.00 and a quarterly maximum consolidated leverage ratio of 3.25:1.00. As of December 31, 2023, we were in compliance with the covenants of the A&amp;R Credit Agreement. The A&amp;R Credit Agreement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sans-serif" w:hAnsi="Times New Roman;sans-serif"/>
          <w:b w:val="false"/>
          <w:i/>
          <w:color w:val="000000"/>
          <w:sz w:val="20"/>
        </w:rPr>
        <w:t xml:space="preserve">Risk Factors—Risks Relating to Our Indebtedness—The Company's indebtedness may limit our operating flexibility and could adversely affect our business, financial condition and results of operations” and "Our Amended and Restated Credit Agreement contains covenants that may limit our ability to conduct business" </w:t>
      </w:r>
      <w:r>
        <w:rPr>
          <w:rFonts w:ascii="Times New Roman;sans-serif" w:hAnsi="Times New Roman;sans-serif"/>
          <w:b w:val="false"/>
          <w:color w:val="000000"/>
          <w:sz w:val="20"/>
        </w:rPr>
        <w:t>included elsewhere in this Annual Report on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2021, the Company’s Board of Directors approved a stock repurchase program that authorizes the Company to purchase up to $40.0 million of outstanding shares of the Company’s common stock and which authorization was increased on March 3, 2023 to an additional $100.0 million of the Company's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under a variety of tests as described in the second preceding paragraph, including, without limitation, so long as the Consolidated Leverage Ratio (as defined in the A&amp;R Credit Agreement, as amended), as of the then most recently completed four fiscal quarters of the Company, after giving pro forma effect to such restricted payments, is 2.25:1.00 or less.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purchases of treasury stock under the cost method. Any direct costs incurred to acquire treasury stock are considered stock issue costs and added to the cost of the treasury stock. During the year ended December 31, 2023, excluding the shares purchased in the privately-negotiated transactions described below, the Company purchased 1,757,365 shares under the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for an aggregate purchase price totaling $37.6 million. As of December 31, 2023, there were $70.7 million remaining amount available for future share repurchases under the Repurchase Program.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Privately-Negotiated Share Repurchase Transactions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2023 and December 12, 2023, the Company entered into agreements with SPC Intermex, LP, a related party, for the purchase of 500,000 shares and 670,403 shares, respectively, of the Company’s common stock for a total purchase price of $12.6 million and $13.3 million, respectively, in privately-negotiated transactions. The purchase prices on these transactions represented discounts from the last reported sale prices as reported on the Nasdaq Stock Market of the Company's Common Stock of approximately 4.0% and 4.8%, respectively. On December 4, 2023, the Company entered into an agreement with Latin-American Investment Holdings Inc., a related party, for the purchase of 100,000 shares of the Company’s common stock for a total purchase price of $2.1 million, in a privately-negotiated transaction. The purchase price on this transaction represented a discount from the last reported sale price as reported on the Nasdaq Stock Market of the Company's Common Stock of approximately 2.0%.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party to operating leases for office space, warehouses and Company-operated store locations, which we use as part of our day-to-day operations. Operating lease expenses were $7.8 million for the year ended December 31, 2023. We have not entered into finance lease commitments. For additional information on operating lease obligations, refer to Part II, Item 8, Financial Statements and Supplementary Data, Note 8, “</w:t>
      </w:r>
      <w:r>
        <w:rPr>
          <w:rFonts w:ascii="Times New Roman;sans-serif" w:hAnsi="Times New Roman;sans-serif"/>
          <w:b w:val="false"/>
          <w:i/>
          <w:color w:val="000000"/>
          <w:sz w:val="20"/>
        </w:rPr>
        <w:t>Leases</w:t>
      </w:r>
      <w:r>
        <w:rPr>
          <w:color w:val="000000"/>
        </w:rPr>
        <w:t>”</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to our cash flows for the periods presented:</w:t>
      </w:r>
    </w:p>
    <w:tbl>
      <w:tblPr>
        <w:tblW w:w="9221" w:type="dxa"/>
        <w:jc w:val="left"/>
        <w:tblInd w:w="0" w:type="dxa"/>
        <w:tblLayout w:type="fixed"/>
        <w:tblCellMar>
          <w:top w:w="28" w:type="dxa"/>
          <w:left w:w="28" w:type="dxa"/>
          <w:bottom w:w="28" w:type="dxa"/>
          <w:right w:w="28" w:type="dxa"/>
        </w:tblCellMar>
      </w:tblPr>
      <w:tblGrid>
        <w:gridCol w:w="1840"/>
        <w:gridCol w:w="1620"/>
        <w:gridCol w:w="1624"/>
        <w:gridCol w:w="211"/>
        <w:gridCol w:w="826"/>
        <w:gridCol w:w="109"/>
        <w:gridCol w:w="109"/>
        <w:gridCol w:w="109"/>
        <w:gridCol w:w="109"/>
        <w:gridCol w:w="211"/>
        <w:gridCol w:w="826"/>
        <w:gridCol w:w="109"/>
        <w:gridCol w:w="109"/>
        <w:gridCol w:w="109"/>
        <w:gridCol w:w="109"/>
        <w:gridCol w:w="211"/>
        <w:gridCol w:w="82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of Cash Flows Data:</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57,567 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the year</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132,474 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$143.5 million for the year ended December 31, 2023, an increase of $128.3 million from net cash provided by operating activities of $15.2 million for the year ended December 31, 2022. The increase of $128.3 million is primarily a result of $116.4 million related to changes in working capital, which varies due to timing of remittance of consumer funds by sending agents, transmittal orders and payments, as well as prefunding of payers primarily for weekends, and additional cash generated by our improved operating results for the year ended December 31, 2023, which reflected the further growth of our business.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$18.3 million for the year ended December 31, 2023, an increase of $5.8 million from $12.5 million for the year ended December 31, 2022. This increase in cash used was primarily due to the acquisition of LAN Holdings through a cash transaction, which resulted in $5.5 million of cash used, net of cash acquired. In addition, the Company invested funds in purchases of property and equipment as a result of our continued growth of sending agents and commitment to improve our proprietary software during the year ended December 31, 2023.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$37.1 million for the year ended December 31, 2023, which primarily consisted of $5.5 million in scheduled quarterly payments due on the term loan facility, $66.3 million of repurchases of common stock and $3.9 million of net payments for shares withheld in connection with stock-based compensation arrangements and related payments to taxing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offset by $38.0 million of borrowings, net under the revolving credit facility that varies primarily due to timing of prefunding of paying agents primarily for weekends and $1.3 million in proceeds from issuance of stock as a result of the exercise of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$14.1 million for the year ended December 31, 2022, which primarily consisted of $4.4 million in scheduled quarterly payments due on the term loan facility, $53.7 million of repurchases of common stock and $5.4 million of net payments for shares withheld in connection with stock-based compensation arrangements and related payments to taxing authorities, offset by $76.0 million of borrowings, net under the revolving credit facility that varies primarily due to timing of prefunding of payers primarily for weekends and $1.7 million in proceeds from issuance of stock as a result of the exercise of options.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preparation of financial statements in accordance with accounting principles generally accepted in the United States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 Our significant accounting policies are discussed in Part II, Item 8, </w:t>
      </w:r>
      <w:r>
        <w:rPr>
          <w:rFonts w:ascii="Times New Roman;sans-serif" w:hAnsi="Times New Roman;sans-serif"/>
          <w:b w:val="false"/>
          <w:i/>
          <w:color w:val="000000"/>
          <w:sz w:val="20"/>
        </w:rPr>
        <w:t>Financial Statements and Supplementary Data, Note 2, “Summary of Significant Accounting Policies.”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and agent advances receivable are recorded at their net realizable value, which is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to make required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allowance for credit losses using the expected credit loss rates on financial instruments based on the total estimated amount to be collected over the lifetime of the instrument. Expected credit losses for uncollectible receivable balances consider both current conditions and reasonable and supportable forecasts of future conditions. Current conditions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 Accounts receivable that are more than 90 days past due are charged off against the allowance for credit losses.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party to any off-balance sheet arrangements that would require an allowance for credit losses.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result primarily from business acquisition transactions. Intangible assets include agent relationships, trade names, developed technology and other intangibles, all with finite lives. Other intangibles relate to the acquisition of certain agent locations and non-competition agreements. Upon the acquisition, the purchase price is first allocated to identifiable assets and liabilities, including trade name and other intangibles, with any remaining purchase price recorded as goodwill.</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not amortized; however, it is assessed for impairment at least annually, at the beginning of the fourth quarter, or more frequently if triggering events occur. For purposes of the annual assessment,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agent relationships, trade names and developed technology are amortized utilizing an accelerated method over their estimated useful lives of up to 15 years. Other intangible assets are amortized on a straight-line basis over a useful life of up to 10 years. The Company reviews for impairment indicators of finite-lived intangibles and other long-lived assets as described below.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long-lived assets, including amortizable intangible assets, for impairment whenever events or changes in circumstances indicate that the carrying amount of an asset may not be recoverable. Upon such an occurrence, recoverability of assets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taxes in the U.S. federal jurisdiction and various state jurisdictions and our foreign subsidiaries are subject to taxes by local tax authorities. The Company accounts for income taxes in accordance with GAAP which requires,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uncertain tax position guidance, we recognize the financial statement benefit of a position only after determining that the relevant tax authority would more likely than not sustain the positions following an audit. Tax regulations within each jurisdiction are subject to the interpretation of the related tax laws and regulations and require significant judgment to apply. We apply the uncertain tax position guidance to all tax positions for which the statute of limitations remains open. Resolution of these uncertainties in a manner inconsistent with management’s expectations could have a material impact on the Company’s financial condition and operating results.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Refer to Part II, Item 8, </w:t>
      </w:r>
      <w:r>
        <w:rPr>
          <w:rFonts w:ascii="Times New Roman;sans-serif" w:hAnsi="Times New Roman;sans-serif"/>
          <w:b w:val="false"/>
          <w:i/>
          <w:color w:val="000000"/>
          <w:sz w:val="20"/>
        </w:rPr>
        <w:t>Financial Statements and Supplementary Data, Note 2, “Summary of Significant Accounting Policies”</w:t>
      </w:r>
      <w:r>
        <w:rPr>
          <w:rFonts w:ascii="Times New Roman;sans-serif" w:hAnsi="Times New Roman;sans-serif"/>
          <w:b w:val="false"/>
          <w:color w:val="000000"/>
          <w:sz w:val="20"/>
        </w:rPr>
        <w:t>, for further discussion.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$56.9 million and $41.3 million at December 31, 2023 and 2022,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included in wire transfers and money orders payable, net in our consolidated balance sheets as of December 31, 2023 and 2022, there are $40.7 million and $39.3 million, respectively, of wire transfers payable denominated in foreign currencies, primarily in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in prepaid wires, net in our consolidated balance sheets as of December 31, 2023 and 2022, there are $17.8 million and $82.3 million, respectively, of prepaid wires denominated in foreign currencies, primarily in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represents approximately 2% of our consolidated revenues for the year ended December 31, 2023. Therefore, a 10% increase or decrease in these currency rates against the U.S. Dollar would result in a de minimis change to our overall operating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spot and average exchange rates for the currencies used by our subsidiaries to U.S. dollar are as follows:</w:t>
      </w:r>
    </w:p>
    <w:p>
      <w:pPr>
        <w:pStyle w:val="TextBody"/>
        <w:bidi w:val="0"/>
        <w:spacing w:before="0" w:after="0"/>
        <w:ind w:left="0" w:right="0" w:firstLine="360"/>
        <w:jc w:val="both"/>
        <w:rPr/>
      </w:pPr>
      <w:r>
        <w:rPr/>
      </w:r>
    </w:p>
    <w:tbl>
      <w:tblPr>
        <w:tblW w:w="9704" w:type="dxa"/>
        <w:jc w:val="left"/>
        <w:tblInd w:w="0" w:type="dxa"/>
        <w:tblLayout w:type="fixed"/>
        <w:tblCellMar>
          <w:top w:w="28" w:type="dxa"/>
          <w:left w:w="28" w:type="dxa"/>
          <w:bottom w:w="28" w:type="dxa"/>
          <w:right w:w="28" w:type="dxa"/>
        </w:tblCellMar>
      </w:tblPr>
      <w:tblGrid>
        <w:gridCol w:w="924"/>
        <w:gridCol w:w="811"/>
        <w:gridCol w:w="815"/>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08"/>
        <w:gridCol w:w="308"/>
        <w:gridCol w:w="429"/>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dollar/Mexico peso</w:t>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dollar/Guatemala quetzal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dollar/Canadian dollar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dollar/Dominican peso</w:t>
            </w:r>
            <w:r>
              <w:rPr>
                <w:rFonts w:ascii="Times New Roman;sans-serif" w:hAnsi="Times New Roman;sans-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dollar/Euro</w:t>
            </w:r>
            <w:r>
              <w:rPr>
                <w:rFonts w:ascii="Times New Roman;sans-serif" w:hAnsi="Times New Roman;sans-serif"/>
                <w:b w:val="false"/>
                <w:color w:val="000000"/>
                <w:sz w:val="13"/>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Spot exchange rates are as of December 31, 2023, 2022 and 2021.</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Average exchange rates are for the years ended December 31, 2023, 2022 and 2021.</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We commenced operations in the Dominican Republic and Europe in connection with the LAN Acquisition in April 2023 and, therefore, no information is provided prior to 2023.</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Long-term sustained appreciation of the Mexican peso or Guatemalan quetzal as compared to the U.S. dollar could affect our gross profit and margin.</w:t>
      </w:r>
    </w:p>
    <w:p>
      <w:pPr>
        <w:pStyle w:val="TextBody"/>
        <w:bidi w:val="0"/>
        <w:spacing w:before="0" w:after="12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interest under the Credit Agreement is variable based on certain benchmark rates, including SOFR.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Federal Reserve continued raising the fed funds rate from 4.50% to 5.50% as a countermeasure to control inflation in the United States. As a consequence, other benchmark interest rates such as SOFR increased as well. These increases have resulted in the Company incurring higher interest expense. The Company expects that the Federal Reserve will continue to monitor inflation indicators and will maintain the fed funds rate at the current level before considering any potential decreases in 2024. As of December 31, 2023, we had $75.5 million and $114.0 million in outstanding borrowings under the term loan facility and revolving credit facility, respectively. A hypothetical 1% increase or decrease in the interest rate on our indebtedness as of December 31, 2023 would have increased or decreased annual cash interest expense on our term loan facility and revolving credit facility by approximately $0.8 million and $1.1 million per annum, respectively.</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certain cash balances in various U.S. banks, which at times, may exceed federally insured limits. We have not incurred any losses on these accounts. In addition, we maintain cash in various bank accounts in Mexico, Guatemala, Canada, the Dominican Republic, Spain and Italy and overnight deposit accounts in Mexico, which may not be fully insured. During the year ended December 31, 2023,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credit risk related to receivable balances from sending agents. We perform a credit review before each agent signing and conduct ongoing analyses of sending agents and certain other parties we transact with directly. As of December 31, 2023, we also had $4.6 million outstanding of agent advances receivable from sending agents. During the year ended December 31, 2023, the Company funded advances of approximately $3.2 million to agents that deliver highly accretive transaction volume and margin growth. Most of the agent advances receivable are collateralized by personal guarantees from the sending agents and by assets from their businesses and have a term of up to three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credit losses was approximately $5.0 million for the year ended December 31, 2023 (0.8% of total revenues), $2.6 million for the year ended December 31, 2022 (0.5% of total revenues) and $1.5 million for the year ended December 31, 2021 (0.3% of total revenues). The increase in our provision for credit losses in the year ended December 31, 2023 is due to a combination of higher write-offs of accounts receivable in 2023 compared to 2022 primarily as a result of sending agents that were not able to pay in accordance with the original terms and are, accordingly, subject to our normal collection procedures and higher outstanding balances of accounts receivable primarily related to the acquisition of La Nacional and LAN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center"/>
        <w:tblInd w:w="0" w:type="dxa"/>
        <w:tblLayout w:type="fixed"/>
        <w:tblCellMar>
          <w:top w:w="28" w:type="dxa"/>
          <w:left w:w="28" w:type="dxa"/>
          <w:bottom w:w="28" w:type="dxa"/>
          <w:right w:w="28" w:type="dxa"/>
        </w:tblCellMar>
      </w:tblPr>
      <w:tblGrid>
        <w:gridCol w:w="3542"/>
        <w:gridCol w:w="3112"/>
        <w:gridCol w:w="3129"/>
        <w:gridCol w:w="122"/>
        <w:gridCol w:w="122"/>
        <w:gridCol w:w="178"/>
      </w:tblGrid>
      <w:tr>
        <w:trPr/>
        <w:tc>
          <w:tcPr>
            <w:tcW w:w="3542"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79">
              <w:r>
                <w:rPr>
                  <w:rStyle w:val="InternetLink"/>
                  <w:rFonts w:ascii="Times New Roman;sans-serif" w:hAnsi="Times New Roman;sans-serif"/>
                  <w:b w:val="false"/>
                  <w:strike w:val="false"/>
                  <w:dstrike w:val="false"/>
                  <w:color w:val="0000FF"/>
                  <w:sz w:val="20"/>
                  <w:u w:val="none"/>
                  <w:effect w:val="none"/>
                </w:rPr>
                <w:t xml:space="preserve">Report of Independent Registered Public Accounting Firm </w:t>
              </w:r>
            </w:hyperlink>
            <w:r>
              <w:rPr>
                <w:rFonts w:ascii="Times New Roman;sans-serif" w:hAnsi="Times New Roman;sans-serif"/>
                <w:b w:val="false"/>
                <w:color w:val="000000"/>
                <w:sz w:val="20"/>
              </w:rPr>
              <w:t>(BDO USA, P.C., Miami, FL, Auditor Firm ID: 243)</w:t>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f0bccd6adbf4603808b1fa7f2c43cfe_160">
              <w:r>
                <w:rPr>
                  <w:rStyle w:val="InternetLink"/>
                  <w:rFonts w:ascii="Times New Roman;sans-serif" w:hAnsi="Times New Roman;sans-serif"/>
                  <w:b w:val="false"/>
                  <w:strike w:val="false"/>
                  <w:dstrike w:val="false"/>
                  <w:color w:val="0000FF"/>
                  <w:sz w:val="20"/>
                  <w:u w:val="none"/>
                  <w:effect w:val="none"/>
                </w:rPr>
                <w:t>F-2</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82">
              <w:r>
                <w:rPr>
                  <w:rStyle w:val="InternetLink"/>
                  <w:rFonts w:ascii="Times New Roman;sans-serif" w:hAnsi="Times New Roman;sans-serif"/>
                  <w:b w:val="false"/>
                  <w:strike w:val="false"/>
                  <w:dstrike w:val="false"/>
                  <w:color w:val="0000FF"/>
                  <w:sz w:val="20"/>
                  <w:u w:val="none"/>
                  <w:effect w:val="none"/>
                </w:rPr>
                <w:t>Consolidated Balance Sheets as of December 31, 2023 and 2022</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f0bccd6adbf4603808b1fa7f2c43cfe_82">
              <w:r>
                <w:rPr>
                  <w:rStyle w:val="InternetLink"/>
                  <w:rFonts w:ascii="Times New Roman;sans-serif" w:hAnsi="Times New Roman;sans-serif"/>
                  <w:b w:val="false"/>
                  <w:strike w:val="false"/>
                  <w:dstrike w:val="false"/>
                  <w:color w:val="000080"/>
                  <w:sz w:val="20"/>
                  <w:u w:val="single"/>
                  <w:effect w:val="none"/>
                </w:rPr>
                <w:t>F-</w:t>
              </w:r>
            </w:hyperlink>
            <w:hyperlink w:anchor="idf0bccd6adbf4603808b1fa7f2c43cfe_82">
              <w:r>
                <w:rPr>
                  <w:rStyle w:val="InternetLink"/>
                  <w:rFonts w:ascii="Times New Roman;sans-serif" w:hAnsi="Times New Roman;sans-serif"/>
                  <w:b w:val="false"/>
                  <w:strike w:val="false"/>
                  <w:dstrike w:val="false"/>
                  <w:color w:val="000080"/>
                  <w:sz w:val="20"/>
                  <w:u w:val="single"/>
                  <w:effect w:val="none"/>
                </w:rPr>
                <w:t>3</w:t>
              </w:r>
            </w:hyperlink>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85">
              <w:r>
                <w:rPr>
                  <w:rStyle w:val="InternetLink"/>
                  <w:rFonts w:ascii="Times New Roman;sans-serif" w:hAnsi="Times New Roman;sans-serif"/>
                  <w:b w:val="false"/>
                  <w:strike w:val="false"/>
                  <w:dstrike w:val="false"/>
                  <w:color w:val="0000FF"/>
                  <w:sz w:val="20"/>
                  <w:u w:val="none"/>
                  <w:effect w:val="none"/>
                </w:rPr>
                <w:t>Consolidated Statements of Income and Comprehensive Income for the years ended December 31, 2023, 2022 and 2021</w:t>
              </w:r>
            </w:hyperlink>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f0bccd6adbf4603808b1fa7f2c43cfe_85">
              <w:r>
                <w:rPr>
                  <w:rStyle w:val="InternetLink"/>
                  <w:rFonts w:ascii="Times New Roman;sans-serif" w:hAnsi="Times New Roman;sans-serif"/>
                  <w:b w:val="false"/>
                  <w:strike w:val="false"/>
                  <w:dstrike w:val="false"/>
                  <w:color w:val="000080"/>
                  <w:sz w:val="20"/>
                  <w:u w:val="single"/>
                  <w:effect w:val="none"/>
                </w:rPr>
                <w:t>F-</w:t>
              </w:r>
            </w:hyperlink>
            <w:hyperlink w:anchor="idf0bccd6adbf4603808b1fa7f2c43cfe_85">
              <w:r>
                <w:rPr>
                  <w:rStyle w:val="InternetLink"/>
                  <w:rFonts w:ascii="Times New Roman;sans-serif" w:hAnsi="Times New Roman;sans-serif"/>
                  <w:b w:val="false"/>
                  <w:strike w:val="false"/>
                  <w:dstrike w:val="false"/>
                  <w:color w:val="000080"/>
                  <w:sz w:val="20"/>
                  <w:u w:val="single"/>
                  <w:effect w:val="none"/>
                </w:rPr>
                <w:t>4</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88">
              <w:r>
                <w:rPr>
                  <w:rStyle w:val="InternetLink"/>
                  <w:rFonts w:ascii="Times New Roman;sans-serif" w:hAnsi="Times New Roman;sans-serif"/>
                  <w:b w:val="false"/>
                  <w:strike w:val="false"/>
                  <w:dstrike w:val="false"/>
                  <w:color w:val="0000FF"/>
                  <w:sz w:val="20"/>
                  <w:u w:val="none"/>
                  <w:effect w:val="none"/>
                </w:rPr>
                <w:t>Consolidated Statements of Changes in Stockholders’ Equity for the years ended December 31, 2023, 2022 and 2021</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f0bccd6adbf4603808b1fa7f2c43cfe_88">
              <w:r>
                <w:rPr>
                  <w:rStyle w:val="InternetLink"/>
                  <w:rFonts w:ascii="Times New Roman;sans-serif" w:hAnsi="Times New Roman;sans-serif"/>
                  <w:b w:val="false"/>
                  <w:strike w:val="false"/>
                  <w:dstrike w:val="false"/>
                  <w:color w:val="000080"/>
                  <w:sz w:val="20"/>
                  <w:u w:val="single"/>
                  <w:effect w:val="none"/>
                </w:rPr>
                <w:t>F-</w:t>
              </w:r>
            </w:hyperlink>
            <w:hyperlink w:anchor="idf0bccd6adbf4603808b1fa7f2c43cfe_88">
              <w:r>
                <w:rPr>
                  <w:rStyle w:val="InternetLink"/>
                  <w:rFonts w:ascii="Times New Roman;sans-serif" w:hAnsi="Times New Roman;sans-serif"/>
                  <w:b w:val="false"/>
                  <w:strike w:val="false"/>
                  <w:dstrike w:val="false"/>
                  <w:color w:val="000080"/>
                  <w:sz w:val="20"/>
                  <w:u w:val="single"/>
                  <w:effect w:val="none"/>
                </w:rPr>
                <w:t>5</w:t>
              </w:r>
            </w:hyperlink>
          </w:p>
        </w:tc>
      </w:tr>
      <w:tr>
        <w:trPr/>
        <w:tc>
          <w:tcPr>
            <w:tcW w:w="9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91">
              <w:r>
                <w:rPr>
                  <w:rStyle w:val="InternetLink"/>
                  <w:rFonts w:ascii="Times New Roman;sans-serif" w:hAnsi="Times New Roman;sans-serif"/>
                  <w:b w:val="false"/>
                  <w:strike w:val="false"/>
                  <w:dstrike w:val="false"/>
                  <w:color w:val="0000FF"/>
                  <w:sz w:val="20"/>
                  <w:u w:val="none"/>
                  <w:effect w:val="none"/>
                </w:rPr>
                <w:t>Consolidated Statements of Cash Flows for the years ended December 31, 2023, 2022 and 2021</w:t>
              </w:r>
            </w:hyperlink>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f0bccd6adbf4603808b1fa7f2c43cfe_91">
              <w:r>
                <w:rPr>
                  <w:rStyle w:val="InternetLink"/>
                  <w:rFonts w:ascii="Times New Roman;sans-serif" w:hAnsi="Times New Roman;sans-serif"/>
                  <w:b w:val="false"/>
                  <w:strike w:val="false"/>
                  <w:dstrike w:val="false"/>
                  <w:color w:val="000080"/>
                  <w:sz w:val="20"/>
                  <w:u w:val="single"/>
                  <w:effect w:val="none"/>
                </w:rPr>
                <w:t>F-</w:t>
              </w:r>
            </w:hyperlink>
            <w:hyperlink w:anchor="idf0bccd6adbf4603808b1fa7f2c43cfe_91">
              <w:r>
                <w:rPr>
                  <w:rStyle w:val="InternetLink"/>
                  <w:rFonts w:ascii="Times New Roman;sans-serif" w:hAnsi="Times New Roman;sans-serif"/>
                  <w:b w:val="false"/>
                  <w:strike w:val="false"/>
                  <w:dstrike w:val="false"/>
                  <w:color w:val="000080"/>
                  <w:sz w:val="20"/>
                  <w:u w:val="single"/>
                  <w:effect w:val="none"/>
                </w:rPr>
                <w:t>6</w:t>
              </w:r>
            </w:hyperlink>
          </w:p>
        </w:tc>
      </w:tr>
      <w:tr>
        <w:trPr/>
        <w:tc>
          <w:tcPr>
            <w:tcW w:w="9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f0bccd6adbf4603808b1fa7f2c43cfe_94">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f0bccd6adbf4603808b1fa7f2c43cfe_94">
              <w:r>
                <w:rPr>
                  <w:rStyle w:val="InternetLink"/>
                  <w:rFonts w:ascii="Times New Roman;sans-serif" w:hAnsi="Times New Roman;sans-serif"/>
                  <w:b w:val="false"/>
                  <w:strike w:val="false"/>
                  <w:dstrike w:val="false"/>
                  <w:color w:val="000080"/>
                  <w:sz w:val="20"/>
                  <w:u w:val="single"/>
                  <w:effect w:val="none"/>
                </w:rPr>
                <w:t>F-</w:t>
              </w:r>
            </w:hyperlink>
            <w:hyperlink w:anchor="idf0bccd6adbf4603808b1fa7f2c43cfe_94">
              <w:r>
                <w:rPr>
                  <w:rStyle w:val="InternetLink"/>
                  <w:rFonts w:ascii="Times New Roman;sans-serif" w:hAnsi="Times New Roman;sans-serif"/>
                  <w:b w:val="false"/>
                  <w:strike w:val="false"/>
                  <w:dstrike w:val="false"/>
                  <w:color w:val="000080"/>
                  <w:sz w:val="20"/>
                  <w:u w:val="single"/>
                  <w:effect w:val="none"/>
                </w:rPr>
                <w:t>8</w:t>
              </w:r>
            </w:hyperlink>
          </w:p>
        </w:tc>
      </w:tr>
    </w:tbl>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All other financial statement schedules for International Money Express, Inc. have been omitted because they are not applicable, or because the information required is included in the respective consolidated financial statements or notes thereto.</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24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and Board of Directors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Miami, Florida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have audited the accompanying consolidated balance sheets of International Money Express, Inc. (the “Company”) as of December 31, 2023 and 2022, the related consolidated statements of income and comprehensive income,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February 28, 2024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Sufficiency of Audit Evidence from Highly Automated Systems to Process and Record Revenue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4 to the consolidated financial statements, revenue is primarily generated from fees earned from providing wire transfer transaction services to individual customers and managing currency exchange differences from the majority of those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sufficiency of audit evidence over revenue from wire transfer fees and net foreign exchange gain obtained from the Company’s information technology (IT) systems to be a critical audit matter. The processing and recording of revenue from wire transfer fees and net foreign exchange gain is highly automated and relies on multiple internally developed systems and databases. Auditing these elements involved especially challenging auditor judgment due to the nature and extent of audit effort required to address this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procedures we performed to address this critical audit matter included: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Involving IT auditors in the performance of the following procedures: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Identifying the relevant systems used to calculate, transmit and record revenue from wire transfer fees and net foreign exchange gain.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Testing the IT general controls over the relevant systems, including testing user access controls, change management controls, and IT operations controls.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Testing the relevant automated application controls, including system interfaces.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Performing substantive analytical procedures over revenue from wire transfer fees and net foreign exchange gain, including testing the underlying information from the IT systems.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Testing a sample of individual wire transfer fee revenue transactions by comparing amounts recognized by the Company to relevant contracts and related transaction support.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Miami, Florida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97"/>
        <w:gridCol w:w="2244"/>
        <w:gridCol w:w="2199"/>
        <w:gridCol w:w="211"/>
        <w:gridCol w:w="826"/>
        <w:gridCol w:w="109"/>
        <w:gridCol w:w="109"/>
        <w:gridCol w:w="109"/>
        <w:gridCol w:w="109"/>
        <w:gridCol w:w="211"/>
        <w:gridCol w:w="826"/>
        <w:gridCol w:w="155"/>
      </w:tblGrid>
      <w:tr>
        <w:trPr/>
        <w:tc>
          <w:tcPr>
            <w:tcW w:w="309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382,436 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512,072 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223,373 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184,767 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204,402 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177,399 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18</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200,000,000 shares authorized, 39,673,271 and 39,453,236 shares issued and 33,823,237 and 36,630,970 shares outstanding as of December 31, 2023 and 2022, respectively, and Preferred stock $0.0001 par value; 5,000,000 shares authorized, none issued or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5,850,034 and 2,822,266 shares as of December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149,906 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576,812 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512,072 </w:t>
            </w:r>
          </w:p>
        </w:tc>
        <w:tc>
          <w:tcPr>
            <w:tcW w:w="1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74980"/>
                <wp:effectExtent l="0" t="0" r="0" b="0"/>
                <wp:wrapNone/>
                <wp:docPr id="51" name="Frame50"/>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240"/>
        <w:jc w:val="left"/>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before="0" w:after="0"/>
        <w:jc w:val="left"/>
        <w:rPr/>
      </w:pPr>
      <w:r>
        <w:rPr/>
      </w:r>
    </w:p>
    <w:p>
      <w:pPr>
        <w:pStyle w:val="TextBody"/>
        <w:bidi w:val="0"/>
        <w:spacing w:before="0" w:after="240"/>
        <w:ind w:left="0" w:right="0" w:firstLine="720"/>
        <w:jc w:val="both"/>
        <w:rPr/>
      </w:pPr>
      <w:r>
        <w:rPr/>
      </w:r>
    </w:p>
    <w:tbl>
      <w:tblPr>
        <w:tblW w:w="8796" w:type="dxa"/>
        <w:jc w:val="left"/>
        <w:tblInd w:w="0" w:type="dxa"/>
        <w:tblLayout w:type="fixed"/>
        <w:tblCellMar>
          <w:top w:w="28" w:type="dxa"/>
          <w:left w:w="28" w:type="dxa"/>
          <w:bottom w:w="28" w:type="dxa"/>
          <w:right w:w="28" w:type="dxa"/>
        </w:tblCellMar>
      </w:tblPr>
      <w:tblGrid>
        <w:gridCol w:w="1521"/>
        <w:gridCol w:w="1336"/>
        <w:gridCol w:w="1343"/>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December 31, </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546,805 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459,206 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563,245 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463,897 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391,354 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38,474,040 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74980"/>
                <wp:effectExtent l="0" t="0" r="0" b="0"/>
                <wp:wrapNone/>
                <wp:docPr id="52" name="Frame51"/>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240"/>
        <w:jc w:val="left"/>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before="0" w:after="0"/>
        <w:jc w:val="left"/>
        <w:rPr/>
      </w:pPr>
      <w:r>
        <w:rPr/>
      </w:r>
    </w:p>
    <w:tbl>
      <w:tblPr>
        <w:tblW w:w="12875" w:type="dxa"/>
        <w:jc w:val="left"/>
        <w:tblInd w:w="0" w:type="dxa"/>
        <w:tblLayout w:type="fixed"/>
        <w:tblCellMar>
          <w:top w:w="28" w:type="dxa"/>
          <w:left w:w="28" w:type="dxa"/>
          <w:bottom w:w="28" w:type="dxa"/>
          <w:right w:w="28" w:type="dxa"/>
        </w:tblCellMar>
      </w:tblPr>
      <w:tblGrid>
        <w:gridCol w:w="715"/>
        <w:gridCol w:w="272"/>
        <w:gridCol w:w="274"/>
        <w:gridCol w:w="540"/>
        <w:gridCol w:w="541"/>
        <w:gridCol w:w="226"/>
        <w:gridCol w:w="109"/>
        <w:gridCol w:w="109"/>
        <w:gridCol w:w="109"/>
        <w:gridCol w:w="286"/>
        <w:gridCol w:w="347"/>
        <w:gridCol w:w="148"/>
        <w:gridCol w:w="109"/>
        <w:gridCol w:w="109"/>
        <w:gridCol w:w="109"/>
        <w:gridCol w:w="494"/>
        <w:gridCol w:w="497"/>
        <w:gridCol w:w="226"/>
        <w:gridCol w:w="109"/>
        <w:gridCol w:w="109"/>
        <w:gridCol w:w="109"/>
        <w:gridCol w:w="211"/>
        <w:gridCol w:w="841"/>
        <w:gridCol w:w="109"/>
        <w:gridCol w:w="109"/>
        <w:gridCol w:w="109"/>
        <w:gridCol w:w="109"/>
        <w:gridCol w:w="211"/>
        <w:gridCol w:w="721"/>
        <w:gridCol w:w="109"/>
        <w:gridCol w:w="109"/>
        <w:gridCol w:w="109"/>
        <w:gridCol w:w="109"/>
        <w:gridCol w:w="211"/>
        <w:gridCol w:w="826"/>
        <w:gridCol w:w="109"/>
        <w:gridCol w:w="109"/>
        <w:gridCol w:w="109"/>
        <w:gridCol w:w="109"/>
        <w:gridCol w:w="375"/>
        <w:gridCol w:w="856"/>
        <w:gridCol w:w="195"/>
        <w:gridCol w:w="109"/>
        <w:gridCol w:w="109"/>
        <w:gridCol w:w="109"/>
        <w:gridCol w:w="220"/>
        <w:gridCol w:w="864"/>
        <w:gridCol w:w="162"/>
      </w:tblGrid>
      <w:tr>
        <w:trPr/>
        <w:tc>
          <w:tcPr>
            <w:tcW w:w="7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w:t>
              <w:br/>
              <w:t>Comprehensive (Loss)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2020</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38,217,125 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Other stock awards,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38,820,222 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(341,522)</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9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143,040 </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Exercise of stock options,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stock awards, net of shares withheld for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Fully vested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(2,480,744)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39,453,236 </w:t>
            </w:r>
          </w:p>
        </w:tc>
        <w:tc>
          <w:tcPr>
            <w:tcW w:w="2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(2,822,266)</w:t>
            </w:r>
          </w:p>
        </w:tc>
        <w:tc>
          <w:tcPr>
            <w:tcW w:w="2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9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149,906 </w:t>
            </w:r>
          </w:p>
        </w:tc>
        <w:tc>
          <w:tcPr>
            <w:tcW w:w="1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stock awards, net of shares withheld for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(3,027,768)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39,673,271 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(5,850,034)</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74980"/>
                <wp:effectExtent l="0" t="0" r="0" b="0"/>
                <wp:wrapNone/>
                <wp:docPr id="53" name="Frame52"/>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240"/>
        <w:jc w:val="left"/>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2222"/>
        <w:gridCol w:w="1919"/>
        <w:gridCol w:w="1925"/>
        <w:gridCol w:w="211"/>
        <w:gridCol w:w="826"/>
        <w:gridCol w:w="109"/>
        <w:gridCol w:w="109"/>
        <w:gridCol w:w="109"/>
        <w:gridCol w:w="109"/>
        <w:gridCol w:w="211"/>
        <w:gridCol w:w="826"/>
        <w:gridCol w:w="109"/>
        <w:gridCol w:w="109"/>
        <w:gridCol w:w="109"/>
        <w:gridCol w:w="109"/>
        <w:gridCol w:w="211"/>
        <w:gridCol w:w="826"/>
        <w:gridCol w:w="156"/>
      </w:tblGrid>
      <w:tr>
        <w:trPr/>
        <w:tc>
          <w:tcPr>
            <w:tcW w:w="2222"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origination costs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provision,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18,661 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78,098 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business acquisition, net of cash and cash equivalents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(18,280)</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term loan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loan,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origination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exercises of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stock-based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(37,120)</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(9,616)</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the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the year</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132,474 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74980"/>
                <wp:effectExtent l="0" t="0" r="0" b="0"/>
                <wp:wrapNone/>
                <wp:docPr id="54" name="Frame53"/>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240"/>
        <w:jc w:val="left"/>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346"/>
        <w:gridCol w:w="2014"/>
        <w:gridCol w:w="2021"/>
        <w:gridCol w:w="211"/>
        <w:gridCol w:w="721"/>
        <w:gridCol w:w="109"/>
        <w:gridCol w:w="109"/>
        <w:gridCol w:w="109"/>
        <w:gridCol w:w="109"/>
        <w:gridCol w:w="211"/>
        <w:gridCol w:w="721"/>
        <w:gridCol w:w="109"/>
        <w:gridCol w:w="109"/>
        <w:gridCol w:w="109"/>
        <w:gridCol w:w="109"/>
        <w:gridCol w:w="211"/>
        <w:gridCol w:w="721"/>
        <w:gridCol w:w="156"/>
      </w:tblGrid>
      <w:tr>
        <w:trPr/>
        <w:tc>
          <w:tcPr>
            <w:tcW w:w="2346"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63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arising from obtaining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adjustments due to lease modifications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Contingent consideration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Settlement of preexisting receivable balance from LAN Holdings against the consideration transferred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cashless exercise of options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74980"/>
                <wp:effectExtent l="0" t="0" r="0" b="0"/>
                <wp:wrapNone/>
                <wp:docPr id="55" name="Frame54"/>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 – BASIS OF PRESENTATION AND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(the “Company” or “us” or “we”) operates as a money transmitter between the United States of America (“United States” or “U.S.”), Canada, Spain, Italy and Germany primarily to Mexico, Guatemala and other countries in Latin America, Africa and Asia through a network of authorized agents located in various unaffiliated retail establishments and 122 Company-operated stores throughout those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of the Company include the accounts of International Money Express, Inc. and other entities in which the Company has a controlling financial interest. All significant inter-company balances and transactions have been eliminated in consolidation. The consolidated financial statements are prepared in accordance with accounting principles generally accepted in the U.S. (“GAAP”).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2 – SUMMARY OF SIGNIFICANT ACCOUNTING POLICIES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the disclosure of contingent assets and liabilities, and the reported amounts of revenues and expenses. Actual results could differ from these estimates.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Earnings per Share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restricted stock units (“RSUs”), restricted stock awards (“RSAs”) and performance stock units (“PSUs”) have vested, using the treasury stock method. Potential common shares are excluded from the computation of diluted earnings per common share when the effect would be anti-dilutive. Treasury stock shares that have been repurchased are not considered outstanding and therefore are excluded from the weighted average number of common shares outstanding calculation.</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Cash is comprised of deposits in U.S. and foreign banks and cash in hand held at our Company-operated stores. The Company recognizes interest income from its cash deposits on an accrual basis. The Company considers cash equivalents to be short term, highly liquid investments with original maturities of three months or less. Cash equivalents include cash on deposit in overnight deposit accounts.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Concentrations</w:t>
      </w:r>
    </w:p>
    <w:p>
      <w:pPr>
        <w:pStyle w:val="TextBody"/>
        <w:bidi w:val="0"/>
        <w:spacing w:lineRule="auto" w:line="288" w:before="0" w:after="0"/>
        <w:jc w:val="both"/>
        <w:rPr/>
      </w:pPr>
      <w:r>
        <w:rPr>
          <w:rFonts w:ascii="Times New Roman;sans-serif" w:hAnsi="Times New Roman;sans-serif"/>
          <w:b w:val="false"/>
          <w:color w:val="000000"/>
          <w:sz w:val="20"/>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and Italy, which may not be fully insured. During the year ended December 31, 2023, the Company has not incurred any losses on these uninsured foreign bank accounts; however, the Company maintain</w:t>
      </w:r>
      <w:r>
        <w:rPr>
          <w:rFonts w:ascii="Times New Roman;sans-serif" w:hAnsi="Times New Roman;sans-serif"/>
          <w:b w:val="false"/>
          <w:color w:val="000000"/>
          <w:sz w:val="20"/>
          <w:shd w:fill="FFFFFF" w:val="clear"/>
        </w:rPr>
        <w:t>s a $3.6 million reserve on the balance of deposits held as a result of the closure of a financial institution in Mexico in 2021 (see Note 6)</w:t>
      </w:r>
      <w:r>
        <w:rPr>
          <w:rFonts w:ascii="Times New Roman;sans-serif" w:hAnsi="Times New Roman;sans-serif"/>
          <w:b w:val="false"/>
          <w:color w:val="000000"/>
          <w:sz w:val="20"/>
        </w:rPr>
        <w:t xml:space="preserve">. Management believes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exposed to any significant credit risk regarding these accounts as it performs periodic reviews of the creditworthiness of the financial institutions the Company uses. Cash and cash equivalents balances were as follows (in thousands):</w:t>
      </w:r>
    </w:p>
    <w:p>
      <w:pPr>
        <w:pStyle w:val="TextBody"/>
        <w:bidi w:val="0"/>
        <w:spacing w:before="0" w:after="0"/>
        <w:jc w:val="both"/>
        <w:rPr/>
      </w:pPr>
      <w:r>
        <w:rPr/>
      </w:r>
    </w:p>
    <w:tbl>
      <w:tblPr>
        <w:tblW w:w="8019" w:type="dxa"/>
        <w:jc w:val="left"/>
        <w:tblInd w:w="0" w:type="dxa"/>
        <w:tblLayout w:type="fixed"/>
        <w:tblCellMar>
          <w:top w:w="28" w:type="dxa"/>
          <w:left w:w="28" w:type="dxa"/>
          <w:bottom w:w="28" w:type="dxa"/>
          <w:right w:w="28" w:type="dxa"/>
        </w:tblCellMar>
      </w:tblPr>
      <w:tblGrid>
        <w:gridCol w:w="1939"/>
        <w:gridCol w:w="1703"/>
        <w:gridCol w:w="1713"/>
        <w:gridCol w:w="211"/>
        <w:gridCol w:w="826"/>
        <w:gridCol w:w="109"/>
        <w:gridCol w:w="109"/>
        <w:gridCol w:w="109"/>
        <w:gridCol w:w="109"/>
        <w:gridCol w:w="211"/>
        <w:gridCol w:w="826"/>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 U.S. dollars in U.S. banks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224,617 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142,143 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 foreign banks and foreign currency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Petty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paying agents are concentrated in a few large banks and financial institutions and large retail chains. Our largest paying agent by volume accounted for approximately 25% and 24% of the Company’s total remittance volume for the years ended December 31, 2023 and 2022, respectively, primarily from the U.S. to Mexico.</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for wire transfer and money order fees are recognized at the time the transaction is processed. The Company acts as the principal for these transactions as the Company controls the service at all times prior to transferring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net, which represents the difference between the exchange rate set by the Company and the rate realized, is initially recognized when the customer's wire transfer transaction is processed and the purchase of foreign currency is completed. Other income primarily represents revenues for technology services provided to the independent network of agents who utilize the Company’s technology in processing transactions paid by credit or debit card, check cashing services and maintenance fees, for which revenue is derived by a fee per transaction that is recognized when the transactions is processed. </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4 for the discussion related to revenue recognition and additional information on the Company’s revenue.</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Business Combinations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business combinations using the acquisition method, which requires that intangible assets be recognized apart from goodwill if they are contractual in nature or separately identifiable. Acquisitions are measured based on the fair value of consideration transferred and, if the consideration transferred is not cash, measurement is based on the fair value of the consideration transferred or the fair value of the assets acquired, whichever is more reliably measurable. The excess of the consideration transferred over the fair value of identifiable assets acquired and liabilities assumed is allocated to goodwill.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and allocation processes rely on significant assumptions made by management. In certain situations, the allocations of excess purchase price are based upon preliminary estimates and assumptions. Accordingly, the allocations are subject to revision when the Company receives updated information, including valuations and other analyses, which are completed within one year of the acquisition. Revisions to the preliminary fair values, which may be significant, are recorded through goodwill until pending information is finalized, not to exceed one year from the acquisition date. Any revisions to the fair values after they have been finalized will be accounted for as a gain or loss in the consolidated statement of income and comprehensive income.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 may consist of potential future payments that are contingent upon the acquired business achieving certain levels of earnings in the future, also referred to as “contingent consideration” or “earn-out.” Earn-out liabilities are measured at their estimated fair value as of the date of acquisition. Changes in the fair value of earn-out liabilities are recorded as a component of operating income in the consolidated statement of income and comprehensive income. Earn-out liabilities are included within accrued current and other liabilities within the consolidated balance sheet. Earn-out payments, to the extent they relate to the estimated earn-out liability as of the date of acquisition, are classified within financing activities in the consolidated statement of cash flows. Earn-out payments in excess of the acquisition date earn-out liability are classified within operating activities.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 incurred in connection with business combination transactions are expensed as incurred and are included as Transaction Costs in the consolidated statements of income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 and Allowance for Credit Losses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and agent advances receivable are recorded at their net realizable value, which is net of an allowance for credit losses. Accounts receivable are recorded upon initiation of the wire transfer and are typically due to the Company within five days. The Company maintains an allowance for credit losses for estimated losses resulting from the inability of its sending agents to make required payments.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allowance for credit losses using expected credit loss rates on financial instruments based on the total estimated amount to be collected over the lifetime of the instruments. Expected credit losses for uncollectible receivable balances consider both current conditions and reasonable and supportable forecasts of future conditions. Current conditions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 Accounts receivable that are more than 90 days past due are charged off against the allowance for credit losses.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Receivable balances from sending agents are usually due to the Company within five days from the invoice date. Any balances not collected after that time are considered past due.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party to any off-balance sheet arrangements that would require an allowance for credit losses.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Prepaid Wires, Net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Prepaid wires, net represents funds provided to certain paying agents in advance of a transaction, net of wires pending to be picked up by the beneficiary of the money transfer.</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Prepaid Expenses and Other Assets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consist primarily of right-of-use assets (see Note 8), fixed assets in process (see Note 6), prepaid expenses for services, tenant allowance, agent advances receivable (see Note 6) and deferred financing costs. Interest income on agent advances receivable is recognized on a cash basis due at the end of each calendar month, which is when the interest payments are due from the majority of the agent advances receivable. Fees earned on agent advances receivable are recognized on a cash basis at the advance origination date.</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Wire Transfers Payable, Net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payable, net represent wires pending to be picked up by the beneficiary of the money transfer net of funds provided to certain paying agents in advance of a transaction.</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lineRule="auto" w:line="288" w:before="0" w:after="0"/>
        <w:jc w:val="both"/>
        <w:rPr/>
      </w:pPr>
      <w:r>
        <w:rPr>
          <w:rFonts w:ascii="Times New Roman;sans-serif" w:hAnsi="Times New Roman;sans-serif"/>
          <w:b w:val="false"/>
          <w:color w:val="000000"/>
          <w:sz w:val="20"/>
        </w:rPr>
        <w:t xml:space="preserve">The Company is a party to leases for office space, warehouses and Company-operated store locations. The Company determines if a contract contains a lease arrangement at the inception of the contract. </w:t>
      </w:r>
      <w:r>
        <w:rPr>
          <w:rFonts w:ascii="Times New Roman;sans-serif" w:hAnsi="Times New Roman;sans-serif"/>
          <w:b w:val="false"/>
          <w:color w:val="000000"/>
          <w:sz w:val="20"/>
          <w:shd w:fill="FFFFFF" w:val="clear"/>
        </w:rPr>
        <w:t>For leases in which the Company is the lessee, leases are classified as either finance or operating, with classification affecting the pattern of expense recognition. At commencement date, lease right-of-use (“ROUs”) assets consist of the amount of the initial measurement of the lease liability, any lease payments made to the lessor at or before the commencement date, minus any lease incentive received, and any initial direct costs</w:t>
      </w:r>
      <w:r>
        <w:rPr>
          <w:rFonts w:ascii="Times New Roman;sans-serif" w:hAnsi="Times New Roman;sans-serif"/>
          <w:b w:val="false"/>
          <w:color w:val="000000"/>
          <w:sz w:val="20"/>
        </w:rPr>
        <w:t>. If a lease does not provide a discount rate and the rate cannot be readily determined, an incremental borrowing rate is used to determine the present value of future lease payments. Lease and variable non-lease components within the Company’s lease agreements are not accounted for separately.</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Property and Equipment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leasehold improvements, are stated at cost, or the allocated fair value in purchase accounting, less accumulated depreciation and amortization. The costs of additions and betterments that substantially extend the useful life of an asset are capitalized and the expenditures for ordinary repairs and maintenance are expensed in the period incurred as part of other selling, general and administrative expenses in the consolidated statements of income and comprehensive income. Land is not depreciated. Depreciation is computed using the straight-line method over the estimated useful lives of the related assets. Leasehold improvements are amortized over the lease term or the estimated useful life of the improvement, whichever is shorter. At the time depreciable assets are retired or otherwise disposed, the cost and the related accumulated depreciation of such assets are eliminated from the accounts and any gain or loss is recognized in the current period. The Company capitalizes costs incurred for the development of internal use computer software, which are depreciated over five years using the straight-line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Goodwill and Intangible Assets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result primarily from business acquisition transactions. Intangible assets include primarily agent relationships, trade names, developed technology and other intangibles, all with finite lives. Other intangibles primarily relate to the acquisition of certain agent locations and non-competition agreements. Upon the acquisition, the purchase price is first allocated to identifiable assets and liabilities, including trade name and other intangibles, with any remaining purchase price recorded as goodwill.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not amortized; however, it is assessed for impairment at least annually, at the beginning of the fourth quarter, or more frequently if triggering events occur. For purposes of the annual assessment,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recognize an impairment equal to the difference between the carrying amount of the reporting unit and its fair value, not to exceed the carrying amount of goodwill.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agent relationships, trade names and developed technology are amortized utilizing an accelerated method over their estimated useful lives of up to 15 years. Other intangible assets are amortized on a straight-line basis over a useful life of up to 10 years. The Company reviews for impairment indicators of finite-lived intangibles and other long-lived assets as described below in “Impairment of Long-Lived Assets.”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Long-Lived Assets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including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Origination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debt origination costs related to the A&amp;R Credit Agreement (as defined herein), consisting of a term loan facility and a revolving credit facility and amortizes these costs over the life of the related debt using the straight-line method, which approximates the effective interest method. The unamortized portion of debt origination costs related to the term loan is recorded on the consolidated balance sheets as an offset to the related debt, while deferred up-front commitment fees paid directly to the lender related to the revolving credit facility are recorded within other assets in the consolidated balance sheets. Amortization of debt origination costs is included as a component of interest expense in the consolidated statements of income and comprehensive income.</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Advertising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included in other selling, general and administrative expenses in the consolidated statements of income and comprehensive income and are expensed as incurred. The Company incurred advertising costs of approximately $0.3 million, $1.0 million and $2.5 million for the years ended December 31, 2023, 2022 and 2021, respectively.</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GAAP which requires,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the uncertain tax position guidance, the Company recognizes the financial statement benefit of a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likelihood of being realized upon ultimate settlement with the relevant tax authority. The Company is subject to income taxes in the U.S. federal jurisdiction and various state jurisdictions. Tax regulations within each jurisdiction are subject to the interpretation of the related tax laws and regulations and require significant judgment to apply. The Company applies the uncertain tax position guidance to all tax positions for which the statute of limitations remains open. The Company’s policy is to classify interest accrued as interest expense and penalties as other selling, general and administrative expenses.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Foreign subsidiaries of the Company are subject to taxes by local tax authorities.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Foreign Currency Translation and Transactions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transactions of the Company’s foreign operations are maintained in their functional currency, which is other than the U.S. dollar. Assets and liabilities are translated at current exchange rates in effect at the balance sheet date. Revenue and expenses are translated at the average exchange rate for each period. Translation adjustments, which result from the process of translating the financial statements of the Company’s foreign operations into U.S. dollars, are recorded as a component of accumulated other comprehensive income (loss).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Gains or losses from foreign currency transactions amounted to approximately a gain of $0.2 million, a loss of $15.5 thousand and a gain of $0.3 million for the years ended December 31, 2023, 2022 and 2021, respectively, and are included in other selling, general and administrative expenses in the consolidated statements of income and comprehensive income.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foreign currency risk through the structure of the business and an active risk management process. We currently settle with our payers in Latin America primarily by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Mexico and Guatemala amounting to approximately $56.9 million and $41.3 million at December 31, 2023 and 2022, respectively.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included in wire transfers and money orders payable, net in our consolidated balance sheets as of December 31, 2023 and 2022, there are $40.7 million and $39.3 million, respectively, of wire transfers payable denominated in foreign currencies, primarily in Mexican pesos and Guatemalan quetzales.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in prepaid wires, net in our consolidated balance sheets as of December 31, 2023 and 2022, there are $17.8 million and $82.3 million, respectively, of prepaid wires denominated in foreign currencies, primarily in Mexican pesos and Guatemalan quetzales.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Comprehensive Income (Loss)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consists of net income (loss) and the foreign currency translation adjustment and is presented in the consolidated statements of income and comprehensive income.</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Share-Based Compensation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share-based compensation expense related to equity instruments under GAAP, which requires the measurement and recognition of compensation costs for all equity-based payment awards made to employees, independent directors and service providers based on estimated fair values. We have elected to account for forfeitures as they occur. The Company may use either authorized and unissued shares or treasury shares to meet share issuance requirements. See Note 14 for further discussion related to the Company’s share-based compensation plans.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is organized around one reportable segment that provides money transmittal services between the U.S., Canada and certain countries in Europe to Mexico, Guatemala and other countries in Latin America, Africa and Asia through a network of authorized agents located in various unaffiliated retail establishments and 122 Company-operated stores throughout the U.S., Canada, Spain, Italy and Germany. This is based on the objectives of the business and how our chief operating decision maker, the CEO and President, monitors operating performance and allocates resources.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Reclassifications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to conform with current year presentation. These changes did not have any effect on net income, stockholders’ equity or cash flows.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pPr>
      <w:r>
        <w:rPr>
          <w:rFonts w:ascii="Times New Roman;sans-serif" w:hAnsi="Times New Roman;sans-serif"/>
          <w:b w:val="false"/>
          <w:color w:val="000000"/>
          <w:sz w:val="20"/>
        </w:rPr>
        <w:t xml:space="preserve">The FASB issued guidance,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guidance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The amendments in this ASU should be applied retrospectively to all prior periods presented in the financial statements. The Company is currently evaluating the impact this guidance will have on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FASB issued guidance,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focuses on the rate reconciliation and income taxes paid. This guidance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the Company, the new standard is effective for annual periods beginning after December 15, 2024, with early adoption permitted. An entity may apply the amendments in this guidance prospectively by providing the revised disclosures for the period ending December 31, 2025 and continuing to provide the previously required disclosures for the prior periods, or may apply the amendments retrospectively by providing the revised disclosures for all period presented. The Company is currently evaluating the impact this guidance will have on the consolidated financial statements.</w:t>
      </w:r>
    </w:p>
    <w:p>
      <w:pPr>
        <w:pStyle w:val="TextBody"/>
        <w:bidi w:val="0"/>
        <w:spacing w:before="0" w:after="0"/>
        <w:jc w:val="left"/>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3 – ACQUISITIONS</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Envios de Valores La Nacional Corp.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2022, the Company completed the acquisition of 100% of the voting interest of La Nacional (the “La Nacional Acquisition”) and on April 5, 2023, the Company completed the acquisition of 100% of the voting interest of LAN Holdings (the “LAN Acquisition”) (the “LAN Acquisition,” and together with the La Nacional Acquisition, the “Acquisitions”). See “LAN Holdings, Corp.” section 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cash consideration of $39.7 million upon consummation of the La Nacional Acquisition (subject to customary purchase price adjustments) and had the potential to pay up to $2.4 million in contingent consideration as a result of La Nacional achieving certain transaction volume and financial targets during 2023. The contingent consideration fair value as of December 31, 2023 and December 31, 2022 was approximately $0.6 million and $1.3 million, respectively. During 2023, the Company recorded a fair value adjustment of $0.8 million based on the actual achievement of the financial targets during the measurement period, which was recorded as other income in the consolidated statement of income and comprehensive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of consideration transferred and identifiable net assets acquired in the La Nacional Acquisition on November 1, 2022, the measurement period adjustments in the year ended December 31, 2023 and the fair values of consideration transferred and identifiable net assets acquired as of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tbl>
      <w:tblPr>
        <w:tblW w:w="10205" w:type="dxa"/>
        <w:jc w:val="left"/>
        <w:tblInd w:w="0" w:type="dxa"/>
        <w:tblLayout w:type="fixed"/>
        <w:tblCellMar>
          <w:top w:w="28" w:type="dxa"/>
          <w:left w:w="28" w:type="dxa"/>
          <w:bottom w:w="28" w:type="dxa"/>
          <w:right w:w="28" w:type="dxa"/>
        </w:tblCellMar>
      </w:tblPr>
      <w:tblGrid>
        <w:gridCol w:w="1018"/>
        <w:gridCol w:w="734"/>
        <w:gridCol w:w="729"/>
        <w:gridCol w:w="109"/>
        <w:gridCol w:w="109"/>
        <w:gridCol w:w="109"/>
        <w:gridCol w:w="463"/>
        <w:gridCol w:w="1723"/>
        <w:gridCol w:w="239"/>
        <w:gridCol w:w="109"/>
        <w:gridCol w:w="109"/>
        <w:gridCol w:w="109"/>
        <w:gridCol w:w="487"/>
        <w:gridCol w:w="1459"/>
        <w:gridCol w:w="254"/>
        <w:gridCol w:w="109"/>
        <w:gridCol w:w="109"/>
        <w:gridCol w:w="109"/>
        <w:gridCol w:w="388"/>
        <w:gridCol w:w="1441"/>
        <w:gridCol w:w="289"/>
      </w:tblGrid>
      <w:tr>
        <w:trPr/>
        <w:tc>
          <w:tcPr>
            <w:tcW w:w="10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November 1, 2022 (As initially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 (As Adjusted)</w:t>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84,049 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(56,542)</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(55,648)</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Restructuring costs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implemented a Restructuring Plan (the "Plan") for La Nacional. The objectives were to reorganize the workforce, streamline operational processes as well as develop efficiencies within the Company. The Plan contemplated a reduction of La Nacional's workforce due to closing of operations, and surrendering of money transmitter licenses in certain states, termination of selected sending agents, centralization of functions at the consolidated Company level and closing of certain facilities.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Company incurred $1.2 million in expenses related to the Plan. These expenses include approximately $0.9 million in severance payments and related benefits included in salaries and benefits in the consolidated statement of income and comprehensive income, $0.3 million in computer equipment write-offs, $38 thousand for the early termination of a lease agreement and $31 thousand in legal fees related to the surrender of money transmitter licenses within states where La Nacional will no longer operate, which are included in other selling, general and administrative expenses in the consolidated statement of income and comprehensive income.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out the above charges during the year ended December 31, 2023 and does not have a liability recorded as of December 31, 2023.</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LAN Holdings, Corp.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2023, the Company completed the acquisition of 100% of the voting interest of LAN Holdings. LAN Holdings provides the Company the opportunity to enter into markets in which it did not have a presence previously, such as the ability to provide outbound remittance services from Spain, Italy, and Germany.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transferred by the Company in connection with the LAN Acquisition was $13.4 million, which included $10.3 million in cash, subject to customary purchase price adjustments. The Company will also pay an additional $0.6 million in cash as a result of LAN Holdings’ achievement of certain operational milestones during 2023, which the parties have agreed have been achieved. Prior to the acquisition, the Company maintained a receivable balance of approximately $2.5 million related to money transfers paid by the Company on behalf of LAN Holdings. Upon the closing of the LAN Acquisition, the receivable balance was effectively settled and, therefore, included in the determination of the total consideration transferred. The LAN Acquisition was funded with cash on hand.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of consideration transferred and identifiable net assets acquired in the LAN Acquisition on April 5, 2023, the measurement period adjustments in the year ended December 31, 2023 and the fair values of consideration transferred and identifiable net assets acquired as of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95"/>
        <w:gridCol w:w="1014"/>
        <w:gridCol w:w="1017"/>
        <w:gridCol w:w="373"/>
        <w:gridCol w:w="1276"/>
        <w:gridCol w:w="192"/>
        <w:gridCol w:w="109"/>
        <w:gridCol w:w="109"/>
        <w:gridCol w:w="109"/>
        <w:gridCol w:w="732"/>
        <w:gridCol w:w="1669"/>
        <w:gridCol w:w="379"/>
        <w:gridCol w:w="109"/>
        <w:gridCol w:w="109"/>
        <w:gridCol w:w="109"/>
        <w:gridCol w:w="330"/>
        <w:gridCol w:w="1128"/>
        <w:gridCol w:w="246"/>
      </w:tblGrid>
      <w:tr>
        <w:trPr/>
        <w:tc>
          <w:tcPr>
            <w:tcW w:w="119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5, 2023</w:t>
              <w:br/>
              <w:t>(As initially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br/>
              <w:t>(As Adjusted)</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goodwill balance for the LAN Acquisition represents the estimated values of the Company’s geographic presence in key markets, assembled workforce, management team’s industry-specific knowledge and synergies expected to be achieved from the combined operations of LAN Holdings and the Company. Goodwill resulting from the LAN Acquisition is not deductible for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 related to the LAN Acquisition are primarily composed of agent relationships, a trade name and non-competition agreements, which had weighted average lives of approximately 15 years, 10 years and 5 years, respectively, and are based on LAN Holdings’ operational history and established relationships with, and the nature of, its customers. The weighted average life of amortizing intangible assets for LAN Acquisition was 14.95 years in the aggregate. These intangible assets are amortized utilizing an accelerated method over their estimated useful lives, which is a manner consistent with the pattern in which the related benefits are expected to be consumed. The acquisition date fair value of the agent relationships, trade name and non-competition agreement intangibles was $2.9 million, $0.3 million and $10.0 thousand,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agent relationships intangible represents the network of independent sending agents. This intangible was valued using the excess earnings method, which was based on the Company’s forecasts and historical activity at agent locations in order to develop a turnover rate and expected economic useful life. Assuming a year-over-year location turnover rate of 20.0%, this resulted in an expected useful life for this intangible of 15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Trade name refers to the I-Transfer name, branded on all agent locations and recognized in the market. This fair value was determined using the relief-from-royalty method, which is based on the Company’s expected revenues and a royalty rate estimated using comparable market data. The Company determined it was appropriate to assign a finite useful life of 10 years to the trade name to provide better matching of the amortization expense during the period of expected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definitive purchase agreement to acquire La Nacional and LAN Holdings entered into by the Company includes non-competition provisions agreed to by the former owner and two key members of management of La Nacional. The fair value of these intangibles was valued using the “with and without” method, which estimated the value of an asset based on the difference in the value of the business’s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“with” and “without” that asset. The Company assigned useful lives of up to 5 years for these intangibles, which matches the contractual term of the non-competition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LAN Holdings results of operations have been included in the Company's results of operations from the date of its acquisition. The Company’s consolidated statement of income and comprehensive income includes $13.8 million and $0.2 million of revenue and net income for the year ended December 31, 2023, respectively, from LAN Holdings.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include all internal and external costs directly related to acquisition activities, consisting primarily of legal, consulting, accounting and financial advisory fees. Transaction costs for the years ended December 31, 2023 and 2022, amounted to $0.4 million and $3.0 million, respectively. There were $1.0 million in transaction costs for the year ended December 31, 2021. Transaction costs for the years ended December 31, 2023 and 2022 primarily related to the Acquisitions, while transaction costs for the year ended December 31, 2021 related to costs incurred in connection with potential acquisitions considered during that year, including La Nacional and LAN Holdings.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Unaudited Supplemental Pro Forma Financial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unaudited supplemental pro forma revenue totaled approximately $663.3 million and $559.4 million, respectively, and unaudited supplemental pro forma net income totaled approximately $60.4 million and $57.6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pro forma financial results include the results of operations of LAN Holdings as if it had been consolidated as of January 1, 2022, the beginning of the year prior to its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adding the unaudited historical results of the acquired business to the historical results of the Company, and then adjusting those combined results for transaction costs of $0.4 million for the year ended December 31, 2023, and the incremental depreciation and amortization expense related to the property and equipment and intangible assets acquired. Transaction costs were included in the pro forma results for the year ended December 31, 2022 but removed from the pro forma results for the year ended December 31, 2023. These unaudited pro forma financial results do not include adjustments to reflect other cost savings or synergies that may have resulted from this acquisition. Future results may vary significantly due to future events and other factors, many of which are beyond the Company’s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4 – REVENUE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in revenues from contracts with customers, sending agents and others for the years ended December 31, 2023, 2022 and 2021, the following (in thousands):</w:t>
      </w:r>
    </w:p>
    <w:tbl>
      <w:tblPr>
        <w:tblW w:w="7467" w:type="dxa"/>
        <w:jc w:val="left"/>
        <w:tblInd w:w="0" w:type="dxa"/>
        <w:tblLayout w:type="fixed"/>
        <w:tblCellMar>
          <w:top w:w="28" w:type="dxa"/>
          <w:left w:w="28" w:type="dxa"/>
          <w:bottom w:w="28" w:type="dxa"/>
          <w:right w:w="28" w:type="dxa"/>
        </w:tblCellMar>
      </w:tblPr>
      <w:tblGrid>
        <w:gridCol w:w="1205"/>
        <w:gridCol w:w="1058"/>
        <w:gridCol w:w="1067"/>
        <w:gridCol w:w="211"/>
        <w:gridCol w:w="826"/>
        <w:gridCol w:w="109"/>
        <w:gridCol w:w="109"/>
        <w:gridCol w:w="109"/>
        <w:gridCol w:w="109"/>
        <w:gridCol w:w="211"/>
        <w:gridCol w:w="826"/>
        <w:gridCol w:w="109"/>
        <w:gridCol w:w="109"/>
        <w:gridCol w:w="109"/>
        <w:gridCol w:w="109"/>
        <w:gridCol w:w="211"/>
        <w:gridCol w:w="82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Wire transfer and money order fees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564,337 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471,190 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394,669 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Discounts and promotions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Wire transfer and money order fees, net</w:t>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561,540 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469,162 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393,241 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exchange gain,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658,735 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546,805 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459,206 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11) and a corresponding loyalty program expense is recorded as contra revenue. Revenue from this performance obligation is recognized upon customers redeeming points or upon expiration of any points outstanding.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offers several other services, including money orders, and check cashing through our sending agents,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 fees include money order fees of $2.2 million, $1.8 million and $1.5 million for the years ended December 31, 2023, 2022 and 2021,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5 – ACCOUNTS RECEIVABLE AND AGENT ADVANCES RECEIVABLE, NET OF ALLOWANCE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pStyle w:val="TextBody"/>
        <w:bidi w:val="0"/>
        <w:spacing w:before="0" w:after="0"/>
        <w:jc w:val="both"/>
        <w:rPr/>
      </w:pPr>
      <w:r>
        <w:rPr/>
      </w:r>
    </w:p>
    <w:tbl>
      <w:tblPr>
        <w:tblW w:w="4958" w:type="dxa"/>
        <w:jc w:val="left"/>
        <w:tblInd w:w="0" w:type="dxa"/>
        <w:tblLayout w:type="fixed"/>
        <w:tblCellMar>
          <w:top w:w="28" w:type="dxa"/>
          <w:left w:w="28" w:type="dxa"/>
          <w:bottom w:w="28" w:type="dxa"/>
          <w:right w:w="28" w:type="dxa"/>
        </w:tblCellMar>
      </w:tblPr>
      <w:tblGrid>
        <w:gridCol w:w="831"/>
        <w:gridCol w:w="730"/>
        <w:gridCol w:w="733"/>
        <w:gridCol w:w="211"/>
        <w:gridCol w:w="826"/>
        <w:gridCol w:w="109"/>
        <w:gridCol w:w="109"/>
        <w:gridCol w:w="109"/>
        <w:gridCol w:w="109"/>
        <w:gridCol w:w="211"/>
        <w:gridCol w:w="82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157,847 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Agent Advances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agent advances receivable, net of allowance for credit losses, from sending agents as follows (in thousands):</w:t>
      </w:r>
    </w:p>
    <w:p>
      <w:pPr>
        <w:pStyle w:val="TextBody"/>
        <w:bidi w:val="0"/>
        <w:spacing w:before="0" w:after="0"/>
        <w:jc w:val="both"/>
        <w:rPr/>
      </w:pPr>
      <w:r>
        <w:rPr/>
      </w:r>
    </w:p>
    <w:tbl>
      <w:tblPr>
        <w:tblW w:w="5423" w:type="dxa"/>
        <w:jc w:val="left"/>
        <w:tblInd w:w="0" w:type="dxa"/>
        <w:tblLayout w:type="fixed"/>
        <w:tblCellMar>
          <w:top w:w="28" w:type="dxa"/>
          <w:left w:w="28" w:type="dxa"/>
          <w:bottom w:w="28" w:type="dxa"/>
          <w:right w:w="28" w:type="dxa"/>
        </w:tblCellMar>
      </w:tblPr>
      <w:tblGrid>
        <w:gridCol w:w="1150"/>
        <w:gridCol w:w="1011"/>
        <w:gridCol w:w="1018"/>
        <w:gridCol w:w="211"/>
        <w:gridCol w:w="616"/>
        <w:gridCol w:w="109"/>
        <w:gridCol w:w="109"/>
        <w:gridCol w:w="109"/>
        <w:gridCol w:w="109"/>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current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long-term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long-term</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current portion of agent advances receivable is included in prepaid expenses and other current assets (see Note 6), and the net long-term portion is included in other assets in the consolidated balance sheets. At December 31, 2023 and 2022, there were $4.6 million and $2.8 million, respectively, of agent advances receivable collateralized by personal guarantees from the sending agents and assets from their businesses in case of a default by the agent.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maturities of agent advances receivable at December 31, 2023 are as follows (in thousands):</w:t>
      </w:r>
    </w:p>
    <w:tbl>
      <w:tblPr>
        <w:tblW w:w="3091" w:type="dxa"/>
        <w:jc w:val="left"/>
        <w:tblInd w:w="0" w:type="dxa"/>
        <w:tblLayout w:type="fixed"/>
        <w:tblCellMar>
          <w:top w:w="28" w:type="dxa"/>
          <w:left w:w="28" w:type="dxa"/>
          <w:bottom w:w="28" w:type="dxa"/>
          <w:right w:w="28" w:type="dxa"/>
        </w:tblCellMar>
      </w:tblPr>
      <w:tblGrid>
        <w:gridCol w:w="701"/>
        <w:gridCol w:w="615"/>
        <w:gridCol w:w="619"/>
        <w:gridCol w:w="248"/>
        <w:gridCol w:w="725"/>
        <w:gridCol w:w="183"/>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Outstanding</w:t>
              <w:br/>
              <w:t>Balance</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1 year</w:t>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1 and 2 years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2 and 3 years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4,595 </w:t>
            </w:r>
          </w:p>
        </w:tc>
        <w:tc>
          <w:tcPr>
            <w:tcW w:w="183" w:type="dxa"/>
            <w:tcBorders>
              <w:top w:val="single" w:sz="12"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related to accounts receivable and agent advances receivable are as follows (in thousands):</w:t>
      </w:r>
    </w:p>
    <w:p>
      <w:pPr>
        <w:pStyle w:val="TextBody"/>
        <w:bidi w:val="0"/>
        <w:spacing w:before="0" w:after="0"/>
        <w:jc w:val="both"/>
        <w:rPr/>
      </w:pPr>
      <w:r>
        <w:rPr/>
      </w:r>
    </w:p>
    <w:tbl>
      <w:tblPr>
        <w:tblW w:w="5171" w:type="dxa"/>
        <w:jc w:val="left"/>
        <w:tblInd w:w="0" w:type="dxa"/>
        <w:tblLayout w:type="fixed"/>
        <w:tblCellMar>
          <w:top w:w="28" w:type="dxa"/>
          <w:left w:w="28" w:type="dxa"/>
          <w:bottom w:w="28" w:type="dxa"/>
          <w:right w:w="28" w:type="dxa"/>
        </w:tblCellMar>
      </w:tblPr>
      <w:tblGrid>
        <w:gridCol w:w="603"/>
        <w:gridCol w:w="529"/>
        <w:gridCol w:w="532"/>
        <w:gridCol w:w="211"/>
        <w:gridCol w:w="616"/>
        <w:gridCol w:w="109"/>
        <w:gridCol w:w="109"/>
        <w:gridCol w:w="109"/>
        <w:gridCol w:w="109"/>
        <w:gridCol w:w="211"/>
        <w:gridCol w:w="616"/>
        <w:gridCol w:w="109"/>
        <w:gridCol w:w="109"/>
        <w:gridCol w:w="109"/>
        <w:gridCol w:w="109"/>
        <w:gridCol w:w="21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allocated by financial instrument category is as follows (in thousands):</w:t>
      </w:r>
    </w:p>
    <w:p>
      <w:pPr>
        <w:pStyle w:val="TextBody"/>
        <w:bidi w:val="0"/>
        <w:spacing w:before="0" w:after="0"/>
        <w:jc w:val="both"/>
        <w:rPr/>
      </w:pPr>
      <w:r>
        <w:rPr/>
      </w:r>
    </w:p>
    <w:tbl>
      <w:tblPr>
        <w:tblW w:w="5801" w:type="dxa"/>
        <w:jc w:val="left"/>
        <w:tblInd w:w="0" w:type="dxa"/>
        <w:tblLayout w:type="fixed"/>
        <w:tblCellMar>
          <w:top w:w="28" w:type="dxa"/>
          <w:left w:w="28" w:type="dxa"/>
          <w:bottom w:w="28" w:type="dxa"/>
          <w:right w:w="28" w:type="dxa"/>
        </w:tblCellMar>
      </w:tblPr>
      <w:tblGrid>
        <w:gridCol w:w="831"/>
        <w:gridCol w:w="730"/>
        <w:gridCol w:w="733"/>
        <w:gridCol w:w="211"/>
        <w:gridCol w:w="616"/>
        <w:gridCol w:w="109"/>
        <w:gridCol w:w="109"/>
        <w:gridCol w:w="109"/>
        <w:gridCol w:w="109"/>
        <w:gridCol w:w="211"/>
        <w:gridCol w:w="616"/>
        <w:gridCol w:w="109"/>
        <w:gridCol w:w="109"/>
        <w:gridCol w:w="109"/>
        <w:gridCol w:w="109"/>
        <w:gridCol w:w="211"/>
        <w:gridCol w:w="61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6 – PREPAID EXPENSES AND OTHER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p>
      <w:pPr>
        <w:pStyle w:val="TextBody"/>
        <w:bidi w:val="0"/>
        <w:spacing w:before="0" w:after="0"/>
        <w:jc w:val="both"/>
        <w:rPr/>
      </w:pPr>
      <w:r>
        <w:rPr/>
      </w:r>
    </w:p>
    <w:tbl>
      <w:tblPr>
        <w:tblW w:w="6173" w:type="dxa"/>
        <w:jc w:val="left"/>
        <w:tblInd w:w="0" w:type="dxa"/>
        <w:tblLayout w:type="fixed"/>
        <w:tblCellMar>
          <w:top w:w="28" w:type="dxa"/>
          <w:left w:w="28" w:type="dxa"/>
          <w:bottom w:w="28" w:type="dxa"/>
          <w:right w:w="28" w:type="dxa"/>
        </w:tblCellMar>
      </w:tblPr>
      <w:tblGrid>
        <w:gridCol w:w="1345"/>
        <w:gridCol w:w="1186"/>
        <w:gridCol w:w="1188"/>
        <w:gridCol w:w="211"/>
        <w:gridCol w:w="721"/>
        <w:gridCol w:w="109"/>
        <w:gridCol w:w="109"/>
        <w:gridCol w:w="109"/>
        <w:gridCol w:w="109"/>
        <w:gridCol w:w="211"/>
        <w:gridCol w:w="72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fees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Agent incentives advances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pending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7074" w:type="dxa"/>
        <w:jc w:val="left"/>
        <w:tblInd w:w="0" w:type="dxa"/>
        <w:tblLayout w:type="fixed"/>
        <w:tblCellMar>
          <w:top w:w="28" w:type="dxa"/>
          <w:left w:w="28" w:type="dxa"/>
          <w:bottom w:w="28" w:type="dxa"/>
          <w:right w:w="28" w:type="dxa"/>
        </w:tblCellMar>
      </w:tblPr>
      <w:tblGrid>
        <w:gridCol w:w="1673"/>
        <w:gridCol w:w="1472"/>
        <w:gridCol w:w="1475"/>
        <w:gridCol w:w="211"/>
        <w:gridCol w:w="721"/>
        <w:gridCol w:w="109"/>
        <w:gridCol w:w="109"/>
        <w:gridCol w:w="109"/>
        <w:gridCol w:w="109"/>
        <w:gridCol w:w="211"/>
        <w:gridCol w:w="721"/>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origination fees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incentives advances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 by seized banking entities, net of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31,876 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fixed assets in process include approximately $6.1 million (none in 2022) in capital expenditures related to lease hold improvements and other assets in connection with our new headquarters (see Note 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2022, local banking regulators in Mexico resolved to close and liquidate a local financial institution, citing a lack of compliance with minimum capital requirements. The Company has approximately $5.2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The Company maintains a valuation allowance of approximately $3.6 million as of December 31, 2023, in connection with the balance of deposits held by the financial institution as a result of its closure.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7 – PROPERTY AND EQUIPMENT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(in thousands):</w:t>
      </w:r>
    </w:p>
    <w:p>
      <w:pPr>
        <w:pStyle w:val="TextBody"/>
        <w:bidi w:val="0"/>
        <w:spacing w:before="0" w:after="0"/>
        <w:jc w:val="both"/>
        <w:rPr/>
      </w:pPr>
      <w:r>
        <w:rPr/>
      </w:r>
    </w:p>
    <w:tbl>
      <w:tblPr>
        <w:tblW w:w="6696" w:type="dxa"/>
        <w:jc w:val="left"/>
        <w:tblInd w:w="0" w:type="dxa"/>
        <w:tblLayout w:type="fixed"/>
        <w:tblCellMar>
          <w:top w:w="28" w:type="dxa"/>
          <w:left w:w="28" w:type="dxa"/>
          <w:bottom w:w="28" w:type="dxa"/>
          <w:right w:w="28" w:type="dxa"/>
        </w:tblCellMar>
      </w:tblPr>
      <w:tblGrid>
        <w:gridCol w:w="1051"/>
        <w:gridCol w:w="922"/>
        <w:gridCol w:w="937"/>
        <w:gridCol w:w="211"/>
        <w:gridCol w:w="721"/>
        <w:gridCol w:w="109"/>
        <w:gridCol w:w="109"/>
        <w:gridCol w:w="109"/>
        <w:gridCol w:w="109"/>
        <w:gridCol w:w="211"/>
        <w:gridCol w:w="721"/>
        <w:gridCol w:w="109"/>
        <w:gridCol w:w="109"/>
        <w:gridCol w:w="109"/>
        <w:gridCol w:w="109"/>
        <w:gridCol w:w="307"/>
        <w:gridCol w:w="307"/>
        <w:gridCol w:w="436"/>
      </w:tblGrid>
      <w:tr>
        <w:trPr/>
        <w:tc>
          <w:tcPr>
            <w:tcW w:w="105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w:t>
              <w:br/>
              <w:t>Useful Life</w:t>
              <w:br/>
              <w:t>(in years)</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Computer software and equipment above includes internally used software of approximately $15.4 million and $8.6 million at December 31, 2023 and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included in depreciation and amortization expense in the consolidated statements of income and comprehensive income was approximately $8.0 million, $5.2 million and $4.3 million for the years ended December 31, 2023, 2022 and 2021,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Repairs and maintenance expenses included in other selling, general and administrative expenses in the consolidated statements of income and comprehensive income were approximately $5.4 million, $3.7 million and $2.6 million for the years ended December 31, 2023, 2022 and 2021,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8 – 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conduct certain of our operations, the Company is a party to leases for office space, warehouses and Company-operated store locations. In December 2022, the Company entered into a lease agreement, which expires in 2033, for its new headquarters to accommodate its growing workforce. The new lease agreement provides for the Company to receive a tenant allowance amounting to approximately $3.8 million through the construction period, out of which $2.2 million has been disbursed through December 31, 2023. Also, the Company will commence making monthly lease payments on November 1, 2024. Such tenant allowance has been recorded within prepaid expenses and other current assets in the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right-of-use assets and lease liabilities in the consolidated balance sheets is as follows (in thousands):</w:t>
      </w:r>
    </w:p>
    <w:p>
      <w:pPr>
        <w:pStyle w:val="TextBody"/>
        <w:bidi w:val="0"/>
        <w:spacing w:before="0" w:after="0"/>
        <w:jc w:val="both"/>
        <w:rPr/>
      </w:pPr>
      <w:r>
        <w:rPr/>
      </w:r>
    </w:p>
    <w:tbl>
      <w:tblPr>
        <w:tblW w:w="8853"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804"/>
        <w:gridCol w:w="804"/>
        <w:gridCol w:w="806"/>
        <w:gridCol w:w="109"/>
        <w:gridCol w:w="109"/>
        <w:gridCol w:w="109"/>
        <w:gridCol w:w="349"/>
        <w:gridCol w:w="1195"/>
        <w:gridCol w:w="180"/>
        <w:gridCol w:w="109"/>
        <w:gridCol w:w="109"/>
        <w:gridCol w:w="109"/>
        <w:gridCol w:w="344"/>
        <w:gridCol w:w="1175"/>
        <w:gridCol w:w="251"/>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9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left"/>
        <w:rPr>
          <w:rFonts w:ascii="Times New Roman;sans-serif" w:hAnsi="Times New Roman;sans-serif"/>
          <w:b w:val="false"/>
          <w:color w:val="000000"/>
          <w:sz w:val="18"/>
        </w:rPr>
      </w:pPr>
      <w:r>
        <w:rPr>
          <w:rFonts w:ascii="Times New Roman;sans-serif" w:hAnsi="Times New Roman;sans-serif"/>
          <w:b w:val="false"/>
          <w:color w:val="000000"/>
          <w:sz w:val="18"/>
        </w:rPr>
        <w:t>(1) Operating right of-use assets are recorded net of accumulated amortization of $10.0 million and $5.6 million as of December 31, 2023 and 2022, respectively.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the years ended December 31, 2023 and 2022, respectively, was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tbl>
      <w:tblPr>
        <w:tblW w:w="10205" w:type="dxa"/>
        <w:jc w:val="left"/>
        <w:tblInd w:w="0" w:type="dxa"/>
        <w:tblLayout w:type="fixed"/>
        <w:tblCellMar>
          <w:top w:w="28" w:type="dxa"/>
          <w:left w:w="28" w:type="dxa"/>
          <w:bottom w:w="28" w:type="dxa"/>
          <w:right w:w="28" w:type="dxa"/>
        </w:tblCellMar>
      </w:tblPr>
      <w:tblGrid>
        <w:gridCol w:w="625"/>
        <w:gridCol w:w="548"/>
        <w:gridCol w:w="547"/>
        <w:gridCol w:w="109"/>
        <w:gridCol w:w="109"/>
        <w:gridCol w:w="109"/>
        <w:gridCol w:w="1351"/>
        <w:gridCol w:w="1351"/>
        <w:gridCol w:w="1365"/>
        <w:gridCol w:w="109"/>
        <w:gridCol w:w="109"/>
        <w:gridCol w:w="109"/>
        <w:gridCol w:w="380"/>
        <w:gridCol w:w="1115"/>
        <w:gridCol w:w="198"/>
        <w:gridCol w:w="109"/>
        <w:gridCol w:w="109"/>
        <w:gridCol w:w="109"/>
        <w:gridCol w:w="373"/>
        <w:gridCol w:w="1091"/>
        <w:gridCol w:w="280"/>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for the year ended December 31, 2021 was $2.4 million, which is included in other selling, general and administrative expenses in the consolidated statement of income and comprehensive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Company’s weighted-average remaining lease terms on its operating leases is 6.7 and 6.6 years, and the Company’s weighted-average discount rate is 6.06% and 5.67%, respectively, which is the Company's incremental borrowing rate. The Company used its incremental borrowing rate for all leases, as none of the Company’s lease agreements provide a readily determinable implicit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for assets under non-cancelable operating lease agreements with original terms of more than one year for the next five years and thereafter are as follows (in thousands):</w:t>
      </w:r>
    </w:p>
    <w:p>
      <w:pPr>
        <w:pStyle w:val="TextBody"/>
        <w:bidi w:val="0"/>
        <w:spacing w:before="0" w:after="0"/>
        <w:jc w:val="both"/>
        <w:rPr/>
      </w:pPr>
      <w:r>
        <w:rPr/>
      </w:r>
    </w:p>
    <w:tbl>
      <w:tblPr>
        <w:tblW w:w="4098" w:type="dxa"/>
        <w:jc w:val="left"/>
        <w:tblInd w:w="0" w:type="dxa"/>
        <w:tblLayout w:type="fixed"/>
        <w:tblCellMar>
          <w:top w:w="28" w:type="dxa"/>
          <w:left w:w="28" w:type="dxa"/>
          <w:bottom w:w="28" w:type="dxa"/>
          <w:right w:w="28" w:type="dxa"/>
        </w:tblCellMar>
      </w:tblPr>
      <w:tblGrid>
        <w:gridCol w:w="970"/>
        <w:gridCol w:w="852"/>
        <w:gridCol w:w="863"/>
        <w:gridCol w:w="109"/>
        <w:gridCol w:w="109"/>
        <w:gridCol w:w="109"/>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9 – GOODWILL AND 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consists of the following (in thousands):</w:t>
      </w:r>
    </w:p>
    <w:p>
      <w:pPr>
        <w:pStyle w:val="TextBody"/>
        <w:bidi w:val="0"/>
        <w:spacing w:before="0" w:after="0"/>
        <w:jc w:val="both"/>
        <w:rPr/>
      </w:pPr>
      <w:r>
        <w:rPr/>
      </w:r>
    </w:p>
    <w:tbl>
      <w:tblPr>
        <w:tblW w:w="4163" w:type="dxa"/>
        <w:jc w:val="left"/>
        <w:tblInd w:w="0" w:type="dxa"/>
        <w:tblLayout w:type="fixed"/>
        <w:tblCellMar>
          <w:top w:w="28" w:type="dxa"/>
          <w:left w:w="28" w:type="dxa"/>
          <w:bottom w:w="28" w:type="dxa"/>
          <w:right w:w="28" w:type="dxa"/>
        </w:tblCellMar>
      </w:tblPr>
      <w:tblGrid>
        <w:gridCol w:w="619"/>
        <w:gridCol w:w="544"/>
        <w:gridCol w:w="546"/>
        <w:gridCol w:w="211"/>
        <w:gridCol w:w="721"/>
        <w:gridCol w:w="109"/>
        <w:gridCol w:w="109"/>
        <w:gridCol w:w="109"/>
        <w:gridCol w:w="109"/>
        <w:gridCol w:w="211"/>
        <w:gridCol w:w="72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 life:</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 life</w:t>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49,774 </w:t>
            </w:r>
          </w:p>
        </w:tc>
        <w:tc>
          <w:tcPr>
            <w:tcW w:w="15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7"/>
        <w:gridCol w:w="515"/>
        <w:gridCol w:w="508"/>
        <w:gridCol w:w="226"/>
        <w:gridCol w:w="773"/>
        <w:gridCol w:w="116"/>
        <w:gridCol w:w="109"/>
        <w:gridCol w:w="109"/>
        <w:gridCol w:w="109"/>
        <w:gridCol w:w="236"/>
        <w:gridCol w:w="826"/>
        <w:gridCol w:w="124"/>
        <w:gridCol w:w="109"/>
        <w:gridCol w:w="109"/>
        <w:gridCol w:w="109"/>
        <w:gridCol w:w="211"/>
        <w:gridCol w:w="721"/>
        <w:gridCol w:w="109"/>
        <w:gridCol w:w="109"/>
        <w:gridCol w:w="109"/>
        <w:gridCol w:w="109"/>
        <w:gridCol w:w="211"/>
        <w:gridCol w:w="721"/>
        <w:gridCol w:w="109"/>
        <w:gridCol w:w="109"/>
        <w:gridCol w:w="109"/>
        <w:gridCol w:w="109"/>
        <w:gridCol w:w="296"/>
        <w:gridCol w:w="1037"/>
        <w:gridCol w:w="155"/>
        <w:gridCol w:w="109"/>
        <w:gridCol w:w="109"/>
        <w:gridCol w:w="109"/>
        <w:gridCol w:w="211"/>
        <w:gridCol w:w="721"/>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w:t>
              <w:br/>
              <w:t>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Gross </w:t>
              <w:br/>
              <w:t>Carrying</w:t>
              <w:br/>
              <w:t>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br/>
              <w:t>Carrying</w:t>
              <w:br/>
              <w:t>Value</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w:t>
            </w:r>
          </w:p>
        </w:tc>
        <w:tc>
          <w:tcPr>
            <w:tcW w:w="11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relationships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amortizable intangible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(57,629)</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(52,728)</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the majority of intangible assets on the consolidated balance sheets of the Company were recognized from business acquisition transactions. The fair value measurements were based on significant inputs, such as the Company’s forecasted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assumed turnover of agent locations, obsolescence assumptions for technology, market discount and royalty rates. These inputs are based on information not observable in the market and represent Level 3 measurements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it has made reasonable estimates and judgments concerning these risks and uncertainties. A change in the conditions, circumstances or strategy of the Company may result in a need to recognize an impairment charge. As a result of the annual impairment tests, the Company determined that goodwill was not impaired as of December 31, 2023 and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goodwill and intangible assets (in thousands):</w:t>
      </w:r>
    </w:p>
    <w:tbl>
      <w:tblPr>
        <w:tblW w:w="7038" w:type="dxa"/>
        <w:jc w:val="left"/>
        <w:tblInd w:w="0" w:type="dxa"/>
        <w:tblLayout w:type="fixed"/>
        <w:tblCellMar>
          <w:top w:w="28" w:type="dxa"/>
          <w:left w:w="28" w:type="dxa"/>
          <w:bottom w:w="28" w:type="dxa"/>
          <w:right w:w="28" w:type="dxa"/>
        </w:tblCellMar>
      </w:tblPr>
      <w:tblGrid>
        <w:gridCol w:w="1493"/>
        <w:gridCol w:w="1312"/>
        <w:gridCol w:w="1320"/>
        <w:gridCol w:w="211"/>
        <w:gridCol w:w="721"/>
        <w:gridCol w:w="109"/>
        <w:gridCol w:w="109"/>
        <w:gridCol w:w="109"/>
        <w:gridCol w:w="109"/>
        <w:gridCol w:w="300"/>
        <w:gridCol w:w="1026"/>
        <w:gridCol w:w="219"/>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15,392 </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La Nacional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19,826 </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 (Refer to Note 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LAN Holdings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for the next five years and thereafter is as follows (in thousands):</w:t>
      </w:r>
    </w:p>
    <w:p>
      <w:pPr>
        <w:pStyle w:val="TextBody"/>
        <w:bidi w:val="0"/>
        <w:spacing w:before="0" w:after="0"/>
        <w:jc w:val="both"/>
        <w:rPr/>
      </w:pPr>
      <w:r>
        <w:rPr/>
      </w:r>
    </w:p>
    <w:tbl>
      <w:tblPr>
        <w:tblW w:w="2359"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10 – WIRE TRANSFERS AND MONEY ORDERS PAYABLE,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 consisted of the following (in thousands):</w:t>
      </w:r>
    </w:p>
    <w:p>
      <w:pPr>
        <w:pStyle w:val="TextBody"/>
        <w:bidi w:val="0"/>
        <w:spacing w:before="0" w:after="0"/>
        <w:jc w:val="both"/>
        <w:rPr/>
      </w:pPr>
      <w:r>
        <w:rPr/>
      </w:r>
    </w:p>
    <w:tbl>
      <w:tblPr>
        <w:tblW w:w="5333" w:type="dxa"/>
        <w:jc w:val="left"/>
        <w:tblInd w:w="0" w:type="dxa"/>
        <w:tblLayout w:type="fixed"/>
        <w:tblCellMar>
          <w:top w:w="28" w:type="dxa"/>
          <w:left w:w="28" w:type="dxa"/>
          <w:bottom w:w="28" w:type="dxa"/>
          <w:right w:w="28" w:type="dxa"/>
        </w:tblCellMar>
      </w:tblPr>
      <w:tblGrid>
        <w:gridCol w:w="968"/>
        <w:gridCol w:w="849"/>
        <w:gridCol w:w="852"/>
        <w:gridCol w:w="211"/>
        <w:gridCol w:w="826"/>
        <w:gridCol w:w="109"/>
        <w:gridCol w:w="109"/>
        <w:gridCol w:w="109"/>
        <w:gridCol w:w="109"/>
        <w:gridCol w:w="211"/>
        <w:gridCol w:w="82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payable, net</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voided wires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orders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125,042 </w:t>
            </w:r>
          </w:p>
        </w:tc>
        <w:tc>
          <w:tcPr>
            <w:tcW w:w="109"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112,251 </w:t>
            </w:r>
          </w:p>
        </w:tc>
        <w:tc>
          <w:tcPr>
            <w:tcW w:w="154" w:type="dxa"/>
            <w:tcBorders>
              <w:top w:val="single" w:sz="1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11 – ACCRUED AND OTHER LIABILITIES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 consisted of the following (in thousands):</w:t>
      </w:r>
    </w:p>
    <w:p>
      <w:pPr>
        <w:pStyle w:val="TextBody"/>
        <w:bidi w:val="0"/>
        <w:spacing w:before="0" w:after="0"/>
        <w:jc w:val="both"/>
        <w:rPr/>
      </w:pPr>
      <w:r>
        <w:rPr/>
      </w:r>
    </w:p>
    <w:tbl>
      <w:tblPr>
        <w:tblW w:w="5828" w:type="dxa"/>
        <w:jc w:val="left"/>
        <w:tblInd w:w="0" w:type="dxa"/>
        <w:tblLayout w:type="fixed"/>
        <w:tblCellMar>
          <w:top w:w="28" w:type="dxa"/>
          <w:left w:w="28" w:type="dxa"/>
          <w:bottom w:w="28" w:type="dxa"/>
          <w:right w:w="28" w:type="dxa"/>
        </w:tblCellMar>
      </w:tblPr>
      <w:tblGrid>
        <w:gridCol w:w="1221"/>
        <w:gridCol w:w="1074"/>
        <w:gridCol w:w="1079"/>
        <w:gridCol w:w="211"/>
        <w:gridCol w:w="721"/>
        <w:gridCol w:w="109"/>
        <w:gridCol w:w="109"/>
        <w:gridCol w:w="109"/>
        <w:gridCol w:w="10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payable to sending agents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bank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loyalty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54,661 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changes in the deferred revenue loyalty program liability (in thousands):</w:t>
      </w:r>
    </w:p>
    <w:p>
      <w:pPr>
        <w:pStyle w:val="TextBody"/>
        <w:bidi w:val="0"/>
        <w:spacing w:before="0" w:after="0"/>
        <w:jc w:val="both"/>
        <w:rPr/>
      </w:pPr>
      <w:r>
        <w:rPr/>
      </w:r>
    </w:p>
    <w:tbl>
      <w:tblPr>
        <w:tblW w:w="4368"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211"/>
        <w:gridCol w:w="61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12 – DEBT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thousands):</w:t>
      </w:r>
    </w:p>
    <w:tbl>
      <w:tblPr>
        <w:tblW w:w="6159"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189,469 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Current portion of long term debt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origination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16"/>
        </w:rPr>
        <w:t>Current portion of long-term debt is net of debt origination costs of approximately $0.5 million as of both December 31,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provided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Credit Agreement was amended to replace the London Inter-bank Offered Rate (“LIBOR”) as a benchmark interest rate for loans with the secured overnight financing rate as administered by the Federal Reserve Bank of New York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amended its A&amp;R Credit Agreement to increase the revolving credit commitments available thereunder from an aggregate of $150.0 million to $220.0 million. The credit commitments are available for general corporate purposes to support the Company’s growth and to fund working capital needs and will be subject to the same interest rate and other terms applicable to the outstanding revolving credit commitments under the A&amp;R Credit Agreement. In addition, as amended, the A&amp;R Credit Agreement provides the Company with a refreshed uncommitted incremental facility which may be utilized for new revolving credit facilities or term loans in an aggregate amount of up to $70.0 million. The amendment was accounted for as a debt modification. The balance of the unamortized debt origination costs in connection with the A&amp;R Credit Agreement and the additional debt origination costs of approximately $0.7 million incurred in connection with this amendment will be amortized over the remaining life of the A&amp;R Credit Agreement using the straight-line method, as it is not significantly different than the effective interest method. Debt origination costs paid to third parties in connection with the amendment were expensed as incurred during the second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unamortized portion of debt origination costs totaled approximately $2.9 million and $3.3 million at December 31, 2023 and 2022, respectively. Amortization of debt origination costs is included as a component of interest expense in the consolidated statements of income and comprehensive income and amounted to approximately $1.1 million, $1.0 million and $0.9 million for the years ended December 31, 2023, 2022, and 2021,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election of the Company, interest on the term loan facility and revolving loans under the A&amp;R Credit Agreement, as amended, may be determined by reference to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rates for the year ended December 31, 2023 for the term loan facility and revolving credit facility were 8.33% and 1.92%, respectively. The effective interest rates for the year ended December 31, 2022 for the term loan facility and revolving credit facility were 4.87% and 1.04%,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payable (x)(i) generally on the last day of each interest period selected for SOFR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A&amp;R Credit Agreement contains financial covenants that require the Company to maintain a quarterly minimum fixed charge coverage ratio of 1.25:1.00 and a quarterly maximum consolidated leverage ratio of 3.25:1.00 and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 to 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A&amp;R Credit Agreement are guaranteed by the Company and certain domestic subsidiaries of the Company and secured by liens on substantially all of the assets of the Loan Parties, subject to certain exclusions and limitations.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scheduled annual payments of the term loan at December 31, 2023 are as follows (in thousands):</w:t>
      </w:r>
    </w:p>
    <w:p>
      <w:pPr>
        <w:pStyle w:val="TextBody"/>
        <w:bidi w:val="0"/>
        <w:spacing w:before="0" w:after="0"/>
        <w:jc w:val="both"/>
        <w:rPr/>
      </w:pPr>
      <w:r>
        <w:rPr/>
      </w:r>
    </w:p>
    <w:tbl>
      <w:tblPr>
        <w:tblW w:w="1627" w:type="dxa"/>
        <w:jc w:val="left"/>
        <w:tblInd w:w="0" w:type="dxa"/>
        <w:tblLayout w:type="fixed"/>
        <w:tblCellMar>
          <w:top w:w="28" w:type="dxa"/>
          <w:left w:w="28" w:type="dxa"/>
          <w:bottom w:w="28" w:type="dxa"/>
          <w:right w:w="28" w:type="dxa"/>
        </w:tblCellMar>
      </w:tblPr>
      <w:tblGrid>
        <w:gridCol w:w="196"/>
        <w:gridCol w:w="172"/>
        <w:gridCol w:w="173"/>
        <w:gridCol w:w="211"/>
        <w:gridCol w:w="72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val="false"/>
          <w:color w:val="000000"/>
          <w:sz w:val="20"/>
        </w:rPr>
        <w:t>NOTE 13</w:t>
      </w:r>
      <w:r>
        <w:rPr>
          <w:color w:val="000000"/>
        </w:rPr>
        <w:t xml:space="preserve"> – </w:t>
      </w:r>
      <w:r>
        <w:rPr>
          <w:rFonts w:ascii="Times New Roman;sans-serif" w:hAnsi="Times New Roman;sans-serif"/>
          <w:b w:val="false"/>
          <w:color w:val="000000"/>
          <w:sz w:val="20"/>
        </w:rPr>
        <w:t>FAIR VALUE MEASUREMENTS</w:t>
      </w:r>
    </w:p>
    <w:p>
      <w:pPr>
        <w:pStyle w:val="TextBody"/>
        <w:bidi w:val="0"/>
        <w:spacing w:lineRule="auto" w:line="288" w:before="0" w:after="0"/>
        <w:jc w:val="both"/>
        <w:rPr/>
      </w:pPr>
      <w:r>
        <w:rPr>
          <w:rFonts w:ascii="Times New Roman;sans-serif" w:hAnsi="Times New Roman;sans-serif"/>
          <w:b w:val="false"/>
          <w:color w:val="000000"/>
          <w:sz w:val="20"/>
        </w:rPr>
        <w:t xml:space="preserve">The Company determines fair value in accordance with the provisions of FASB guidance,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assets measured at fair value on a nonrecurring basis include goodwill and intangible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14 – SHARE-BASED COMPENSATION</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International Money Express, Inc. Omnibus Equity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certain service providers and independent directors of the Company. There are approximately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December 31, 2023, 2.1 million shares remained available for grant of future awards under the 2020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$0.5 million, $1.4 million and $2.4 million for the years ended December 31, 2023, 2022 and 2021, respectively, which is included in salaries and benefits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statements of income and comprehensive income. As of December 31, 2023, there were 0.6 million outstanding stock options awarded under the Plans and unrecognized compensation expense of approximately $0.1 million is expected to be recognized over a weighted-average period of 0.5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stock option activity during the year ended December 31, 2023 is presented below:</w:t>
      </w:r>
    </w:p>
    <w:tbl>
      <w:tblPr>
        <w:tblW w:w="10205" w:type="dxa"/>
        <w:jc w:val="left"/>
        <w:tblInd w:w="0" w:type="dxa"/>
        <w:tblLayout w:type="fixed"/>
        <w:tblCellMar>
          <w:top w:w="28" w:type="dxa"/>
          <w:left w:w="28" w:type="dxa"/>
          <w:bottom w:w="28" w:type="dxa"/>
          <w:right w:w="28" w:type="dxa"/>
        </w:tblCellMar>
      </w:tblPr>
      <w:tblGrid>
        <w:gridCol w:w="1006"/>
        <w:gridCol w:w="868"/>
        <w:gridCol w:w="873"/>
        <w:gridCol w:w="444"/>
        <w:gridCol w:w="446"/>
        <w:gridCol w:w="309"/>
        <w:gridCol w:w="109"/>
        <w:gridCol w:w="109"/>
        <w:gridCol w:w="109"/>
        <w:gridCol w:w="368"/>
        <w:gridCol w:w="1076"/>
        <w:gridCol w:w="192"/>
        <w:gridCol w:w="109"/>
        <w:gridCol w:w="109"/>
        <w:gridCol w:w="109"/>
        <w:gridCol w:w="652"/>
        <w:gridCol w:w="652"/>
        <w:gridCol w:w="653"/>
        <w:gridCol w:w="109"/>
        <w:gridCol w:w="109"/>
        <w:gridCol w:w="109"/>
        <w:gridCol w:w="404"/>
        <w:gridCol w:w="980"/>
        <w:gridCol w:w="301"/>
      </w:tblGrid>
      <w:tr>
        <w:trPr/>
        <w:tc>
          <w:tcPr>
            <w:tcW w:w="100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Date</w:t>
              <w:br/>
              <w:t>Fair Value</w:t>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711,050 </w:t>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(111,125)</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588,675 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Exercisable at December 31, 2023</w:t>
            </w:r>
            <w:r>
              <w:rPr>
                <w:rFonts w:ascii="Times New Roman;sans-serif" w:hAnsi="Times New Roman;sans-serif"/>
                <w:b w:val="false"/>
                <w:color w:val="000000"/>
                <w:sz w:val="13"/>
              </w:rPr>
              <w:t>(2)</w:t>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557,425 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aggregate intrinsic value of stock options exercised during the years ended December 31, 2023, 2022 and 2021 was $1.3 million, $7.4 million, and $4.7 million respectively.</w:t>
      </w:r>
    </w:p>
    <w:p>
      <w:pPr>
        <w:pStyle w:val="TextBody"/>
        <w:bidi w:val="0"/>
        <w:spacing w:lineRule="auto" w:line="28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aggregate fair value of all vested/exercisable options outstanding as of December 31, 2023 was $2.3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RSUs granted under the 2020 Plan to the Company’s employees or certain service providers generally vest in four equal annual installments beginning one year after the date of the grant, while RSUs issued to the Company’s independent directors vest on the one-year anniversary from the grant date. The Company recognized compensation expense for all RSUs of approximately $2.9 million, $1.8 million and $1.2 million for the years ended December 31, 2023, 2022 and 2021, respectively, which is included in salaries and benefits in the consolidated statements of income and comprehensive income. As of December 31, 2023, unrecognized compensation expense of approximately $5.8 million is expected to be recognized over a weighted-average period of 1.8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RSU grant activity during the year ended December 31, 2023 is presented below:</w:t>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2022</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316,902 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246,195 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settled)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(130,137)</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2023</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376,950 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RSUs granted during the year ended December 31, 2023 was approximately $5.8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Lead Independent Director and Chairs of the Committees of the Board of Directors are granted, in aggregate, $80.5 thousand in awards of fully vested shares of the Company’s common stock, payable on a quarterly basis at the end of each quarter in payment of fees earned in such capacities. During the years ended December 31, 2023, 2022 and 2021, 3,617 and 3,444 and 4,133 fully vested shares, respectively, were granted to the Lead Independent Director and Chairs of the Committees of the Board of Directors. Compensation expense related to the fully vested share awards of $80.5 thousand, $72.3 thousand and $64.0 thousand for the years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2023, 2022 and 2021, respectively, was recorded and included in salaries and benefits in the consolidated statements of income and comprehensive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RSAs issued under the 2020 Plan to the Company’s employees generally vest in four equal annual installments beginning one year after the date of grant. The Company recognized compensation expense for RSAs granted of $1.2 million, $0.6 million and $0.3 million for the years ended December 31, 2023, 2022 and 2021, respectively, which is included in salaries and benefits in the consolidated statements of income and comprehensive income. As of December 31, 2023, there was $2.8 million of unrecognized compensation expense related to RSAs, which is expected to be recognized over a weighted-average period of 1.8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RSA activity during the year ended December 31, 2023 is presented below:</w:t>
      </w:r>
    </w:p>
    <w:tbl>
      <w:tblPr>
        <w:tblW w:w="7406" w:type="dxa"/>
        <w:jc w:val="left"/>
        <w:tblInd w:w="0" w:type="dxa"/>
        <w:tblLayout w:type="fixed"/>
        <w:tblCellMar>
          <w:top w:w="28" w:type="dxa"/>
          <w:left w:w="28" w:type="dxa"/>
          <w:bottom w:w="28" w:type="dxa"/>
          <w:right w:w="28" w:type="dxa"/>
        </w:tblCellMar>
      </w:tblPr>
      <w:tblGrid>
        <w:gridCol w:w="1429"/>
        <w:gridCol w:w="1254"/>
        <w:gridCol w:w="1261"/>
        <w:gridCol w:w="484"/>
        <w:gridCol w:w="484"/>
        <w:gridCol w:w="486"/>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2022</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159,562 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settled)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(47,984)</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2023</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191,980 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RSAs granted during the year ended December 31, 2023 was approximately $2.1 million, which was determined based on the market value of our stock as of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Performance Stock Units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PSUs granted under the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and adjusted earnings per share targets for a period of up to three years combined with a service period of three years. Compensation cost is recognized over the requisite service period when it is probable that the performance condition will be satisfied. During the third quarter of 2022, the Company reassessed the probability of vesting for the PSU awards granted in 2021 and determined that it was probable that a higher performance target will be achieved. Therefore, the Company recognized a cumulative catch-up adjustment of approximately $1.1 million as additional compensation expense in the third quarter of 2022 related to the PSUs granted in 2021 (none in 2023). In March</w:t>
      </w:r>
      <w:r>
        <w:rPr>
          <w:color w:val="000000"/>
          <w:shd w:fill="FFFFFF" w:val="clear"/>
        </w:rPr>
        <w:t xml:space="preserve"> </w:t>
      </w:r>
      <w:r>
        <w:rPr>
          <w:rFonts w:ascii="Times New Roman;sans-serif" w:hAnsi="Times New Roman;sans-serif"/>
          <w:b w:val="false"/>
          <w:color w:val="000000"/>
          <w:sz w:val="20"/>
          <w:shd w:fill="FFFFFF" w:val="clear"/>
        </w:rPr>
        <w:t>2023, the Compensation Committee determined that the higher performance target was achieved for the PSUs granted in 2021 and approved the incremental grant of PSUs.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compensation expense for PSUs of $3.5 million, $3.2 million and $0.7 million for the years ended December 31, 2023, 2022 and 2021, respectively, which is included in salaries and benefits in the consolidated statements of income and comprehensive income. As of December 31, 2023, there was $3.3 million of unrecognized compensation expense related to PSUs, which is expected to be recognized over a weighted-average period of 1.7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PSU activity during the year ended December 31, 2023 is presented below:</w:t>
      </w:r>
    </w:p>
    <w:p>
      <w:pPr>
        <w:pStyle w:val="TextBody"/>
        <w:bidi w:val="0"/>
        <w:spacing w:before="0" w:after="0"/>
        <w:jc w:val="both"/>
        <w:rPr/>
      </w:pPr>
      <w:r>
        <w:rPr/>
      </w:r>
    </w:p>
    <w:tbl>
      <w:tblPr>
        <w:tblW w:w="9712" w:type="dxa"/>
        <w:jc w:val="left"/>
        <w:tblInd w:w="0" w:type="dxa"/>
        <w:tblLayout w:type="fixed"/>
        <w:tblCellMar>
          <w:top w:w="28" w:type="dxa"/>
          <w:left w:w="28" w:type="dxa"/>
          <w:bottom w:w="28" w:type="dxa"/>
          <w:right w:w="28" w:type="dxa"/>
        </w:tblCellMar>
      </w:tblPr>
      <w:tblGrid>
        <w:gridCol w:w="1429"/>
        <w:gridCol w:w="1254"/>
        <w:gridCol w:w="1261"/>
        <w:gridCol w:w="474"/>
        <w:gridCol w:w="474"/>
        <w:gridCol w:w="476"/>
        <w:gridCol w:w="109"/>
        <w:gridCol w:w="109"/>
        <w:gridCol w:w="109"/>
        <w:gridCol w:w="669"/>
        <w:gridCol w:w="669"/>
        <w:gridCol w:w="671"/>
        <w:gridCol w:w="109"/>
        <w:gridCol w:w="109"/>
        <w:gridCol w:w="109"/>
        <w:gridCol w:w="361"/>
        <w:gridCol w:w="1055"/>
        <w:gridCol w:w="265"/>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2022</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300,871 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318,386 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(343,000)</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(28,577)</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2023</w:t>
            </w:r>
          </w:p>
        </w:tc>
        <w:tc>
          <w:tcPr>
            <w:tcW w:w="94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247,680 </w:t>
            </w:r>
          </w:p>
        </w:tc>
        <w:tc>
          <w:tcPr>
            <w:tcW w:w="4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PSUs granted during the year ended December 31, 2023 was approximately $6.2 million, which was determined based on the market value of our stock as of that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pPr>
      <w:r>
        <w:rPr>
          <w:rFonts w:ascii="Times New Roman;sans-serif" w:hAnsi="Times New Roman;sans-serif"/>
          <w:b w:val="false"/>
          <w:color w:val="000000"/>
          <w:sz w:val="20"/>
        </w:rPr>
        <w:t>NOTE 15</w:t>
      </w:r>
      <w:r>
        <w:rPr>
          <w:color w:val="000000"/>
        </w:rPr>
        <w:t xml:space="preserve"> – </w:t>
      </w:r>
      <w:r>
        <w:rPr>
          <w:rFonts w:ascii="Times New Roman;sans-serif" w:hAnsi="Times New Roman;sans-serif"/>
          <w:b w:val="false"/>
          <w:color w:val="000000"/>
          <w:sz w:val="20"/>
        </w:rPr>
        <w:t>EQUITY</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2021, the Company’s Board of Directors approved a stock repurchase program that authorizes the Company to purchase up to $40.0 million of outstanding shares of the Company’s common stock and which authorization was increased on March 3, 2023 to an additional $100.0 million of its outstanding shares (the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(i) without limitation so long as the Consolidated Leverage Ratio (as defined in the A&amp;R Credit Agreement, as amended), as of the then most recently completed four fiscal quarters of the Company, after giving pro forma effect to such restricted payments, is 2.25 to 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purchases of treasury stock under the cost method. Any direct costs incurred to acquire treasury stock are considered stock issue costs and added to the cost of the treasury stock. Separately from the Repurchase Program, on May 5, 2023 and December 12, 2023, the Company entered into separate agreements with SPC Intermex, LP, a related party, for the purchase of 500,000 shares and 670,403 shares, respectively, of the Company’s common stock for a total purchase price of $12.6 million and $13.3 million, respectively, in privately-negotiated transactions, and on December 4, 2023, the Company entered into an agreement with Latin-American Investment Holdings Inc., a related party, for the purchase of 100,000 shares of the Company’s common stock for a total purchase price of $2.1 million, in a privately-negotiated transaction. During the years ended December 31, 2023 and 2022, including the shares previously mentioned, the Company purchased 3,027,768 shares and 2,480,744 shares, respectively, for an aggregate purchase price of $66.3 million and $53.7 million, respectively. As of December 31, 2023, there was $70.7 million available for future share repurchases under the Repurchase Program.</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16 – EARNINGS PER SHARE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for the year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are basic and diluted earnings per share for the periods indicated (in thousands, except for share data):</w:t>
      </w:r>
    </w:p>
    <w:p>
      <w:pPr>
        <w:pStyle w:val="TextBody"/>
        <w:bidi w:val="0"/>
        <w:spacing w:before="0" w:after="0"/>
        <w:jc w:val="both"/>
        <w:rPr/>
      </w:pPr>
      <w:r>
        <w:rPr/>
      </w:r>
    </w:p>
    <w:tbl>
      <w:tblPr>
        <w:tblW w:w="9188" w:type="dxa"/>
        <w:jc w:val="left"/>
        <w:tblInd w:w="0" w:type="dxa"/>
        <w:tblLayout w:type="fixed"/>
        <w:tblCellMar>
          <w:top w:w="28" w:type="dxa"/>
          <w:left w:w="28" w:type="dxa"/>
          <w:bottom w:w="28" w:type="dxa"/>
          <w:right w:w="28" w:type="dxa"/>
        </w:tblCellMar>
      </w:tblPr>
      <w:tblGrid>
        <w:gridCol w:w="1781"/>
        <w:gridCol w:w="1566"/>
        <w:gridCol w:w="1572"/>
        <w:gridCol w:w="244"/>
        <w:gridCol w:w="837"/>
        <w:gridCol w:w="109"/>
        <w:gridCol w:w="109"/>
        <w:gridCol w:w="109"/>
        <w:gridCol w:w="109"/>
        <w:gridCol w:w="244"/>
        <w:gridCol w:w="837"/>
        <w:gridCol w:w="109"/>
        <w:gridCol w:w="109"/>
        <w:gridCol w:w="109"/>
        <w:gridCol w:w="109"/>
        <w:gridCol w:w="244"/>
        <w:gridCol w:w="837"/>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basic and diluted income per common share</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38,474,040 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36,429,714 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38,625,390 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39,103,450 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144.2 thousand RSUs, 58.4 thousand RSAs, and 136.9 thousand PSUs excluded from the diluted earnings per share calculation because, under the treasury stock method, the inclusion of these would be anti-dilutive.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were 6.5 thousand stock options and 10.4 thousand RSUs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were 0.4 million stock options and 35.2 thousand RSUs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15, during the years ended December 31, 2023 and 2022, the Company purchased 3,027,768 shares and 2,480,744 shares, respectively, for an aggregate purchase price of $66.3 million and $53.7 million, respectively. The effect of these repurchases on the Company’s weighted average shares outstanding for the years ended December 31, 2023 and 2022 was a reduction of 1,154,050 and 876,893 shares, respectively, due to the timing of the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val="false"/>
          <w:color w:val="000000"/>
          <w:sz w:val="20"/>
        </w:rPr>
        <w:t>NOTE 17</w:t>
      </w:r>
      <w:r>
        <w:rPr>
          <w:color w:val="000000"/>
        </w:rPr>
        <w:t xml:space="preserve"> – </w:t>
      </w:r>
      <w:r>
        <w:rPr>
          <w:rFonts w:ascii="Times New Roman;sans-serif" w:hAnsi="Times New Roman;sans-serif"/>
          <w:b w:val="false"/>
          <w:color w:val="000000"/>
          <w:sz w:val="20"/>
        </w:rPr>
        <w:t>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consists of the following (in thousands):</w:t>
      </w:r>
    </w:p>
    <w:tbl>
      <w:tblPr>
        <w:tblW w:w="6879" w:type="dxa"/>
        <w:jc w:val="left"/>
        <w:tblInd w:w="0" w:type="dxa"/>
        <w:tblLayout w:type="fixed"/>
        <w:tblCellMar>
          <w:top w:w="28" w:type="dxa"/>
          <w:left w:w="28" w:type="dxa"/>
          <w:bottom w:w="28" w:type="dxa"/>
          <w:right w:w="28" w:type="dxa"/>
        </w:tblCellMar>
      </w:tblPr>
      <w:tblGrid>
        <w:gridCol w:w="988"/>
        <w:gridCol w:w="869"/>
        <w:gridCol w:w="87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December 31, </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income tax provision at the U.S. statutory tax rate and the Company’s income tax provision on the consolidated statements of income and comprehensive income is below (in thousands):</w:t>
      </w:r>
    </w:p>
    <w:p>
      <w:pPr>
        <w:pStyle w:val="TextBody"/>
        <w:bidi w:val="0"/>
        <w:spacing w:before="0" w:after="0"/>
        <w:jc w:val="both"/>
        <w:rPr/>
      </w:pPr>
      <w:r>
        <w:rPr/>
      </w:r>
    </w:p>
    <w:tbl>
      <w:tblPr>
        <w:tblW w:w="8744" w:type="dxa"/>
        <w:jc w:val="left"/>
        <w:tblInd w:w="0" w:type="dxa"/>
        <w:tblLayout w:type="fixed"/>
        <w:tblCellMar>
          <w:top w:w="28" w:type="dxa"/>
          <w:left w:w="28" w:type="dxa"/>
          <w:bottom w:w="28" w:type="dxa"/>
          <w:right w:w="28" w:type="dxa"/>
        </w:tblCellMar>
      </w:tblPr>
      <w:tblGrid>
        <w:gridCol w:w="1488"/>
        <w:gridCol w:w="1305"/>
        <w:gridCol w:w="1316"/>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85,064 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77,279 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63,315 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statutory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16,229 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13,296 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expense, net of federal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rates different from U.S. statutory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25,549 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19,948 </w:t>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16,472 </w:t>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presented in the income tax reconciliation above, the tax provision recognized on the consolidated statements of income and comprehensive income was impacted by state taxes, non-deductible officer compensation, share-based compensation tax benefits, valuation allowances, and foreign tax rates applicable to the Company’s foreign subsidiaries that are higher or lower than the U.S. statutory rate. The Company is also subject to tax in various U.S. state and foreign jurisdictions. Changes in the annual allocation and apportionment of the Company’s activity amongst these state jurisdictions results in changes to the blended state rate utilized to measure the Company’s deferred tax assets and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expected tax consequences of temporary differences between the book and tax bases of the Company’s assets and liabilities. The following table outlines the principal components of the deferred tax assets and liabilities (in thousands):</w:t>
      </w:r>
    </w:p>
    <w:tbl>
      <w:tblPr>
        <w:tblW w:w="5784" w:type="dxa"/>
        <w:jc w:val="left"/>
        <w:tblInd w:w="0" w:type="dxa"/>
        <w:tblLayout w:type="fixed"/>
        <w:tblCellMar>
          <w:top w:w="28" w:type="dxa"/>
          <w:left w:w="28" w:type="dxa"/>
          <w:bottom w:w="28" w:type="dxa"/>
          <w:right w:w="28" w:type="dxa"/>
        </w:tblCellMar>
      </w:tblPr>
      <w:tblGrid>
        <w:gridCol w:w="1257"/>
        <w:gridCol w:w="1102"/>
        <w:gridCol w:w="1106"/>
        <w:gridCol w:w="211"/>
        <w:gridCol w:w="616"/>
        <w:gridCol w:w="109"/>
        <w:gridCol w:w="109"/>
        <w:gridCol w:w="109"/>
        <w:gridCol w:w="109"/>
        <w:gridCol w:w="211"/>
        <w:gridCol w:w="691"/>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and state 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origination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Company had pre-tax federal, state and foreign net operating loss carryforwards of approximately $13.8 million, $8.5 million and $32.4 million, respectively, which are available to reduce future taxable income. With certain exceptions, these net operating loss carryforwards will expire from 2030 through 2037 for federal losses, from 2029 through 2042 for state losses, and from 2039 through 2043 for foreign losses. In addition, $28.5 million of the foreign net operating loss carryforwards in our European jurisdictions carryforward indefinitely. Utilization of the Company’s net operating loss carryforwards is subject to an annual limitation under Internal Revenue Code Section 382. The Company has recorded a deferred tax asset for only the portion of its net operating loss carryforward that it expects to realize before expiration.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few exceptions, the Company is no longer subject to U.S. federal, state or local income tax examinations by tax authorities for the years prior to 2020. However, the Company has certain net operating loss carryforwards from tax years 2010 through 2017 that are subject to examination. As of December 31, 2023 and 2022, the Company did not have any amounts accrued for interest and penalties or recorded for uncertain tax 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criteria under FASB guidance, Income Taxes, a valuation allowance is recorded to reduce the carrying amounts of deferred tax assets unless it is more likely than not that such assets will be realized. After consideration of all evidence, both positive and negative, management has determined that no valuation allowance is required at December 31, 2023 or 2022 on the Company’s U.S. deferred tax assets. However, a valuation allowance of $5.8 million and $0.4 million as of December 31, 2023 and 2022, respectively, has been recorded on deferred tax assets associated with foreign net operating loss carryforwards. The increase in the valuation allowance of $5.4 million during the year ended December 31, 2023 is primarily related to $30.5 million of foreign net operating loss carryforwards acquired in connection with the LAN Holdings Acquisition (see Note 3). These foreign net operating loss carryforwards are primarily associated with LAN Holdings’ European subsidiaries, which have a history of incurring taxable losses in recent years. Due to this history of recurring losses, the Company has determined that a valuation allowance should be recorded against the deferred tax assets associated with the foreign net operating loss carryforwards until sufficient positive evidence exists to support their future realization.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val="false"/>
          <w:color w:val="000000"/>
          <w:sz w:val="20"/>
        </w:rPr>
        <w:t>NOTE 18</w:t>
      </w:r>
      <w:r>
        <w:rPr>
          <w:color w:val="000000"/>
        </w:rPr>
        <w:t xml:space="preserve"> – </w:t>
      </w:r>
      <w:r>
        <w:rPr>
          <w:rFonts w:ascii="Times New Roman;sans-serif" w:hAnsi="Times New Roman;sans-serif"/>
          <w:b w:val="false"/>
          <w:color w:val="000000"/>
          <w:sz w:val="20"/>
        </w:rPr>
        <w:t>COMMITMENTS AND CONTINGENCIES</w:t>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leases for office space, warehouses and certain Company-operated store locations. Refer to Note 8 – Leases.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Contingencies and Legal Proceedings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all 50 states in the United States, two U.S. territories and seven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Regulatory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applicable licensing laws, certain domestic and foreign subsidiaries of the Company are required to maintain minimum tangible net worth and liquid assets (eligible securities) to cover the amount outstanding of wire transfers and money orders payable. As of December 31, 2023 and 2022, the Company’s subsidiaries were in compliance with these two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val="false"/>
          <w:color w:val="000000"/>
          <w:sz w:val="20"/>
        </w:rPr>
        <w:t>NOTE 19</w:t>
      </w:r>
      <w:r>
        <w:rPr>
          <w:color w:val="000000"/>
        </w:rPr>
        <w:t xml:space="preserve"> – </w:t>
      </w:r>
      <w:r>
        <w:rPr>
          <w:rFonts w:ascii="Times New Roman;sans-serif" w:hAnsi="Times New Roman;sans-serif"/>
          <w:b w:val="false"/>
          <w:color w:val="000000"/>
          <w:sz w:val="20"/>
        </w:rPr>
        <w:t>DEFINED CONTRIBUTION PLANS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defined contribution plans available to most of its employees, where the Company makes contributions to the plans based on employee contributions. Total employer contribution expense included in salaries and benefits in the consolidated statements of income and comprehensive income was approximately $0.4 million, $0.2 million and $0.2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Rules 13a-15(b) and 15d-15(b) under the Exchange Act, our Chief Executive Officer and President, and Chief Financial Officer, carried out an evaluation of the effectiveness of our disclosure controls and procedures as of December 31, 2023.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December 31, 2023.</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 13a 15(f) under the Securities Exchange Act of 1934. The Company’s internal control over financial reporting is designed to provide reasonable assurance regarding the reliability of financial reporting and the preparation of consolidated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issuer; (2) 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 (3) provide reasonable assurance regarding prevention or timely detection of unauthorized acquisition, use or disposition of the issuer's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the Company’s internal control over financial reporting as of December 31, 2023. In making this assessment, it used the criteria set forth by the Committee of Sponsoring Organizations of the Treadway Commission in Internal Control-Integrated Framework (2013).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The internal control over financial reporting of LAN Holdings was excluded from the evaluation of effectiveness of the Company’s internal control over financial reporting as of December 31, 2023 as the entity was acquired in 2023. LAN Holdings’ total assets constituted approximately 3% of the Company’s total assets as of December 31, 2023 and represented approximately 2% and less than 1% of the Company’s revenue and net income, respectively, for the year then ended.</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its evaluation, the Company’s management has concluded that as of December 31, 2023, the Company’s internal control over financial reporting was effective.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BDO USA, P.C., the independent registered public accounting firm which audits our financial statements, has audited our internal control over financial reporting as of December 31, 2023 and has expressed an unqualified opinion thereon as stated in their report that is included on Item 9. “Report of Independent Registered Public Accounting Firm,” on page </w:t>
      </w:r>
      <w:r>
        <w:rPr>
          <w:rFonts w:ascii="Times New Roman;sans-serif" w:hAnsi="Times New Roman;sans-serif"/>
          <w:b w:val="false"/>
          <w:color w:val="000000"/>
          <w:sz w:val="20"/>
          <w:shd w:fill="FFFFFF" w:val="clear"/>
        </w:rPr>
        <w:t>76</w:t>
      </w:r>
      <w:r>
        <w:rPr>
          <w:color w:val="000000"/>
        </w:rPr>
        <w:t xml:space="preserve"> </w:t>
      </w:r>
      <w:r>
        <w:rPr>
          <w:rFonts w:ascii="Times New Roman;sans-serif" w:hAnsi="Times New Roman;sans-serif"/>
          <w:b w:val="false"/>
          <w:color w:val="000000"/>
          <w:sz w:val="20"/>
        </w:rPr>
        <w:t>of this Annual Report on Form 10-K.</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(as defined in Rules 13a-15(f) and 15d-15(f) under the Exchange Act)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and Board of Directors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Miami, Florida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International Money Express, Inc.’s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2023, based on the COSO criteria</w:t>
      </w:r>
      <w:r>
        <w:rPr>
          <w:rFonts w:ascii="Times New Roman;sans-serif" w:hAnsi="Times New Roman;sans-serif"/>
          <w:b w:val="false"/>
          <w:i/>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2023 and 2022, the related consolidated statements of income and comprehensive income, changes in stockholders’ equity, and cash flows for each of the three years in the period ended December 31, 2023, and the related notes and our report dated February 28, 2024 expressed an unqualified opinion thereon.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Basis for Opinion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indicated in the accompanying “Item 9A, Management’s Report on Internal Control over Financial Reporting”, management’s assessment of and conclusion on the effectiveness of internal control over financial reporting did not include the internal controls of LAN Holdings, Corp. (“LAN Holdings”), which was acquired in 2023, and which is included in the consolidated balance sheet of the Company as of December 31, 2023, and the related consolidated statements of income and comprehensive income, changes in stockholders’ equity, and cash flows for the year then ended. LAN Holdings constituted approximately 3% of total assets as of December 31, 2023, and approximately 2% and less than 1% of revenues and net income, respectively, for the year then ended. Management did not assess the effectiveness of internal control over financial reporting of LAN Holdings because it was acquired in 2023. Our audit of internal control over financial reporting of the Company also did not include an evaluation of the internal control over financial reporting of LAN Holdings.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Definition and Limitations of Internal Control over Financial Reporting</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BDO USA, P.C.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Miami, Florida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under this Item will be contained in the Company’s Proxy Statement for the 2024 Annual Meeting of Stockholders to be filed with the SEC within 120 days after the year ended December 31, 2023 (the “Proxy Statement”),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other information relating to the Executive Officers of the Company appears in Part I of this Annual Report on Form 10-K under the heading “Information about our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Company’s Proxy Statement, which information is incorporated by reference herein.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under this Item will be contained in the Company’s Proxy, which information is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our common stock that may be issued under all of our equity compensation plans as of December 31, 2023, which included: the International Money Express, Inc. 2020 Omnibus Equity Compensation Plan (“2020 Plan”) and the International Money Express, Inc. 2020 Employee Stock Purchase Plan (the “ESPP”), each of which was approved by the Company’s stockholders.</w:t>
      </w:r>
    </w:p>
    <w:tbl>
      <w:tblPr>
        <w:tblW w:w="10205" w:type="dxa"/>
        <w:jc w:val="left"/>
        <w:tblInd w:w="0" w:type="dxa"/>
        <w:tblLayout w:type="fixed"/>
        <w:tblCellMar>
          <w:top w:w="28" w:type="dxa"/>
          <w:left w:w="28" w:type="dxa"/>
          <w:bottom w:w="28" w:type="dxa"/>
          <w:right w:w="28" w:type="dxa"/>
        </w:tblCellMar>
      </w:tblPr>
      <w:tblGrid>
        <w:gridCol w:w="1083"/>
        <w:gridCol w:w="905"/>
        <w:gridCol w:w="883"/>
        <w:gridCol w:w="109"/>
        <w:gridCol w:w="109"/>
        <w:gridCol w:w="109"/>
        <w:gridCol w:w="727"/>
        <w:gridCol w:w="592"/>
        <w:gridCol w:w="593"/>
        <w:gridCol w:w="109"/>
        <w:gridCol w:w="109"/>
        <w:gridCol w:w="109"/>
        <w:gridCol w:w="423"/>
        <w:gridCol w:w="1024"/>
        <w:gridCol w:w="219"/>
        <w:gridCol w:w="109"/>
        <w:gridCol w:w="109"/>
        <w:gridCol w:w="109"/>
        <w:gridCol w:w="845"/>
        <w:gridCol w:w="776"/>
        <w:gridCol w:w="778"/>
        <w:gridCol w:w="109"/>
        <w:gridCol w:w="109"/>
        <w:gridCol w:w="158"/>
      </w:tblGrid>
      <w:tr>
        <w:trPr/>
        <w:tc>
          <w:tcPr>
            <w:tcW w:w="108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br/>
              <w:t>to be issued upon exercise of</w:t>
              <w:br/>
              <w:t>outstanding 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of</w:t>
              <w:br/>
              <w:t>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remaining available</w:t>
              <w:br/>
              <w:t xml:space="preserve">for future issuance </w:t>
              <w:br/>
              <w:t>under equity</w:t>
              <w:br/>
              <w:t>compensation plans (excluding securities</w:t>
              <w:br/>
              <w:t>reflected in column (a))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1,405,285</w:t>
            </w:r>
          </w:p>
        </w:tc>
        <w:tc>
          <w:tcPr>
            <w:tcW w:w="32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2,802,227 </w:t>
            </w:r>
          </w:p>
        </w:tc>
        <w:tc>
          <w:tcPr>
            <w:tcW w:w="7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28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1,405,285 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2,802,227 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number includes the following: 464,925 shares subject to outstanding awards granted under the 2018 Plan, all of which were subject to outstanding options awards. This number also includes 940,360 shares subject to outstanding awards granted under the 2020 Plan, of which 123,750 shares were subject to outstanding options awards, 376,950 shares were subject to outstanding RSU awards, 191,980 shares were subject to outstanding RSA awards, and 247,680 shares were subject to outstanding PSU awards.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2,052,227 shares available for issuance under the 2020 Plan and 750,000 shares available for issuance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Company’s Proxy Statement,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14.    PRINCIPAL ACCOUNTING FEES AND SERVICES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Company’s Proxy Statement, which information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report:</w:t>
      </w:r>
    </w:p>
    <w:p>
      <w:pPr>
        <w:pStyle w:val="TextBody"/>
        <w:bidi w:val="0"/>
        <w:spacing w:lineRule="auto" w:line="288" w:before="0" w:after="240"/>
        <w:ind w:left="0" w:right="0" w:hanging="360"/>
        <w:jc w:val="both"/>
        <w:rPr/>
      </w:pPr>
      <w:r>
        <w:rPr>
          <w:rFonts w:ascii="Times New Roman;sans-serif" w:hAnsi="Times New Roman;sans-serif"/>
          <w:b w:val="false"/>
          <w:color w:val="000000"/>
          <w:sz w:val="20"/>
        </w:rPr>
        <w:t xml:space="preserve">1.Financial Statements (See Index to Consolidated Financial Statements in Item 8, </w:t>
      </w:r>
      <w:r>
        <w:rPr>
          <w:rFonts w:ascii="Times New Roman;sans-serif" w:hAnsi="Times New Roman;sans-serif"/>
          <w:b w:val="false"/>
          <w:i/>
          <w:color w:val="000000"/>
          <w:sz w:val="20"/>
        </w:rPr>
        <w:t>Financial Statements and Supplementary Data</w:t>
      </w:r>
      <w:r>
        <w:rPr>
          <w:rFonts w:ascii="Times New Roman;sans-serif" w:hAnsi="Times New Roman;sans-serif"/>
          <w:b w:val="false"/>
          <w:color w:val="000000"/>
          <w:sz w:val="20"/>
        </w:rPr>
        <w:t>, of this Annual Report on Form 10-K);</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exhibits listed in the "Exhibit Index" attached to this 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856"/>
        <w:gridCol w:w="2693"/>
        <w:gridCol w:w="384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Certificate of Incorporation of the Company, dated July 26, 2018 (incorporated by reference to Exhibit 3.1 to the Registrant’s Registration Statement on Form S-1 filed on September 28, 2018 (File No. 333-226948)).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the Company, effective as of July 26, 2018 (incorporated by reference to Exhibit 3.2 to the Registrant’s Registration Statement on Form S-1 filed on September 28, 2018 (File No. 333-226948)).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4.1</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(incorporated by reference to Exhibit 4.6 to the Registrant’s Annual Report on Form 10-K Filed on March 11, 2020).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10.1(a)</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Credit Agreement, dated as of June 24, 2021, by and among International Money Express, Inc., as Holdings, International Money Express Sub 2, LLC, as Intermediate Holdings, Intermex Holdings, Inc., as the Term Borrower, Intermex Wire Transfer, LLC, as the Revolver Borrower, the other guarantors from time to time party thereto, the lenders from time to time party thereto and KeyBank National Association, as the Administrative Agent and L/C Issuer. (incorporated by reference to Exhibit 10.1 to the Registrant’s Current Report on Form 8-K filed on June 28, 2021)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10.1(b)</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Agreement, dated as of November 10, 2022, by and among International Money Express, Inc., as Holdings, International Money Express Sub 2, LLC, as Intermediate Holdings, Intermex Holdings, Inc., as the Term Borrower, Intermex Wire Transfer, LLC, as the Revolver Borrower, the other guarantors from time to time party thereto, the lenders from time to time party thereto and KeyBank National Association, and KeyBank National Association, as the Administrative Agent. (incorporated by reference to Exhibit 10.1 to the Registrant’s Current Report on Form 8-K filed on November 14, 2022).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10.1(c)</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Agreement, dated as of April 18, 2023, by and among International Money Express, Inc., International Money Express Sub 2, LLC, Intermex Holdings, Inc., Intermex Wire Transfer, LLC, the other guarantors from time to time party thereto, the lenders from time to time party thereto and KeyBank National Association, as the Administrative Agent and L/C Issuer (incorporated by reference to Exhibit 10.1 to the Registrant’s Current Report on Form 8-K filed on April 19,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10.2(a)</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2018 Omnibus Equity Compensation Plan (incorporated by reference to Exhibit 10.3(a) to the Registrant’s Registration Statement on Form S-1 filed on September 28, 2018 (File No. 333-226948)).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10.2(b)</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2020 Omnibus Equity Incentive Plan (incorporated by reference to Exhibit 10.3(b) to the Registrant’s Annual Report on Form 10-K filed on March 15,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10.3</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Agreement pursuant to the International Money Express, Inc. 2018 Omnibus Equity Compensation Plan (incorporated by reference to Exhibit 10.4(b) to the Registrant’s Registration Statement on Form S-1 filed on September 28, 2018 (File No. 333-226948)).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10.4</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Incentive Stock Option Award pursuant to the International Money Express, Inc. 2018 Omnibus Equity Compensation Plan (incorporated by reference to Exhibit 10.4(a) to the Registrant’s Registration Statement on Form S-1 filed on September 28, 2018 (File No. 333-226948)).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10.5</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2020 Omnibus Equity Compensation Plan (incorporated by reference to Annex A to the Registrant’s Definitive Proxy Statement on Schedule 14A filed with the Securities and Exchange Commission on May 15, 2020).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10.6</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Money Express, Inc. 2020 Employee Stock Purchase Plan (incorporated by reference to Annex B to the Registrant’s Definitive Proxy Statement on Schedule 14A filed with the Securities and Exchange Commission on May 15, 2020). </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10.7</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Agreement pursuant to the International Money Express, Inc. 2020 Omnibus Equity Compensation Plan (incorporated by reference to Exhibit 10.3 to the Registrant’s Quarterly Report on Form 10-Q filed on August 6, 2020).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10.8</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RSU Agreement (Non-Employee Directors) pursuant to the International Money Express, Inc. 2020 Omnibus Equity Compensation Plan (incorporated by reference to Exhibit 10.4 to the Registrant’s Quarterly Report on Form 10-Q filed on August 6, 2020).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10.9</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RSU Agreement (Employees) pursuant to the International Money Express, Inc. 2020 Omnibus Equity Compensation Plan (incorporated by reference to Exhibit 10.17 to the Registrant’s Annual Report on Form 10-K filed on March 15, 2021).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10.10</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2021 and 2022 PSU Agreement (Employees) pursuant to the International Money Express, Inc. 2020 Omnibus Equity Compensation Plan (incorporated by reference to Exhibit 10.18 to the Registrant’s Annual Report on Form 10-K filed on March 15, 2021).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10.11</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2021 and 2022 PSU Agreement (Robert Lisy) pursuant to the International Money Express, Inc. 2020 Omnibus Equity Compensation Plan (incorporated by reference to Exhibit 10.19 to the Registrant’s Annual Report on Form 10-K filed on March 15, 2021).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10.12</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Award Agreement (Robert Lisy) pursuant to the International Money Express, Inc. 2020 Omnibus Equity Compensation Plan (incorporated by reference to Exhibit 10.20 to the Registrant’s Annual Report on Form 10-K filed on March 15, 2021).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10.13</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PSU Agreement (Employees) pursuant to the International Money Express, Inc. 2020 Omnibus Equity Compensation Plan (incorporated by reference to Exhibit 10.14 to the Registrant’s Annual Report on Form 10-K filed on March 15,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10.14</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PSU Agreement (Robert Lisy) pursuant to the International Money Express, Inc. 2020 Omnibus Equity Compensation Plan (incorporated by reference to Exhibit 10.15 to the Registrant’s Annual Report on Form 10-K filed on March 15,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10.15</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Employment Agreement by and between Robert Lisy and Intermex Holdings, Inc., dated as of November 15, 2021 (incorporated by reference to Exhibit 10.1 to the Registrant’s Current Report on Form 8-K filed on November 17, 2021).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10.16</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by and between Andras Bende and the Company, dated as of December 7, 2020 (incorporated by reference to Exhibit 10.1 to the Registrant’s Current Report on Form 8-K filed on December 8, 2020).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10.17</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Employment Agreement effective as of October 1, 2023, between Randall Nilsen and the Company (Incorporated by reference to Exhibit 10.1 to the Registrant's Quarterly Report on Form 10-Q filed on November 7,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20"/>
                  <w:u w:val="single"/>
                </w:rPr>
                <w:t>10.18(a)</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September 23, 2019, between Joseph Aguilar and the Company (incorporated by reference to Exhibit 10.1 to the Registrant’s Current Report on Form 8-K filed On October 3, 2019).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20"/>
                  <w:u w:val="single"/>
                </w:rPr>
                <w:t>10.18(b)</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Employment Agreement effective as of January 16, 2023, between Joseph Aguilar and the Company (incorporated by reference to Exhibit 10.19(b) to the Registrant’s Annual Report on Form 10-K filed on March 15,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1019a-chuntximxiexecuti.htm">
              <w:r>
                <w:rPr>
                  <w:rStyle w:val="InternetLink"/>
                  <w:rFonts w:ascii="Times New Roman;sans-serif" w:hAnsi="Times New Roman;sans-serif"/>
                  <w:b w:val="false"/>
                  <w:color w:val="000080"/>
                  <w:sz w:val="20"/>
                </w:rPr>
                <w:t>1</w:t>
              </w:r>
            </w:hyperlink>
            <w:hyperlink w:anchor="exh1019a-chuntximxiexecuti.htm">
              <w:r>
                <w:rPr>
                  <w:rStyle w:val="InternetLink"/>
                  <w:rFonts w:ascii="Times New Roman;sans-serif" w:hAnsi="Times New Roman;sans-serif"/>
                  <w:b w:val="false"/>
                  <w:color w:val="000080"/>
                  <w:sz w:val="20"/>
                </w:rPr>
                <w:t>0.</w:t>
              </w:r>
            </w:hyperlink>
            <w:hyperlink w:anchor="exh1019a-chuntximxiexecuti.htm">
              <w:r>
                <w:rPr>
                  <w:rStyle w:val="InternetLink"/>
                  <w:rFonts w:ascii="Times New Roman;sans-serif" w:hAnsi="Times New Roman;sans-serif"/>
                  <w:b w:val="false"/>
                  <w:color w:val="000080"/>
                  <w:sz w:val="20"/>
                </w:rPr>
                <w:t>19</w:t>
              </w:r>
            </w:hyperlink>
            <w:hyperlink w:anchor="exh1019a-chuntximxiexecuti.htm">
              <w:r>
                <w:rPr>
                  <w:rStyle w:val="InternetLink"/>
                  <w:rFonts w:ascii="Times New Roman;sans-serif" w:hAnsi="Times New Roman;sans-serif"/>
                  <w:b w:val="false"/>
                  <w:color w:val="000080"/>
                  <w:sz w:val="20"/>
                </w:rPr>
                <w:t>(a)</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Employment Agreement, dated March 1, 2021, between Christopher Hunt and International Money Express, Inc. </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1019b-amendmenttohu.htm">
              <w:r>
                <w:rPr>
                  <w:rStyle w:val="InternetLink"/>
                  <w:rFonts w:ascii="Times New Roman;sans-serif" w:hAnsi="Times New Roman;sans-serif"/>
                  <w:b w:val="false"/>
                  <w:color w:val="000080"/>
                  <w:sz w:val="20"/>
                  <w:u w:val="single"/>
                </w:rPr>
                <w:t>10.</w:t>
              </w:r>
            </w:hyperlink>
            <w:hyperlink w:anchor="exhibit1019b-amendmenttohu.htm">
              <w:r>
                <w:rPr>
                  <w:rStyle w:val="InternetLink"/>
                  <w:rFonts w:ascii="Times New Roman;sans-serif" w:hAnsi="Times New Roman;sans-serif"/>
                  <w:b w:val="false"/>
                  <w:color w:val="000080"/>
                  <w:sz w:val="20"/>
                  <w:u w:val="single"/>
                </w:rPr>
                <w:t>19</w:t>
              </w:r>
            </w:hyperlink>
            <w:hyperlink w:anchor="exhibit1019b-amendmenttohu.htm">
              <w:r>
                <w:rPr>
                  <w:rStyle w:val="InternetLink"/>
                  <w:rFonts w:ascii="Times New Roman;sans-serif" w:hAnsi="Times New Roman;sans-serif"/>
                  <w:b w:val="false"/>
                  <w:color w:val="000080"/>
                  <w:sz w:val="20"/>
                  <w:u w:val="single"/>
                </w:rPr>
                <w:t>(b)</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to Employment Agreement, effective April 20, 2023, between Christopher Hunt and International Money Express, Inc. </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20"/>
                  <w:u w:val="single"/>
                </w:rPr>
                <w:t>10.20</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(incorporated by reference to Exhibit 10.1 to the Registrant’s Registration Statement on Form S-1 filed on September 28, 2018 (File No. 333-226948)).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11subsidiaries2023.htm">
              <w:r>
                <w:rPr>
                  <w:rStyle w:val="InternetLink"/>
                  <w:rFonts w:ascii="Times New Roman;sans-serif" w:hAnsi="Times New Roman;sans-serif"/>
                  <w:b w:val="false"/>
                  <w:color w:val="0000FF"/>
                  <w:sz w:val="20"/>
                  <w:u w:val="single"/>
                </w:rPr>
                <w:t>21.1</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31consentofbdousal.htm">
              <w:r>
                <w:rPr>
                  <w:rStyle w:val="InternetLink"/>
                  <w:rFonts w:ascii="Times New Roman;sans-serif" w:hAnsi="Times New Roman;sans-serif"/>
                  <w:b w:val="false"/>
                  <w:color w:val="0000FF"/>
                  <w:sz w:val="20"/>
                  <w:u w:val="single"/>
                </w:rPr>
                <w:t>23.1</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Consent of BDO USA, P.C.</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ye2023.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of 2002- Chief Executive Officer</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ye2023.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of 2002- Chief Financial Officer</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ye2023.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ye2023.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97-imximandatorycla.htm">
              <w:r>
                <w:rPr>
                  <w:rStyle w:val="InternetLink"/>
                  <w:rFonts w:ascii="Times New Roman;sans-serif" w:hAnsi="Times New Roman;sans-serif"/>
                  <w:b w:val="false"/>
                  <w:color w:val="000080"/>
                  <w:sz w:val="20"/>
                  <w:u w:val="single"/>
                </w:rPr>
                <w:t>9</w:t>
              </w:r>
            </w:hyperlink>
            <w:hyperlink w:anchor="exhibit97-imximandatorycla.htm">
              <w:r>
                <w:rPr>
                  <w:rStyle w:val="InternetLink"/>
                  <w:rFonts w:ascii="Times New Roman;sans-serif" w:hAnsi="Times New Roman;sans-serif"/>
                  <w:b w:val="false"/>
                  <w:color w:val="000080"/>
                  <w:sz w:val="20"/>
                  <w:u w:val="single"/>
                </w:rPr>
                <w:t>7</w:t>
              </w:r>
            </w:hyperlink>
            <w:r>
              <w:rPr>
                <w:rFonts w:ascii="Times New Roman;sans-serif" w:hAnsi="Times New Roman;sans-serif"/>
                <w:b w:val="false"/>
                <w:color w:val="000000"/>
                <w:sz w:val="20"/>
              </w:rPr>
              <w:t>*</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Policy Regarding the Mandatory Recovery of Compensation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the Company’s Annual Report on Form 10-K for the year ended December 31, 2023, are formatted in iXBRL (Inline Extensible Business Reporting Language): (i) the Audited Consolidated Balance Sheets, (ii) the Audited Consolidated Statements of Income and Comprehensive Income, (iii) the Audited Consolidated Statements of Changes in Stockholders’ Equity, (iv) the Audited Consolidated Statements of Cash Flows, and (v) the Notes to Audited Consolidated Financial Statements.</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Annual Report on Form 10-K for the year ended December 31, 2023, formatted in iXBRL and contained in Exhibit 101.</w:t>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Management contract or compensatory plan or arrangement.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both"/>
        <w:rPr/>
      </w:pPr>
      <w:hyperlink w:anchor="idf0bccd6adbf4603808b1fa7f2c43cfe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6833" w:type="dxa"/>
        <w:jc w:val="left"/>
        <w:tblInd w:w="0" w:type="dxa"/>
        <w:tblLayout w:type="fixed"/>
        <w:tblCellMar>
          <w:top w:w="28" w:type="dxa"/>
          <w:left w:w="28" w:type="dxa"/>
          <w:bottom w:w="28" w:type="dxa"/>
          <w:right w:w="28" w:type="dxa"/>
        </w:tblCellMar>
      </w:tblPr>
      <w:tblGrid>
        <w:gridCol w:w="580"/>
        <w:gridCol w:w="511"/>
        <w:gridCol w:w="513"/>
        <w:gridCol w:w="633"/>
        <w:gridCol w:w="633"/>
        <w:gridCol w:w="633"/>
        <w:gridCol w:w="967"/>
        <w:gridCol w:w="967"/>
        <w:gridCol w:w="139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Money Express, Inc. (Registrant)</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w:t>
            </w:r>
            <w:r>
              <w:rPr>
                <w:color w:val="000000"/>
              </w:rPr>
              <w:t> </w:t>
            </w:r>
            <w:r>
              <w:rPr>
                <w:rFonts w:ascii="Times New Roman;sans-serif" w:hAnsi="Times New Roman;sans-serif"/>
                <w:b w:val="false"/>
                <w:color w:val="000000"/>
                <w:sz w:val="20"/>
              </w:rPr>
              <w:t>Robert Lisy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Robert Lisy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 and President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54"/>
        <w:gridCol w:w="570"/>
        <w:gridCol w:w="558"/>
        <w:gridCol w:w="109"/>
        <w:gridCol w:w="109"/>
        <w:gridCol w:w="109"/>
        <w:gridCol w:w="2117"/>
        <w:gridCol w:w="2059"/>
        <w:gridCol w:w="2085"/>
        <w:gridCol w:w="109"/>
        <w:gridCol w:w="109"/>
        <w:gridCol w:w="109"/>
        <w:gridCol w:w="410"/>
        <w:gridCol w:w="410"/>
        <w:gridCol w:w="588"/>
      </w:tblGrid>
      <w:tr>
        <w:trPr/>
        <w:tc>
          <w:tcPr>
            <w:tcW w:w="75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Chairman of the Board of Directors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Robert Lisy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Andras Bende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Debra Bradford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Debra Bradford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Bernardo Fernández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Bernardo Fernández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Adam Godfrey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Adam Godfrey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Karen Higgins-Carter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Karen Higgins-Carter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Laura Maydón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Laura Maydón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Purcell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Michael Purcell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Rincon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John Rincon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Wender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Justin Wender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40" w:before="73" w:after="283"/>
        <w:jc w:val="right"/>
        <w:rPr>
          <w:rFonts w:ascii="Times New Roman;sans-serif" w:hAnsi="Times New Roman;sans-serif"/>
          <w:b/>
          <w:color w:val="2F2F2F"/>
          <w:sz w:val="23"/>
        </w:rPr>
      </w:pPr>
      <w:r>
        <w:rPr>
          <w:rFonts w:ascii="Times New Roman;sans-serif" w:hAnsi="Times New Roman;sans-serif"/>
          <w:b/>
          <w:color w:val="2F2F2F"/>
          <w:sz w:val="23"/>
        </w:rPr>
        <w:t>EXECUTION VERSION</w:t>
      </w:r>
    </w:p>
    <w:p>
      <w:pPr>
        <w:pStyle w:val="TextBody"/>
        <w:bidi w:val="0"/>
        <w:spacing w:before="187" w:after="283"/>
        <w:jc w:val="left"/>
        <w:rPr/>
      </w:pPr>
      <w:r>
        <w:rPr/>
      </w:r>
    </w:p>
    <w:p>
      <w:pPr>
        <w:pStyle w:val="TextBody"/>
        <w:bidi w:val="0"/>
        <w:spacing w:lineRule="auto" w:line="240" w:before="0" w:after="0"/>
        <w:jc w:val="center"/>
        <w:rPr>
          <w:rFonts w:ascii="Times New Roman;sans-serif" w:hAnsi="Times New Roman;sans-serif"/>
          <w:b/>
          <w:color w:val="2F2F2F"/>
          <w:sz w:val="23"/>
          <w:u w:val="single"/>
        </w:rPr>
      </w:pPr>
      <w:r>
        <w:rPr>
          <w:rFonts w:ascii="Times New Roman;sans-serif" w:hAnsi="Times New Roman;sans-serif"/>
          <w:b/>
          <w:color w:val="2F2F2F"/>
          <w:sz w:val="23"/>
          <w:u w:val="single"/>
        </w:rPr>
        <w:t>EMPLOYMENT AGREEMENT</w:t>
      </w:r>
    </w:p>
    <w:p>
      <w:pPr>
        <w:pStyle w:val="TextBody"/>
        <w:bidi w:val="0"/>
        <w:spacing w:lineRule="auto" w:line="240" w:before="240" w:after="283"/>
        <w:ind w:left="0" w:right="0" w:firstLine="729"/>
        <w:jc w:val="both"/>
        <w:rPr/>
      </w:pPr>
      <w:r>
        <w:rPr>
          <w:rFonts w:ascii="Times New Roman;sans-serif" w:hAnsi="Times New Roman;sans-serif"/>
          <w:b w:val="false"/>
          <w:color w:val="2F2F2F"/>
          <w:sz w:val="24"/>
        </w:rPr>
        <w:t>THIS EMPLOYMENT AGREEMENT ("</w:t>
      </w:r>
      <w:r>
        <w:rPr>
          <w:rFonts w:ascii="Times New Roman;sans-serif" w:hAnsi="Times New Roman;sans-serif"/>
          <w:b w:val="false"/>
          <w:color w:val="2F2F2F"/>
          <w:sz w:val="24"/>
          <w:u w:val="single"/>
        </w:rPr>
        <w:t>Agreement</w:t>
      </w:r>
      <w:r>
        <w:rPr>
          <w:rFonts w:ascii="Times New Roman;sans-serif" w:hAnsi="Times New Roman;sans-serif"/>
          <w:b w:val="false"/>
          <w:color w:val="2F2F2F"/>
          <w:sz w:val="24"/>
        </w:rPr>
        <w:t>") dated as of March 1</w:t>
      </w:r>
      <w:r>
        <w:rPr>
          <w:rFonts w:ascii="Times New Roman;sans-serif" w:hAnsi="Times New Roman;sans-serif"/>
          <w:b w:val="false"/>
          <w:color w:val="2F2F2F"/>
          <w:sz w:val="16"/>
        </w:rPr>
        <w:t>st</w:t>
      </w:r>
      <w:r>
        <w:rPr>
          <w:rFonts w:ascii="Times New Roman;sans-serif" w:hAnsi="Times New Roman;sans-serif"/>
          <w:b w:val="false"/>
          <w:color w:val="2F2F2F"/>
          <w:sz w:val="16"/>
        </w:rPr>
        <w:t xml:space="preserve">, </w:t>
      </w:r>
      <w:r>
        <w:rPr>
          <w:rFonts w:ascii="Times New Roman;sans-serif" w:hAnsi="Times New Roman;sans-serif"/>
          <w:b w:val="false"/>
          <w:color w:val="2F2F2F"/>
          <w:sz w:val="24"/>
        </w:rPr>
        <w:t>2021 (the "</w:t>
      </w:r>
      <w:r>
        <w:rPr>
          <w:rFonts w:ascii="Times New Roman;sans-serif" w:hAnsi="Times New Roman;sans-serif"/>
          <w:b w:val="false"/>
          <w:color w:val="2F2F2F"/>
          <w:sz w:val="24"/>
          <w:u w:val="single"/>
        </w:rPr>
        <w:t>Effective Date</w:t>
      </w:r>
      <w:r>
        <w:rPr>
          <w:rFonts w:ascii="Times New Roman;sans-serif" w:hAnsi="Times New Roman;sans-serif"/>
          <w:b w:val="false"/>
          <w:color w:val="2F2F2F"/>
          <w:sz w:val="24"/>
        </w:rPr>
        <w:t xml:space="preserve">"), between </w:t>
      </w:r>
      <w:r>
        <w:rPr>
          <w:rFonts w:ascii="Times New Roman;sans-serif" w:hAnsi="Times New Roman;sans-serif"/>
          <w:b/>
          <w:color w:val="2F2F2F"/>
          <w:sz w:val="23"/>
        </w:rPr>
        <w:t xml:space="preserve">INTERNATIONAL MONEY EXPRESS, INC., </w:t>
      </w:r>
      <w:r>
        <w:rPr>
          <w:rFonts w:ascii="Times New Roman;sans-serif" w:hAnsi="Times New Roman;sans-serif"/>
          <w:b w:val="false"/>
          <w:color w:val="2F2F2F"/>
          <w:sz w:val="24"/>
        </w:rPr>
        <w:t>a Delaware corporation ("</w:t>
      </w:r>
      <w:r>
        <w:rPr>
          <w:rFonts w:ascii="Times New Roman;sans-serif" w:hAnsi="Times New Roman;sans-serif"/>
          <w:b w:val="false"/>
          <w:color w:val="2F2F2F"/>
          <w:sz w:val="24"/>
          <w:u w:val="single"/>
        </w:rPr>
        <w:t>Employer</w:t>
      </w:r>
      <w:r>
        <w:rPr>
          <w:rFonts w:ascii="Times New Roman;sans-serif" w:hAnsi="Times New Roman;sans-serif"/>
          <w:b w:val="false"/>
          <w:color w:val="2F2F2F"/>
          <w:sz w:val="24"/>
        </w:rPr>
        <w:t xml:space="preserve">"), and </w:t>
      </w:r>
      <w:r>
        <w:rPr>
          <w:rFonts w:ascii="Times New Roman;sans-serif" w:hAnsi="Times New Roman;sans-serif"/>
          <w:b/>
          <w:color w:val="2F2F2F"/>
          <w:sz w:val="23"/>
        </w:rPr>
        <w:t xml:space="preserve">MR. CHRISTOPHER D. HUNT, </w:t>
      </w:r>
      <w:r>
        <w:rPr>
          <w:rFonts w:ascii="Times New Roman;sans-serif" w:hAnsi="Times New Roman;sans-serif"/>
          <w:b w:val="false"/>
          <w:color w:val="2F2F2F"/>
          <w:sz w:val="24"/>
        </w:rPr>
        <w:t>a Florida resident ("</w:t>
      </w:r>
      <w:r>
        <w:rPr>
          <w:rFonts w:ascii="Times New Roman;sans-serif" w:hAnsi="Times New Roman;sans-serif"/>
          <w:b w:val="false"/>
          <w:color w:val="2F2F2F"/>
          <w:sz w:val="24"/>
          <w:u w:val="single"/>
        </w:rPr>
        <w:t>Executive</w:t>
      </w:r>
      <w:r>
        <w:rPr>
          <w:rFonts w:ascii="Times New Roman;sans-serif" w:hAnsi="Times New Roman;sans-serif"/>
          <w:b w:val="false"/>
          <w:color w:val="2F2F2F"/>
          <w:sz w:val="24"/>
        </w:rPr>
        <w:t>").</w:t>
      </w:r>
    </w:p>
    <w:p>
      <w:pPr>
        <w:pStyle w:val="TextBody"/>
        <w:bidi w:val="0"/>
        <w:spacing w:before="14" w:after="283"/>
        <w:jc w:val="left"/>
        <w:rPr/>
      </w:pPr>
      <w:r>
        <w:rPr/>
      </w:r>
    </w:p>
    <w:p>
      <w:pPr>
        <w:pStyle w:val="TextBody"/>
        <w:bidi w:val="0"/>
        <w:spacing w:lineRule="auto" w:line="240" w:before="0" w:after="0"/>
        <w:jc w:val="center"/>
        <w:rPr>
          <w:rFonts w:ascii="Times New Roman;sans-serif" w:hAnsi="Times New Roman;sans-serif"/>
          <w:b/>
          <w:i/>
          <w:color w:val="2F2F2F"/>
          <w:sz w:val="23"/>
        </w:rPr>
      </w:pPr>
      <w:r>
        <w:rPr>
          <w:rFonts w:ascii="Times New Roman;sans-serif" w:hAnsi="Times New Roman;sans-serif"/>
          <w:b/>
          <w:i/>
          <w:color w:val="2F2F2F"/>
          <w:sz w:val="23"/>
        </w:rPr>
        <w:t>RECITALS:</w:t>
      </w:r>
    </w:p>
    <w:p>
      <w:pPr>
        <w:pStyle w:val="TextBody"/>
        <w:bidi w:val="0"/>
        <w:spacing w:before="19" w:after="283"/>
        <w:jc w:val="left"/>
        <w:rPr/>
      </w:pPr>
      <w:r>
        <w:rPr/>
      </w:r>
    </w:p>
    <w:p>
      <w:pPr>
        <w:pStyle w:val="TextBody"/>
        <w:bidi w:val="0"/>
        <w:spacing w:lineRule="auto" w:line="280" w:before="0" w:after="0"/>
        <w:ind w:left="0" w:right="0" w:firstLine="737"/>
        <w:jc w:val="both"/>
        <w:rPr/>
      </w:pPr>
      <w:r>
        <w:rPr>
          <w:rFonts w:ascii="Times New Roman;sans-serif" w:hAnsi="Times New Roman;sans-serif"/>
          <w:b w:val="false"/>
          <w:color w:val="2F2F2F"/>
          <w:sz w:val="24"/>
        </w:rPr>
        <w:t>WHEREAS, Executive has agreed to accept the position of Chief Information Officer ("</w:t>
      </w:r>
      <w:r>
        <w:rPr>
          <w:rFonts w:ascii="Times New Roman;sans-serif" w:hAnsi="Times New Roman;sans-serif"/>
          <w:b w:val="false"/>
          <w:color w:val="2F2F2F"/>
          <w:sz w:val="24"/>
          <w:u w:val="single"/>
        </w:rPr>
        <w:t>CIO</w:t>
      </w:r>
      <w:r>
        <w:rPr>
          <w:rFonts w:ascii="Times New Roman;sans-serif" w:hAnsi="Times New Roman;sans-serif"/>
          <w:b w:val="false"/>
          <w:color w:val="2F2F2F"/>
          <w:sz w:val="24"/>
        </w:rPr>
        <w:t>") of Employer; and</w:t>
      </w:r>
    </w:p>
    <w:p>
      <w:pPr>
        <w:pStyle w:val="TextBody"/>
        <w:bidi w:val="0"/>
        <w:spacing w:lineRule="auto" w:line="280" w:before="235" w:after="283"/>
        <w:ind w:left="0" w:right="0" w:firstLine="727"/>
        <w:jc w:val="both"/>
        <w:rPr>
          <w:rFonts w:ascii="Times New Roman;sans-serif" w:hAnsi="Times New Roman;sans-serif"/>
          <w:b w:val="false"/>
          <w:color w:val="2F2F2F"/>
          <w:sz w:val="24"/>
        </w:rPr>
      </w:pPr>
      <w:r>
        <w:rPr>
          <w:rFonts w:ascii="Times New Roman;sans-serif" w:hAnsi="Times New Roman;sans-serif"/>
          <w:b w:val="false"/>
          <w:color w:val="2F2F2F"/>
          <w:sz w:val="24"/>
        </w:rPr>
        <w:t>WHEREAS, Employer desires to assure itself of the services of Executive by engaging Executive to perform services under the terms hereof; and</w:t>
      </w:r>
    </w:p>
    <w:p>
      <w:pPr>
        <w:pStyle w:val="TextBody"/>
        <w:bidi w:val="0"/>
        <w:spacing w:lineRule="auto" w:line="240" w:before="236" w:after="283"/>
        <w:jc w:val="left"/>
        <w:rPr>
          <w:rFonts w:ascii="Times New Roman;sans-serif" w:hAnsi="Times New Roman;sans-serif"/>
          <w:b w:val="false"/>
          <w:color w:val="2F2F2F"/>
          <w:sz w:val="24"/>
        </w:rPr>
      </w:pPr>
      <w:r>
        <w:rPr>
          <w:rFonts w:ascii="Times New Roman;sans-serif" w:hAnsi="Times New Roman;sans-serif"/>
          <w:b w:val="false"/>
          <w:color w:val="2F2F2F"/>
          <w:sz w:val="24"/>
        </w:rPr>
        <w:t>WHEREAS, Executive desires to provide services to Employer on the terms provided</w:t>
      </w:r>
    </w:p>
    <w:p>
      <w:pPr>
        <w:pStyle w:val="TextBody"/>
        <w:bidi w:val="0"/>
        <w:spacing w:lineRule="auto" w:line="240" w:before="7" w:after="283"/>
        <w:jc w:val="left"/>
        <w:rPr>
          <w:rFonts w:ascii="Times New Roman;sans-serif" w:hAnsi="Times New Roman;sans-serif"/>
          <w:b w:val="false"/>
          <w:color w:val="2F2F2F"/>
          <w:sz w:val="24"/>
        </w:rPr>
      </w:pPr>
      <w:r>
        <w:rPr>
          <w:rFonts w:ascii="Times New Roman;sans-serif" w:hAnsi="Times New Roman;sans-serif"/>
          <w:b w:val="false"/>
          <w:color w:val="2F2F2F"/>
          <w:sz w:val="24"/>
        </w:rPr>
        <w:t>herein.</w:t>
      </w:r>
    </w:p>
    <w:p>
      <w:pPr>
        <w:pStyle w:val="TextBody"/>
        <w:bidi w:val="0"/>
        <w:spacing w:lineRule="auto" w:line="240" w:before="239" w:after="283"/>
        <w:jc w:val="left"/>
        <w:rPr/>
      </w:pPr>
      <w:r>
        <w:rPr>
          <w:rFonts w:ascii="Times New Roman;sans-serif" w:hAnsi="Times New Roman;sans-serif"/>
          <w:b w:val="false"/>
          <w:color w:val="2F2F2F"/>
          <w:sz w:val="23"/>
        </w:rPr>
        <w:t>NOW,</w:t>
      </w:r>
      <w:r>
        <w:rPr>
          <w:color w:val="2F2F2F"/>
        </w:rPr>
        <w:t xml:space="preserve"> </w:t>
      </w:r>
      <w:r>
        <w:rPr>
          <w:rFonts w:ascii="Times New Roman;sans-serif" w:hAnsi="Times New Roman;sans-serif"/>
          <w:b w:val="false"/>
          <w:color w:val="2F2F2F"/>
          <w:sz w:val="24"/>
        </w:rPr>
        <w:t>THEREFORE, in consideration of the mutual agreements hereinafter set forth,</w:t>
      </w:r>
    </w:p>
    <w:p>
      <w:pPr>
        <w:pStyle w:val="TextBody"/>
        <w:bidi w:val="0"/>
        <w:spacing w:lineRule="auto" w:line="240" w:before="2" w:after="283"/>
        <w:jc w:val="left"/>
        <w:rPr>
          <w:rFonts w:ascii="Times New Roman;sans-serif" w:hAnsi="Times New Roman;sans-serif"/>
          <w:b w:val="false"/>
          <w:color w:val="2F2F2F"/>
          <w:sz w:val="24"/>
        </w:rPr>
      </w:pPr>
      <w:r>
        <w:rPr>
          <w:rFonts w:ascii="Times New Roman;sans-serif" w:hAnsi="Times New Roman;sans-serif"/>
          <w:b w:val="false"/>
          <w:color w:val="2F2F2F"/>
          <w:sz w:val="24"/>
        </w:rPr>
        <w:t>Employer and Executive have agreed and do hereby agree as follows:</w:t>
      </w:r>
    </w:p>
    <w:p>
      <w:pPr>
        <w:pStyle w:val="TextBody"/>
        <w:bidi w:val="0"/>
        <w:spacing w:lineRule="auto" w:line="240" w:before="239" w:after="283"/>
        <w:jc w:val="center"/>
        <w:rPr>
          <w:rFonts w:ascii="Times New Roman;sans-serif" w:hAnsi="Times New Roman;sans-serif"/>
          <w:b w:val="false"/>
          <w:color w:val="2F2F2F"/>
          <w:sz w:val="24"/>
        </w:rPr>
      </w:pPr>
      <w:r>
        <w:rPr>
          <w:rFonts w:ascii="Times New Roman;sans-serif" w:hAnsi="Times New Roman;sans-serif"/>
          <w:b w:val="false"/>
          <w:color w:val="2F2F2F"/>
          <w:sz w:val="24"/>
        </w:rPr>
        <w:t>ARTICLE I</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val="false"/>
          <w:color w:val="2F2F2F"/>
          <w:sz w:val="24"/>
          <w:u w:val="single"/>
        </w:rPr>
      </w:pPr>
      <w:r>
        <w:rPr>
          <w:rFonts w:ascii="Times New Roman;sans-serif" w:hAnsi="Times New Roman;sans-serif"/>
          <w:b w:val="false"/>
          <w:color w:val="2F2F2F"/>
          <w:sz w:val="24"/>
          <w:u w:val="single"/>
        </w:rPr>
        <w:t>Employment</w:t>
      </w:r>
    </w:p>
    <w:p>
      <w:pPr>
        <w:pStyle w:val="TextBody"/>
        <w:bidi w:val="0"/>
        <w:spacing w:lineRule="auto" w:line="280" w:before="238" w:after="283"/>
        <w:ind w:left="0" w:right="0" w:firstLine="1"/>
        <w:jc w:val="both"/>
        <w:rPr/>
      </w:pPr>
      <w:r>
        <w:rPr>
          <w:rFonts w:ascii="Times New Roman;sans-serif" w:hAnsi="Times New Roman;sans-serif"/>
          <w:b w:val="false"/>
          <w:color w:val="2F2F2F"/>
          <w:sz w:val="24"/>
        </w:rPr>
        <w:t>SECTION 1.01    </w:t>
      </w:r>
      <w:r>
        <w:rPr>
          <w:rFonts w:ascii="Times New Roman;sans-serif" w:hAnsi="Times New Roman;sans-serif"/>
          <w:b w:val="false"/>
          <w:color w:val="2F2F2F"/>
          <w:sz w:val="24"/>
          <w:u w:val="single"/>
        </w:rPr>
        <w:t>Term</w:t>
      </w:r>
      <w:r>
        <w:rPr>
          <w:rFonts w:ascii="Times New Roman;sans-serif" w:hAnsi="Times New Roman;sans-serif"/>
          <w:b w:val="false"/>
          <w:color w:val="2F2F2F"/>
          <w:sz w:val="24"/>
        </w:rPr>
        <w:t>. The term of Executive's employment under this Agreement shall commence on the Effective Date and, unless Employer and Executive otherwise agree in writing, shall continue until it terminates pursuant to Article IV. Executive's employment with Employer will be "at will" and, subject to the provisions of Article IV, Executive's employment under this Agreement may be terminated by either party at any time and for any reason. Executive's employment under this Agreement shall terminate automatically upon Executive's death.</w:t>
      </w:r>
    </w:p>
    <w:p>
      <w:pPr>
        <w:pStyle w:val="TextBody"/>
        <w:bidi w:val="0"/>
        <w:spacing w:lineRule="auto" w:line="280" w:before="236" w:after="283"/>
        <w:ind w:left="0" w:right="0" w:firstLine="3"/>
        <w:jc w:val="both"/>
        <w:rPr/>
      </w:pPr>
      <w:r>
        <w:rPr>
          <w:rFonts w:ascii="Times New Roman;sans-serif" w:hAnsi="Times New Roman;sans-serif"/>
          <w:b w:val="false"/>
          <w:color w:val="2F2F2F"/>
          <w:sz w:val="24"/>
        </w:rPr>
        <w:t>SECTION 1.02    </w:t>
      </w:r>
      <w:r>
        <w:rPr>
          <w:rFonts w:ascii="Times New Roman;sans-serif" w:hAnsi="Times New Roman;sans-serif"/>
          <w:b w:val="false"/>
          <w:color w:val="2F2F2F"/>
          <w:sz w:val="24"/>
          <w:u w:val="single"/>
        </w:rPr>
        <w:t>Position and Duties</w:t>
      </w:r>
      <w:r>
        <w:rPr>
          <w:rFonts w:ascii="Times New Roman;sans-serif" w:hAnsi="Times New Roman;sans-serif"/>
          <w:b w:val="false"/>
          <w:color w:val="2F2F2F"/>
          <w:sz w:val="24"/>
        </w:rPr>
        <w:t>. Executive shall, during the term of employment under this Agreement, perform the services and duties as Chief Information Officer of Employer plus such other services and duties as determined from time to time by the Chief Executive Officer (CEO) of the Employer. Executive shall perform such services and duties in accordance with the policies, practices and bylaws of Employer.</w:t>
      </w:r>
    </w:p>
    <w:p>
      <w:pPr>
        <w:pStyle w:val="TextBody"/>
        <w:bidi w:val="0"/>
        <w:spacing w:lineRule="auto" w:line="280" w:before="235" w:after="283"/>
        <w:ind w:left="0" w:right="0" w:firstLine="1"/>
        <w:jc w:val="both"/>
        <w:rPr/>
      </w:pPr>
      <w:r>
        <w:rPr>
          <w:rFonts w:ascii="Times New Roman;sans-serif" w:hAnsi="Times New Roman;sans-serif"/>
          <w:b w:val="false"/>
          <w:color w:val="2F2F2F"/>
          <w:sz w:val="24"/>
        </w:rPr>
        <w:t>SECTION 1.03    </w:t>
      </w:r>
      <w:r>
        <w:rPr>
          <w:rFonts w:ascii="Times New Roman;sans-serif" w:hAnsi="Times New Roman;sans-serif"/>
          <w:b w:val="false"/>
          <w:color w:val="2F2F2F"/>
          <w:sz w:val="24"/>
          <w:u w:val="single"/>
        </w:rPr>
        <w:t>Time and Effort</w:t>
      </w:r>
      <w:r>
        <w:rPr>
          <w:rFonts w:ascii="Times New Roman;sans-serif" w:hAnsi="Times New Roman;sans-serif"/>
          <w:b w:val="false"/>
          <w:color w:val="2F2F2F"/>
          <w:sz w:val="24"/>
        </w:rPr>
        <w:t>. Executive shall serve Employer faithfully, loyally, honestly and to the best of Executive's ability. Executive shall devote all Executive's business time and best efforts to the performance of Executive's duties on behalf of Employer. During Executive's term of employment, Executive shall not at any time or place or to any extent whatsoever, either directly or indirectly, without the express written consent of the CEO, engage in any outside employment or in any activity that, in the judgment of Employer, is competitive with or adverse to the business, practice or affairs of Employer or any of its affiliates, whether or not such activity is pursued for gain, profit or other pecuniary advantage.</w:t>
      </w:r>
    </w:p>
    <w:p>
      <w:pPr>
        <w:pStyle w:val="TextBody"/>
        <w:bidi w:val="0"/>
        <w:spacing w:before="6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262626"/>
          <w:sz w:val="24"/>
        </w:rPr>
      </w:pPr>
      <w:r>
        <w:rPr>
          <w:rFonts w:ascii="Times New Roman;sans-serif" w:hAnsi="Times New Roman;sans-serif"/>
          <w:b w:val="false"/>
          <w:color w:val="262626"/>
          <w:sz w:val="24"/>
        </w:rPr>
        <w:t>ARTICLE II</w:t>
      </w:r>
    </w:p>
    <w:p>
      <w:pPr>
        <w:pStyle w:val="TextBody"/>
        <w:bidi w:val="0"/>
        <w:spacing w:lineRule="auto" w:line="240" w:before="272" w:after="283"/>
        <w:jc w:val="center"/>
        <w:rPr>
          <w:rFonts w:ascii="Times New Roman;sans-serif" w:hAnsi="Times New Roman;sans-serif"/>
          <w:b w:val="false"/>
          <w:color w:val="262626"/>
          <w:sz w:val="24"/>
          <w:u w:val="single"/>
        </w:rPr>
      </w:pPr>
      <w:r>
        <w:rPr>
          <w:rFonts w:ascii="Times New Roman;sans-serif" w:hAnsi="Times New Roman;sans-serif"/>
          <w:b w:val="false"/>
          <w:color w:val="262626"/>
          <w:sz w:val="24"/>
          <w:u w:val="single"/>
        </w:rPr>
        <w:t>Compensation</w:t>
      </w:r>
    </w:p>
    <w:p>
      <w:pPr>
        <w:pStyle w:val="TextBody"/>
        <w:bidi w:val="0"/>
        <w:spacing w:lineRule="auto" w:line="240" w:before="243" w:after="283"/>
        <w:ind w:left="0" w:right="0" w:firstLine="21"/>
        <w:jc w:val="both"/>
        <w:rPr/>
      </w:pPr>
      <w:r>
        <w:rPr>
          <w:rFonts w:ascii="Times New Roman;sans-serif" w:hAnsi="Times New Roman;sans-serif"/>
          <w:b w:val="false"/>
          <w:color w:val="262626"/>
          <w:sz w:val="24"/>
        </w:rPr>
        <w:t>SECTION 2.01    </w:t>
      </w:r>
      <w:r>
        <w:rPr>
          <w:rFonts w:ascii="Times New Roman;sans-serif" w:hAnsi="Times New Roman;sans-serif"/>
          <w:b w:val="false"/>
          <w:color w:val="262626"/>
          <w:sz w:val="24"/>
          <w:u w:val="single"/>
        </w:rPr>
        <w:t>Base Salary</w:t>
      </w:r>
      <w:r>
        <w:rPr>
          <w:rFonts w:ascii="Times New Roman;sans-serif" w:hAnsi="Times New Roman;sans-serif"/>
          <w:b w:val="false"/>
          <w:color w:val="262626"/>
          <w:sz w:val="24"/>
        </w:rPr>
        <w:t>. During the term of Executive's employment under this Agreement, Employer shall, as compensation for the obligations set forth herein and for all services rendered by Executive in any capacity during Executive's employment under this Agreement, including services as an officer, employee, director or member of any governing body, or committee thereof, of Employer or any of their affiliates, pay Executive a base salary (herein "</w:t>
      </w:r>
      <w:r>
        <w:rPr>
          <w:rFonts w:ascii="Times New Roman;sans-serif" w:hAnsi="Times New Roman;sans-serif"/>
          <w:b w:val="false"/>
          <w:color w:val="262626"/>
          <w:sz w:val="24"/>
          <w:u w:val="single"/>
        </w:rPr>
        <w:t>Base Salary</w:t>
      </w:r>
      <w:r>
        <w:rPr>
          <w:rFonts w:ascii="Times New Roman;sans-serif" w:hAnsi="Times New Roman;sans-serif"/>
          <w:b w:val="false"/>
          <w:color w:val="262626"/>
          <w:sz w:val="24"/>
        </w:rPr>
        <w:t>") at the annual rate of $310,000.00 per year, payable in accordance with Employer's standard payroll practices as in effect from time to time. Beginning in 2022, Executive's Base Salary shall be reviewed annually in January, and may be subject to an increase, as determined in the reasonable discretion of the Board of Directors ("</w:t>
      </w:r>
      <w:r>
        <w:rPr>
          <w:rFonts w:ascii="Times New Roman;sans-serif" w:hAnsi="Times New Roman;sans-serif"/>
          <w:b w:val="false"/>
          <w:color w:val="262626"/>
          <w:sz w:val="24"/>
          <w:u w:val="single"/>
        </w:rPr>
        <w:t>Board</w:t>
      </w:r>
      <w:r>
        <w:rPr>
          <w:rFonts w:ascii="Times New Roman;sans-serif" w:hAnsi="Times New Roman;sans-serif"/>
          <w:b w:val="false"/>
          <w:color w:val="262626"/>
          <w:sz w:val="24"/>
        </w:rPr>
        <w:t>"). In the event that sickness or disability payments under any insurance programs of Employer or otherwise shall become payable to Executive in respect of any period of Executive's employment under this Agreement, the salary installment payable to Executive hereunder on the next succeeding salary installment payment date shall be an amount computed by subtracting (a) the amount of such sickness or disability payments that shall have become payable during the period between such date and the immediately preceding salary installment date from (b) the salary installment otherwise payable to Executive hereunder on such date.</w:t>
      </w:r>
    </w:p>
    <w:p>
      <w:pPr>
        <w:pStyle w:val="TextBody"/>
        <w:bidi w:val="0"/>
        <w:spacing w:lineRule="auto" w:line="240" w:before="256" w:after="283"/>
        <w:ind w:left="0" w:right="0" w:firstLine="22"/>
        <w:jc w:val="both"/>
        <w:rPr/>
      </w:pPr>
      <w:r>
        <w:rPr>
          <w:rFonts w:ascii="Times New Roman;sans-serif" w:hAnsi="Times New Roman;sans-serif"/>
          <w:b w:val="false"/>
          <w:color w:val="262626"/>
          <w:sz w:val="24"/>
        </w:rPr>
        <w:t>SECTION 2.02    </w:t>
      </w:r>
      <w:r>
        <w:rPr>
          <w:rFonts w:ascii="Times New Roman;sans-serif" w:hAnsi="Times New Roman;sans-serif"/>
          <w:b w:val="false"/>
          <w:color w:val="262626"/>
          <w:sz w:val="24"/>
          <w:u w:val="single"/>
        </w:rPr>
        <w:t>Annual Bonus</w:t>
      </w:r>
      <w:r>
        <w:rPr>
          <w:rFonts w:ascii="Times New Roman;sans-serif" w:hAnsi="Times New Roman;sans-serif"/>
          <w:b w:val="false"/>
          <w:color w:val="262626"/>
          <w:sz w:val="24"/>
        </w:rPr>
        <w:t>. During the term of Executive's employment under this Agreement, Executive shall be eligible to participate in Employer's annual incentive compensation plan, as may be continued or established by the Board, in its discretion, from time to time (the "</w:t>
      </w:r>
      <w:r>
        <w:rPr>
          <w:rFonts w:ascii="Times New Roman;sans-serif" w:hAnsi="Times New Roman;sans-serif"/>
          <w:b w:val="false"/>
          <w:color w:val="262626"/>
          <w:sz w:val="24"/>
          <w:u w:val="single"/>
        </w:rPr>
        <w:t>Bonus Plan</w:t>
      </w:r>
      <w:r>
        <w:rPr>
          <w:rFonts w:ascii="Times New Roman;sans-serif" w:hAnsi="Times New Roman;sans-serif"/>
          <w:b w:val="false"/>
          <w:color w:val="262626"/>
          <w:sz w:val="24"/>
        </w:rPr>
        <w:t>") and shall have the opportunity to earn a performance based bonus ("</w:t>
      </w:r>
      <w:r>
        <w:rPr>
          <w:rFonts w:ascii="Times New Roman;sans-serif" w:hAnsi="Times New Roman;sans-serif"/>
          <w:b w:val="false"/>
          <w:color w:val="262626"/>
          <w:sz w:val="24"/>
          <w:u w:val="single"/>
        </w:rPr>
        <w:t>Annual Bonus</w:t>
      </w:r>
      <w:r>
        <w:rPr>
          <w:rFonts w:ascii="Times New Roman;sans-serif" w:hAnsi="Times New Roman;sans-serif"/>
          <w:b w:val="false"/>
          <w:color w:val="262626"/>
          <w:sz w:val="24"/>
        </w:rPr>
        <w:t>") with a target Annual Bonus opportunity of forty percent (40%) of Base Salary, based twenty-five percent (25%) on achievement of personal objectives and seventy-five percent (75%) on achievement of certain EBITDA results or other objective performance measures established by the Board. The amount of any Annual Bonus actually payable to Executive shall be determined by the Board in its discretion and shall be payable in accordance with Employer's practices as of the date hereof or pursuant to such other procedures as may be agreed to between the CEO and the Board. Executive acknowledges that the Board may amend or modify from time to time the Bonus Plan, including modifying the performance requirements, target levels and participation terms thereof, and the Board reserves the right to terminate the Bonus Plan at any time and for any reason.</w:t>
      </w:r>
    </w:p>
    <w:p>
      <w:pPr>
        <w:pStyle w:val="TextBody"/>
        <w:bidi w:val="0"/>
        <w:spacing w:lineRule="auto" w:line="280" w:before="259" w:after="283"/>
        <w:ind w:left="0" w:right="0" w:firstLine="19"/>
        <w:jc w:val="both"/>
        <w:rPr/>
      </w:pPr>
      <w:r>
        <w:rPr>
          <w:rFonts w:ascii="Times New Roman;sans-serif" w:hAnsi="Times New Roman;sans-serif"/>
          <w:b w:val="false"/>
          <w:color w:val="262626"/>
          <w:sz w:val="24"/>
        </w:rPr>
        <w:t>SECTION 2.03    </w:t>
      </w:r>
      <w:r>
        <w:rPr>
          <w:rFonts w:ascii="Times New Roman;sans-serif" w:hAnsi="Times New Roman;sans-serif"/>
          <w:b w:val="false"/>
          <w:color w:val="262626"/>
          <w:sz w:val="24"/>
          <w:u w:val="single"/>
        </w:rPr>
        <w:t>Award of Restricted Stock Units</w:t>
      </w:r>
      <w:r>
        <w:rPr>
          <w:rFonts w:ascii="Times New Roman;sans-serif" w:hAnsi="Times New Roman;sans-serif"/>
          <w:b w:val="false"/>
          <w:color w:val="262626"/>
          <w:sz w:val="24"/>
        </w:rPr>
        <w:t>. Subject to the terms and conditions of the Company's 2020 Omnibus Equity Compensation Plan (the "</w:t>
      </w:r>
      <w:r>
        <w:rPr>
          <w:rFonts w:ascii="Times New Roman;sans-serif" w:hAnsi="Times New Roman;sans-serif"/>
          <w:b w:val="false"/>
          <w:color w:val="262626"/>
          <w:sz w:val="24"/>
          <w:u w:val="single"/>
        </w:rPr>
        <w:t>Plan</w:t>
      </w:r>
      <w:r>
        <w:rPr>
          <w:rFonts w:ascii="Times New Roman;sans-serif" w:hAnsi="Times New Roman;sans-serif"/>
          <w:b w:val="false"/>
          <w:color w:val="262626"/>
          <w:sz w:val="24"/>
        </w:rPr>
        <w:t>"), Executive shall receive 7,058 Restricted Stock Units ("</w:t>
      </w:r>
      <w:r>
        <w:rPr>
          <w:rFonts w:ascii="Times New Roman;sans-serif" w:hAnsi="Times New Roman;sans-serif"/>
          <w:b w:val="false"/>
          <w:color w:val="262626"/>
          <w:sz w:val="24"/>
          <w:u w:val="single"/>
        </w:rPr>
        <w:t>RSU</w:t>
      </w:r>
      <w:r>
        <w:rPr>
          <w:rFonts w:ascii="Times New Roman;sans-serif" w:hAnsi="Times New Roman;sans-serif"/>
          <w:b w:val="false"/>
          <w:color w:val="262626"/>
          <w:sz w:val="24"/>
        </w:rPr>
        <w:t>s"), which shall vest with respect to twenty-five percent (25%) of the RSUs on the first anniversary of the date of the grant and thereafter shall vest with respect to an additional twenty-five percent on an annual basis through the fourth anniversary of the date of the grant until the RSUs are fully-vested. The RSUs shall be granted under the Plan at the regularly scheduled meeting of the Compensation Committee of the Board (the "</w:t>
      </w:r>
      <w:r>
        <w:rPr>
          <w:rFonts w:ascii="Times New Roman;sans-serif" w:hAnsi="Times New Roman;sans-serif"/>
          <w:b w:val="false"/>
          <w:color w:val="262626"/>
          <w:sz w:val="24"/>
          <w:u w:val="single"/>
        </w:rPr>
        <w:t>Committee</w:t>
      </w:r>
      <w:r>
        <w:rPr>
          <w:rFonts w:ascii="Times New Roman;sans-serif" w:hAnsi="Times New Roman;sans-serif"/>
          <w:b w:val="false"/>
          <w:color w:val="262626"/>
          <w:sz w:val="24"/>
        </w:rPr>
        <w:t>") on February, 2022 (and in no event later than March 15, 2022).</w:t>
      </w:r>
    </w:p>
    <w:p>
      <w:pPr>
        <w:pStyle w:val="TextBody"/>
        <w:bidi w:val="0"/>
        <w:spacing w:lineRule="auto" w:line="280" w:before="231" w:after="283"/>
        <w:ind w:left="0" w:right="0" w:hanging="3"/>
        <w:jc w:val="both"/>
        <w:rPr/>
      </w:pPr>
      <w:r>
        <w:rPr>
          <w:rFonts w:ascii="Times New Roman;sans-serif" w:hAnsi="Times New Roman;sans-serif"/>
          <w:b w:val="false"/>
          <w:color w:val="262626"/>
          <w:sz w:val="24"/>
        </w:rPr>
        <w:t>SECTION 2.04    </w:t>
      </w:r>
      <w:r>
        <w:rPr>
          <w:rFonts w:ascii="Times New Roman;sans-serif" w:hAnsi="Times New Roman;sans-serif"/>
          <w:b w:val="false"/>
          <w:color w:val="262626"/>
          <w:sz w:val="24"/>
          <w:u w:val="single"/>
        </w:rPr>
        <w:t xml:space="preserve">Award of Performance Share </w:t>
      </w:r>
      <w:r>
        <w:rPr>
          <w:rFonts w:ascii="Times New Roman;sans-serif" w:hAnsi="Times New Roman;sans-serif"/>
          <w:b w:val="false"/>
          <w:color w:val="3F3F3F"/>
          <w:sz w:val="24"/>
          <w:u w:val="single"/>
        </w:rPr>
        <w:t>Units.</w:t>
      </w:r>
      <w:r>
        <w:rPr>
          <w:color w:val="3F3F3F"/>
        </w:rPr>
        <w:t xml:space="preserve"> </w:t>
      </w:r>
      <w:r>
        <w:rPr>
          <w:rFonts w:ascii="Times New Roman;sans-serif" w:hAnsi="Times New Roman;sans-serif"/>
          <w:b w:val="false"/>
          <w:color w:val="262626"/>
          <w:sz w:val="24"/>
        </w:rPr>
        <w:t>Subject to the terms and conditions of the International Money Express, Inc. 2021 Plan, you will be granted 7,058 Performance Share</w:t>
      </w:r>
    </w:p>
    <w:p>
      <w:pPr>
        <w:pStyle w:val="TextBody"/>
        <w:bidi w:val="0"/>
        <w:spacing w:before="0" w:after="0"/>
        <w:ind w:left="0" w:right="0" w:firstLine="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F2F2F"/>
          <w:sz w:val="24"/>
        </w:rPr>
      </w:pPr>
      <w:r>
        <w:rPr>
          <w:rFonts w:ascii="Times New Roman;sans-serif" w:hAnsi="Times New Roman;sans-serif"/>
          <w:b w:val="false"/>
          <w:color w:val="2F2F2F"/>
          <w:sz w:val="24"/>
        </w:rPr>
        <w:t>Units (PSUs). The performance period will be a two-year period and 100% of the PSU equity award will vest on the third year and upon determination of the Compensation Committee. The grant date will be determined upon the approval of the next scheduled Compensation Committee following your start date.</w:t>
      </w:r>
    </w:p>
    <w:p>
      <w:pPr>
        <w:pStyle w:val="TextBody"/>
        <w:bidi w:val="0"/>
        <w:spacing w:before="124" w:after="283"/>
        <w:jc w:val="left"/>
        <w:rPr/>
      </w:pPr>
      <w:r>
        <w:rPr/>
      </w:r>
    </w:p>
    <w:p>
      <w:pPr>
        <w:pStyle w:val="TextBody"/>
        <w:bidi w:val="0"/>
        <w:spacing w:lineRule="auto" w:line="240" w:before="0" w:after="0"/>
        <w:jc w:val="center"/>
        <w:rPr>
          <w:rFonts w:ascii="Times New Roman;sans-serif" w:hAnsi="Times New Roman;sans-serif"/>
          <w:b w:val="false"/>
          <w:color w:val="2F2F2F"/>
          <w:sz w:val="24"/>
        </w:rPr>
      </w:pPr>
      <w:r>
        <w:rPr>
          <w:rFonts w:ascii="Times New Roman;sans-serif" w:hAnsi="Times New Roman;sans-serif"/>
          <w:b w:val="false"/>
          <w:color w:val="2F2F2F"/>
          <w:sz w:val="24"/>
        </w:rPr>
        <w:t>ARTICLE III</w:t>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2F2F2F"/>
          <w:sz w:val="24"/>
          <w:u w:val="single"/>
        </w:rPr>
      </w:pPr>
      <w:r>
        <w:rPr>
          <w:rFonts w:ascii="Times New Roman;sans-serif" w:hAnsi="Times New Roman;sans-serif"/>
          <w:b w:val="false"/>
          <w:color w:val="2F2F2F"/>
          <w:sz w:val="24"/>
          <w:u w:val="single"/>
        </w:rPr>
        <w:t>Executive Benefits</w:t>
      </w:r>
    </w:p>
    <w:p>
      <w:pPr>
        <w:pStyle w:val="TextBody"/>
        <w:bidi w:val="0"/>
        <w:spacing w:lineRule="auto" w:line="240" w:before="243" w:after="283"/>
        <w:ind w:left="0" w:right="0" w:firstLine="23"/>
        <w:jc w:val="both"/>
        <w:rPr/>
      </w:pPr>
      <w:r>
        <w:rPr>
          <w:rFonts w:ascii="Times New Roman;sans-serif" w:hAnsi="Times New Roman;sans-serif"/>
          <w:b w:val="false"/>
          <w:color w:val="2F2F2F"/>
          <w:sz w:val="24"/>
        </w:rPr>
        <w:t>SECTION 3.01    </w:t>
      </w:r>
      <w:r>
        <w:rPr>
          <w:rFonts w:ascii="Times New Roman;sans-serif" w:hAnsi="Times New Roman;sans-serif"/>
          <w:b w:val="false"/>
          <w:color w:val="2F2F2F"/>
          <w:sz w:val="24"/>
          <w:u w:val="single"/>
        </w:rPr>
        <w:t>Benefit Plans</w:t>
      </w:r>
      <w:r>
        <w:rPr>
          <w:rFonts w:ascii="Times New Roman;sans-serif" w:hAnsi="Times New Roman;sans-serif"/>
          <w:b w:val="false"/>
          <w:color w:val="2F2F2F"/>
          <w:sz w:val="24"/>
        </w:rPr>
        <w:t>. During the term of Executive's employment under this Agreement, Executive shall be entitled to participate in any benefit plans (excluding severance, bonus, incentive or profit sharing plans) offered by Employer as in effect from time to time (collectively, "</w:t>
      </w:r>
      <w:r>
        <w:rPr>
          <w:rFonts w:ascii="Times New Roman;sans-serif" w:hAnsi="Times New Roman;sans-serif"/>
          <w:b w:val="false"/>
          <w:color w:val="2F2F2F"/>
          <w:sz w:val="24"/>
          <w:u w:val="single"/>
        </w:rPr>
        <w:t>Benefit Plans</w:t>
      </w:r>
      <w:r>
        <w:rPr>
          <w:rFonts w:ascii="Times New Roman;sans-serif" w:hAnsi="Times New Roman;sans-serif"/>
          <w:b w:val="false"/>
          <w:color w:val="2F2F2F"/>
          <w:sz w:val="24"/>
        </w:rPr>
        <w:t xml:space="preserve">") on the same basis as that generally made available to other employees of Employer to the extent Executive may be eligible to do so under the terms of any such Benefit Plan. Executive understands that any such Benefit Plans may be terminated or amended from time to time by Employer in their discretion; </w:t>
      </w:r>
      <w:r>
        <w:rPr>
          <w:rFonts w:ascii="Times New Roman;sans-serif" w:hAnsi="Times New Roman;sans-serif"/>
          <w:b w:val="false"/>
          <w:color w:val="2F2F2F"/>
          <w:sz w:val="24"/>
          <w:u w:val="single"/>
        </w:rPr>
        <w:t>provided</w:t>
      </w:r>
      <w:r>
        <w:rPr>
          <w:rFonts w:ascii="Times New Roman;sans-serif" w:hAnsi="Times New Roman;sans-serif"/>
          <w:b w:val="false"/>
          <w:color w:val="2F2F2F"/>
          <w:sz w:val="24"/>
        </w:rPr>
        <w:t xml:space="preserve">, </w:t>
      </w:r>
      <w:r>
        <w:rPr>
          <w:rFonts w:ascii="Times New Roman;sans-serif" w:hAnsi="Times New Roman;sans-serif"/>
          <w:b w:val="false"/>
          <w:color w:val="2F2F2F"/>
          <w:sz w:val="24"/>
          <w:u w:val="single"/>
        </w:rPr>
        <w:t>however</w:t>
      </w:r>
      <w:r>
        <w:rPr>
          <w:rFonts w:ascii="Times New Roman;sans-serif" w:hAnsi="Times New Roman;sans-serif"/>
          <w:b w:val="false"/>
          <w:color w:val="2F2F2F"/>
          <w:sz w:val="24"/>
        </w:rPr>
        <w:t>, that, if such Benefit Plans cease to include medical and dental plans, Executive shall be eligible to receive medical and dental benefits substantially comparable to such benefits provided by Employer to Executive under Employer's medical and dental plans as of the date hereof. Notwithstanding the first sentence of this Section 3.01, nothing shall preclude Executive from participating during the term of Executive's employment under this Agreement in any present or future bonus, incentive or profit sharing plan or other plan of Employer for the benefit of its employees, in each case as and to the extent approved or determined by the Board in its discretion and subject to Section 2.02.</w:t>
      </w:r>
    </w:p>
    <w:p>
      <w:pPr>
        <w:pStyle w:val="TextBody"/>
        <w:bidi w:val="0"/>
        <w:spacing w:lineRule="auto" w:line="280" w:before="258" w:after="283"/>
        <w:ind w:left="0" w:right="0" w:hanging="2"/>
        <w:jc w:val="both"/>
        <w:rPr/>
      </w:pPr>
      <w:r>
        <w:rPr>
          <w:rFonts w:ascii="Times New Roman;sans-serif" w:hAnsi="Times New Roman;sans-serif"/>
          <w:b w:val="false"/>
          <w:color w:val="2F2F2F"/>
          <w:sz w:val="24"/>
        </w:rPr>
        <w:t>SECTION 3.02    </w:t>
      </w:r>
      <w:r>
        <w:rPr>
          <w:rFonts w:ascii="Times New Roman;sans-serif" w:hAnsi="Times New Roman;sans-serif"/>
          <w:b w:val="false"/>
          <w:color w:val="464646"/>
          <w:sz w:val="24"/>
          <w:u w:val="single"/>
        </w:rPr>
        <w:t>Expenses</w:t>
      </w:r>
      <w:r>
        <w:rPr>
          <w:rFonts w:ascii="Times New Roman;sans-serif" w:hAnsi="Times New Roman;sans-serif"/>
          <w:b w:val="false"/>
          <w:color w:val="2F2F2F"/>
          <w:sz w:val="24"/>
        </w:rPr>
        <w:t>. Employer will reimburse Executive for all reasonably incurred business expenses, subject to the travel and expense policy established by Employer from time to time, incurred by Executive during the term of Executive's employment under this Agreement in the performance of Executive's duties hereunder, provided that Executive furnishes to Employer adequate records and other documentary evidence required to substantiate such expenditures.</w:t>
      </w:r>
    </w:p>
    <w:p>
      <w:pPr>
        <w:pStyle w:val="TextBody"/>
        <w:bidi w:val="0"/>
        <w:spacing w:lineRule="auto" w:line="240" w:before="235" w:after="283"/>
        <w:ind w:left="0" w:right="0" w:firstLine="3"/>
        <w:jc w:val="left"/>
        <w:rPr/>
      </w:pPr>
      <w:r>
        <w:rPr>
          <w:rFonts w:ascii="Times New Roman;sans-serif" w:hAnsi="Times New Roman;sans-serif"/>
          <w:b w:val="false"/>
          <w:color w:val="2F2F2F"/>
          <w:sz w:val="24"/>
        </w:rPr>
        <w:t>SECTION 3.03    </w:t>
      </w:r>
      <w:r>
        <w:rPr>
          <w:rFonts w:ascii="Times New Roman;sans-serif" w:hAnsi="Times New Roman;sans-serif"/>
          <w:b w:val="false"/>
          <w:color w:val="2F2F2F"/>
          <w:sz w:val="24"/>
          <w:u w:val="single"/>
        </w:rPr>
        <w:t>Vacation</w:t>
      </w:r>
      <w:r>
        <w:rPr>
          <w:rFonts w:ascii="Times New Roman;sans-serif" w:hAnsi="Times New Roman;sans-serif"/>
          <w:b w:val="false"/>
          <w:color w:val="2F2F2F"/>
          <w:sz w:val="24"/>
        </w:rPr>
        <w:t>. During the term of Executive's employment under this Agreement, Executive shall receive twenty (20) paid vacation days per year, which shall be accrued and taken in accordance with Employer's vacation policy.</w:t>
      </w:r>
    </w:p>
    <w:p>
      <w:pPr>
        <w:pStyle w:val="TextBody"/>
        <w:bidi w:val="0"/>
        <w:spacing w:lineRule="auto" w:line="240" w:before="249" w:after="283"/>
        <w:jc w:val="center"/>
        <w:rPr>
          <w:rFonts w:ascii="Times New Roman;sans-serif" w:hAnsi="Times New Roman;sans-serif"/>
          <w:b w:val="false"/>
          <w:color w:val="2F2F2F"/>
          <w:sz w:val="24"/>
        </w:rPr>
      </w:pPr>
      <w:r>
        <w:rPr>
          <w:rFonts w:ascii="Times New Roman;sans-serif" w:hAnsi="Times New Roman;sans-serif"/>
          <w:b w:val="false"/>
          <w:color w:val="2F2F2F"/>
          <w:sz w:val="24"/>
        </w:rPr>
        <w:t>ARTICLE IV</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val="false"/>
          <w:color w:val="2F2F2F"/>
          <w:sz w:val="24"/>
          <w:u w:val="single"/>
        </w:rPr>
      </w:pPr>
      <w:r>
        <w:rPr>
          <w:rFonts w:ascii="Times New Roman;sans-serif" w:hAnsi="Times New Roman;sans-serif"/>
          <w:b w:val="false"/>
          <w:color w:val="2F2F2F"/>
          <w:sz w:val="24"/>
          <w:u w:val="single"/>
        </w:rPr>
        <w:t>Termination</w:t>
      </w:r>
    </w:p>
    <w:p>
      <w:pPr>
        <w:pStyle w:val="TextBody"/>
        <w:bidi w:val="0"/>
        <w:spacing w:lineRule="auto" w:line="280" w:before="238" w:after="283"/>
        <w:ind w:left="0" w:right="0" w:firstLine="7"/>
        <w:jc w:val="both"/>
        <w:rPr/>
      </w:pPr>
      <w:r>
        <w:rPr>
          <w:rFonts w:ascii="Times New Roman;sans-serif" w:hAnsi="Times New Roman;sans-serif"/>
          <w:b w:val="false"/>
          <w:color w:val="2F2F2F"/>
          <w:sz w:val="24"/>
        </w:rPr>
        <w:t>SECTION 4.01    </w:t>
      </w:r>
      <w:r>
        <w:rPr>
          <w:rFonts w:ascii="Times New Roman;sans-serif" w:hAnsi="Times New Roman;sans-serif"/>
          <w:b w:val="false"/>
          <w:color w:val="464646"/>
          <w:sz w:val="24"/>
          <w:u w:val="single"/>
        </w:rPr>
        <w:t xml:space="preserve">Exclusive </w:t>
      </w:r>
      <w:r>
        <w:rPr>
          <w:rFonts w:ascii="Times New Roman;sans-serif" w:hAnsi="Times New Roman;sans-serif"/>
          <w:b w:val="false"/>
          <w:color w:val="2F2F2F"/>
          <w:sz w:val="24"/>
          <w:u w:val="single"/>
        </w:rPr>
        <w:t>Rights</w:t>
      </w:r>
      <w:r>
        <w:rPr>
          <w:rFonts w:ascii="Times New Roman;sans-serif" w:hAnsi="Times New Roman;sans-serif"/>
          <w:b w:val="false"/>
          <w:color w:val="2F2F2F"/>
          <w:sz w:val="24"/>
        </w:rPr>
        <w:t>. The amounts payable under this Article IV are intended to be, and are, exclusive and in lieu of any other rights or remedies to which Executive may otherwise be entitled, including under common, tort or contract law, under policies of Employer and its affiliates in effect from time to time, under this Agreement or otherwise, in the event of Executive's termination of employment with Employer and its affiliates.</w:t>
      </w:r>
    </w:p>
    <w:p>
      <w:pPr>
        <w:pStyle w:val="TextBody"/>
        <w:bidi w:val="0"/>
        <w:spacing w:lineRule="auto" w:line="280" w:before="231" w:after="283"/>
        <w:ind w:left="0" w:right="0" w:hanging="6"/>
        <w:jc w:val="both"/>
        <w:rPr/>
      </w:pPr>
      <w:r>
        <w:rPr>
          <w:rFonts w:ascii="Times New Roman;sans-serif" w:hAnsi="Times New Roman;sans-serif"/>
          <w:b w:val="false"/>
          <w:color w:val="2F2F2F"/>
          <w:sz w:val="24"/>
        </w:rPr>
        <w:t>SECTION 4.02    </w:t>
      </w:r>
      <w:r>
        <w:rPr>
          <w:rFonts w:ascii="Times New Roman;sans-serif" w:hAnsi="Times New Roman;sans-serif"/>
          <w:b w:val="false"/>
          <w:color w:val="464646"/>
          <w:sz w:val="24"/>
          <w:u w:val="single"/>
        </w:rPr>
        <w:t xml:space="preserve">Termination </w:t>
      </w:r>
      <w:r>
        <w:rPr>
          <w:rFonts w:ascii="Times New Roman;sans-serif" w:hAnsi="Times New Roman;sans-serif"/>
          <w:b w:val="false"/>
          <w:color w:val="2F2F2F"/>
          <w:sz w:val="24"/>
          <w:u w:val="single"/>
        </w:rPr>
        <w:t xml:space="preserve">by </w:t>
      </w:r>
      <w:r>
        <w:rPr>
          <w:rFonts w:ascii="Times New Roman;sans-serif" w:hAnsi="Times New Roman;sans-serif"/>
          <w:b w:val="false"/>
          <w:color w:val="464646"/>
          <w:sz w:val="24"/>
          <w:u w:val="single"/>
        </w:rPr>
        <w:t xml:space="preserve">Employer </w:t>
      </w:r>
      <w:r>
        <w:rPr>
          <w:rFonts w:ascii="Times New Roman;sans-serif" w:hAnsi="Times New Roman;sans-serif"/>
          <w:b w:val="false"/>
          <w:color w:val="2F2F2F"/>
          <w:sz w:val="24"/>
          <w:u w:val="single"/>
        </w:rPr>
        <w:t xml:space="preserve">for </w:t>
      </w:r>
      <w:r>
        <w:rPr>
          <w:rFonts w:ascii="Times New Roman;sans-serif" w:hAnsi="Times New Roman;sans-serif"/>
          <w:b w:val="false"/>
          <w:color w:val="464646"/>
          <w:sz w:val="24"/>
          <w:u w:val="single"/>
        </w:rPr>
        <w:t>Cause</w:t>
      </w:r>
      <w:r>
        <w:rPr>
          <w:rFonts w:ascii="Times New Roman;sans-serif" w:hAnsi="Times New Roman;sans-serif"/>
          <w:b w:val="false"/>
          <w:color w:val="2F2F2F"/>
          <w:sz w:val="24"/>
        </w:rPr>
        <w:t>. (a) If Employer terminates Executive for Cause (as defined below), Executive shall be entitled to receive (i) Base Salary</w:t>
      </w:r>
    </w:p>
    <w:p>
      <w:pPr>
        <w:pStyle w:val="TextBody"/>
        <w:bidi w:val="0"/>
        <w:spacing w:before="65" w:after="283"/>
        <w:ind w:left="0" w:right="0" w:firstLine="14"/>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D2D2D"/>
          <w:sz w:val="24"/>
        </w:rPr>
      </w:pPr>
      <w:r>
        <w:rPr>
          <w:rFonts w:ascii="Times New Roman;sans-serif" w:hAnsi="Times New Roman;sans-serif"/>
          <w:b w:val="false"/>
          <w:color w:val="2D2D2D"/>
          <w:sz w:val="24"/>
        </w:rPr>
        <w:t>earned through the date of termination that remains unpaid as of the date of Executive's termination, (ii) any accrued and unpaid bonus for any previously completed bonus period that Executive is entitled to receive as of the date of termination that remains unpaid as of the date of Executive's termination, (iii) reimbursement for any unreimbursed business expenses properly incurred by Executive prior to the date of Executive's termination to the extent such expenses are reimbursable under Section 3.02 and (iv) such benefits (excluding benefits under any severance plan, program or policy then in effect), if any, to which Executive may be entitled under the Benefit Plans as of the date of Executive's termination, which benefits shall be payable in accordance with the terms of such Benefits Plans (the amounts described in clauses (i) through</w:t>
      </w:r>
    </w:p>
    <w:p>
      <w:pPr>
        <w:pStyle w:val="TextBody"/>
        <w:bidi w:val="0"/>
        <w:spacing w:lineRule="auto" w:line="240" w:before="6" w:after="283"/>
        <w:jc w:val="both"/>
        <w:rPr/>
      </w:pPr>
      <w:r>
        <w:rPr>
          <w:rFonts w:ascii="Times New Roman;sans-serif" w:hAnsi="Times New Roman;sans-serif"/>
          <w:b w:val="false"/>
          <w:color w:val="2D2D2D"/>
          <w:sz w:val="24"/>
        </w:rPr>
        <w:t>(iv) of this Section 4.02(a) being referred to herein as the "</w:t>
      </w:r>
      <w:r>
        <w:rPr>
          <w:rFonts w:ascii="Times New Roman;sans-serif" w:hAnsi="Times New Roman;sans-serif"/>
          <w:b w:val="false"/>
          <w:color w:val="2D2D2D"/>
          <w:sz w:val="24"/>
          <w:u w:val="single"/>
        </w:rPr>
        <w:t>Accrued Rights</w:t>
      </w:r>
      <w:r>
        <w:rPr>
          <w:color w:val="2D2D2D"/>
        </w:rPr>
        <w:t>”</w:t>
      </w:r>
      <w:r>
        <w:rPr>
          <w:rFonts w:ascii="Times New Roman;sans-serif" w:hAnsi="Times New Roman;sans-serif"/>
          <w:b w:val="false"/>
          <w:color w:val="2D2D2D"/>
          <w:sz w:val="24"/>
        </w:rPr>
        <w:t>).</w:t>
      </w:r>
    </w:p>
    <w:p>
      <w:pPr>
        <w:pStyle w:val="TextBody"/>
        <w:bidi w:val="0"/>
        <w:spacing w:lineRule="auto" w:line="276" w:before="243" w:after="283"/>
        <w:ind w:left="0" w:right="0" w:hanging="2164"/>
        <w:jc w:val="both"/>
        <w:rPr/>
      </w:pPr>
      <w:r>
        <w:rPr>
          <w:rFonts w:ascii="Times New Roman;sans-serif" w:hAnsi="Times New Roman;sans-serif"/>
          <w:b w:val="false"/>
          <w:color w:val="2D2D2D"/>
          <w:sz w:val="24"/>
        </w:rPr>
        <w:t>(b)    For purposes of this Agreement, the term "</w:t>
      </w:r>
      <w:r>
        <w:rPr>
          <w:rFonts w:ascii="Times New Roman;sans-serif" w:hAnsi="Times New Roman;sans-serif"/>
          <w:b w:val="false"/>
          <w:color w:val="2D2D2D"/>
          <w:sz w:val="24"/>
          <w:u w:val="single"/>
        </w:rPr>
        <w:t>Cause</w:t>
      </w:r>
      <w:r>
        <w:rPr>
          <w:rFonts w:ascii="Times New Roman;sans-serif" w:hAnsi="Times New Roman;sans-serif"/>
          <w:b w:val="false"/>
          <w:color w:val="2D2D2D"/>
          <w:sz w:val="24"/>
        </w:rPr>
        <w:t>" shall mean Executive's</w:t>
      </w:r>
    </w:p>
    <w:p>
      <w:pPr>
        <w:pStyle w:val="TextBody"/>
        <w:bidi w:val="0"/>
        <w:spacing w:lineRule="auto" w:line="280" w:before="0" w:after="0"/>
        <w:ind w:left="0" w:right="0" w:firstLine="14"/>
        <w:jc w:val="both"/>
        <w:rPr>
          <w:rFonts w:ascii="Times New Roman;sans-serif" w:hAnsi="Times New Roman;sans-serif"/>
          <w:b w:val="false"/>
          <w:color w:val="2D2D2D"/>
          <w:sz w:val="24"/>
        </w:rPr>
      </w:pPr>
      <w:r>
        <w:rPr>
          <w:rFonts w:ascii="Times New Roman;sans-serif" w:hAnsi="Times New Roman;sans-serif"/>
          <w:b w:val="false"/>
          <w:color w:val="2D2D2D"/>
          <w:sz w:val="24"/>
        </w:rPr>
        <w:t>(i) willful failure to perform those duties that Executive is required to perform as an employee under this Agreement, (ii) conviction of, or a plea of guilty or nolo contendere to, a misdemeanor involving moral turpitude, dishonesty, theft, unethical business conduct or conduct that significantly impairs the reputation of Employer or any of its subsidiaries or affiliates or a felony (or the equivalent thereof in a jurisdiction other than the United States), (iii) gross negligence, malfeasance or willful misconduct in connection with Executive's duties hereunder (either by an act of commission or omission) that is significantly injurious to the financial condition or business reputation of Employer or any of its subsidiaries or affiliates, (iv) breach of the provisions of Section 5.03 or 5.04 or (v) a breach of the provisions of Article V (other than Section 5.03 or 5.04) that either (A) is materially damaging to the business or reputation of Employer or any of its affiliates or (B) occurs after Employer has notified Executive of a prior breach of such Article V (other than Section 5.03 or 5.04).</w:t>
      </w:r>
    </w:p>
    <w:p>
      <w:pPr>
        <w:pStyle w:val="TextBody"/>
        <w:bidi w:val="0"/>
        <w:spacing w:lineRule="auto" w:line="280" w:before="220" w:after="283"/>
        <w:ind w:left="0" w:right="0" w:firstLine="11"/>
        <w:jc w:val="both"/>
        <w:rPr/>
      </w:pPr>
      <w:r>
        <w:rPr>
          <w:rFonts w:ascii="Times New Roman;sans-serif" w:hAnsi="Times New Roman;sans-serif"/>
          <w:b w:val="false"/>
          <w:color w:val="2D2D2D"/>
          <w:sz w:val="24"/>
        </w:rPr>
        <w:t>(c)    If Employer desires to terminate Executive's employment for Cause in the case of clauses (i), (ii) and (iii) of Section 4.02(b) and the basis for Cause, by its nature, is capable of being cured, Employer shall first provide Executive with written notice of the applicable event that constitutes the basis for Cause (a "</w:t>
      </w:r>
      <w:r>
        <w:rPr>
          <w:rFonts w:ascii="Times New Roman;sans-serif" w:hAnsi="Times New Roman;sans-serif"/>
          <w:b w:val="false"/>
          <w:color w:val="2D2D2D"/>
          <w:sz w:val="24"/>
          <w:u w:val="single"/>
        </w:rPr>
        <w:t>Cause Notice</w:t>
      </w:r>
      <w:r>
        <w:rPr>
          <w:rFonts w:ascii="Times New Roman;sans-serif" w:hAnsi="Times New Roman;sans-serif"/>
          <w:b w:val="false"/>
          <w:color w:val="2D2D2D"/>
          <w:sz w:val="24"/>
        </w:rPr>
        <w:t>") within ten days of the Board's becoming aware of such event. Such notice shall specifically identify such claimed breach. Executive shall have 15 days following receipt of such Cause Notice (the "</w:t>
      </w:r>
      <w:r>
        <w:rPr>
          <w:rFonts w:ascii="Times New Roman;sans-serif" w:hAnsi="Times New Roman;sans-serif"/>
          <w:b w:val="false"/>
          <w:color w:val="2D2D2D"/>
          <w:sz w:val="24"/>
          <w:u w:val="single"/>
        </w:rPr>
        <w:t xml:space="preserve">Cause </w:t>
      </w:r>
      <w:r>
        <w:rPr>
          <w:rFonts w:ascii="Times New Roman;sans-serif" w:hAnsi="Times New Roman;sans-serif"/>
          <w:b w:val="false"/>
          <w:color w:val="424242"/>
          <w:sz w:val="24"/>
          <w:u w:val="single"/>
        </w:rPr>
        <w:t>Cure</w:t>
      </w:r>
      <w:r>
        <w:rPr>
          <w:color w:val="424242"/>
        </w:rPr>
        <w:t xml:space="preserve"> </w:t>
      </w:r>
      <w:r>
        <w:rPr>
          <w:rFonts w:ascii="Times New Roman;sans-serif" w:hAnsi="Times New Roman;sans-serif"/>
          <w:b w:val="false"/>
          <w:color w:val="2D2D2D"/>
          <w:sz w:val="24"/>
          <w:u w:val="single"/>
        </w:rPr>
        <w:t>Period</w:t>
      </w:r>
      <w:r>
        <w:rPr>
          <w:rFonts w:ascii="Times New Roman;sans-serif" w:hAnsi="Times New Roman;sans-serif"/>
          <w:b w:val="false"/>
          <w:color w:val="2D2D2D"/>
          <w:sz w:val="24"/>
        </w:rPr>
        <w:t>") to cure such basis for Cause, and Employer shall be entitled at the end of such Cause Cure Period to terminate Executive's employment under this Agreement for Cause, provided, however, that, if such breach is cured within the Cause Cure Period or if Employer does not terminate Executive's employment with Employer within ten days after the end of the Cause Cure Period, Employer's termination of Executive's employment shall not be deemed to be a termination for Cause.</w:t>
      </w:r>
    </w:p>
    <w:p>
      <w:pPr>
        <w:pStyle w:val="TextBody"/>
        <w:bidi w:val="0"/>
        <w:spacing w:lineRule="auto" w:line="280" w:before="226" w:after="283"/>
        <w:ind w:left="0" w:right="0" w:firstLine="11"/>
        <w:jc w:val="both"/>
        <w:rPr/>
      </w:pPr>
      <w:r>
        <w:rPr>
          <w:rFonts w:ascii="Times New Roman;sans-serif" w:hAnsi="Times New Roman;sans-serif"/>
          <w:b w:val="false"/>
          <w:color w:val="2D2D2D"/>
          <w:sz w:val="24"/>
        </w:rPr>
        <w:t>SECTION 4.03    </w:t>
      </w:r>
      <w:r>
        <w:rPr>
          <w:rFonts w:ascii="Times New Roman;sans-serif" w:hAnsi="Times New Roman;sans-serif"/>
          <w:b w:val="false"/>
          <w:color w:val="424242"/>
          <w:sz w:val="24"/>
          <w:u w:val="single"/>
        </w:rPr>
        <w:t xml:space="preserve">Termination </w:t>
      </w:r>
      <w:r>
        <w:rPr>
          <w:rFonts w:ascii="Times New Roman;sans-serif" w:hAnsi="Times New Roman;sans-serif"/>
          <w:b w:val="false"/>
          <w:color w:val="2D2D2D"/>
          <w:sz w:val="24"/>
          <w:u w:val="single"/>
        </w:rPr>
        <w:t xml:space="preserve">by </w:t>
      </w:r>
      <w:r>
        <w:rPr>
          <w:rFonts w:ascii="Times New Roman;sans-serif" w:hAnsi="Times New Roman;sans-serif"/>
          <w:b w:val="false"/>
          <w:color w:val="424242"/>
          <w:sz w:val="24"/>
          <w:u w:val="single"/>
        </w:rPr>
        <w:t xml:space="preserve">Employer </w:t>
      </w:r>
      <w:r>
        <w:rPr>
          <w:rFonts w:ascii="Times New Roman;sans-serif" w:hAnsi="Times New Roman;sans-serif"/>
          <w:b w:val="false"/>
          <w:color w:val="2D2D2D"/>
          <w:sz w:val="24"/>
          <w:u w:val="single"/>
        </w:rPr>
        <w:t xml:space="preserve">Other </w:t>
      </w:r>
      <w:r>
        <w:rPr>
          <w:rFonts w:ascii="Times New Roman;sans-serif" w:hAnsi="Times New Roman;sans-serif"/>
          <w:b w:val="false"/>
          <w:color w:val="424242"/>
          <w:sz w:val="24"/>
          <w:u w:val="single"/>
        </w:rPr>
        <w:t xml:space="preserve">Than for Cause, </w:t>
      </w:r>
      <w:r>
        <w:rPr>
          <w:rFonts w:ascii="Times New Roman;sans-serif" w:hAnsi="Times New Roman;sans-serif"/>
          <w:b w:val="false"/>
          <w:color w:val="2D2D2D"/>
          <w:sz w:val="24"/>
          <w:u w:val="single"/>
        </w:rPr>
        <w:t>Disability or Death;</w:t>
      </w:r>
      <w:r>
        <w:rPr>
          <w:color w:val="2D2D2D"/>
        </w:rPr>
        <w:t xml:space="preserve"> </w:t>
      </w:r>
      <w:r>
        <w:rPr>
          <w:rFonts w:ascii="Times New Roman;sans-serif" w:hAnsi="Times New Roman;sans-serif"/>
          <w:b w:val="false"/>
          <w:color w:val="424242"/>
          <w:sz w:val="24"/>
          <w:u w:val="single"/>
        </w:rPr>
        <w:t xml:space="preserve">Termination </w:t>
      </w:r>
      <w:r>
        <w:rPr>
          <w:rFonts w:ascii="Times New Roman;sans-serif" w:hAnsi="Times New Roman;sans-serif"/>
          <w:b w:val="false"/>
          <w:color w:val="2D2D2D"/>
          <w:sz w:val="24"/>
          <w:u w:val="single"/>
        </w:rPr>
        <w:t xml:space="preserve">by </w:t>
      </w:r>
      <w:r>
        <w:rPr>
          <w:rFonts w:ascii="Times New Roman;sans-serif" w:hAnsi="Times New Roman;sans-serif"/>
          <w:b w:val="false"/>
          <w:color w:val="424242"/>
          <w:sz w:val="24"/>
          <w:u w:val="single"/>
        </w:rPr>
        <w:t xml:space="preserve">Executive for </w:t>
      </w:r>
      <w:r>
        <w:rPr>
          <w:rFonts w:ascii="Times New Roman;sans-serif" w:hAnsi="Times New Roman;sans-serif"/>
          <w:b w:val="false"/>
          <w:color w:val="2D2D2D"/>
          <w:sz w:val="24"/>
          <w:u w:val="single"/>
        </w:rPr>
        <w:t>Good Reason</w:t>
      </w:r>
      <w:r>
        <w:rPr>
          <w:rFonts w:ascii="Times New Roman;sans-serif" w:hAnsi="Times New Roman;sans-serif"/>
          <w:b w:val="false"/>
          <w:color w:val="2D2D2D"/>
          <w:sz w:val="24"/>
        </w:rPr>
        <w:t>. (a) If Employer elects to terminate Executive's employment for any reason other than Cause, Disability (as defined below) or death or if Executive elects to terminate Executive's employment with Employer for Good Reason (as defined below), (i) Employer shall continue to pay Executive's Base Salary through the period of time ending nine (9) months after the date of Executive's termination of employment, payable in installments at the same times at which and in the same manner in which such Base Salary would have been payable to Executive had a termination of employment not occurred, (ii) Executive shall be entitled to receive an amount equal to (A) the product of (1) Executive's target bonus for</w:t>
      </w:r>
    </w:p>
    <w:p>
      <w:pPr>
        <w:pStyle w:val="TextBody"/>
        <w:bidi w:val="0"/>
        <w:spacing w:before="71" w:after="283"/>
        <w:ind w:left="0" w:right="0" w:firstLine="14"/>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D2D2D"/>
          <w:sz w:val="24"/>
        </w:rPr>
      </w:pPr>
      <w:r>
        <w:rPr>
          <w:rFonts w:ascii="Times New Roman;sans-serif" w:hAnsi="Times New Roman;sans-serif"/>
          <w:b w:val="false"/>
          <w:color w:val="2D2D2D"/>
          <w:sz w:val="24"/>
        </w:rPr>
        <w:t>the calendar year in which Executive's termination of employment hereunder occurs and (2) a fraction equal to (I) the number of days elapsed in such calendar year prior to Executive's termination of employment hereunder, divided by (II) 365, less (B) any bonus for such calendar year paid to Executive (1) prior to Executive's termination of employment with Employer or (2) pursuant to clause (ii) of the definition of Accrued Rights set forth above, payable in equal installments during the nine-month period following such termination of employment at the same times as Employer's payroll applicable to the other employees of Employer is paid, and (iii) Executive shall be entitled to the Accrued Rights; provided, however, that, in the case of clauses</w:t>
      </w:r>
    </w:p>
    <w:p>
      <w:pPr>
        <w:pStyle w:val="TextBody"/>
        <w:bidi w:val="0"/>
        <w:spacing w:lineRule="auto" w:line="240" w:before="2" w:after="283"/>
        <w:ind w:left="0" w:right="0" w:firstLine="27"/>
        <w:jc w:val="both"/>
        <w:rPr/>
      </w:pPr>
      <w:r>
        <w:rPr>
          <w:rFonts w:ascii="Times New Roman;sans-serif" w:hAnsi="Times New Roman;sans-serif"/>
          <w:b w:val="false"/>
          <w:color w:val="2D2D2D"/>
          <w:sz w:val="24"/>
        </w:rPr>
        <w:t>(i) and (ii), Employer shall not be obligated to (x) commence such payments until such time as Executive has provided a general release in favor of Employer its subsidiaries and affiliates, and its respective directors, officers, employees, agents and representatives in form and substance acceptable to Employer and such general release has become effective and irrevocable (such date, the "</w:t>
      </w:r>
      <w:r>
        <w:rPr>
          <w:rFonts w:ascii="Times New Roman;sans-serif" w:hAnsi="Times New Roman;sans-serif"/>
          <w:b w:val="false"/>
          <w:color w:val="2D2D2D"/>
          <w:sz w:val="24"/>
          <w:u w:val="single"/>
        </w:rPr>
        <w:t xml:space="preserve">Release </w:t>
      </w:r>
      <w:r>
        <w:rPr>
          <w:rFonts w:ascii="Times New Roman;sans-serif" w:hAnsi="Times New Roman;sans-serif"/>
          <w:b w:val="false"/>
          <w:color w:val="424242"/>
          <w:sz w:val="24"/>
          <w:u w:val="single"/>
        </w:rPr>
        <w:t xml:space="preserve">Effective </w:t>
      </w:r>
      <w:r>
        <w:rPr>
          <w:rFonts w:ascii="Times New Roman;sans-serif" w:hAnsi="Times New Roman;sans-serif"/>
          <w:b w:val="false"/>
          <w:color w:val="2D2D2D"/>
          <w:sz w:val="24"/>
          <w:u w:val="single"/>
        </w:rPr>
        <w:t>Date</w:t>
      </w:r>
      <w:r>
        <w:rPr>
          <w:rFonts w:ascii="Times New Roman;sans-serif" w:hAnsi="Times New Roman;sans-serif"/>
          <w:b w:val="false"/>
          <w:color w:val="2D2D2D"/>
          <w:sz w:val="24"/>
        </w:rPr>
        <w:t xml:space="preserve">"), except that any payments that would have otherwise been paid to Executive following the date of the termination of employment and prior to the Release Effective Date shall be accumulated and paid to Executive in a lump sum on the first payment date following the Release Effective Date, and (y) continue such payments at any time following a breach of the provisions of Section 5.03 or 5.04 or a breach of the provisions of Article V (other than Section 5.03 or 5.04) that either (A) is materially damaging to the business or reputation of Employer or any of its affiliates or (B) occurs after Employer has notified Executive of a prior breach of such Article V (other than Section 5.03 or 5.04); </w:t>
      </w:r>
      <w:r>
        <w:rPr>
          <w:rFonts w:ascii="Times New Roman;sans-serif" w:hAnsi="Times New Roman;sans-serif"/>
          <w:b w:val="false"/>
          <w:color w:val="2D2D2D"/>
          <w:sz w:val="24"/>
          <w:u w:val="single"/>
        </w:rPr>
        <w:t>provided</w:t>
      </w:r>
      <w:r>
        <w:rPr>
          <w:rFonts w:ascii="Times New Roman;sans-serif" w:hAnsi="Times New Roman;sans-serif"/>
          <w:b w:val="false"/>
          <w:color w:val="2D2D2D"/>
          <w:sz w:val="24"/>
        </w:rPr>
        <w:t>, further, that if the Release Effective Date does not occur within sixty (60) days of the date of termination of employment, Employer shall not be obligated to make payments under clauses (i) and (ii) above.</w:t>
      </w:r>
    </w:p>
    <w:p>
      <w:pPr>
        <w:pStyle w:val="TextBody"/>
        <w:bidi w:val="0"/>
        <w:spacing w:lineRule="auto" w:line="240" w:before="258" w:after="283"/>
        <w:ind w:left="0" w:right="0" w:hanging="2174"/>
        <w:jc w:val="both"/>
        <w:rPr/>
      </w:pPr>
      <w:r>
        <w:rPr>
          <w:rFonts w:ascii="Times New Roman;sans-serif" w:hAnsi="Times New Roman;sans-serif"/>
          <w:b w:val="false"/>
          <w:color w:val="2D2D2D"/>
          <w:sz w:val="24"/>
        </w:rPr>
        <w:t>(b)    For purposes of this Agreement, the term "</w:t>
      </w:r>
      <w:r>
        <w:rPr>
          <w:rFonts w:ascii="Times New Roman;sans-serif" w:hAnsi="Times New Roman;sans-serif"/>
          <w:b w:val="false"/>
          <w:color w:val="2D2D2D"/>
          <w:sz w:val="24"/>
          <w:u w:val="single"/>
        </w:rPr>
        <w:t>Good Reason</w:t>
      </w:r>
      <w:r>
        <w:rPr>
          <w:rFonts w:ascii="Times New Roman;sans-serif" w:hAnsi="Times New Roman;sans-serif"/>
          <w:b w:val="false"/>
          <w:color w:val="2D2D2D"/>
          <w:sz w:val="24"/>
        </w:rPr>
        <w:t>" shall mean: (i)</w:t>
      </w:r>
    </w:p>
    <w:p>
      <w:pPr>
        <w:pStyle w:val="TextBody"/>
        <w:bidi w:val="0"/>
        <w:spacing w:lineRule="auto" w:line="280" w:before="3" w:after="283"/>
        <w:ind w:left="0" w:right="0" w:firstLine="6"/>
        <w:jc w:val="both"/>
        <w:rPr>
          <w:rFonts w:ascii="Times New Roman;sans-serif" w:hAnsi="Times New Roman;sans-serif"/>
          <w:b w:val="false"/>
          <w:color w:val="2D2D2D"/>
          <w:sz w:val="24"/>
        </w:rPr>
      </w:pPr>
      <w:r>
        <w:rPr>
          <w:rFonts w:ascii="Times New Roman;sans-serif" w:hAnsi="Times New Roman;sans-serif"/>
          <w:b w:val="false"/>
          <w:color w:val="2D2D2D"/>
          <w:sz w:val="24"/>
        </w:rPr>
        <w:t>(A) the assignment to Executive of any duties inconsistent in any material adverse respect with the Executive's authority, duties or responsibilities as contemplated by Section 1.02 or (B) a reduction in Executive's title; (ii) any material breach by Employer of any material provisions of this Agreement; (iii) any reduction in Executive's Base Salary; (iv) a material reduction in employee benefits, other than a change which results from an amendment or alteration of Employer's Benefit Plans that affects its salaried employees generally; or (vi) in the event of a transfer (for consideration or otherwise) of substantially all of the business operations of Employer, this Agreement is not assigned pursuant to Section 6.01.</w:t>
      </w:r>
    </w:p>
    <w:p>
      <w:pPr>
        <w:pStyle w:val="TextBody"/>
        <w:bidi w:val="0"/>
        <w:spacing w:lineRule="auto" w:line="280" w:before="231" w:after="283"/>
        <w:ind w:left="0" w:right="0" w:firstLine="11"/>
        <w:jc w:val="both"/>
        <w:rPr/>
      </w:pPr>
      <w:r>
        <w:rPr>
          <w:rFonts w:ascii="Times New Roman;sans-serif" w:hAnsi="Times New Roman;sans-serif"/>
          <w:b w:val="false"/>
          <w:color w:val="2D2D2D"/>
          <w:sz w:val="24"/>
        </w:rPr>
        <w:t>(c)    Executive shall provide Employer with written notice of the applicable event that constitutes the basis for Good Reason within ten (10) days of such event. Such notice shall specifically identify such claimed breach and shall inform Employer what must be done to cure such breach. If Employer fails to cure such basis for Good Reason within thirty (30) calendar days after the receipt of such notice (the "</w:t>
      </w:r>
      <w:r>
        <w:rPr>
          <w:rFonts w:ascii="Times New Roman;sans-serif" w:hAnsi="Times New Roman;sans-serif"/>
          <w:b w:val="false"/>
          <w:color w:val="2D2D2D"/>
          <w:sz w:val="24"/>
          <w:u w:val="single"/>
        </w:rPr>
        <w:t xml:space="preserve">Good Reason </w:t>
      </w:r>
      <w:r>
        <w:rPr>
          <w:rFonts w:ascii="Times New Roman;sans-serif" w:hAnsi="Times New Roman;sans-serif"/>
          <w:b w:val="false"/>
          <w:color w:val="424242"/>
          <w:sz w:val="24"/>
          <w:u w:val="single"/>
        </w:rPr>
        <w:t xml:space="preserve">Cure </w:t>
      </w:r>
      <w:r>
        <w:rPr>
          <w:rFonts w:ascii="Times New Roman;sans-serif" w:hAnsi="Times New Roman;sans-serif"/>
          <w:b w:val="false"/>
          <w:color w:val="2D2D2D"/>
          <w:sz w:val="24"/>
          <w:u w:val="single"/>
        </w:rPr>
        <w:t>Period</w:t>
      </w:r>
      <w:r>
        <w:rPr>
          <w:rFonts w:ascii="Times New Roman;sans-serif" w:hAnsi="Times New Roman;sans-serif"/>
          <w:b w:val="false"/>
          <w:color w:val="2D2D2D"/>
          <w:sz w:val="24"/>
        </w:rPr>
        <w:t xml:space="preserve">"), Executive shall be entitled at the end of the Good Reason Cure Period to terminate Executive's employment under this Agreement for Good Reason, whereupon Executive shall provide written notice of such termination to Employer. Notwithstanding the foregoing, if such breach is cured within such thirty (30) day period or if Executive does not terminate Executive's employment with </w:t>
      </w:r>
      <w:r>
        <w:rPr>
          <w:rFonts w:ascii="Times New Roman;sans-serif" w:hAnsi="Times New Roman;sans-serif"/>
          <w:b w:val="false"/>
          <w:color w:val="424242"/>
          <w:sz w:val="24"/>
        </w:rPr>
        <w:t xml:space="preserve">Employer </w:t>
      </w:r>
      <w:r>
        <w:rPr>
          <w:rFonts w:ascii="Times New Roman;sans-serif" w:hAnsi="Times New Roman;sans-serif"/>
          <w:b w:val="false"/>
          <w:color w:val="2D2D2D"/>
          <w:sz w:val="24"/>
        </w:rPr>
        <w:t xml:space="preserve">within ten days after the end of the Good Reason Cure Period, any termination </w:t>
      </w:r>
      <w:r>
        <w:rPr>
          <w:rFonts w:ascii="Times New Roman;sans-serif" w:hAnsi="Times New Roman;sans-serif"/>
          <w:b w:val="false"/>
          <w:color w:val="424242"/>
          <w:sz w:val="24"/>
        </w:rPr>
        <w:t xml:space="preserve">of </w:t>
      </w:r>
      <w:r>
        <w:rPr>
          <w:rFonts w:ascii="Times New Roman;sans-serif" w:hAnsi="Times New Roman;sans-serif"/>
          <w:b w:val="false"/>
          <w:color w:val="2D2D2D"/>
          <w:sz w:val="24"/>
        </w:rPr>
        <w:t>employment by Executive shall not be deemed to be a termination for Good Reason.</w:t>
      </w:r>
    </w:p>
    <w:p>
      <w:pPr>
        <w:pStyle w:val="TextBody"/>
        <w:bidi w:val="0"/>
        <w:spacing w:before="71" w:after="283"/>
        <w:ind w:left="0" w:right="0" w:firstLine="11"/>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282828"/>
          <w:sz w:val="24"/>
        </w:rPr>
        <w:t>SECTION 4.04    </w:t>
      </w:r>
      <w:r>
        <w:rPr>
          <w:rFonts w:ascii="Times New Roman;sans-serif" w:hAnsi="Times New Roman;sans-serif"/>
          <w:b w:val="false"/>
          <w:color w:val="282828"/>
          <w:sz w:val="24"/>
          <w:u w:val="single"/>
        </w:rPr>
        <w:t>Termination for Disability or Death</w:t>
      </w:r>
      <w:r>
        <w:rPr>
          <w:rFonts w:ascii="Times New Roman;sans-serif" w:hAnsi="Times New Roman;sans-serif"/>
          <w:b w:val="false"/>
          <w:color w:val="282828"/>
          <w:sz w:val="24"/>
        </w:rPr>
        <w:t>. Executive's employment shall terminate automatically upon Executive's death. Employer may terminate Executive's employment upon the occurrence of Executive's Disability. In the event of Executive's termination due to death or Disability, Executive, or Executive's estate, as the case may be, shall be entitled to receive the Accrued Rights. For purposes of this Agreement, the term "Disability" shall mean (a) the inability of Executive, due to illness, accident or any other physical or mental incapacity, to perform Executive's duties in a normal manner for a period of one hundred twenty</w:t>
      </w:r>
    </w:p>
    <w:p>
      <w:pPr>
        <w:pStyle w:val="TextBody"/>
        <w:bidi w:val="0"/>
        <w:spacing w:lineRule="auto" w:line="280" w:before="0" w:after="0"/>
        <w:ind w:left="0" w:right="0" w:firstLine="11"/>
        <w:jc w:val="both"/>
        <w:rPr>
          <w:rFonts w:ascii="Times New Roman;sans-serif" w:hAnsi="Times New Roman;sans-serif"/>
          <w:b w:val="false"/>
          <w:color w:val="282828"/>
          <w:sz w:val="24"/>
        </w:rPr>
      </w:pPr>
      <w:r>
        <w:rPr>
          <w:rFonts w:ascii="Times New Roman;sans-serif" w:hAnsi="Times New Roman;sans-serif"/>
          <w:b w:val="false"/>
          <w:color w:val="282828"/>
          <w:sz w:val="24"/>
        </w:rPr>
        <w:t>(120) days (whether or not consecutive) in any twelve (12) month period during the term of Executive's employment under this Agreement or (b) the Executive's being accepted for long term disability benefits under any long-term disability plan in which he is then participating. The Board shall determine, according to the facts then available, whether and when the Disability of Executive has occurred. Such determination shall not be arbitrary or unreasonable and the Board will take into consideration the expert medical opinion of a physician chosen by Employer, after such physician has completed an examination of Executive. Executive agrees to make himself available for such examination upon the reasonable request of Employer.</w:t>
      </w:r>
    </w:p>
    <w:p>
      <w:pPr>
        <w:pStyle w:val="TextBody"/>
        <w:bidi w:val="0"/>
        <w:spacing w:lineRule="auto" w:line="240" w:before="226" w:after="283"/>
        <w:ind w:left="0" w:right="0" w:firstLine="6"/>
        <w:jc w:val="both"/>
        <w:rPr/>
      </w:pPr>
      <w:r>
        <w:rPr>
          <w:rFonts w:ascii="Times New Roman;sans-serif" w:hAnsi="Times New Roman;sans-serif"/>
          <w:b w:val="false"/>
          <w:color w:val="282828"/>
          <w:sz w:val="24"/>
        </w:rPr>
        <w:t>SECTION 4.05    </w:t>
      </w:r>
      <w:r>
        <w:rPr>
          <w:rFonts w:ascii="Times New Roman;sans-serif" w:hAnsi="Times New Roman;sans-serif"/>
          <w:b w:val="false"/>
          <w:color w:val="3B3B3B"/>
          <w:sz w:val="24"/>
          <w:u w:val="single"/>
        </w:rPr>
        <w:t xml:space="preserve">Termination of Employment </w:t>
      </w:r>
      <w:r>
        <w:rPr>
          <w:rFonts w:ascii="Times New Roman;sans-serif" w:hAnsi="Times New Roman;sans-serif"/>
          <w:b w:val="false"/>
          <w:color w:val="282828"/>
          <w:sz w:val="24"/>
          <w:u w:val="single"/>
        </w:rPr>
        <w:t xml:space="preserve">by </w:t>
      </w:r>
      <w:r>
        <w:rPr>
          <w:rFonts w:ascii="Times New Roman;sans-serif" w:hAnsi="Times New Roman;sans-serif"/>
          <w:b w:val="false"/>
          <w:color w:val="3B3B3B"/>
          <w:sz w:val="24"/>
          <w:u w:val="single"/>
        </w:rPr>
        <w:t xml:space="preserve">Executive </w:t>
      </w:r>
      <w:r>
        <w:rPr>
          <w:rFonts w:ascii="Times New Roman;sans-serif" w:hAnsi="Times New Roman;sans-serif"/>
          <w:b w:val="false"/>
          <w:color w:val="282828"/>
          <w:sz w:val="24"/>
          <w:u w:val="single"/>
        </w:rPr>
        <w:t xml:space="preserve">Without </w:t>
      </w:r>
      <w:r>
        <w:rPr>
          <w:rFonts w:ascii="Times New Roman;sans-serif" w:hAnsi="Times New Roman;sans-serif"/>
          <w:b w:val="false"/>
          <w:color w:val="3B3B3B"/>
          <w:sz w:val="24"/>
          <w:u w:val="single"/>
        </w:rPr>
        <w:t>Good Reason</w:t>
      </w:r>
      <w:r>
        <w:rPr>
          <w:rFonts w:ascii="Times New Roman;sans-serif" w:hAnsi="Times New Roman;sans-serif"/>
          <w:b w:val="false"/>
          <w:color w:val="3B3B3B"/>
          <w:sz w:val="24"/>
        </w:rPr>
        <w:t xml:space="preserve">. </w:t>
      </w:r>
      <w:r>
        <w:rPr>
          <w:rFonts w:ascii="Times New Roman;sans-serif" w:hAnsi="Times New Roman;sans-serif"/>
          <w:b w:val="false"/>
          <w:color w:val="282828"/>
          <w:sz w:val="24"/>
        </w:rPr>
        <w:t>If Executive terminates Executive's employment with Employer for any reason other than for Good Reason, Executive shall provide written notice to Employer at least sixty (60) days prior to the effective date of Executive's resignation from employment and Executive shall be entitled to receive the Accrued Rights.</w:t>
      </w:r>
    </w:p>
    <w:p>
      <w:pPr>
        <w:pStyle w:val="TextBody"/>
        <w:bidi w:val="0"/>
        <w:spacing w:lineRule="auto" w:line="240" w:before="249" w:after="283"/>
        <w:jc w:val="center"/>
        <w:rPr>
          <w:rFonts w:ascii="Times New Roman;sans-serif" w:hAnsi="Times New Roman;sans-serif"/>
          <w:b w:val="false"/>
          <w:color w:val="282828"/>
          <w:sz w:val="24"/>
        </w:rPr>
      </w:pPr>
      <w:r>
        <w:rPr>
          <w:rFonts w:ascii="Times New Roman;sans-serif" w:hAnsi="Times New Roman;sans-serif"/>
          <w:b w:val="false"/>
          <w:color w:val="282828"/>
          <w:sz w:val="24"/>
        </w:rPr>
        <w:t>ARTICLE V</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val="false"/>
          <w:color w:val="282828"/>
          <w:sz w:val="24"/>
          <w:u w:val="single"/>
        </w:rPr>
      </w:pPr>
      <w:r>
        <w:rPr>
          <w:rFonts w:ascii="Times New Roman;sans-serif" w:hAnsi="Times New Roman;sans-serif"/>
          <w:b w:val="false"/>
          <w:color w:val="282828"/>
          <w:sz w:val="24"/>
          <w:u w:val="single"/>
        </w:rPr>
        <w:t>Executive Covenants</w:t>
      </w:r>
    </w:p>
    <w:p>
      <w:pPr>
        <w:pStyle w:val="TextBody"/>
        <w:bidi w:val="0"/>
        <w:spacing w:lineRule="auto" w:line="280" w:before="239" w:after="283"/>
        <w:ind w:left="0" w:right="0" w:firstLine="22"/>
        <w:jc w:val="both"/>
        <w:rPr/>
      </w:pPr>
      <w:r>
        <w:rPr>
          <w:rFonts w:ascii="Times New Roman;sans-serif" w:hAnsi="Times New Roman;sans-serif"/>
          <w:b w:val="false"/>
          <w:color w:val="282828"/>
          <w:sz w:val="24"/>
        </w:rPr>
        <w:t>SECTION 5.01    </w:t>
      </w:r>
      <w:r>
        <w:rPr>
          <w:rFonts w:ascii="Times New Roman;sans-serif" w:hAnsi="Times New Roman;sans-serif"/>
          <w:b w:val="false"/>
          <w:color w:val="3B3B3B"/>
          <w:sz w:val="24"/>
          <w:u w:val="single"/>
        </w:rPr>
        <w:t>Employer Intere</w:t>
      </w:r>
      <w:r>
        <w:rPr>
          <w:rFonts w:ascii="Times New Roman;sans-serif" w:hAnsi="Times New Roman;sans-serif"/>
          <w:b w:val="false"/>
          <w:color w:val="282828"/>
          <w:sz w:val="24"/>
          <w:u w:val="single"/>
        </w:rPr>
        <w:t>sts</w:t>
      </w:r>
      <w:r>
        <w:rPr>
          <w:rFonts w:ascii="Times New Roman;sans-serif" w:hAnsi="Times New Roman;sans-serif"/>
          <w:b w:val="false"/>
          <w:color w:val="282828"/>
          <w:sz w:val="24"/>
        </w:rPr>
        <w:t>. (a) Executive acknowledges that Employer has expended substantial amounts of time, money and effort to develop business strategies, customer relationships, employee relationships, trade secrets and goodwill and to build an effective organization and that Employer has a legitimate business interest and right in protecting those assets as well as any similar assets that Employer may develop or obtain. Executive acknowledges that Employer is entitled to protect and preserve the going concern value of Employer and its business and trade secrets to the extent permitted by law. Executive acknowledges that Employer's business is worldwide in nature and international in scope. Executive acknowledges and agrees that the restrictions imposed upon Executive under this Agreement are reasonable and necessary for the protection of Employer's goodwill, confidential information, trade secrets and customer relationships and that the restrictions set forth in this Agreement will not prevent Executive from earning a livelihood without violating any provision of this Agreement.</w:t>
      </w:r>
    </w:p>
    <w:p>
      <w:pPr>
        <w:pStyle w:val="TextBody"/>
        <w:bidi w:val="0"/>
        <w:spacing w:lineRule="auto" w:line="276" w:before="233" w:after="283"/>
        <w:ind w:left="0" w:right="0" w:firstLine="1"/>
        <w:jc w:val="left"/>
        <w:rPr>
          <w:rFonts w:ascii="Times New Roman;sans-serif" w:hAnsi="Times New Roman;sans-serif"/>
          <w:b w:val="false"/>
          <w:color w:val="282828"/>
          <w:sz w:val="24"/>
        </w:rPr>
      </w:pPr>
      <w:r>
        <w:rPr>
          <w:rFonts w:ascii="Times New Roman;sans-serif" w:hAnsi="Times New Roman;sans-serif"/>
          <w:b w:val="false"/>
          <w:color w:val="282828"/>
          <w:sz w:val="24"/>
        </w:rPr>
        <w:t>(b)    As used in this Article V, the term "Employer" includes Employer's subsidiaries and affiliates, and its and their predecessors, successors and assigns.</w:t>
      </w:r>
    </w:p>
    <w:p>
      <w:pPr>
        <w:pStyle w:val="TextBody"/>
        <w:bidi w:val="0"/>
        <w:spacing w:lineRule="auto" w:line="240" w:before="244" w:after="283"/>
        <w:ind w:left="0" w:right="0" w:firstLine="3"/>
        <w:jc w:val="both"/>
        <w:rPr/>
      </w:pPr>
      <w:r>
        <w:rPr>
          <w:rFonts w:ascii="Times New Roman;sans-serif" w:hAnsi="Times New Roman;sans-serif"/>
          <w:b w:val="false"/>
          <w:color w:val="282828"/>
          <w:sz w:val="24"/>
        </w:rPr>
        <w:t>SECTION 5.02    </w:t>
      </w:r>
      <w:r>
        <w:rPr>
          <w:rFonts w:ascii="Times New Roman;sans-serif" w:hAnsi="Times New Roman;sans-serif"/>
          <w:b w:val="false"/>
          <w:color w:val="282828"/>
          <w:sz w:val="24"/>
          <w:u w:val="single"/>
        </w:rPr>
        <w:t>Consideration to Executive</w:t>
      </w:r>
      <w:r>
        <w:rPr>
          <w:rFonts w:ascii="Times New Roman;sans-serif" w:hAnsi="Times New Roman;sans-serif"/>
          <w:b w:val="false"/>
          <w:color w:val="282828"/>
          <w:sz w:val="24"/>
        </w:rPr>
        <w:t>. In consideration of Employer's entering into this Agreement and Employer's obligations hereunder and other good and valuable consideration, the receipt of which is hereby acknowledged, and acknowledging hereby that Employer would not have entered into this Agreement without the covenants contained in this</w:t>
      </w:r>
    </w:p>
    <w:p>
      <w:pPr>
        <w:pStyle w:val="TextBody"/>
        <w:bidi w:val="0"/>
        <w:spacing w:before="60" w:after="283"/>
        <w:ind w:left="0" w:right="0" w:firstLine="4"/>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F2F2F"/>
          <w:sz w:val="24"/>
        </w:rPr>
      </w:pPr>
      <w:r>
        <w:rPr>
          <w:rFonts w:ascii="Times New Roman;sans-serif" w:hAnsi="Times New Roman;sans-serif"/>
          <w:b w:val="false"/>
          <w:color w:val="2F2F2F"/>
          <w:sz w:val="24"/>
        </w:rPr>
        <w:t>Article V, Executive hereby agrees to be bound by the provisions and covenants contained in this Article V.</w:t>
      </w:r>
    </w:p>
    <w:p>
      <w:pPr>
        <w:pStyle w:val="TextBody"/>
        <w:bidi w:val="0"/>
        <w:spacing w:lineRule="auto" w:line="240" w:before="236" w:after="283"/>
        <w:ind w:left="0" w:right="0" w:firstLine="11"/>
        <w:jc w:val="both"/>
        <w:rPr/>
      </w:pPr>
      <w:r>
        <w:rPr>
          <w:rFonts w:ascii="Times New Roman;sans-serif" w:hAnsi="Times New Roman;sans-serif"/>
          <w:b w:val="false"/>
          <w:color w:val="2F2F2F"/>
          <w:sz w:val="24"/>
        </w:rPr>
        <w:t>SECTION 5.03    </w:t>
      </w:r>
      <w:r>
        <w:rPr>
          <w:rFonts w:ascii="Times New Roman;sans-serif" w:hAnsi="Times New Roman;sans-serif"/>
          <w:b w:val="false"/>
          <w:color w:val="2F2F2F"/>
          <w:sz w:val="24"/>
          <w:u w:val="single"/>
        </w:rPr>
        <w:t>Non-Solicitation</w:t>
      </w:r>
      <w:r>
        <w:rPr>
          <w:rFonts w:ascii="Times New Roman;sans-serif" w:hAnsi="Times New Roman;sans-serif"/>
          <w:b w:val="false"/>
          <w:color w:val="2F2F2F"/>
          <w:sz w:val="24"/>
        </w:rPr>
        <w:t>. Executive agrees that, for the period commencing on the date hereof and terminating two (2) years after the date of Executive's termination of employment with Employer, Executive shall not, and shall cause each of Executive's affiliates (other than Employer) not to, directly or indirectly: (a) solicit any person or entity that is or was a sending agent, paying agent or otherwise a customer (or prospective customer) of Employer to</w:t>
      </w:r>
    </w:p>
    <w:p>
      <w:pPr>
        <w:pStyle w:val="TextBody"/>
        <w:bidi w:val="0"/>
        <w:spacing w:lineRule="auto" w:line="240" w:before="4" w:after="283"/>
        <w:ind w:left="0" w:right="0" w:firstLine="18"/>
        <w:jc w:val="both"/>
        <w:rPr>
          <w:rFonts w:ascii="Times New Roman;sans-serif" w:hAnsi="Times New Roman;sans-serif"/>
          <w:b w:val="false"/>
          <w:color w:val="2F2F2F"/>
          <w:sz w:val="24"/>
        </w:rPr>
      </w:pPr>
      <w:r>
        <w:rPr>
          <w:rFonts w:ascii="Times New Roman;sans-serif" w:hAnsi="Times New Roman;sans-serif"/>
          <w:b w:val="false"/>
          <w:color w:val="2F2F2F"/>
          <w:sz w:val="24"/>
        </w:rPr>
        <w:t>(i) purchase any goods or services related to any Competitive Business from anyone other than Employer or (ii) reduce its volume of goods or services purchased from Employer, (b) interfere with, or attempt to interfere with, business relationships (whether formed before, on or after the date of this Agreement) between Employer and suppliers, partners, members or investors of Employer, (c) other than on behalf of Employer, solicit, recruit or hire any employee or consultant of Employer or any person who has, at any time within two (2) years prior to such solicitation, recruitment or hiring, worked for or provided services to Employer, provided, however, that this clause (c) shall not preclude Executive from making solicitations of employment targeted to the general public or from hiring any employee who responds to such general solicitation, (d) solicit or encourage any employee or consultant of Employer to leave the employment of, or to cease providing services to, Employer or (e) assist any person or entity in any way to do, or attempt to do, anything prohibited by this Section 5.03.</w:t>
      </w:r>
    </w:p>
    <w:p>
      <w:pPr>
        <w:pStyle w:val="TextBody"/>
        <w:bidi w:val="0"/>
        <w:spacing w:lineRule="auto" w:line="280" w:before="254" w:after="283"/>
        <w:ind w:left="0" w:right="0" w:firstLine="20"/>
        <w:jc w:val="both"/>
        <w:rPr/>
      </w:pPr>
      <w:r>
        <w:rPr>
          <w:rFonts w:ascii="Times New Roman;sans-serif" w:hAnsi="Times New Roman;sans-serif"/>
          <w:b w:val="false"/>
          <w:color w:val="2F2F2F"/>
          <w:sz w:val="24"/>
        </w:rPr>
        <w:t>SECTION 5.04    </w:t>
      </w:r>
      <w:r>
        <w:rPr>
          <w:rFonts w:ascii="Times New Roman;sans-serif" w:hAnsi="Times New Roman;sans-serif"/>
          <w:b w:val="false"/>
          <w:color w:val="2F2F2F"/>
          <w:sz w:val="24"/>
          <w:u w:val="single"/>
        </w:rPr>
        <w:t>Non-Competition</w:t>
      </w:r>
      <w:r>
        <w:rPr>
          <w:rFonts w:ascii="Times New Roman;sans-serif" w:hAnsi="Times New Roman;sans-serif"/>
          <w:b w:val="false"/>
          <w:color w:val="2F2F2F"/>
          <w:sz w:val="24"/>
        </w:rPr>
        <w:t>. (a) Executive agrees that, for the period commencing on the date hereof and terminating nine (9) months after the date of Executive's termination of employment with Employer, Executive shall not, and shall cause each of Executive's affiliates (other than Employer) not to, directly or indirectly: (i) engage in or establish any Competitive Business (as defined below), including selling goods or services relating to any Competitive Business that are of the type sold by Employer, (ii) assist any person or entity in any way to engage in or establish, or attempt to engage in or establish, any Competitive Business, (iii) except as provided in Section 5.04(c), be employed by, consult with, advise, permit Executive's name to be used by, or be connected in any manner with the ownership, management, operation or control of any person or entity that directly or indirectly engages in any Competitive Business, or (iv) engage in any course of conduct that involves any Competitive Business that is substantially detrimental to the business reputation of Employer.</w:t>
      </w:r>
    </w:p>
    <w:p>
      <w:pPr>
        <w:pStyle w:val="TextBody"/>
        <w:bidi w:val="0"/>
        <w:spacing w:lineRule="auto" w:line="280" w:before="226" w:after="283"/>
        <w:ind w:left="0" w:right="0" w:firstLine="14"/>
        <w:jc w:val="both"/>
        <w:rPr/>
      </w:pPr>
      <w:r>
        <w:rPr>
          <w:rFonts w:ascii="Times New Roman;sans-serif" w:hAnsi="Times New Roman;sans-serif"/>
          <w:b w:val="false"/>
          <w:color w:val="2F2F2F"/>
          <w:sz w:val="24"/>
        </w:rPr>
        <w:t xml:space="preserve">(b)    "Competing Business" is any person or entity: (i) whose products and/or services include the same or substantially similar products and/or services provided or offered by the Company; or (ii) who engages in (or is planning to engage in) the Company Business. For the purposes of this Agreement, "Company Business" shall mean the products and/or services provided by the Company, including, without limitation: (i) money transfer services in any form or manner (including, but not limited to, by way of wire, telephone, courier, ATM, prepaid or stored value card, or otherwise); (ii) money remittance services in any form or manner (including, but not limited to, by way of wire, telephone, courier, ATM, prepaid or stored value card, or otherwise); (iii) check cashing services, pay-day loan services, or prepared stored value card services; or (iv) wire transfer services. Executive acknowledges and agrees that Competing Businesses shall specifically include, without limitation, </w:t>
      </w:r>
      <w:r>
        <w:rPr>
          <w:rFonts w:ascii="Times New Roman;sans-serif" w:hAnsi="Times New Roman;sans-serif"/>
          <w:b w:val="false"/>
          <w:i/>
          <w:color w:val="2F2F2F"/>
          <w:sz w:val="23"/>
        </w:rPr>
        <w:t xml:space="preserve">RIA, Western Union, Maxi Transfers, Dinex, Sigue Corporation, </w:t>
      </w:r>
      <w:r>
        <w:rPr>
          <w:rFonts w:ascii="Times New Roman;sans-serif" w:hAnsi="Times New Roman;sans-serif"/>
          <w:b w:val="false"/>
          <w:color w:val="2F2F2F"/>
          <w:sz w:val="24"/>
        </w:rPr>
        <w:t xml:space="preserve">and </w:t>
      </w:r>
      <w:r>
        <w:rPr>
          <w:rFonts w:ascii="Times New Roman;sans-serif" w:hAnsi="Times New Roman;sans-serif"/>
          <w:b w:val="false"/>
          <w:i/>
          <w:color w:val="2F2F2F"/>
          <w:sz w:val="23"/>
        </w:rPr>
        <w:t>Viaamericas Corporation.</w:t>
      </w:r>
    </w:p>
    <w:p>
      <w:pPr>
        <w:pStyle w:val="TextBody"/>
        <w:bidi w:val="0"/>
        <w:spacing w:before="65" w:after="283"/>
        <w:ind w:left="0" w:right="0" w:firstLine="15"/>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D2D2D"/>
          <w:sz w:val="24"/>
        </w:rPr>
      </w:pPr>
      <w:r>
        <w:rPr>
          <w:rFonts w:ascii="Times New Roman;sans-serif" w:hAnsi="Times New Roman;sans-serif"/>
          <w:b w:val="false"/>
          <w:color w:val="2D2D2D"/>
          <w:sz w:val="24"/>
        </w:rPr>
        <w:t>(c)    This Section 5.04 shall be deemed not breached solely as a result of the ownership by Executive or any of Executive's affiliates of: (i) less than an aggregate of five percent (5%) of any class of stock of a public company engaged, directly or indirectly, in any Competitive Business; (ii) less than five percent (5%) in value of any instrument of indebtedness of a public company engaged, directly or indirectly, in any Competitive Business; or (iii) a public company that engages, directly or indirectly, in any Competitive Business if such Competitive Business account for less than five percent (5%) of such person's or entity's consolidated annual revenues. A "public company" for purposes of this Section 5.04(c) shall mean an entity whose common stock is traded on a nationally recognized securities exchange.</w:t>
      </w:r>
    </w:p>
    <w:p>
      <w:pPr>
        <w:pStyle w:val="TextBody"/>
        <w:bidi w:val="0"/>
        <w:spacing w:lineRule="auto" w:line="240" w:before="246" w:after="283"/>
        <w:ind w:left="0" w:right="0" w:firstLine="6"/>
        <w:jc w:val="both"/>
        <w:rPr/>
      </w:pPr>
      <w:r>
        <w:rPr>
          <w:rFonts w:ascii="Times New Roman;sans-serif" w:hAnsi="Times New Roman;sans-serif"/>
          <w:b w:val="false"/>
          <w:color w:val="2D2D2D"/>
          <w:sz w:val="24"/>
        </w:rPr>
        <w:t>SECTION 5.05    </w:t>
      </w:r>
      <w:r>
        <w:rPr>
          <w:rFonts w:ascii="Times New Roman;sans-serif" w:hAnsi="Times New Roman;sans-serif"/>
          <w:b w:val="false"/>
          <w:color w:val="2D2D2D"/>
          <w:sz w:val="24"/>
          <w:u w:val="single"/>
        </w:rPr>
        <w:t>Confidential Information</w:t>
      </w:r>
      <w:r>
        <w:rPr>
          <w:rFonts w:ascii="Times New Roman;sans-serif" w:hAnsi="Times New Roman;sans-serif"/>
          <w:b w:val="false"/>
          <w:color w:val="2D2D2D"/>
          <w:sz w:val="24"/>
        </w:rPr>
        <w:t>. Executive hereby acknowledges that (a) in the performance of Executive's duties and services prior to entering into, and pursuant to this Agreement, Executive has received, and may be given access to, Confidential Information and</w:t>
      </w:r>
    </w:p>
    <w:p>
      <w:pPr>
        <w:pStyle w:val="TextBody"/>
        <w:bidi w:val="0"/>
        <w:spacing w:lineRule="auto" w:line="240" w:before="3" w:after="283"/>
        <w:ind w:left="0" w:right="0" w:firstLine="32"/>
        <w:jc w:val="both"/>
        <w:rPr>
          <w:rFonts w:ascii="Times New Roman;sans-serif" w:hAnsi="Times New Roman;sans-serif"/>
          <w:b w:val="false"/>
          <w:color w:val="2D2D2D"/>
          <w:sz w:val="24"/>
        </w:rPr>
      </w:pPr>
      <w:r>
        <w:rPr>
          <w:rFonts w:ascii="Times New Roman;sans-serif" w:hAnsi="Times New Roman;sans-serif"/>
          <w:b w:val="false"/>
          <w:color w:val="2D2D2D"/>
          <w:sz w:val="24"/>
        </w:rPr>
        <w:t>(b) all Confidential Information is or will be the property of Employer. For purposes of this Agreement, "Confidential Information" shall mean information, knowledge and data that is or will be used, developed, obtained or owned by Employer relating to the business, products and/or services of Employer or the business, products and/or services of any customer, sales officer, sales associate or independent contractor thereof, including products, services, fees, pricing, designs, marketing plans, strategies, analyses, forecasts, formulas, drawings, photographs, reports, records, computer software (whether or not owned by, or designed for, Employer), other operating systems, applications, program listings, flow charts, manuals, documentation, data, databases, specifications, technology, inventions, new developments and methods, improvements, techniques, trade secrets, devices, products, methods, know-how, processes, financial data, customer lists, contact persons, cost information, executive information, regulatory matters, personnel matters, accounting and business methods, copyrightable works and information with respect to any vendor, customer, sales officer, sales associate or independent contractor of Employer, in each case whether patentable or unpatentable and whether or not reduced to practice, and all similar and related information in whatever form, and all such items of any vendor, customer, sales officer, sales associate or independent contractor of Employer; provided, however, that Confidential Information shall not include information that is generally known to the public other than as a result of disclosure by Executive in breach of this Agreement or in breach of any similar covenant made by Executive prior to entering into this Agreement.</w:t>
      </w:r>
    </w:p>
    <w:p>
      <w:pPr>
        <w:pStyle w:val="TextBody"/>
        <w:bidi w:val="0"/>
        <w:spacing w:lineRule="auto" w:line="280" w:before="267" w:after="283"/>
        <w:ind w:left="0" w:right="0" w:firstLine="4"/>
        <w:jc w:val="both"/>
        <w:rPr/>
      </w:pPr>
      <w:r>
        <w:rPr>
          <w:rFonts w:ascii="Times New Roman;sans-serif" w:hAnsi="Times New Roman;sans-serif"/>
          <w:b w:val="false"/>
          <w:color w:val="2D2D2D"/>
          <w:sz w:val="24"/>
        </w:rPr>
        <w:t>SECTION 5.06    </w:t>
      </w:r>
      <w:r>
        <w:rPr>
          <w:rFonts w:ascii="Times New Roman;sans-serif" w:hAnsi="Times New Roman;sans-serif"/>
          <w:b w:val="false"/>
          <w:color w:val="2D2D2D"/>
          <w:sz w:val="24"/>
          <w:u w:val="single"/>
        </w:rPr>
        <w:t>Non-Disclosure</w:t>
      </w:r>
      <w:r>
        <w:rPr>
          <w:rFonts w:ascii="Times New Roman;sans-serif" w:hAnsi="Times New Roman;sans-serif"/>
          <w:b w:val="false"/>
          <w:color w:val="2D2D2D"/>
          <w:sz w:val="24"/>
        </w:rPr>
        <w:t>. (a) Except as otherwise specifically provided in Section 5.07, Executive will not, directly or indirectly, disclose or cause or permit to be disclosed, to any person or entity whatsoever, or utilize or cause or permit to be utilized, by any person or to any entity whatsoever, any Confidential Information acquired pursuant to Executive's employment with Employer (whether acquired prior to or subsequent to the execution of this Agreement) under this Agreement or otherwise.</w:t>
      </w:r>
    </w:p>
    <w:p>
      <w:pPr>
        <w:pStyle w:val="TextBody"/>
        <w:bidi w:val="0"/>
        <w:spacing w:lineRule="auto" w:line="280" w:before="236" w:after="283"/>
        <w:ind w:left="0" w:right="0" w:firstLine="3"/>
        <w:jc w:val="both"/>
        <w:rPr>
          <w:rFonts w:ascii="Times New Roman;sans-serif" w:hAnsi="Times New Roman;sans-serif"/>
          <w:b w:val="false"/>
          <w:color w:val="2D2D2D"/>
          <w:sz w:val="24"/>
        </w:rPr>
      </w:pPr>
      <w:r>
        <w:rPr>
          <w:rFonts w:ascii="Times New Roman;sans-serif" w:hAnsi="Times New Roman;sans-serif"/>
          <w:b w:val="false"/>
          <w:color w:val="2D2D2D"/>
          <w:sz w:val="24"/>
        </w:rPr>
        <w:t>(b)    Executive will not disclose to anyone, other than Executive's immediate family and legal or financial advisors, the existence or contents of this Agreement, except to the extent permitted in Section 5.07 or to comply with Section 5.14, and, to the extent such information is disclosed to Executive's immediate family or legal or financial advisors, will instruct those parties to comply with the non-disclosure requirements of this Section 5.06(b).</w:t>
      </w:r>
    </w:p>
    <w:p>
      <w:pPr>
        <w:pStyle w:val="TextBody"/>
        <w:bidi w:val="0"/>
        <w:spacing w:before="61" w:after="283"/>
        <w:ind w:left="0" w:right="0" w:firstLine="24"/>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2F2F2F"/>
          <w:sz w:val="24"/>
        </w:rPr>
        <w:t>SECTION 5.07    </w:t>
      </w:r>
      <w:r>
        <w:rPr>
          <w:rFonts w:ascii="Times New Roman;sans-serif" w:hAnsi="Times New Roman;sans-serif"/>
          <w:b w:val="false"/>
          <w:color w:val="2F2F2F"/>
          <w:sz w:val="24"/>
          <w:u w:val="single"/>
        </w:rPr>
        <w:t>Permitted Disclosure</w:t>
      </w:r>
      <w:r>
        <w:rPr>
          <w:rFonts w:ascii="Times New Roman;sans-serif" w:hAnsi="Times New Roman;sans-serif"/>
          <w:b w:val="false"/>
          <w:color w:val="2F2F2F"/>
          <w:sz w:val="24"/>
        </w:rPr>
        <w:t xml:space="preserve">. Executive may (a) utilize and disclose the Confidential Information only to the extent reasonably necessary and required in the discharge of Executive's duties as an employee of Employer and (b) disclose Confidential Information only to the extent Executive (i) is obligated to disclose such Confidential Information pursuant to any confidentiality agreement executed by or on behalf of Employer or Executive prior to the date hereof, (ii) is compelled to disclose such Confidential Information or else stand liable for contempt or suffer other censure or penalty, (iii) is required to disclose such Confidential Information by law, (iv) discloses such information in the context of litigation between Employer and Executive, or (v) is permitted to disclose such Confidential Information under any applicable </w:t>
      </w:r>
      <w:r>
        <w:rPr>
          <w:rFonts w:ascii="Times New Roman;sans-serif" w:hAnsi="Times New Roman;sans-serif"/>
          <w:b w:val="false"/>
          <w:color w:val="444444"/>
          <w:sz w:val="24"/>
        </w:rPr>
        <w:t xml:space="preserve">"whistle </w:t>
      </w:r>
      <w:r>
        <w:rPr>
          <w:rFonts w:ascii="Times New Roman;sans-serif" w:hAnsi="Times New Roman;sans-serif"/>
          <w:b w:val="false"/>
          <w:color w:val="2F2F2F"/>
          <w:sz w:val="24"/>
        </w:rPr>
        <w:t>blower" or similar law.</w:t>
      </w:r>
    </w:p>
    <w:p>
      <w:pPr>
        <w:pStyle w:val="TextBody"/>
        <w:bidi w:val="0"/>
        <w:spacing w:lineRule="auto" w:line="240" w:before="249" w:after="283"/>
        <w:ind w:left="0" w:right="0" w:firstLine="22"/>
        <w:jc w:val="both"/>
        <w:rPr/>
      </w:pPr>
      <w:r>
        <w:rPr>
          <w:rFonts w:ascii="Times New Roman;sans-serif" w:hAnsi="Times New Roman;sans-serif"/>
          <w:b w:val="false"/>
          <w:color w:val="2F2F2F"/>
          <w:sz w:val="24"/>
        </w:rPr>
        <w:t>SECTION 5.08    </w:t>
      </w:r>
      <w:r>
        <w:rPr>
          <w:rFonts w:ascii="Times New Roman;sans-serif" w:hAnsi="Times New Roman;sans-serif"/>
          <w:b w:val="false"/>
          <w:color w:val="2F2F2F"/>
          <w:sz w:val="24"/>
          <w:u w:val="single"/>
        </w:rPr>
        <w:t>Prior Inventions</w:t>
      </w:r>
      <w:r>
        <w:rPr>
          <w:rFonts w:ascii="Times New Roman;sans-serif" w:hAnsi="Times New Roman;sans-serif"/>
          <w:b w:val="false"/>
          <w:color w:val="2F2F2F"/>
          <w:sz w:val="24"/>
        </w:rPr>
        <w:t xml:space="preserve">. Executive has attached hereto as </w:t>
      </w:r>
      <w:r>
        <w:rPr>
          <w:rFonts w:ascii="Times New Roman;sans-serif" w:hAnsi="Times New Roman;sans-serif"/>
          <w:b/>
          <w:color w:val="2F2F2F"/>
          <w:sz w:val="24"/>
        </w:rPr>
        <w:t xml:space="preserve">Exhibit A </w:t>
      </w:r>
      <w:r>
        <w:rPr>
          <w:rFonts w:ascii="Times New Roman;sans-serif" w:hAnsi="Times New Roman;sans-serif"/>
          <w:b w:val="false"/>
          <w:color w:val="2F2F2F"/>
          <w:sz w:val="24"/>
        </w:rPr>
        <w:t>list describing all inventions, works of authorship (including software, related items, databases, documentation, site content, text or graphics), developments, improvements and trade secrets ("</w:t>
      </w:r>
      <w:r>
        <w:rPr>
          <w:rFonts w:ascii="Times New Roman;sans-serif" w:hAnsi="Times New Roman;sans-serif"/>
          <w:b w:val="false"/>
          <w:color w:val="1D1D1D"/>
          <w:sz w:val="24"/>
          <w:u w:val="single"/>
        </w:rPr>
        <w:t>Inventions</w:t>
      </w:r>
      <w:r>
        <w:rPr>
          <w:rFonts w:ascii="Times New Roman;sans-serif" w:hAnsi="Times New Roman;sans-serif"/>
          <w:b w:val="false"/>
          <w:color w:val="1D1D1D"/>
          <w:sz w:val="24"/>
        </w:rPr>
        <w:t xml:space="preserve">") </w:t>
      </w:r>
      <w:r>
        <w:rPr>
          <w:rFonts w:ascii="Times New Roman;sans-serif" w:hAnsi="Times New Roman;sans-serif"/>
          <w:b w:val="false"/>
          <w:color w:val="2F2F2F"/>
          <w:sz w:val="24"/>
        </w:rPr>
        <w:t>that were created or contributed to by Executive, either solely or jointly with others, prior to the date hereof (collectively referred to as "</w:t>
      </w:r>
      <w:r>
        <w:rPr>
          <w:rFonts w:ascii="Times New Roman;sans-serif" w:hAnsi="Times New Roman;sans-serif"/>
          <w:b w:val="false"/>
          <w:color w:val="2F2F2F"/>
          <w:sz w:val="24"/>
          <w:u w:val="single"/>
        </w:rPr>
        <w:t xml:space="preserve">Prior </w:t>
      </w:r>
      <w:r>
        <w:rPr>
          <w:rFonts w:ascii="Times New Roman;sans-serif" w:hAnsi="Times New Roman;sans-serif"/>
          <w:b w:val="false"/>
          <w:color w:val="1D1D1D"/>
          <w:sz w:val="24"/>
          <w:u w:val="single"/>
        </w:rPr>
        <w:t>Inventions</w:t>
      </w:r>
      <w:r>
        <w:rPr>
          <w:rFonts w:ascii="Times New Roman;sans-serif" w:hAnsi="Times New Roman;sans-serif"/>
          <w:b w:val="false"/>
          <w:color w:val="1D1D1D"/>
          <w:sz w:val="24"/>
        </w:rPr>
        <w:t xml:space="preserve">") </w:t>
      </w:r>
      <w:r>
        <w:rPr>
          <w:rFonts w:ascii="Times New Roman;sans-serif" w:hAnsi="Times New Roman;sans-serif"/>
          <w:b w:val="false"/>
          <w:color w:val="2F2F2F"/>
          <w:sz w:val="24"/>
        </w:rPr>
        <w:t>that relate to the current business, services, products or research and development of Employer or, if no such list is attached, Executive represents that there are no such Prior Inventions. To the fullest extent permissible by law, Executive hereby grants Employer or its designee a non-exclusive royalty free, irrevocable, perpetual, worldwide license under all Executive's Prior Inventions to make, have made, copy, modify, distribute, use and sell inventions, works of authorship, developments, improvements, trade secrets, products, services, processes, machines and other property and to otherwise operate the current and future business of Employer.</w:t>
      </w:r>
    </w:p>
    <w:p>
      <w:pPr>
        <w:pStyle w:val="TextBody"/>
        <w:bidi w:val="0"/>
        <w:spacing w:lineRule="auto" w:line="280" w:before="249" w:after="283"/>
        <w:ind w:left="0" w:right="0" w:firstLine="21"/>
        <w:jc w:val="both"/>
        <w:rPr/>
      </w:pPr>
      <w:r>
        <w:rPr>
          <w:rFonts w:ascii="Times New Roman;sans-serif" w:hAnsi="Times New Roman;sans-serif"/>
          <w:b w:val="false"/>
          <w:color w:val="2F2F2F"/>
          <w:sz w:val="24"/>
        </w:rPr>
        <w:t>SECTION 5.09    </w:t>
      </w:r>
      <w:r>
        <w:rPr>
          <w:rFonts w:ascii="Times New Roman;sans-serif" w:hAnsi="Times New Roman;sans-serif"/>
          <w:b w:val="false"/>
          <w:color w:val="2F2F2F"/>
          <w:sz w:val="24"/>
          <w:u w:val="single"/>
        </w:rPr>
        <w:t>Ownership of Inventions</w:t>
      </w:r>
      <w:r>
        <w:rPr>
          <w:rFonts w:ascii="Times New Roman;sans-serif" w:hAnsi="Times New Roman;sans-serif"/>
          <w:b w:val="false"/>
          <w:color w:val="2F2F2F"/>
          <w:sz w:val="24"/>
        </w:rPr>
        <w:t>. Executive will promptly make full written disclosure to Employer of, and hereby assigns to Employer or its designee all Executive's rights, title and interest in and to, any and all Inventions, whether or not patentable, that Executive may solely or jointly conceive or develop or reduce to practice, or cause to be conceived or developed or reduced to practice, during the term of Executive's employment with Employer that relate to the proposed or current business, services, products or research and development of Employer (whether before or after execution of this Agreement)(collectively referred to as "</w:t>
      </w:r>
      <w:r>
        <w:rPr>
          <w:rFonts w:ascii="Times New Roman;sans-serif" w:hAnsi="Times New Roman;sans-serif"/>
          <w:b w:val="false"/>
          <w:color w:val="2F2F2F"/>
          <w:sz w:val="24"/>
          <w:u w:val="single"/>
        </w:rPr>
        <w:t>Employer</w:t>
      </w:r>
      <w:r>
        <w:rPr>
          <w:color w:val="2F2F2F"/>
        </w:rPr>
        <w:t xml:space="preserve"> </w:t>
      </w:r>
      <w:r>
        <w:rPr>
          <w:rFonts w:ascii="Times New Roman;sans-serif" w:hAnsi="Times New Roman;sans-serif"/>
          <w:b w:val="false"/>
          <w:color w:val="2F2F2F"/>
          <w:sz w:val="24"/>
          <w:u w:val="single"/>
        </w:rPr>
        <w:t>Inventions</w:t>
      </w:r>
      <w:r>
        <w:rPr>
          <w:rFonts w:ascii="Times New Roman;sans-serif" w:hAnsi="Times New Roman;sans-serif"/>
          <w:b w:val="false"/>
          <w:color w:val="2F2F2F"/>
          <w:sz w:val="24"/>
        </w:rPr>
        <w:t xml:space="preserve">"). Executive further acknowledges that all original works of authorship that are created or contributed to by Executive (solely or jointly with others) within the scope of, and during the period of, Executive's employment (whether before or after execution of this Agreement) with Employer are to be deemed </w:t>
      </w:r>
      <w:r>
        <w:rPr>
          <w:rFonts w:ascii="Times New Roman;sans-serif" w:hAnsi="Times New Roman;sans-serif"/>
          <w:b w:val="false"/>
          <w:color w:val="444444"/>
          <w:sz w:val="24"/>
        </w:rPr>
        <w:t xml:space="preserve">"works </w:t>
      </w:r>
      <w:r>
        <w:rPr>
          <w:rFonts w:ascii="Times New Roman;sans-serif" w:hAnsi="Times New Roman;sans-serif"/>
          <w:b w:val="false"/>
          <w:color w:val="2F2F2F"/>
          <w:sz w:val="24"/>
        </w:rPr>
        <w:t xml:space="preserve">made for hire", as that term is defined in the United States Copyright Act, and the copyright and all intellectual property rights therein shall be the sole property of Employer or its designee. To the extent any of such works are deemed not to be </w:t>
      </w:r>
      <w:r>
        <w:rPr>
          <w:rFonts w:ascii="Times New Roman;sans-serif" w:hAnsi="Times New Roman;sans-serif"/>
          <w:b w:val="false"/>
          <w:color w:val="444444"/>
          <w:sz w:val="24"/>
        </w:rPr>
        <w:t xml:space="preserve">"works </w:t>
      </w:r>
      <w:r>
        <w:rPr>
          <w:rFonts w:ascii="Times New Roman;sans-serif" w:hAnsi="Times New Roman;sans-serif"/>
          <w:b w:val="false"/>
          <w:color w:val="2F2F2F"/>
          <w:sz w:val="24"/>
        </w:rPr>
        <w:t>for hire", Executive hereby assigns the copyright and all other intellectual property rights in such works to Employer or its designee.</w:t>
      </w:r>
    </w:p>
    <w:p>
      <w:pPr>
        <w:pStyle w:val="TextBody"/>
        <w:bidi w:val="0"/>
        <w:spacing w:lineRule="auto" w:line="240" w:before="226" w:after="283"/>
        <w:ind w:left="0" w:right="0" w:firstLine="7"/>
        <w:jc w:val="both"/>
        <w:rPr/>
      </w:pPr>
      <w:r>
        <w:rPr>
          <w:rFonts w:ascii="Times New Roman;sans-serif" w:hAnsi="Times New Roman;sans-serif"/>
          <w:b w:val="false"/>
          <w:color w:val="2F2F2F"/>
          <w:sz w:val="24"/>
        </w:rPr>
        <w:t>SECTION 5.10    </w:t>
      </w:r>
      <w:r>
        <w:rPr>
          <w:rFonts w:ascii="Times New Roman;sans-serif" w:hAnsi="Times New Roman;sans-serif"/>
          <w:b w:val="false"/>
          <w:color w:val="2F2F2F"/>
          <w:sz w:val="24"/>
          <w:u w:val="single"/>
        </w:rPr>
        <w:t>Further Assurances</w:t>
      </w:r>
      <w:r>
        <w:rPr>
          <w:rFonts w:ascii="Times New Roman;sans-serif" w:hAnsi="Times New Roman;sans-serif"/>
          <w:b w:val="false"/>
          <w:color w:val="2F2F2F"/>
          <w:sz w:val="24"/>
        </w:rPr>
        <w:t>. Executive shall take all requested actions and execute all requested documents to assist Employer, or its designee, at Employer's expense, in every way to secure Employer's or its designee's above rights in the Prior Inventions and Employer Inventions and any copyrights, patents, mask work rights or other intellectual property rights relating thereto in any and all countries, and to pursue any patents or registrations with respect thereto. This covenant shall survive the termination of this Agreement. If Employer or its designee is unable for any other reason to secure Executive's signature on any document for this</w:t>
      </w:r>
    </w:p>
    <w:p>
      <w:pPr>
        <w:pStyle w:val="TextBody"/>
        <w:bidi w:val="0"/>
        <w:spacing w:before="76" w:after="283"/>
        <w:ind w:left="0" w:right="0" w:firstLine="8"/>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D2D2D"/>
          <w:sz w:val="24"/>
        </w:rPr>
      </w:pPr>
      <w:r>
        <w:rPr>
          <w:rFonts w:ascii="Times New Roman;sans-serif" w:hAnsi="Times New Roman;sans-serif"/>
          <w:b w:val="false"/>
          <w:color w:val="2D2D2D"/>
          <w:sz w:val="24"/>
        </w:rPr>
        <w:t>purpose, then Executive hereby irrevocably designates and appoints Employer or its designee and their duly authorized officers and agents, as the case may be, as Executive's agent and attorney in fact, to act for and in Executive's behalf and stead to execute any documents and to do all other lawfully permitted acts in connection with the foregoing.</w:t>
      </w:r>
    </w:p>
    <w:p>
      <w:pPr>
        <w:pStyle w:val="TextBody"/>
        <w:bidi w:val="0"/>
        <w:spacing w:lineRule="auto" w:line="240" w:before="242" w:after="283"/>
        <w:ind w:left="0" w:right="0" w:firstLine="18"/>
        <w:jc w:val="both"/>
        <w:rPr/>
      </w:pPr>
      <w:r>
        <w:rPr>
          <w:rFonts w:ascii="Times New Roman;sans-serif" w:hAnsi="Times New Roman;sans-serif"/>
          <w:b w:val="false"/>
          <w:color w:val="2D2D2D"/>
          <w:sz w:val="24"/>
        </w:rPr>
        <w:t>SECTION 5.11    </w:t>
      </w:r>
      <w:r>
        <w:rPr>
          <w:rFonts w:ascii="Times New Roman;sans-serif" w:hAnsi="Times New Roman;sans-serif"/>
          <w:b w:val="false"/>
          <w:color w:val="2D2D2D"/>
          <w:sz w:val="24"/>
          <w:u w:val="single"/>
        </w:rPr>
        <w:t>Records</w:t>
      </w:r>
      <w:r>
        <w:rPr>
          <w:rFonts w:ascii="Times New Roman;sans-serif" w:hAnsi="Times New Roman;sans-serif"/>
          <w:b w:val="false"/>
          <w:color w:val="2D2D2D"/>
          <w:sz w:val="24"/>
        </w:rPr>
        <w:t>. All memoranda, books, records, documents, papers, plans, information, letters and other data relating to Confidential Information or the business and customer accounts of Employer, whether prepared by Executive or otherwise, coming into Executive's possession shall be and remain the exclusive property of Employer and Executive shall not, during the term of Executive's employment with Employer or thereafter, directly or indirectly assert any interest or property rights therein. Upon termination of employment with Employer for any reason, Executive will immediately return to Employer all such memoranda, books, records, documents, papers, plans, information, letters and other data, and all copies thereof or therefrom, and Executive will not retain, or cause or permit to be retained, any copies or other embodiments of the materials so returned. Executive further agrees that he will not retain or use for Executive's account at any time any trade names, trademark or other proprietary business designation used or owned in connection with the business of Employer.</w:t>
      </w:r>
    </w:p>
    <w:p>
      <w:pPr>
        <w:pStyle w:val="TextBody"/>
        <w:bidi w:val="0"/>
        <w:spacing w:lineRule="auto" w:line="240" w:before="254" w:after="283"/>
        <w:ind w:left="0" w:right="0" w:firstLine="6"/>
        <w:jc w:val="both"/>
        <w:rPr/>
      </w:pPr>
      <w:r>
        <w:rPr>
          <w:rFonts w:ascii="Times New Roman;sans-serif" w:hAnsi="Times New Roman;sans-serif"/>
          <w:b w:val="false"/>
          <w:color w:val="2D2D2D"/>
          <w:sz w:val="24"/>
        </w:rPr>
        <w:t>SECTION 5.12    </w:t>
      </w:r>
      <w:r>
        <w:rPr>
          <w:rFonts w:ascii="Times New Roman;sans-serif" w:hAnsi="Times New Roman;sans-serif"/>
          <w:b w:val="false"/>
          <w:color w:val="2D2D2D"/>
          <w:sz w:val="24"/>
          <w:u w:val="single"/>
        </w:rPr>
        <w:t>Non-Disparagement</w:t>
      </w:r>
      <w:r>
        <w:rPr>
          <w:rFonts w:ascii="Times New Roman;sans-serif" w:hAnsi="Times New Roman;sans-serif"/>
          <w:b w:val="false"/>
          <w:color w:val="2D2D2D"/>
          <w:sz w:val="24"/>
        </w:rPr>
        <w:t>. Executive has not prior to the date hereof, whether in writing or orally, criticized or disparaged Employer, nor shall Executive at any time following the date hereof, unless in the context of litigation between Employer and Executive or under penalty of perjury, whether in writing or orally, criticize or disparage Employer or any of its affiliates or any of their respective current or former affiliates, directors, officers, employees, members, partners, agents or representatives.</w:t>
      </w:r>
    </w:p>
    <w:p>
      <w:pPr>
        <w:pStyle w:val="TextBody"/>
        <w:bidi w:val="0"/>
        <w:spacing w:lineRule="auto" w:line="240" w:before="247" w:after="283"/>
        <w:ind w:left="0" w:right="0" w:firstLine="7"/>
        <w:jc w:val="both"/>
        <w:rPr/>
      </w:pPr>
      <w:r>
        <w:rPr>
          <w:rFonts w:ascii="Times New Roman;sans-serif" w:hAnsi="Times New Roman;sans-serif"/>
          <w:b w:val="false"/>
          <w:color w:val="2D2D2D"/>
          <w:sz w:val="24"/>
        </w:rPr>
        <w:t>SECTION 5.13    </w:t>
      </w:r>
      <w:r>
        <w:rPr>
          <w:rFonts w:ascii="Times New Roman;sans-serif" w:hAnsi="Times New Roman;sans-serif"/>
          <w:b w:val="false"/>
          <w:color w:val="2D2D2D"/>
          <w:sz w:val="24"/>
          <w:u w:val="single"/>
        </w:rPr>
        <w:t>Specific Performance</w:t>
      </w:r>
      <w:r>
        <w:rPr>
          <w:rFonts w:ascii="Times New Roman;sans-serif" w:hAnsi="Times New Roman;sans-serif"/>
          <w:b w:val="false"/>
          <w:color w:val="2D2D2D"/>
          <w:sz w:val="24"/>
        </w:rPr>
        <w:t>. Executive agrees that any breach by Executive of any of the provisions of this Article V shall cause irreparable harm to Employer that could not be made whole by monetary damages and that, in the event of such a breach, Executive shall waive the defense in any action for specific performance that a remedy at law would be adequate, and Employer shall be entitled to specifically enforce the terms and provisions of this Article V without the necessity of proving actual damages or posting any bond or providing prior notice, in addition to any other remedy to which Employer may be entitled at law or in equity.</w:t>
      </w:r>
    </w:p>
    <w:p>
      <w:pPr>
        <w:pStyle w:val="TextBody"/>
        <w:bidi w:val="0"/>
        <w:spacing w:lineRule="auto" w:line="280" w:before="250" w:after="283"/>
        <w:ind w:left="0" w:right="0" w:firstLine="1"/>
        <w:jc w:val="both"/>
        <w:rPr/>
      </w:pPr>
      <w:r>
        <w:rPr>
          <w:rFonts w:ascii="Times New Roman;sans-serif" w:hAnsi="Times New Roman;sans-serif"/>
          <w:b w:val="false"/>
          <w:color w:val="2D2D2D"/>
          <w:sz w:val="24"/>
        </w:rPr>
        <w:t>SECTION 5.14    </w:t>
      </w:r>
      <w:r>
        <w:rPr>
          <w:rFonts w:ascii="Times New Roman;sans-serif" w:hAnsi="Times New Roman;sans-serif"/>
          <w:b w:val="false"/>
          <w:color w:val="2D2D2D"/>
          <w:sz w:val="24"/>
          <w:u w:val="single"/>
        </w:rPr>
        <w:t xml:space="preserve">Notification of Subsequent </w:t>
      </w:r>
      <w:r>
        <w:rPr>
          <w:rFonts w:ascii="Times New Roman;sans-serif" w:hAnsi="Times New Roman;sans-serif"/>
          <w:b w:val="false"/>
          <w:color w:val="424242"/>
          <w:sz w:val="24"/>
          <w:u w:val="single"/>
        </w:rPr>
        <w:t>Employer</w:t>
      </w:r>
      <w:r>
        <w:rPr>
          <w:rFonts w:ascii="Times New Roman;sans-serif" w:hAnsi="Times New Roman;sans-serif"/>
          <w:b w:val="false"/>
          <w:color w:val="424242"/>
          <w:sz w:val="24"/>
        </w:rPr>
        <w:t xml:space="preserve">. </w:t>
      </w:r>
      <w:r>
        <w:rPr>
          <w:rFonts w:ascii="Times New Roman;sans-serif" w:hAnsi="Times New Roman;sans-serif"/>
          <w:b w:val="false"/>
          <w:color w:val="2D2D2D"/>
          <w:sz w:val="24"/>
        </w:rPr>
        <w:t>Prior to accepting employment with any other person or entity during any period during which Executive remains subject to any of the covenants set forth in Section 5.03 or Section 5.04, Executive shall provide such prospective employer with written notice of the provisions of this Agreement, with a copy of such notice delivered simultaneously to Employer in accordance with Section 6.05.</w:t>
      </w:r>
    </w:p>
    <w:p>
      <w:pPr>
        <w:pStyle w:val="TextBody"/>
        <w:bidi w:val="0"/>
        <w:spacing w:lineRule="auto" w:line="240" w:before="241" w:after="283"/>
        <w:jc w:val="center"/>
        <w:rPr>
          <w:rFonts w:ascii="Times New Roman;sans-serif" w:hAnsi="Times New Roman;sans-serif"/>
          <w:b w:val="false"/>
          <w:color w:val="2D2D2D"/>
          <w:sz w:val="24"/>
        </w:rPr>
      </w:pPr>
      <w:r>
        <w:rPr>
          <w:rFonts w:ascii="Times New Roman;sans-serif" w:hAnsi="Times New Roman;sans-serif"/>
          <w:b w:val="false"/>
          <w:color w:val="2D2D2D"/>
          <w:sz w:val="24"/>
        </w:rPr>
        <w:t>ARTICLE VI</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val="false"/>
          <w:color w:val="2D2D2D"/>
          <w:sz w:val="24"/>
          <w:u w:val="single"/>
        </w:rPr>
      </w:pPr>
      <w:r>
        <w:rPr>
          <w:rFonts w:ascii="Times New Roman;sans-serif" w:hAnsi="Times New Roman;sans-serif"/>
          <w:b w:val="false"/>
          <w:color w:val="2D2D2D"/>
          <w:sz w:val="24"/>
          <w:u w:val="single"/>
        </w:rPr>
        <w:t>Miscellaneous</w:t>
      </w:r>
    </w:p>
    <w:p>
      <w:pPr>
        <w:pStyle w:val="TextBody"/>
        <w:bidi w:val="0"/>
        <w:spacing w:lineRule="auto" w:line="240" w:before="238" w:after="283"/>
        <w:ind w:left="0" w:right="0" w:hanging="2"/>
        <w:jc w:val="both"/>
        <w:rPr/>
      </w:pPr>
      <w:r>
        <w:rPr>
          <w:rFonts w:ascii="Times New Roman;sans-serif" w:hAnsi="Times New Roman;sans-serif"/>
          <w:b w:val="false"/>
          <w:color w:val="2D2D2D"/>
          <w:sz w:val="24"/>
        </w:rPr>
        <w:t>SECTION 6.01    </w:t>
      </w:r>
      <w:r>
        <w:rPr>
          <w:rFonts w:ascii="Times New Roman;sans-serif" w:hAnsi="Times New Roman;sans-serif"/>
          <w:b w:val="false"/>
          <w:color w:val="2D2D2D"/>
          <w:sz w:val="24"/>
          <w:u w:val="single"/>
        </w:rPr>
        <w:t>As</w:t>
      </w:r>
      <w:r>
        <w:rPr>
          <w:rFonts w:ascii="Times New Roman;sans-serif" w:hAnsi="Times New Roman;sans-serif"/>
          <w:b w:val="false"/>
          <w:color w:val="424242"/>
          <w:sz w:val="24"/>
          <w:u w:val="single"/>
        </w:rPr>
        <w:t>signment</w:t>
      </w:r>
      <w:r>
        <w:rPr>
          <w:rFonts w:ascii="Times New Roman;sans-serif" w:hAnsi="Times New Roman;sans-serif"/>
          <w:b w:val="false"/>
          <w:color w:val="424242"/>
          <w:sz w:val="24"/>
        </w:rPr>
        <w:t xml:space="preserve">. </w:t>
      </w:r>
      <w:r>
        <w:rPr>
          <w:rFonts w:ascii="Times New Roman;sans-serif" w:hAnsi="Times New Roman;sans-serif"/>
          <w:b w:val="false"/>
          <w:color w:val="2D2D2D"/>
          <w:sz w:val="24"/>
        </w:rPr>
        <w:t>This Agreement shall not be assignable by Executive. The parties agree that any attempt by Executive to delegate Executive's duties hereunder shall be null and void. This Agreement may be assigned by Employer to a person or entity that is an affiliate or a successor in interest to substantially all the business operations of Employer. Upon such</w:t>
      </w:r>
    </w:p>
    <w:p>
      <w:pPr>
        <w:pStyle w:val="TextBody"/>
        <w:bidi w:val="0"/>
        <w:spacing w:before="67" w:after="283"/>
        <w:ind w:left="0" w:right="0" w:firstLine="16"/>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82828"/>
          <w:sz w:val="24"/>
        </w:rPr>
      </w:pPr>
      <w:r>
        <w:rPr>
          <w:rFonts w:ascii="Times New Roman;sans-serif" w:hAnsi="Times New Roman;sans-serif"/>
          <w:b w:val="false"/>
          <w:color w:val="282828"/>
          <w:sz w:val="24"/>
        </w:rPr>
        <w:t>assignment, the rights and obligations of Employer hereunder shall become the rights and obligations of such affiliate or successor person or entity. As used in this Agreement, the term "Employer" shall mean Employer as hereinbefore defined in the recital to this Agreement and any permitted assignee to which this Agreement is assigned.</w:t>
      </w:r>
    </w:p>
    <w:p>
      <w:pPr>
        <w:pStyle w:val="TextBody"/>
        <w:bidi w:val="0"/>
        <w:spacing w:lineRule="auto" w:line="240" w:before="241" w:after="283"/>
        <w:ind w:left="0" w:right="0" w:firstLine="13"/>
        <w:jc w:val="both"/>
        <w:rPr/>
      </w:pPr>
      <w:r>
        <w:rPr>
          <w:rFonts w:ascii="Times New Roman;sans-serif" w:hAnsi="Times New Roman;sans-serif"/>
          <w:b w:val="false"/>
          <w:color w:val="282828"/>
          <w:sz w:val="24"/>
        </w:rPr>
        <w:t>SECTION 6.02    </w:t>
      </w:r>
      <w:r>
        <w:rPr>
          <w:rFonts w:ascii="Times New Roman;sans-serif" w:hAnsi="Times New Roman;sans-serif"/>
          <w:b w:val="false"/>
          <w:color w:val="3B3B3B"/>
          <w:sz w:val="24"/>
          <w:u w:val="single"/>
        </w:rPr>
        <w:t>Successors</w:t>
      </w:r>
      <w:r>
        <w:rPr>
          <w:rFonts w:ascii="Times New Roman;sans-serif" w:hAnsi="Times New Roman;sans-serif"/>
          <w:b w:val="false"/>
          <w:color w:val="3B3B3B"/>
          <w:sz w:val="24"/>
        </w:rPr>
        <w:t xml:space="preserve">. </w:t>
      </w:r>
      <w:r>
        <w:rPr>
          <w:rFonts w:ascii="Times New Roman;sans-serif" w:hAnsi="Times New Roman;sans-serif"/>
          <w:b w:val="false"/>
          <w:color w:val="282828"/>
          <w:sz w:val="24"/>
        </w:rPr>
        <w:t>This Agreement shall be binding upon and shall inure to the benefit of the successors and permitted assigns of Employer and the personal or legal representatives, executors, administrators, successors, distributees, devisees and legatees of Executive. Executive acknowledges and agrees that all Executive's covenants and obligations to Employer, as well as the rights of Employer under this Agreement, shall run in favor of and will be enforceable by Employer, its subsidiaries and its successors and permitted assigns.</w:t>
      </w:r>
    </w:p>
    <w:p>
      <w:pPr>
        <w:pStyle w:val="TextBody"/>
        <w:bidi w:val="0"/>
        <w:spacing w:lineRule="auto" w:line="240" w:before="247" w:after="283"/>
        <w:ind w:left="0" w:right="0" w:firstLine="17"/>
        <w:jc w:val="both"/>
        <w:rPr/>
      </w:pPr>
      <w:r>
        <w:rPr>
          <w:rFonts w:ascii="Times New Roman;sans-serif" w:hAnsi="Times New Roman;sans-serif"/>
          <w:b w:val="false"/>
          <w:color w:val="282828"/>
          <w:sz w:val="24"/>
        </w:rPr>
        <w:t>SECTION 6.03    </w:t>
      </w:r>
      <w:r>
        <w:rPr>
          <w:rFonts w:ascii="Times New Roman;sans-serif" w:hAnsi="Times New Roman;sans-serif"/>
          <w:b w:val="false"/>
          <w:color w:val="4B4B4B"/>
          <w:sz w:val="24"/>
          <w:u w:val="single"/>
        </w:rPr>
        <w:t xml:space="preserve">Entire </w:t>
      </w:r>
      <w:r>
        <w:rPr>
          <w:rFonts w:ascii="Times New Roman;sans-serif" w:hAnsi="Times New Roman;sans-serif"/>
          <w:b w:val="false"/>
          <w:color w:val="3B3B3B"/>
          <w:sz w:val="24"/>
          <w:u w:val="single"/>
        </w:rPr>
        <w:t>Agreement</w:t>
      </w:r>
      <w:r>
        <w:rPr>
          <w:rFonts w:ascii="Times New Roman;sans-serif" w:hAnsi="Times New Roman;sans-serif"/>
          <w:b w:val="false"/>
          <w:color w:val="3B3B3B"/>
          <w:sz w:val="24"/>
        </w:rPr>
        <w:t xml:space="preserve">. </w:t>
      </w:r>
      <w:r>
        <w:rPr>
          <w:rFonts w:ascii="Times New Roman;sans-serif" w:hAnsi="Times New Roman;sans-serif"/>
          <w:b w:val="false"/>
          <w:color w:val="282828"/>
          <w:sz w:val="24"/>
        </w:rPr>
        <w:t>This Agreement constitutes the entire agreement and understanding of the parties with respect to the transactions contemplated hereby and the subject matter hereof and supersedes and replaces any and all prior agreements, understandings, statements, representations and warranties, written or oral, express or implied and/or whenever and howsoever made, directly or indirectly relating to the subject matter hereof, including the offer letter between Employer and Executive dated as of October 7, 2021. Notwithstanding the above, the Executive's covenants set forth in Article V shall operate independently of, and shall be in addition to, any similar covenants to which Executive is subject pursuant to any other agreement with Employer or any of Employer's affiliates.</w:t>
      </w:r>
    </w:p>
    <w:p>
      <w:pPr>
        <w:pStyle w:val="TextBody"/>
        <w:bidi w:val="0"/>
        <w:spacing w:lineRule="auto" w:line="276" w:before="253" w:after="283"/>
        <w:ind w:left="0" w:right="0" w:hanging="2"/>
        <w:jc w:val="left"/>
        <w:rPr/>
      </w:pPr>
      <w:r>
        <w:rPr>
          <w:rFonts w:ascii="Times New Roman;sans-serif" w:hAnsi="Times New Roman;sans-serif"/>
          <w:b w:val="false"/>
          <w:color w:val="282828"/>
          <w:sz w:val="24"/>
        </w:rPr>
        <w:t>SECTION 6.04    </w:t>
      </w:r>
      <w:r>
        <w:rPr>
          <w:rFonts w:ascii="Times New Roman;sans-serif" w:hAnsi="Times New Roman;sans-serif"/>
          <w:b w:val="false"/>
          <w:color w:val="282828"/>
          <w:sz w:val="24"/>
          <w:u w:val="single"/>
        </w:rPr>
        <w:t>Amendment</w:t>
      </w:r>
      <w:r>
        <w:rPr>
          <w:rFonts w:ascii="Times New Roman;sans-serif" w:hAnsi="Times New Roman;sans-serif"/>
          <w:b w:val="false"/>
          <w:color w:val="282828"/>
          <w:sz w:val="24"/>
        </w:rPr>
        <w:t>. This Agreement may not be altered, modified, or amended except by written instrument signed by the parties hereto.</w:t>
      </w:r>
    </w:p>
    <w:p>
      <w:pPr>
        <w:pStyle w:val="TextBody"/>
        <w:bidi w:val="0"/>
        <w:spacing w:lineRule="auto" w:line="240" w:before="250" w:after="283"/>
        <w:ind w:left="0" w:right="0" w:firstLine="1"/>
        <w:jc w:val="left"/>
        <w:rPr/>
      </w:pPr>
      <w:r>
        <w:rPr>
          <w:rFonts w:ascii="Times New Roman;sans-serif" w:hAnsi="Times New Roman;sans-serif"/>
          <w:b w:val="false"/>
          <w:color w:val="282828"/>
          <w:sz w:val="24"/>
        </w:rPr>
        <w:t>SECTION 6.05    </w:t>
      </w:r>
      <w:r>
        <w:rPr>
          <w:rFonts w:ascii="Times New Roman;sans-serif" w:hAnsi="Times New Roman;sans-serif"/>
          <w:b w:val="false"/>
          <w:color w:val="282828"/>
          <w:sz w:val="24"/>
          <w:u w:val="single"/>
        </w:rPr>
        <w:t>Notice</w:t>
      </w:r>
      <w:r>
        <w:rPr>
          <w:rFonts w:ascii="Times New Roman;sans-serif" w:hAnsi="Times New Roman;sans-serif"/>
          <w:b w:val="false"/>
          <w:color w:val="282828"/>
          <w:sz w:val="24"/>
        </w:rPr>
        <w:t>. All documents, notices, requests, demands and other communications that are required or permitted to be delivered or given under this Agreement shall be in writing and shall be deemed to have been duly delivered or given when received.</w:t>
      </w:r>
    </w:p>
    <w:p>
      <w:pPr>
        <w:pStyle w:val="TextBody"/>
        <w:bidi w:val="0"/>
        <w:spacing w:lineRule="auto" w:line="240" w:before="243" w:after="283"/>
        <w:jc w:val="left"/>
        <w:rPr>
          <w:rFonts w:ascii="Times New Roman;sans-serif" w:hAnsi="Times New Roman;sans-serif"/>
          <w:b w:val="false"/>
          <w:color w:val="282828"/>
          <w:sz w:val="24"/>
        </w:rPr>
      </w:pPr>
      <w:r>
        <w:rPr>
          <w:rFonts w:ascii="Times New Roman;sans-serif" w:hAnsi="Times New Roman;sans-serif"/>
          <w:b w:val="false"/>
          <w:color w:val="282828"/>
          <w:sz w:val="24"/>
        </w:rPr>
        <w:t>If to Employer:</w:t>
      </w:r>
    </w:p>
    <w:p>
      <w:pPr>
        <w:pStyle w:val="TextBody"/>
        <w:bidi w:val="0"/>
        <w:spacing w:lineRule="auto" w:line="280" w:before="3" w:after="283"/>
        <w:ind w:left="0" w:right="0" w:firstLine="3"/>
        <w:jc w:val="left"/>
        <w:rPr>
          <w:rFonts w:ascii="Times New Roman;sans-serif" w:hAnsi="Times New Roman;sans-serif"/>
          <w:b w:val="false"/>
          <w:color w:val="282828"/>
          <w:sz w:val="24"/>
        </w:rPr>
      </w:pPr>
      <w:r>
        <w:rPr>
          <w:rFonts w:ascii="Times New Roman;sans-serif" w:hAnsi="Times New Roman;sans-serif"/>
          <w:b w:val="false"/>
          <w:color w:val="282828"/>
          <w:sz w:val="24"/>
        </w:rPr>
        <w:t>Intermex Wire Transfer, LLC 9480 S. Dixie Hwy.</w:t>
      </w:r>
    </w:p>
    <w:p>
      <w:pPr>
        <w:pStyle w:val="TextBody"/>
        <w:bidi w:val="0"/>
        <w:spacing w:lineRule="auto" w:line="271" w:before="0" w:after="0"/>
        <w:jc w:val="left"/>
        <w:rPr>
          <w:rFonts w:ascii="Times New Roman;sans-serif" w:hAnsi="Times New Roman;sans-serif"/>
          <w:b w:val="false"/>
          <w:color w:val="282828"/>
          <w:sz w:val="24"/>
        </w:rPr>
      </w:pPr>
      <w:r>
        <w:rPr>
          <w:rFonts w:ascii="Times New Roman;sans-serif" w:hAnsi="Times New Roman;sans-serif"/>
          <w:b w:val="false"/>
          <w:color w:val="282828"/>
          <w:sz w:val="24"/>
        </w:rPr>
        <w:t>Miami, FL 33156</w:t>
      </w:r>
    </w:p>
    <w:p>
      <w:pPr>
        <w:pStyle w:val="TextBody"/>
        <w:bidi w:val="0"/>
        <w:spacing w:lineRule="auto" w:line="276" w:before="10" w:after="283"/>
        <w:ind w:left="0" w:right="0" w:firstLine="5"/>
        <w:jc w:val="left"/>
        <w:rPr/>
      </w:pPr>
      <w:r>
        <w:rPr>
          <w:rFonts w:ascii="Times New Roman;sans-serif" w:hAnsi="Times New Roman;sans-serif"/>
          <w:b w:val="false"/>
          <w:color w:val="282828"/>
          <w:sz w:val="24"/>
        </w:rPr>
        <w:t xml:space="preserve">Attention: Robert Lisy, CEO </w:t>
      </w:r>
      <w:r>
        <w:rPr>
          <w:rFonts w:ascii="Arial;sans-serif" w:hAnsi="Arial;sans-serif"/>
          <w:b w:val="false"/>
          <w:color w:val="282828"/>
          <w:sz w:val="20"/>
        </w:rPr>
        <w:t xml:space="preserve">I </w:t>
      </w:r>
      <w:r>
        <w:rPr>
          <w:rFonts w:ascii="Times New Roman;sans-serif" w:hAnsi="Times New Roman;sans-serif"/>
          <w:b w:val="false"/>
          <w:color w:val="282828"/>
          <w:sz w:val="24"/>
        </w:rPr>
        <w:t>President Telephone: (305) 671-8000 x 1403</w:t>
      </w:r>
    </w:p>
    <w:p>
      <w:pPr>
        <w:pStyle w:val="TextBody"/>
        <w:bidi w:val="0"/>
        <w:spacing w:lineRule="auto" w:line="240" w:before="9" w:after="283"/>
        <w:jc w:val="left"/>
        <w:rPr/>
      </w:pPr>
      <w:r>
        <w:rPr>
          <w:rFonts w:ascii="Times New Roman;sans-serif" w:hAnsi="Times New Roman;sans-serif"/>
          <w:b w:val="false"/>
          <w:color w:val="282828"/>
          <w:sz w:val="24"/>
        </w:rPr>
        <w:t xml:space="preserve">E-mail: </w:t>
      </w:r>
      <w:r>
        <w:rPr>
          <w:rFonts w:ascii="Times New Roman;sans-serif" w:hAnsi="Times New Roman;sans-serif"/>
          <w:b w:val="false"/>
          <w:color w:val="4B4B4B"/>
          <w:sz w:val="24"/>
          <w:u w:val="single"/>
        </w:rPr>
        <w:t>rlisy</w:t>
      </w:r>
      <w:r>
        <w:rPr>
          <w:rFonts w:ascii="Times New Roman;sans-serif" w:hAnsi="Times New Roman;sans-serif"/>
          <w:b w:val="false"/>
          <w:color w:val="5B5B5B"/>
          <w:sz w:val="24"/>
          <w:u w:val="single"/>
        </w:rPr>
        <w:t>@</w:t>
      </w:r>
      <w:r>
        <w:rPr>
          <w:rFonts w:ascii="Times New Roman;sans-serif" w:hAnsi="Times New Roman;sans-serif"/>
          <w:b w:val="false"/>
          <w:color w:val="3B3B3B"/>
          <w:sz w:val="24"/>
          <w:u w:val="single"/>
        </w:rPr>
        <w:t>in</w:t>
      </w:r>
      <w:r>
        <w:rPr>
          <w:rFonts w:ascii="Times New Roman;sans-serif" w:hAnsi="Times New Roman;sans-serif"/>
          <w:b w:val="false"/>
          <w:color w:val="5B5B5B"/>
          <w:sz w:val="24"/>
          <w:u w:val="single"/>
        </w:rPr>
        <w:t>ter</w:t>
      </w:r>
      <w:r>
        <w:rPr>
          <w:rFonts w:ascii="Times New Roman;sans-serif" w:hAnsi="Times New Roman;sans-serif"/>
          <w:b w:val="false"/>
          <w:color w:val="3B3B3B"/>
          <w:sz w:val="24"/>
          <w:u w:val="single"/>
        </w:rPr>
        <w:t>m</w:t>
      </w:r>
      <w:r>
        <w:rPr>
          <w:rFonts w:ascii="Times New Roman;sans-serif" w:hAnsi="Times New Roman;sans-serif"/>
          <w:b w:val="false"/>
          <w:color w:val="5B5B5B"/>
          <w:sz w:val="24"/>
          <w:u w:val="single"/>
        </w:rPr>
        <w:t>e</w:t>
      </w:r>
      <w:r>
        <w:rPr>
          <w:rFonts w:ascii="Times New Roman;sans-serif" w:hAnsi="Times New Roman;sans-serif"/>
          <w:b w:val="false"/>
          <w:color w:val="3B3B3B"/>
          <w:sz w:val="24"/>
          <w:u w:val="single"/>
        </w:rPr>
        <w:t>xu</w:t>
      </w:r>
      <w:r>
        <w:rPr>
          <w:rFonts w:ascii="Times New Roman;sans-serif" w:hAnsi="Times New Roman;sans-serif"/>
          <w:b w:val="false"/>
          <w:color w:val="5B5B5B"/>
          <w:sz w:val="24"/>
          <w:u w:val="single"/>
        </w:rPr>
        <w:t>sa</w:t>
      </w:r>
      <w:r>
        <w:rPr>
          <w:rFonts w:ascii="Times New Roman;sans-serif" w:hAnsi="Times New Roman;sans-serif"/>
          <w:b w:val="false"/>
          <w:color w:val="838383"/>
          <w:sz w:val="24"/>
          <w:u w:val="single"/>
        </w:rPr>
        <w:t>.</w:t>
      </w:r>
      <w:r>
        <w:rPr>
          <w:rFonts w:ascii="Times New Roman;sans-serif" w:hAnsi="Times New Roman;sans-serif"/>
          <w:b w:val="false"/>
          <w:color w:val="4B4B4B"/>
          <w:sz w:val="24"/>
          <w:u w:val="single"/>
        </w:rPr>
        <w:t>com</w:t>
      </w:r>
    </w:p>
    <w:p>
      <w:pPr>
        <w:pStyle w:val="TextBody"/>
        <w:bidi w:val="0"/>
        <w:spacing w:lineRule="auto" w:line="276" w:before="250" w:after="283"/>
        <w:ind w:left="0" w:right="0" w:firstLine="2"/>
        <w:jc w:val="left"/>
        <w:rPr/>
      </w:pPr>
      <w:r>
        <w:rPr>
          <w:rFonts w:ascii="Times New Roman;sans-serif" w:hAnsi="Times New Roman;sans-serif"/>
          <w:b w:val="false"/>
          <w:color w:val="282828"/>
          <w:sz w:val="24"/>
        </w:rPr>
        <w:t xml:space="preserve">with copies to: Ernesto Luciano, General Counsel at </w:t>
      </w:r>
      <w:r>
        <w:rPr>
          <w:rFonts w:ascii="Times New Roman;sans-serif" w:hAnsi="Times New Roman;sans-serif"/>
          <w:b w:val="false"/>
          <w:color w:val="282828"/>
          <w:sz w:val="24"/>
          <w:u w:val="single"/>
        </w:rPr>
        <w:t>eluciano@intermexusa.com</w:t>
      </w:r>
    </w:p>
    <w:p>
      <w:pPr>
        <w:pStyle w:val="TextBody"/>
        <w:bidi w:val="0"/>
        <w:spacing w:lineRule="auto" w:line="276" w:before="251" w:after="283"/>
        <w:ind w:left="0" w:right="0" w:firstLine="2"/>
        <w:jc w:val="left"/>
        <w:rPr>
          <w:rFonts w:ascii="Times New Roman;sans-serif" w:hAnsi="Times New Roman;sans-serif"/>
          <w:b w:val="false"/>
          <w:color w:val="282828"/>
          <w:sz w:val="24"/>
        </w:rPr>
      </w:pPr>
      <w:r>
        <w:rPr>
          <w:rFonts w:ascii="Times New Roman;sans-serif" w:hAnsi="Times New Roman;sans-serif"/>
          <w:b w:val="false"/>
          <w:color w:val="282828"/>
          <w:sz w:val="24"/>
        </w:rPr>
        <w:t>and if to Executive, to the Executive's last address on file with the Company.</w:t>
      </w:r>
    </w:p>
    <w:p>
      <w:pPr>
        <w:pStyle w:val="TextBody"/>
        <w:bidi w:val="0"/>
        <w:spacing w:lineRule="auto" w:line="276" w:before="247" w:after="283"/>
        <w:ind w:left="0" w:right="0" w:hanging="4"/>
        <w:jc w:val="left"/>
        <w:rPr>
          <w:rFonts w:ascii="Times New Roman;sans-serif" w:hAnsi="Times New Roman;sans-serif"/>
          <w:b w:val="false"/>
          <w:color w:val="282828"/>
          <w:sz w:val="24"/>
        </w:rPr>
      </w:pPr>
      <w:r>
        <w:rPr>
          <w:rFonts w:ascii="Times New Roman;sans-serif" w:hAnsi="Times New Roman;sans-serif"/>
          <w:b w:val="false"/>
          <w:color w:val="282828"/>
          <w:sz w:val="24"/>
        </w:rPr>
        <w:t>The parties may change the address to which notices under this Agreement shall be sent by providing written notice to the other in the manner specified above.</w:t>
      </w:r>
    </w:p>
    <w:p>
      <w:pPr>
        <w:pStyle w:val="TextBody"/>
        <w:bidi w:val="0"/>
        <w:spacing w:lineRule="auto" w:line="280" w:before="244" w:after="283"/>
        <w:ind w:left="0" w:right="0" w:firstLine="3"/>
        <w:jc w:val="left"/>
        <w:rPr/>
      </w:pPr>
      <w:r>
        <w:rPr>
          <w:rFonts w:ascii="Times New Roman;sans-serif" w:hAnsi="Times New Roman;sans-serif"/>
          <w:b w:val="false"/>
          <w:color w:val="282828"/>
          <w:sz w:val="24"/>
        </w:rPr>
        <w:t>SECTION 6.06    </w:t>
      </w:r>
      <w:r>
        <w:rPr>
          <w:rFonts w:ascii="Times New Roman;sans-serif" w:hAnsi="Times New Roman;sans-serif"/>
          <w:b w:val="false"/>
          <w:color w:val="3B3B3B"/>
          <w:sz w:val="24"/>
          <w:u w:val="single"/>
        </w:rPr>
        <w:t xml:space="preserve">Governing </w:t>
      </w:r>
      <w:r>
        <w:rPr>
          <w:rFonts w:ascii="Times New Roman;sans-serif" w:hAnsi="Times New Roman;sans-serif"/>
          <w:b w:val="false"/>
          <w:color w:val="4B4B4B"/>
          <w:sz w:val="24"/>
          <w:u w:val="single"/>
        </w:rPr>
        <w:t xml:space="preserve">Law and </w:t>
      </w:r>
      <w:r>
        <w:rPr>
          <w:rFonts w:ascii="Times New Roman;sans-serif" w:hAnsi="Times New Roman;sans-serif"/>
          <w:b w:val="false"/>
          <w:color w:val="282828"/>
          <w:sz w:val="24"/>
          <w:u w:val="single"/>
        </w:rPr>
        <w:t>Jurisdiction</w:t>
      </w:r>
      <w:r>
        <w:rPr>
          <w:rFonts w:ascii="Times New Roman;sans-serif" w:hAnsi="Times New Roman;sans-serif"/>
          <w:b w:val="false"/>
          <w:color w:val="282828"/>
          <w:sz w:val="24"/>
        </w:rPr>
        <w:t>.    (a) This Agreement and any disputes arising under or related hereto (whether for breach of contract, tortious conduct or otherwise)</w:t>
      </w:r>
    </w:p>
    <w:p>
      <w:pPr>
        <w:pStyle w:val="TextBody"/>
        <w:bidi w:val="0"/>
        <w:spacing w:before="66" w:after="283"/>
        <w:ind w:left="0" w:right="0" w:firstLine="15"/>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D2D2D"/>
          <w:sz w:val="24"/>
        </w:rPr>
      </w:pPr>
      <w:r>
        <w:rPr>
          <w:rFonts w:ascii="Times New Roman;sans-serif" w:hAnsi="Times New Roman;sans-serif"/>
          <w:b w:val="false"/>
          <w:color w:val="2D2D2D"/>
          <w:sz w:val="24"/>
        </w:rPr>
        <w:t>shall be governed and construed in accordance with the laws of the State of Florida, without reference to its conflicts of law principles. Each party irrevocably agrees that any legal action, suit or proceeding against them arising out of or in connection with this Agreement or the transactions contemplated by this Agreement or disputes relating hereto (whether for breach of contract, tortuous conduct or otherwise) shall be brought exclusively in the United States District Court for the Southern District of Florida, or, if such court does not have subject matter jurisdiction, the state courts of Florida located in Dade County and hereby irrevocably accepts and submits to the exclusive jurisdiction and venue of the aforesaid courts in personam, with respect to any such action, suit or proceeding.</w:t>
      </w:r>
    </w:p>
    <w:p>
      <w:pPr>
        <w:pStyle w:val="TextBody"/>
        <w:bidi w:val="0"/>
        <w:spacing w:lineRule="auto" w:line="280" w:before="246" w:after="283"/>
        <w:ind w:left="0" w:right="0" w:firstLine="6"/>
        <w:jc w:val="both"/>
        <w:rPr>
          <w:rFonts w:ascii="Times New Roman;sans-serif" w:hAnsi="Times New Roman;sans-serif"/>
          <w:b w:val="false"/>
          <w:color w:val="2D2D2D"/>
          <w:sz w:val="24"/>
        </w:rPr>
      </w:pPr>
      <w:r>
        <w:rPr>
          <w:rFonts w:ascii="Times New Roman;sans-serif" w:hAnsi="Times New Roman;sans-serif"/>
          <w:b w:val="false"/>
          <w:color w:val="2D2D2D"/>
          <w:sz w:val="24"/>
        </w:rPr>
        <w:t>(a)    Each party hereby waives, to the fullest extent permitted by applicable law, any right it may have to a trial by jury in respect to any litigation directly or indirectly arising out of, under or in connection with this Agreement. Each party (i) certifies that no representative, agent or attorney of any other party has represented, expressly or otherwise, that such other party would not, in the event of litigation, seek to enforce the foregoing waiver and</w:t>
      </w:r>
    </w:p>
    <w:p>
      <w:pPr>
        <w:pStyle w:val="TextBody"/>
        <w:bidi w:val="0"/>
        <w:spacing w:lineRule="auto" w:line="280" w:before="0" w:after="0"/>
        <w:ind w:left="0" w:right="0" w:hanging="8"/>
        <w:jc w:val="both"/>
        <w:rPr>
          <w:rFonts w:ascii="Times New Roman;sans-serif" w:hAnsi="Times New Roman;sans-serif"/>
          <w:b w:val="false"/>
          <w:color w:val="2D2D2D"/>
          <w:sz w:val="24"/>
        </w:rPr>
      </w:pPr>
      <w:r>
        <w:rPr>
          <w:rFonts w:ascii="Times New Roman;sans-serif" w:hAnsi="Times New Roman;sans-serif"/>
          <w:b w:val="false"/>
          <w:color w:val="2D2D2D"/>
          <w:sz w:val="24"/>
        </w:rPr>
        <w:t>(ii) acknowledges that it and the other parties hereto have been induced to enter into this Agreement by, among other things, the mutual waivers and certifications in this Section 6.06(b).</w:t>
      </w:r>
    </w:p>
    <w:p>
      <w:pPr>
        <w:pStyle w:val="TextBody"/>
        <w:bidi w:val="0"/>
        <w:spacing w:lineRule="auto" w:line="240" w:before="0" w:after="0"/>
        <w:ind w:left="0" w:right="0" w:hanging="4"/>
        <w:jc w:val="both"/>
        <w:rPr>
          <w:rFonts w:ascii="Times New Roman;sans-serif" w:hAnsi="Times New Roman;sans-serif"/>
          <w:b w:val="false"/>
          <w:color w:val="2D2D2D"/>
          <w:sz w:val="24"/>
        </w:rPr>
      </w:pPr>
      <w:r>
        <w:rPr>
          <w:rFonts w:ascii="Times New Roman;sans-serif" w:hAnsi="Times New Roman;sans-serif"/>
          <w:b w:val="false"/>
          <w:color w:val="2D2D2D"/>
          <w:sz w:val="24"/>
        </w:rPr>
        <w:t>(b)    The prevailing party in any dispute or legal action arising under this Agreement shall be entitled to recover its reasonable expenses, attorneys' fees and costs from the non-prevailing party.</w:t>
      </w:r>
    </w:p>
    <w:p>
      <w:pPr>
        <w:pStyle w:val="TextBody"/>
        <w:bidi w:val="0"/>
        <w:spacing w:lineRule="auto" w:line="280" w:before="244" w:after="283"/>
        <w:ind w:left="0" w:right="0" w:firstLine="12"/>
        <w:jc w:val="both"/>
        <w:rPr/>
      </w:pPr>
      <w:r>
        <w:rPr>
          <w:rFonts w:ascii="Times New Roman;sans-serif" w:hAnsi="Times New Roman;sans-serif"/>
          <w:b w:val="false"/>
          <w:color w:val="2D2D2D"/>
          <w:sz w:val="24"/>
        </w:rPr>
        <w:t>SECTION 6.07    </w:t>
      </w:r>
      <w:r>
        <w:rPr>
          <w:rFonts w:ascii="Times New Roman;sans-serif" w:hAnsi="Times New Roman;sans-serif"/>
          <w:b w:val="false"/>
          <w:color w:val="2D2D2D"/>
          <w:sz w:val="24"/>
          <w:u w:val="single"/>
        </w:rPr>
        <w:t>Severability</w:t>
      </w:r>
      <w:r>
        <w:rPr>
          <w:rFonts w:ascii="Times New Roman;sans-serif" w:hAnsi="Times New Roman;sans-serif"/>
          <w:b w:val="false"/>
          <w:color w:val="2D2D2D"/>
          <w:sz w:val="24"/>
        </w:rPr>
        <w:t>. If any term, provision, covenant or condition of this Agreement is held by a court of competent jurisdiction to be invalid, illegal, void or unenforceable in any jurisdiction, then such provision, covenant or condition shall, as to such jurisdiction, be modified or restricted to the extent necessary to make such provision valid, binding and enforceable, or, if such provision cannot be modified or restricted, then such provision shall, as to such jurisdiction, be deemed to be excised from this Agreement and any such invalidity, illegality or unenforceability with respect to such provision shall not invalidate or render unenforceable such provision in any other jurisdiction, and the remainder of the provisions hereof shall remain in full force and effect and shall in no way be affected, impaired or invalidated.</w:t>
      </w:r>
    </w:p>
    <w:p>
      <w:pPr>
        <w:pStyle w:val="TextBody"/>
        <w:bidi w:val="0"/>
        <w:spacing w:lineRule="auto" w:line="280" w:before="226" w:after="283"/>
        <w:ind w:left="0" w:right="0" w:hanging="2"/>
        <w:jc w:val="both"/>
        <w:rPr/>
      </w:pPr>
      <w:r>
        <w:rPr>
          <w:rFonts w:ascii="Times New Roman;sans-serif" w:hAnsi="Times New Roman;sans-serif"/>
          <w:b w:val="false"/>
          <w:color w:val="2D2D2D"/>
          <w:sz w:val="24"/>
        </w:rPr>
        <w:t>SECTION 6.08    </w:t>
      </w:r>
      <w:r>
        <w:rPr>
          <w:rFonts w:ascii="Times New Roman;sans-serif" w:hAnsi="Times New Roman;sans-serif"/>
          <w:b w:val="false"/>
          <w:color w:val="2D2D2D"/>
          <w:sz w:val="24"/>
          <w:u w:val="single"/>
        </w:rPr>
        <w:t>Survival</w:t>
      </w:r>
      <w:r>
        <w:rPr>
          <w:rFonts w:ascii="Times New Roman;sans-serif" w:hAnsi="Times New Roman;sans-serif"/>
          <w:b w:val="false"/>
          <w:color w:val="2D2D2D"/>
          <w:sz w:val="24"/>
        </w:rPr>
        <w:t>. The rights and obligations of Employer and Executive under the provisions of this Agreement, including Articles V and VI, shall survive and remain binding and enforceable, notwithstanding any termination of Executive's employment with Employer, to the extent necessary to preserve the intended benefits of such provisions.</w:t>
      </w:r>
    </w:p>
    <w:p>
      <w:pPr>
        <w:pStyle w:val="TextBody"/>
        <w:bidi w:val="0"/>
        <w:spacing w:lineRule="auto" w:line="280" w:before="240" w:after="283"/>
        <w:ind w:left="0" w:right="0" w:firstLine="6"/>
        <w:jc w:val="both"/>
        <w:rPr/>
      </w:pPr>
      <w:r>
        <w:rPr>
          <w:rFonts w:ascii="Times New Roman;sans-serif" w:hAnsi="Times New Roman;sans-serif"/>
          <w:b w:val="false"/>
          <w:color w:val="2D2D2D"/>
          <w:sz w:val="24"/>
        </w:rPr>
        <w:t>SECTION 6.09    </w:t>
      </w:r>
      <w:r>
        <w:rPr>
          <w:rFonts w:ascii="Times New Roman;sans-serif" w:hAnsi="Times New Roman;sans-serif"/>
          <w:b w:val="false"/>
          <w:color w:val="414141"/>
          <w:sz w:val="24"/>
          <w:u w:val="single"/>
        </w:rPr>
        <w:t>Cooperation</w:t>
      </w:r>
      <w:r>
        <w:rPr>
          <w:rFonts w:ascii="Times New Roman;sans-serif" w:hAnsi="Times New Roman;sans-serif"/>
          <w:b w:val="false"/>
          <w:color w:val="414141"/>
          <w:sz w:val="24"/>
        </w:rPr>
        <w:t xml:space="preserve">. </w:t>
      </w:r>
      <w:r>
        <w:rPr>
          <w:rFonts w:ascii="Times New Roman;sans-serif" w:hAnsi="Times New Roman;sans-serif"/>
          <w:b w:val="false"/>
          <w:color w:val="2D2D2D"/>
          <w:sz w:val="24"/>
        </w:rPr>
        <w:t>Executive shall provide Executive's reasonable cooperation to Employer in connection with any suit, action or proceeding (or any appeal therefrom) that relates to events occurring during Executive's employment with Employer or any of its affiliates other than a suit between Executive, on the one hand, and Employer, on the other hand, provided that Employer shall reimburse Executive for expenses reasonably incurred in connection with such cooperation.</w:t>
      </w:r>
    </w:p>
    <w:p>
      <w:pPr>
        <w:pStyle w:val="TextBody"/>
        <w:bidi w:val="0"/>
        <w:spacing w:lineRule="auto" w:line="280" w:before="231" w:after="283"/>
        <w:ind w:left="0" w:right="0" w:hanging="3"/>
        <w:jc w:val="both"/>
        <w:rPr/>
      </w:pPr>
      <w:r>
        <w:rPr>
          <w:rFonts w:ascii="Times New Roman;sans-serif" w:hAnsi="Times New Roman;sans-serif"/>
          <w:b w:val="false"/>
          <w:color w:val="2D2D2D"/>
          <w:sz w:val="24"/>
        </w:rPr>
        <w:t>SECTION 6.10    </w:t>
      </w:r>
      <w:r>
        <w:rPr>
          <w:rFonts w:ascii="Times New Roman;sans-serif" w:hAnsi="Times New Roman;sans-serif"/>
          <w:b w:val="false"/>
          <w:color w:val="2D2D2D"/>
          <w:sz w:val="24"/>
          <w:u w:val="single"/>
        </w:rPr>
        <w:t>Executive Representation</w:t>
      </w:r>
      <w:r>
        <w:rPr>
          <w:rFonts w:ascii="Times New Roman;sans-serif" w:hAnsi="Times New Roman;sans-serif"/>
          <w:b w:val="false"/>
          <w:color w:val="2D2D2D"/>
          <w:sz w:val="24"/>
        </w:rPr>
        <w:t>. Executive hereby represents to Employer that the execution and delivery of this Agreement by Executive and Employer and the performance</w:t>
      </w:r>
    </w:p>
    <w:p>
      <w:pPr>
        <w:pStyle w:val="TextBody"/>
        <w:bidi w:val="0"/>
        <w:spacing w:before="66" w:after="283"/>
        <w:ind w:left="0" w:right="0" w:firstLine="9"/>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F2F2F"/>
          <w:sz w:val="24"/>
        </w:rPr>
      </w:pPr>
      <w:r>
        <w:rPr>
          <w:rFonts w:ascii="Times New Roman;sans-serif" w:hAnsi="Times New Roman;sans-serif"/>
          <w:b w:val="false"/>
          <w:color w:val="2F2F2F"/>
          <w:sz w:val="24"/>
        </w:rPr>
        <w:t>by Executive of Executive's duties hereunder shall not constitute a breach of, or otherwise contravene, or be prevented, interfered with or hindered by, the terms of any employment agreement or other agreement or policy to which Executive is a party or otherwise bound.</w:t>
      </w:r>
    </w:p>
    <w:p>
      <w:pPr>
        <w:pStyle w:val="TextBody"/>
        <w:bidi w:val="0"/>
        <w:spacing w:lineRule="auto" w:line="280" w:before="239" w:after="283"/>
        <w:ind w:left="0" w:right="0" w:firstLine="3"/>
        <w:jc w:val="both"/>
        <w:rPr/>
      </w:pPr>
      <w:r>
        <w:rPr>
          <w:rFonts w:ascii="Times New Roman;sans-serif" w:hAnsi="Times New Roman;sans-serif"/>
          <w:b w:val="false"/>
          <w:color w:val="2F2F2F"/>
          <w:sz w:val="24"/>
        </w:rPr>
        <w:t>SECTION 6.11    </w:t>
      </w:r>
      <w:r>
        <w:rPr>
          <w:rFonts w:ascii="Times New Roman;sans-serif" w:hAnsi="Times New Roman;sans-serif"/>
          <w:b w:val="false"/>
          <w:color w:val="2F2F2F"/>
          <w:sz w:val="24"/>
          <w:u w:val="single"/>
        </w:rPr>
        <w:t>No Waiver</w:t>
      </w:r>
      <w:r>
        <w:rPr>
          <w:rFonts w:ascii="Times New Roman;sans-serif" w:hAnsi="Times New Roman;sans-serif"/>
          <w:b w:val="false"/>
          <w:color w:val="2F2F2F"/>
          <w:sz w:val="24"/>
        </w:rPr>
        <w:t>. The provisions of this Agreement may be waived only in writing signed by the party or parties entitled to the benefit thereof. A waiver or any breach or failure to enforce any provision of this Agreement shall not in any way affect, limit or waive a party's rights hereunder at any time to enforce strict compliance thereafter with every provision of this Agreement.</w:t>
      </w:r>
    </w:p>
    <w:p>
      <w:pPr>
        <w:pStyle w:val="TextBody"/>
        <w:bidi w:val="0"/>
        <w:spacing w:lineRule="auto" w:line="280" w:before="230" w:after="283"/>
        <w:ind w:left="0" w:right="0" w:firstLine="1"/>
        <w:jc w:val="both"/>
        <w:rPr/>
      </w:pPr>
      <w:r>
        <w:rPr>
          <w:rFonts w:ascii="Times New Roman;sans-serif" w:hAnsi="Times New Roman;sans-serif"/>
          <w:b w:val="false"/>
          <w:color w:val="2F2F2F"/>
          <w:sz w:val="24"/>
        </w:rPr>
        <w:t>SECTION 6.12    </w:t>
      </w:r>
      <w:r>
        <w:rPr>
          <w:rFonts w:ascii="Times New Roman;sans-serif" w:hAnsi="Times New Roman;sans-serif"/>
          <w:b w:val="false"/>
          <w:color w:val="2F2F2F"/>
          <w:sz w:val="24"/>
          <w:u w:val="single"/>
        </w:rPr>
        <w:t>Set Off</w:t>
      </w:r>
      <w:r>
        <w:rPr>
          <w:rFonts w:ascii="Times New Roman;sans-serif" w:hAnsi="Times New Roman;sans-serif"/>
          <w:b w:val="false"/>
          <w:color w:val="2F2F2F"/>
          <w:sz w:val="24"/>
        </w:rPr>
        <w:t>. Employer's obligation to pay Executive the amounts provided and to make the arrangements provided hereunder shall be subject to set-off, counterclaim or recoupment of amounts owed by Executive to Employer or its affiliates.</w:t>
      </w:r>
    </w:p>
    <w:p>
      <w:pPr>
        <w:pStyle w:val="TextBody"/>
        <w:bidi w:val="0"/>
        <w:spacing w:lineRule="auto" w:line="280" w:before="236" w:after="283"/>
        <w:ind w:left="0" w:right="0" w:firstLine="1"/>
        <w:jc w:val="both"/>
        <w:rPr/>
      </w:pPr>
      <w:r>
        <w:rPr>
          <w:rFonts w:ascii="Times New Roman;sans-serif" w:hAnsi="Times New Roman;sans-serif"/>
          <w:b w:val="false"/>
          <w:color w:val="2F2F2F"/>
          <w:sz w:val="24"/>
        </w:rPr>
        <w:t>SECTION 6.13    </w:t>
      </w:r>
      <w:r>
        <w:rPr>
          <w:rFonts w:ascii="Times New Roman;sans-serif" w:hAnsi="Times New Roman;sans-serif"/>
          <w:b w:val="false"/>
          <w:color w:val="2F2F2F"/>
          <w:sz w:val="24"/>
          <w:u w:val="single"/>
        </w:rPr>
        <w:t>Withholding Taxes</w:t>
      </w:r>
      <w:r>
        <w:rPr>
          <w:rFonts w:ascii="Times New Roman;sans-serif" w:hAnsi="Times New Roman;sans-serif"/>
          <w:b w:val="false"/>
          <w:color w:val="2F2F2F"/>
          <w:sz w:val="24"/>
        </w:rPr>
        <w:t>. Employer may withhold from any amounts payable under this Agreement such Federal, state, local and foreign taxes as may be required to be withheld pursuant to any applicable law or regulation.</w:t>
      </w:r>
    </w:p>
    <w:p>
      <w:pPr>
        <w:pStyle w:val="TextBody"/>
        <w:bidi w:val="0"/>
        <w:spacing w:lineRule="auto" w:line="240" w:before="240" w:after="283"/>
        <w:ind w:left="0" w:right="0" w:firstLine="3"/>
        <w:jc w:val="both"/>
        <w:rPr/>
      </w:pPr>
      <w:r>
        <w:rPr>
          <w:rFonts w:ascii="Times New Roman;sans-serif" w:hAnsi="Times New Roman;sans-serif"/>
          <w:b w:val="false"/>
          <w:color w:val="2F2F2F"/>
          <w:sz w:val="24"/>
        </w:rPr>
        <w:t>SECTION 6.14    </w:t>
      </w:r>
      <w:r>
        <w:rPr>
          <w:rFonts w:ascii="Times New Roman;sans-serif" w:hAnsi="Times New Roman;sans-serif"/>
          <w:b w:val="false"/>
          <w:color w:val="2F2F2F"/>
          <w:sz w:val="24"/>
          <w:u w:val="single"/>
        </w:rPr>
        <w:t>Section 409A</w:t>
      </w:r>
      <w:r>
        <w:rPr>
          <w:rFonts w:ascii="Times New Roman;sans-serif" w:hAnsi="Times New Roman;sans-serif"/>
          <w:b w:val="false"/>
          <w:color w:val="2F2F2F"/>
          <w:sz w:val="24"/>
        </w:rPr>
        <w:t>. (a) It is intended that the provisions of this Agreement comply with Section 409A ("</w:t>
      </w:r>
      <w:r>
        <w:rPr>
          <w:rFonts w:ascii="Times New Roman;sans-serif" w:hAnsi="Times New Roman;sans-serif"/>
          <w:b w:val="false"/>
          <w:color w:val="2F2F2F"/>
          <w:sz w:val="24"/>
          <w:u w:val="single"/>
        </w:rPr>
        <w:t xml:space="preserve">Section </w:t>
      </w:r>
      <w:r>
        <w:rPr>
          <w:rFonts w:ascii="Times New Roman;sans-serif" w:hAnsi="Times New Roman;sans-serif"/>
          <w:b w:val="false"/>
          <w:color w:val="444444"/>
          <w:sz w:val="24"/>
          <w:u w:val="single"/>
        </w:rPr>
        <w:t>409A</w:t>
      </w:r>
      <w:r>
        <w:rPr>
          <w:rFonts w:ascii="Times New Roman;sans-serif" w:hAnsi="Times New Roman;sans-serif"/>
          <w:b w:val="false"/>
          <w:color w:val="444444"/>
          <w:sz w:val="24"/>
        </w:rPr>
        <w:t xml:space="preserve">") </w:t>
      </w:r>
      <w:r>
        <w:rPr>
          <w:rFonts w:ascii="Times New Roman;sans-serif" w:hAnsi="Times New Roman;sans-serif"/>
          <w:b w:val="false"/>
          <w:color w:val="2F2F2F"/>
          <w:sz w:val="24"/>
        </w:rPr>
        <w:t>of the Internal Revenue Code of 1986, as amended, and all provisions of this Agreement shall be construed and interpreted in a manner consistent with the requirements for avoiding taxes or penalties under Section 409A.</w:t>
      </w:r>
    </w:p>
    <w:p>
      <w:pPr>
        <w:pStyle w:val="TextBody"/>
        <w:bidi w:val="0"/>
        <w:spacing w:lineRule="auto" w:line="280" w:before="242" w:after="283"/>
        <w:ind w:left="0" w:right="0" w:firstLine="1450"/>
        <w:jc w:val="both"/>
        <w:rPr/>
      </w:pPr>
      <w:r>
        <w:rPr>
          <w:rFonts w:ascii="Times New Roman;sans-serif" w:hAnsi="Times New Roman;sans-serif"/>
          <w:b w:val="false"/>
          <w:color w:val="2F2F2F"/>
          <w:sz w:val="24"/>
        </w:rPr>
        <w:t>(b)    Neither Executive nor any of his creditors or beneficiaries shall have the right to subject any deferred compensation (within the meaning of Section 409A) payable under this Agreement or under any other plan, policy, arrangement or agreement of or with Employer or any of its affiliates (this Agreement and such other plans, policies, arrangements and agreements, the (</w:t>
      </w:r>
      <w:r>
        <w:rPr>
          <w:rFonts w:ascii="Times New Roman;sans-serif" w:hAnsi="Times New Roman;sans-serif"/>
          <w:b w:val="false"/>
          <w:color w:val="444444"/>
          <w:sz w:val="24"/>
        </w:rPr>
        <w:t>"</w:t>
      </w:r>
      <w:r>
        <w:rPr>
          <w:rFonts w:ascii="Times New Roman;sans-serif" w:hAnsi="Times New Roman;sans-serif"/>
          <w:b w:val="false"/>
          <w:color w:val="2F2F2F"/>
          <w:sz w:val="24"/>
          <w:u w:val="single"/>
        </w:rPr>
        <w:t>Company Plans</w:t>
      </w:r>
      <w:r>
        <w:rPr>
          <w:rFonts w:ascii="Times New Roman;sans-serif" w:hAnsi="Times New Roman;sans-serif"/>
          <w:b w:val="false"/>
          <w:color w:val="2F2F2F"/>
          <w:sz w:val="24"/>
        </w:rPr>
        <w:t>") to any anticipation, alienation, sale, transfer, assignment, pledge, encumbrance, attachment or garnishment. Except as permitted under Section 409A, any deferred compensation (within the meaning of Section 409A) payable to Executive or for Executive's benefit under any Company Plan may not be reduced by, or offset against, any amount owing by Executive to Employer or any of its affiliates.</w:t>
      </w:r>
    </w:p>
    <w:p>
      <w:pPr>
        <w:pStyle w:val="TextBody"/>
        <w:bidi w:val="0"/>
        <w:spacing w:lineRule="auto" w:line="280" w:before="231" w:after="283"/>
        <w:ind w:left="0" w:right="0" w:firstLine="1453"/>
        <w:jc w:val="both"/>
        <w:rPr>
          <w:rFonts w:ascii="Times New Roman;sans-serif" w:hAnsi="Times New Roman;sans-serif"/>
          <w:b w:val="false"/>
          <w:color w:val="2F2F2F"/>
          <w:sz w:val="24"/>
        </w:rPr>
      </w:pPr>
      <w:r>
        <w:rPr>
          <w:rFonts w:ascii="Times New Roman;sans-serif" w:hAnsi="Times New Roman;sans-serif"/>
          <w:b w:val="false"/>
          <w:color w:val="2F2F2F"/>
          <w:sz w:val="24"/>
        </w:rPr>
        <w:t>(c)    If, at the time of Executive's separation from service (within the meaning of Section 409A), (i) Executive shall be a specified employee (within the meaning of Section 409A and using the identification methodology selected by Employer from time to time) and (ii) Employer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Employer (or its affiliate, as applicable) shall not pay such amount on the otherwise scheduled payment date but shall instead accumulate such amount and pay it on the first business day after such six-month period.</w:t>
      </w:r>
    </w:p>
    <w:p>
      <w:pPr>
        <w:pStyle w:val="TextBody"/>
        <w:bidi w:val="0"/>
        <w:spacing w:before="0" w:after="0"/>
        <w:ind w:left="0" w:right="0" w:firstLine="1443"/>
        <w:jc w:val="both"/>
        <w:rPr/>
      </w:pPr>
      <w:r>
        <w:rPr/>
      </w:r>
    </w:p>
    <w:p>
      <w:pPr>
        <w:pStyle w:val="TextBody"/>
        <w:bidi w:val="0"/>
        <w:spacing w:lineRule="auto" w:line="240" w:before="0" w:after="0"/>
        <w:ind w:left="0" w:right="0" w:firstLine="1350"/>
        <w:jc w:val="both"/>
        <w:rPr>
          <w:rFonts w:ascii="Times New Roman;sans-serif" w:hAnsi="Times New Roman;sans-serif"/>
          <w:b w:val="false"/>
          <w:color w:val="2F2F2F"/>
          <w:sz w:val="24"/>
        </w:rPr>
      </w:pPr>
      <w:r>
        <w:rPr>
          <w:rFonts w:ascii="Times New Roman;sans-serif" w:hAnsi="Times New Roman;sans-serif"/>
          <w:b w:val="false"/>
          <w:color w:val="2F2F2F"/>
          <w:sz w:val="24"/>
        </w:rPr>
        <w:t>(d)    Notwithstanding any provision of this Agreement or any Company Plan to the contrary, in light of the uncertainty with respect to the proper application of Section 409A, Employer reserves the right to make amendments to any Company Plan as Employer deems necessary or desirable to avoid the imposition of taxes or penalties under Section 409A. In any</w:t>
      </w:r>
    </w:p>
    <w:p>
      <w:pPr>
        <w:pStyle w:val="TextBody"/>
        <w:bidi w:val="0"/>
        <w:spacing w:before="61" w:after="283"/>
        <w:ind w:left="0" w:right="0" w:firstLine="9"/>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2F2F2F"/>
          <w:sz w:val="24"/>
        </w:rPr>
      </w:pPr>
      <w:r>
        <w:rPr>
          <w:rFonts w:ascii="Times New Roman;sans-serif" w:hAnsi="Times New Roman;sans-serif"/>
          <w:b w:val="false"/>
          <w:color w:val="2F2F2F"/>
          <w:sz w:val="24"/>
        </w:rPr>
        <w:t>case, Executive is solely responsible and liable for the satisfaction of all taxes and penalties that may be imposed on Executive or for Executive's account in connection with any Company Plan (including any taxes and penalties under Section 409A), and neither the Employer nor any affiliate shall have any obligation to indemnify or otherwise hold Executive harmless from any or all of such taxes or penalties.</w:t>
      </w:r>
    </w:p>
    <w:p>
      <w:pPr>
        <w:pStyle w:val="TextBody"/>
        <w:bidi w:val="0"/>
        <w:spacing w:lineRule="auto" w:line="276" w:before="247" w:after="283"/>
        <w:ind w:left="0" w:right="0" w:firstLine="1436"/>
        <w:jc w:val="both"/>
        <w:rPr>
          <w:rFonts w:ascii="Times New Roman;sans-serif" w:hAnsi="Times New Roman;sans-serif"/>
          <w:b w:val="false"/>
          <w:color w:val="2F2F2F"/>
          <w:sz w:val="24"/>
        </w:rPr>
      </w:pPr>
      <w:r>
        <w:rPr>
          <w:rFonts w:ascii="Times New Roman;sans-serif" w:hAnsi="Times New Roman;sans-serif"/>
          <w:b w:val="false"/>
          <w:color w:val="2F2F2F"/>
          <w:sz w:val="24"/>
        </w:rPr>
        <w:t>(e)    For purposes of Section 409A, each payment hereunder will be deemed to be a separate payment as permitted under Treasury Regulation Section 1.409A-2(b)(2)(iii).</w:t>
      </w:r>
    </w:p>
    <w:p>
      <w:pPr>
        <w:pStyle w:val="TextBody"/>
        <w:bidi w:val="0"/>
        <w:spacing w:lineRule="auto" w:line="280" w:before="244" w:after="283"/>
        <w:ind w:left="0" w:right="0" w:firstLine="1451"/>
        <w:jc w:val="both"/>
        <w:rPr>
          <w:rFonts w:ascii="Times New Roman;sans-serif" w:hAnsi="Times New Roman;sans-serif"/>
          <w:b w:val="false"/>
          <w:color w:val="2F2F2F"/>
          <w:sz w:val="24"/>
        </w:rPr>
      </w:pPr>
      <w:r>
        <w:rPr>
          <w:rFonts w:ascii="Times New Roman;sans-serif" w:hAnsi="Times New Roman;sans-serif"/>
          <w:b w:val="false"/>
          <w:color w:val="2F2F2F"/>
          <w:sz w:val="24"/>
        </w:rPr>
        <w:t>(f)    Except as specifically permitted by Section 409A, any benefits and reimbursements provided to Executive under this Agreement during any calendar year shall not affect any benefits and reimbursements to be provided to Executive under this Agreement in any other calendar year, and the right to such benefits and reimbursements cannot be liquidated or exchanged for any other benefit. Furthermore, reimbursement payments shall be made to Executive as soon as practicable following the date that the applicable expense is incurred, but in no event later than the last day of the calendar year following the calendar year in which the underlying expense is incurred.</w:t>
      </w:r>
    </w:p>
    <w:p>
      <w:pPr>
        <w:pStyle w:val="TextBody"/>
        <w:bidi w:val="0"/>
        <w:spacing w:lineRule="auto" w:line="280" w:before="226" w:after="283"/>
        <w:ind w:left="0" w:right="0" w:firstLine="16"/>
        <w:jc w:val="both"/>
        <w:rPr/>
      </w:pPr>
      <w:r>
        <w:rPr>
          <w:rFonts w:ascii="Times New Roman;sans-serif" w:hAnsi="Times New Roman;sans-serif"/>
          <w:b w:val="false"/>
          <w:color w:val="2F2F2F"/>
          <w:sz w:val="24"/>
        </w:rPr>
        <w:t>SECTION 6.15    </w:t>
      </w:r>
      <w:r>
        <w:rPr>
          <w:rFonts w:ascii="Times New Roman;sans-serif" w:hAnsi="Times New Roman;sans-serif"/>
          <w:b w:val="false"/>
          <w:color w:val="2F2F2F"/>
          <w:sz w:val="24"/>
          <w:u w:val="single"/>
        </w:rPr>
        <w:t>Release</w:t>
      </w:r>
      <w:r>
        <w:rPr>
          <w:rFonts w:ascii="Times New Roman;sans-serif" w:hAnsi="Times New Roman;sans-serif"/>
          <w:b w:val="false"/>
          <w:color w:val="2F2F2F"/>
          <w:sz w:val="24"/>
        </w:rPr>
        <w:t>. In consideration of Employer's entering into this Agreement and Employer's obligations hereunder, Executive hereby irrevocably waives, releases and forever discharges Employer and its affiliates and their predecessors, successors, current and former employees, shareholders, members, partners, directors, officers, representatives and agents from any and all actions, causes of action, claims, demands for general or specific or punitive damages, attorney's fees, or expenses, known or unknown, that in any way relate to or arise out of Executive's employment with Employer through and including the date of this Agreement which Executive may now or hereafter have, including claims under any Federal, state or local statute, rule or regulation or principle of common, tort or contract law.</w:t>
      </w:r>
    </w:p>
    <w:p>
      <w:pPr>
        <w:pStyle w:val="TextBody"/>
        <w:bidi w:val="0"/>
        <w:spacing w:lineRule="auto" w:line="240" w:before="231" w:after="283"/>
        <w:ind w:left="0" w:right="0" w:firstLine="1"/>
        <w:jc w:val="both"/>
        <w:rPr/>
      </w:pPr>
      <w:r>
        <w:rPr>
          <w:rFonts w:ascii="Times New Roman;sans-serif" w:hAnsi="Times New Roman;sans-serif"/>
          <w:b w:val="false"/>
          <w:color w:val="2F2F2F"/>
          <w:sz w:val="24"/>
        </w:rPr>
        <w:t>SECTION 6.16    </w:t>
      </w:r>
      <w:r>
        <w:rPr>
          <w:rFonts w:ascii="Times New Roman;sans-serif" w:hAnsi="Times New Roman;sans-serif"/>
          <w:b w:val="false"/>
          <w:color w:val="2F2F2F"/>
          <w:sz w:val="24"/>
          <w:u w:val="single"/>
        </w:rPr>
        <w:t>Determinations</w:t>
      </w:r>
      <w:r>
        <w:rPr>
          <w:rFonts w:ascii="Times New Roman;sans-serif" w:hAnsi="Times New Roman;sans-serif"/>
          <w:b w:val="false"/>
          <w:color w:val="2F2F2F"/>
          <w:sz w:val="24"/>
        </w:rPr>
        <w:t>. Unless otherwise expressly provided in this Agreement, all determinations of Employer or the Board shall be in the sole discretion of Employer or the Board, as applicable.</w:t>
      </w:r>
    </w:p>
    <w:p>
      <w:pPr>
        <w:pStyle w:val="TextBody"/>
        <w:bidi w:val="0"/>
        <w:spacing w:lineRule="auto" w:line="280" w:before="243" w:after="283"/>
        <w:ind w:left="0" w:right="0" w:firstLine="3"/>
        <w:jc w:val="both"/>
        <w:rPr/>
      </w:pPr>
      <w:r>
        <w:rPr>
          <w:rFonts w:ascii="Times New Roman;sans-serif" w:hAnsi="Times New Roman;sans-serif"/>
          <w:b w:val="false"/>
          <w:color w:val="2F2F2F"/>
          <w:sz w:val="24"/>
        </w:rPr>
        <w:t>SECTION 6.17    </w:t>
      </w:r>
      <w:r>
        <w:rPr>
          <w:rFonts w:ascii="Times New Roman;sans-serif" w:hAnsi="Times New Roman;sans-serif"/>
          <w:b w:val="false"/>
          <w:color w:val="424242"/>
          <w:sz w:val="24"/>
          <w:u w:val="single"/>
        </w:rPr>
        <w:t>Counterparts</w:t>
      </w:r>
      <w:r>
        <w:rPr>
          <w:rFonts w:ascii="Times New Roman;sans-serif" w:hAnsi="Times New Roman;sans-serif"/>
          <w:b w:val="false"/>
          <w:color w:val="424242"/>
          <w:sz w:val="24"/>
        </w:rPr>
        <w:t xml:space="preserve">. </w:t>
      </w:r>
      <w:r>
        <w:rPr>
          <w:rFonts w:ascii="Times New Roman;sans-serif" w:hAnsi="Times New Roman;sans-serif"/>
          <w:b w:val="false"/>
          <w:color w:val="2F2F2F"/>
          <w:sz w:val="24"/>
        </w:rPr>
        <w:t>This Agreement may be executed in any number of counterparts, each of which shall be deemed to be an original instrument and all of which together shall constitute a single instrument.</w:t>
      </w:r>
    </w:p>
    <w:p>
      <w:pPr>
        <w:pStyle w:val="TextBody"/>
        <w:bidi w:val="0"/>
        <w:spacing w:lineRule="auto" w:line="240" w:before="241" w:after="283"/>
        <w:ind w:left="0" w:right="0" w:firstLine="3"/>
        <w:jc w:val="both"/>
        <w:rPr/>
      </w:pPr>
      <w:r>
        <w:rPr>
          <w:rFonts w:ascii="Times New Roman;sans-serif" w:hAnsi="Times New Roman;sans-serif"/>
          <w:b w:val="false"/>
          <w:color w:val="2F2F2F"/>
          <w:sz w:val="24"/>
        </w:rPr>
        <w:t>SECTION 6.18    </w:t>
      </w:r>
      <w:r>
        <w:rPr>
          <w:rFonts w:ascii="Times New Roman;sans-serif" w:hAnsi="Times New Roman;sans-serif"/>
          <w:b w:val="false"/>
          <w:color w:val="2F2F2F"/>
          <w:sz w:val="24"/>
          <w:u w:val="single"/>
        </w:rPr>
        <w:t>Construction</w:t>
      </w:r>
      <w:r>
        <w:rPr>
          <w:rFonts w:ascii="Times New Roman;sans-serif" w:hAnsi="Times New Roman;sans-serif"/>
          <w:b w:val="false"/>
          <w:color w:val="2F2F2F"/>
          <w:sz w:val="24"/>
        </w:rPr>
        <w:t>. (a) The headings in this Agreement are for convenience only and shall not control or affect the meaning or construction of any provision of this Agreement.</w:t>
      </w:r>
    </w:p>
    <w:p>
      <w:pPr>
        <w:pStyle w:val="TextBody"/>
        <w:bidi w:val="0"/>
        <w:spacing w:lineRule="auto" w:line="280" w:before="243" w:after="283"/>
        <w:ind w:left="0" w:right="0" w:firstLine="1452"/>
        <w:jc w:val="both"/>
        <w:rPr/>
      </w:pPr>
      <w:r>
        <w:rPr>
          <w:rFonts w:ascii="Times New Roman;sans-serif" w:hAnsi="Times New Roman;sans-serif"/>
          <w:b w:val="false"/>
          <w:color w:val="2F2F2F"/>
          <w:sz w:val="24"/>
        </w:rPr>
        <w:t xml:space="preserve">(b) As used in this Agreement, words such as "herein," "hereinafter," </w:t>
      </w:r>
      <w:r>
        <w:rPr>
          <w:rFonts w:ascii="Times New Roman;sans-serif" w:hAnsi="Times New Roman;sans-serif"/>
          <w:b w:val="false"/>
          <w:color w:val="424242"/>
          <w:sz w:val="24"/>
        </w:rPr>
        <w:t xml:space="preserve">"hereby" </w:t>
      </w:r>
      <w:r>
        <w:rPr>
          <w:rFonts w:ascii="Times New Roman;sans-serif" w:hAnsi="Times New Roman;sans-serif"/>
          <w:b w:val="false"/>
          <w:color w:val="2F2F2F"/>
          <w:sz w:val="24"/>
        </w:rPr>
        <w:t>and "hereunder," and words of like import refer to this Agreement, unless the context requires otherwise. The words "include," "includes" and "including" shall be deemed to be followed by the phrase "without limitation".</w:t>
      </w:r>
    </w:p>
    <w:p>
      <w:pPr>
        <w:pStyle w:val="TextBody"/>
        <w:bidi w:val="0"/>
        <w:spacing w:lineRule="auto" w:line="240" w:before="241" w:after="283"/>
        <w:jc w:val="center"/>
        <w:rPr>
          <w:rFonts w:ascii="Times New Roman;sans-serif" w:hAnsi="Times New Roman;sans-serif"/>
          <w:b w:val="false"/>
          <w:color w:val="2F2F2F"/>
          <w:sz w:val="24"/>
        </w:rPr>
      </w:pPr>
      <w:r>
        <w:rPr>
          <w:rFonts w:ascii="Times New Roman;sans-serif" w:hAnsi="Times New Roman;sans-serif"/>
          <w:b w:val="false"/>
          <w:color w:val="2F2F2F"/>
          <w:sz w:val="24"/>
        </w:rPr>
        <w:t>[REMAINDER OF THIS PAGE INTENTIONALLY LEFT BLANK]</w:t>
      </w:r>
    </w:p>
    <w:p>
      <w:pPr>
        <w:pStyle w:val="TextBody"/>
        <w:bidi w:val="0"/>
        <w:spacing w:before="67" w:after="283"/>
        <w:ind w:left="0" w:right="0" w:firstLine="144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350"/>
        <w:jc w:val="left"/>
        <w:rPr>
          <w:rFonts w:ascii="Times New Roman;sans-serif" w:hAnsi="Times New Roman;sans-serif"/>
          <w:b w:val="false"/>
          <w:color w:val="2F2F2F"/>
          <w:sz w:val="23"/>
        </w:rPr>
      </w:pPr>
      <w:r>
        <w:rPr>
          <w:rFonts w:ascii="Times New Roman;sans-serif" w:hAnsi="Times New Roman;sans-serif"/>
          <w:b w:val="false"/>
          <w:color w:val="2F2F2F"/>
          <w:sz w:val="23"/>
        </w:rPr>
        <w:t>IN WITNESS WHEREOF, the parties have duly executed this Agreement as of the date first written above.</w:t>
      </w:r>
    </w:p>
    <w:p>
      <w:pPr>
        <w:pStyle w:val="TextBody"/>
        <w:bidi w:val="0"/>
        <w:spacing w:before="0" w:after="0"/>
        <w:jc w:val="left"/>
        <w:rPr/>
      </w:pPr>
      <w:r>
        <w:rPr/>
      </w:r>
    </w:p>
    <w:p>
      <w:pPr>
        <w:pStyle w:val="TextBody"/>
        <w:bidi w:val="0"/>
        <w:spacing w:before="244" w:after="283"/>
        <w:jc w:val="left"/>
        <w:rPr/>
      </w:pPr>
      <w:r>
        <w:rPr/>
      </w:r>
    </w:p>
    <w:p>
      <w:pPr>
        <w:pStyle w:val="TextBody"/>
        <w:bidi w:val="0"/>
        <w:spacing w:lineRule="auto" w:line="240" w:before="0" w:after="0"/>
        <w:jc w:val="left"/>
        <w:rPr>
          <w:rFonts w:ascii="Times New Roman;sans-serif" w:hAnsi="Times New Roman;sans-serif"/>
          <w:b/>
          <w:color w:val="2F2F2F"/>
          <w:sz w:val="23"/>
        </w:rPr>
      </w:pPr>
      <w:r>
        <w:rPr>
          <w:rFonts w:ascii="Times New Roman;sans-serif" w:hAnsi="Times New Roman;sans-serif"/>
          <w:b/>
          <w:color w:val="2F2F2F"/>
          <w:sz w:val="23"/>
        </w:rPr>
        <w:t>INTERNATIONAL MONEY EXPRESS, INC.,</w:t>
      </w:r>
    </w:p>
    <w:p>
      <w:pPr>
        <w:pStyle w:val="TextBody"/>
        <w:bidi w:val="0"/>
        <w:spacing w:lineRule="auto" w:line="240" w:before="9" w:after="283"/>
        <w:jc w:val="left"/>
        <w:rPr>
          <w:rFonts w:ascii="Times New Roman;sans-serif" w:hAnsi="Times New Roman;sans-serif"/>
          <w:b w:val="false"/>
          <w:color w:val="2F2F2F"/>
          <w:sz w:val="23"/>
        </w:rPr>
      </w:pPr>
      <w:r>
        <w:rPr>
          <w:rFonts w:ascii="Times New Roman;sans-serif" w:hAnsi="Times New Roman;sans-serif"/>
          <w:b w:val="false"/>
          <w:color w:val="2F2F2F"/>
          <w:sz w:val="23"/>
        </w:rPr>
        <w:t>"Employer"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3"/>
        </w:rPr>
        <w:t xml:space="preserve">By </w:t>
      </w:r>
      <w:r>
        <w:rPr>
          <w:rFonts w:ascii="Times New Roman;sans-serif" w:hAnsi="Times New Roman;sans-serif"/>
          <w:b w:val="false"/>
          <w:color w:val="000000"/>
          <w:sz w:val="23"/>
          <w:u w:val="single"/>
        </w:rPr>
        <w:t xml:space="preserve">/s/ Robert Lisy </w:t>
      </w:r>
    </w:p>
    <w:p>
      <w:pPr>
        <w:pStyle w:val="TextBody"/>
        <w:bidi w:val="0"/>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Name: Robert W. Lisy</w:t>
      </w:r>
    </w:p>
    <w:p>
      <w:pPr>
        <w:pStyle w:val="TextBody"/>
        <w:bidi w:val="0"/>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Title: Chief Executive Officer (CEO)|</w:t>
      </w:r>
    </w:p>
    <w:p>
      <w:pPr>
        <w:pStyle w:val="TextBody"/>
        <w:bidi w:val="0"/>
        <w:spacing w:lineRule="auto" w:line="240" w:before="0" w:after="0"/>
        <w:jc w:val="left"/>
        <w:rPr>
          <w:rFonts w:ascii="Times New Roman;sans-serif" w:hAnsi="Times New Roman;sans-serif"/>
          <w:b w:val="false"/>
          <w:color w:val="000000"/>
          <w:sz w:val="23"/>
        </w:rPr>
      </w:pPr>
      <w:r>
        <w:rPr>
          <w:rFonts w:ascii="Times New Roman;sans-serif" w:hAnsi="Times New Roman;sans-serif"/>
          <w:b w:val="false"/>
          <w:color w:val="000000"/>
          <w:sz w:val="23"/>
        </w:rPr>
        <w:t>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3"/>
        </w:rPr>
      </w:pPr>
      <w:r>
        <w:rPr>
          <w:rFonts w:ascii="Times New Roman;sans-serif" w:hAnsi="Times New Roman;sans-serif"/>
          <w:b/>
          <w:color w:val="000000"/>
          <w:sz w:val="23"/>
        </w:rPr>
        <w:t>CHRISTOPHER D. HUNT</w:t>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3"/>
        </w:rPr>
        <w:t>Employee”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3"/>
        </w:rPr>
        <w:t xml:space="preserve">By </w:t>
      </w:r>
      <w:r>
        <w:rPr>
          <w:rFonts w:ascii="Times New Roman;sans-serif" w:hAnsi="Times New Roman;sans-serif"/>
          <w:b w:val="false"/>
          <w:color w:val="000000"/>
          <w:sz w:val="23"/>
          <w:u w:val="single"/>
        </w:rPr>
        <w:t xml:space="preserve">/s/ Christopher Hunt </w:t>
      </w:r>
    </w:p>
    <w:p>
      <w:pPr>
        <w:pStyle w:val="TextBody"/>
        <w:bidi w:val="0"/>
        <w:spacing w:before="243"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242424"/>
          <w:sz w:val="23"/>
        </w:rPr>
      </w:pPr>
      <w:r>
        <w:rPr>
          <w:rFonts w:ascii="Times New Roman;sans-serif" w:hAnsi="Times New Roman;sans-serif"/>
          <w:b/>
          <w:color w:val="242424"/>
          <w:sz w:val="23"/>
        </w:rPr>
        <w:t>EXHIBIT A</w:t>
      </w:r>
    </w:p>
    <w:p>
      <w:pPr>
        <w:pStyle w:val="TextBody"/>
        <w:bidi w:val="0"/>
        <w:spacing w:before="211" w:after="283"/>
        <w:jc w:val="left"/>
        <w:rPr/>
      </w:pPr>
      <w:r>
        <w:rPr/>
      </w:r>
    </w:p>
    <w:p>
      <w:pPr>
        <w:pStyle w:val="TextBody"/>
        <w:bidi w:val="0"/>
        <w:spacing w:lineRule="auto" w:line="240" w:before="0" w:after="0"/>
        <w:jc w:val="left"/>
        <w:rPr>
          <w:rFonts w:ascii="Times New Roman;sans-serif" w:hAnsi="Times New Roman;sans-serif"/>
          <w:b/>
          <w:color w:val="242424"/>
          <w:sz w:val="23"/>
        </w:rPr>
      </w:pPr>
      <w:r>
        <w:rPr>
          <w:rFonts w:ascii="Times New Roman;sans-serif" w:hAnsi="Times New Roman;sans-serif"/>
          <w:b/>
          <w:color w:val="242424"/>
          <w:sz w:val="23"/>
        </w:rPr>
        <w:t>Prior Inventions:</w:t>
      </w:r>
    </w:p>
    <w:p>
      <w:pPr>
        <w:pStyle w:val="TextBody"/>
        <w:bidi w:val="0"/>
        <w:spacing w:lineRule="auto" w:line="240" w:before="255" w:after="283"/>
        <w:jc w:val="left"/>
        <w:rPr>
          <w:rFonts w:ascii="Times New Roman;sans-serif" w:hAnsi="Times New Roman;sans-serif"/>
          <w:b w:val="false"/>
          <w:color w:val="242424"/>
          <w:sz w:val="23"/>
        </w:rPr>
      </w:pPr>
      <w:r>
        <w:rPr>
          <w:rFonts w:ascii="Times New Roman;sans-serif" w:hAnsi="Times New Roman;sans-serif"/>
          <w:b w:val="false"/>
          <w:color w:val="242424"/>
          <w:sz w:val="23"/>
        </w:rPr>
        <w:t>[None.]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AMENDMENT TO </w:t>
        <w:br/>
        <w:t>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Amendment (the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to the Employment Agreement dated as of March 1</w:t>
      </w:r>
      <w:r>
        <w:rPr>
          <w:rFonts w:ascii="Times New Roman;sans-serif" w:hAnsi="Times New Roman;sans-serif"/>
          <w:b w:val="false"/>
          <w:color w:val="000000"/>
          <w:sz w:val="16"/>
        </w:rPr>
        <w:t>st</w:t>
      </w:r>
      <w:r>
        <w:rPr>
          <w:rFonts w:ascii="Times New Roman;sans-serif" w:hAnsi="Times New Roman;sans-serif"/>
          <w:b w:val="false"/>
          <w:color w:val="000000"/>
          <w:sz w:val="24"/>
        </w:rPr>
        <w:t>, 2021, between INTERNATIONAL MONEY EXPRESS, INC., a Delaware corporation and Christopher D. Hunt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effective April 20</w:t>
      </w:r>
      <w:r>
        <w:rPr>
          <w:rFonts w:ascii="Times New Roman;sans-serif" w:hAnsi="Times New Roman;sans-serif"/>
          <w:b w:val="false"/>
          <w:color w:val="000000"/>
          <w:sz w:val="16"/>
        </w:rPr>
        <w:t>th</w:t>
      </w:r>
      <w:r>
        <w:rPr>
          <w:rFonts w:ascii="Times New Roman;sans-serif" w:hAnsi="Times New Roman;sans-serif"/>
          <w:b w:val="false"/>
          <w:color w:val="000000"/>
          <w:sz w:val="24"/>
        </w:rPr>
        <w:t>, 2023 (the “</w:t>
      </w:r>
      <w:r>
        <w:rPr>
          <w:rFonts w:ascii="Times New Roman;sans-serif" w:hAnsi="Times New Roman;sans-serif"/>
          <w:b w:val="false"/>
          <w:color w:val="000000"/>
          <w:sz w:val="24"/>
          <w:u w:val="single"/>
        </w:rPr>
        <w:t>Amendment Effective Date</w:t>
      </w:r>
      <w:r>
        <w:rPr>
          <w:color w:val="000000"/>
        </w:rPr>
        <w:t>”</w:t>
      </w:r>
      <w:r>
        <w:rPr>
          <w:rFonts w:ascii="Times New Roman;sans-serif" w:hAnsi="Times New Roman;sans-serif"/>
          <w:b w:val="false"/>
          <w:color w:val="000000"/>
          <w:sz w:val="24"/>
        </w:rPr>
        <w:t>). Capitalized terms used herein and not otherwise defined shall have the meaning set forth in the Employment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Employer and Executive desire to enter into this Amendment to the Agreement and hereby agree to the following as of the Amendment Effective Date: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Section 1.02 of the Agreement is hereby amended by replacing the phrase “Chief Information Officer” with the phrase “Chief Operating Officer.”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Section 2.01 of the Agreement is hereby amended by replacing the Base Salary referenced therein from “$310,000” to “$350,000”, which change to Base Salary was effective January 1, 2023.</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The Executive acknowledges and agrees to the change in title described in Section 1.02 and that such change, and any related changes in duties and other actions of the Company, does not and shall not constitute “Good Reason” as defined in the Agreement.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All other provisions of the Agreement not amended hereby shall remain in full force and effect.</w:t>
      </w:r>
    </w:p>
    <w:tbl>
      <w:tblPr>
        <w:tblW w:w="5025" w:type="dxa"/>
        <w:jc w:val="left"/>
        <w:tblInd w:w="0" w:type="dxa"/>
        <w:tblLayout w:type="fixed"/>
        <w:tblCellMar>
          <w:top w:w="28" w:type="dxa"/>
          <w:left w:w="28" w:type="dxa"/>
          <w:bottom w:w="28" w:type="dxa"/>
          <w:right w:w="28" w:type="dxa"/>
        </w:tblCellMar>
      </w:tblPr>
      <w:tblGrid>
        <w:gridCol w:w="1608"/>
        <w:gridCol w:w="1413"/>
        <w:gridCol w:w="2004"/>
      </w:tblGrid>
      <w:tr>
        <w:trPr/>
        <w:tc>
          <w:tcPr>
            <w:tcW w:w="16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INTERNATIONAL MONEY EXPRESS,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Robert Lisy </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rPr>
              <w:t>Name:    </w:t>
            </w:r>
            <w:r>
              <w:rPr>
                <w:rFonts w:ascii="Times New Roman;sans-serif" w:hAnsi="Times New Roman;sans-serif"/>
                <w:b w:val="false"/>
                <w:color w:val="000000"/>
                <w:sz w:val="22"/>
                <w:u w:val="single"/>
              </w:rPr>
              <w:t xml:space="preserve">Robert W. Lisy </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rPr>
              <w:t>Title:    </w:t>
            </w:r>
            <w:r>
              <w:rPr>
                <w:rFonts w:ascii="Times New Roman;sans-serif" w:hAnsi="Times New Roman;sans-serif"/>
                <w:b w:val="false"/>
                <w:color w:val="000000"/>
                <w:sz w:val="22"/>
                <w:u w:val="single"/>
              </w:rPr>
              <w:t>Chief Executive Officer (CEO) | President</w:t>
            </w:r>
            <w:r>
              <w:rPr>
                <w:color w:val="000000"/>
              </w:rPr>
              <w:t>    </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April 20, 2023</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 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u w:val="single"/>
        </w:rPr>
        <w:t xml:space="preserve">/s/ Christopher Hunt </w:t>
      </w:r>
      <w:r>
        <w:rPr>
          <w:rFonts w:ascii="Times New Roman;sans-serif" w:hAnsi="Times New Roman;sans-serif"/>
          <w:b w:val="false"/>
          <w:color w:val="000000"/>
          <w:sz w:val="24"/>
        </w:rPr>
        <w:br/>
      </w:r>
      <w:r>
        <w:rPr>
          <w:rFonts w:ascii="Times New Roman;sans-serif" w:hAnsi="Times New Roman;sans-serif"/>
          <w:b w:val="false"/>
          <w:color w:val="000000"/>
          <w:sz w:val="22"/>
        </w:rPr>
        <w:t>Christopher D. Hunt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Date:</w:t>
      </w:r>
      <w:r>
        <w:rPr>
          <w:color w:val="000000"/>
          <w:u w:val="single"/>
        </w:rPr>
        <w:t xml:space="preserve"> </w:t>
      </w:r>
      <w:r>
        <w:rPr>
          <w:rFonts w:ascii="Times New Roman;sans-serif" w:hAnsi="Times New Roman;sans-serif"/>
          <w:b w:val="false"/>
          <w:color w:val="000000"/>
          <w:sz w:val="24"/>
          <w:u w:val="single"/>
        </w:rPr>
        <w:t xml:space="preserve">April 20, 2023 </w:t>
      </w:r>
    </w:p>
    <w:p>
      <w:pPr>
        <w:pStyle w:val="TextBody"/>
        <w:bidi w:val="0"/>
        <w:spacing w:before="0" w:after="4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4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7495"/>
                <wp:effectExtent l="0" t="0" r="0" b="0"/>
                <wp:wrapNone/>
                <wp:docPr id="108" name="Frame10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Amendment to Hunt Employment Agreement</w:t>
                            </w:r>
                            <w:r>
                              <w:rPr>
                                <w:rFonts w:ascii="Times New Roman;sans-serif" w:hAnsi="Times New Roman;sans-serif"/>
                                <w:b w:val="false"/>
                                <w:color w:val="000000"/>
                                <w:sz w:val="22"/>
                              </w:rPr>
                              <w: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183438392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Amendment to Hunt Employment Agreement</w:t>
                      </w:r>
                      <w:r>
                        <w:rPr>
                          <w:rFonts w:ascii="Times New Roman;sans-serif" w:hAnsi="Times New Roman;sans-serif"/>
                          <w:b w:val="false"/>
                          <w:color w:val="000000"/>
                          <w:sz w:val="22"/>
                        </w:rPr>
                        <w: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183438392</w:t>
                      </w:r>
                    </w:p>
                  </w:txbxContent>
                </v:textbox>
                <w10:wrap type="none"/>
              </v:rect>
            </w:pict>
          </mc:Fallback>
        </mc:AlternateContent>
      </w:r>
    </w:p>
    <w:p>
      <w:pPr>
        <w:pStyle w:val="TextBody"/>
        <w:bidi w:val="0"/>
        <w:spacing w:lineRule="auto" w:line="561"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International Money Express, Inc.</w:t>
      </w:r>
    </w:p>
    <w:tbl>
      <w:tblPr>
        <w:tblW w:w="6463" w:type="dxa"/>
        <w:jc w:val="left"/>
        <w:tblInd w:w="0" w:type="dxa"/>
        <w:tblLayout w:type="fixed"/>
        <w:tblCellMar>
          <w:top w:w="28" w:type="dxa"/>
          <w:left w:w="28" w:type="dxa"/>
          <w:bottom w:w="28" w:type="dxa"/>
          <w:right w:w="28" w:type="dxa"/>
        </w:tblCellMar>
      </w:tblPr>
      <w:tblGrid>
        <w:gridCol w:w="1441"/>
        <w:gridCol w:w="1271"/>
        <w:gridCol w:w="1277"/>
        <w:gridCol w:w="724"/>
        <w:gridCol w:w="724"/>
        <w:gridCol w:w="1026"/>
      </w:tblGrid>
      <w:tr>
        <w:trPr/>
        <w:tc>
          <w:tcPr>
            <w:tcW w:w="144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Entity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Jurisdiction of Incorporation</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Sub 2,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Holdings, Inc.</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 USA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Corp.</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II,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Transfers de Mexico S.A. de C.V.</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 de Mexico S.A. de C.V.</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Wire Transfers de Guatemala S.A.</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Guatemala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Servicios Integrales S. de R.L. de C.V.</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Intermex Central de Servicios S. de R.L. de C.V.</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International Transfers Corp.</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Envios de Valores La Nacional Corp.</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 Holdings Corp.</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 I-Transfer Canada Corp.</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 Mexico Holdings I, LLC</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 Mexico Holdings II, LLC</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Girosmex S.A. de C.V.</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 National Caribe Call Center S.R.L</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Dominican Republic</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 Financial Cooperatief U.A.</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I-Transfer Global Payments EP, SAU</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I-Transfer Deutschland Gmbh</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I-Transfer Global Payments UK, LTD</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86"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Money Express, Inc.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Miami, Florida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 333-248902) and Form S-8 (Nos. 333-233392 and 333-248563) of International Money Express, Inc. of our reports dated February 28, 2024 relating to the consolidated financial statements, and the effectiveness of International Money Express, Inc.’s internal control over financial reporting, which appear in this Form 10K.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BDO USA, P.C.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Miami, Florida </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70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44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Robert Lisy, certify that: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International Money Express, Inc.;</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70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924" w:type="dxa"/>
        <w:jc w:val="left"/>
        <w:tblInd w:w="0" w:type="dxa"/>
        <w:tblLayout w:type="fixed"/>
        <w:tblCellMar>
          <w:top w:w="28" w:type="dxa"/>
          <w:left w:w="28" w:type="dxa"/>
          <w:bottom w:w="28" w:type="dxa"/>
          <w:right w:w="28" w:type="dxa"/>
        </w:tblCellMar>
      </w:tblPr>
      <w:tblGrid>
        <w:gridCol w:w="754"/>
        <w:gridCol w:w="664"/>
        <w:gridCol w:w="667"/>
        <w:gridCol w:w="208"/>
        <w:gridCol w:w="208"/>
        <w:gridCol w:w="213"/>
        <w:gridCol w:w="935"/>
        <w:gridCol w:w="935"/>
        <w:gridCol w:w="134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44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Andras Bende, certify that: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International Money Express, Inc.;</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81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4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tbl>
      <w:tblPr>
        <w:tblW w:w="5129" w:type="dxa"/>
        <w:jc w:val="left"/>
        <w:tblInd w:w="0" w:type="dxa"/>
        <w:tblLayout w:type="fixed"/>
        <w:tblCellMar>
          <w:top w:w="28" w:type="dxa"/>
          <w:left w:w="28" w:type="dxa"/>
          <w:bottom w:w="28" w:type="dxa"/>
          <w:right w:w="28" w:type="dxa"/>
        </w:tblCellMar>
      </w:tblPr>
      <w:tblGrid>
        <w:gridCol w:w="754"/>
        <w:gridCol w:w="664"/>
        <w:gridCol w:w="667"/>
        <w:gridCol w:w="208"/>
        <w:gridCol w:w="208"/>
        <w:gridCol w:w="213"/>
        <w:gridCol w:w="707"/>
        <w:gridCol w:w="707"/>
        <w:gridCol w:w="10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520"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52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Robert Lisy, Chief Executive Officer and President of International Money Express, Inc. (the “Company”), certify, pursuant to 18 U.S.C. Section 1350, that, to my knowledge:</w:t>
      </w:r>
    </w:p>
    <w:p>
      <w:pPr>
        <w:pStyle w:val="TextBody"/>
        <w:bidi w:val="0"/>
        <w:spacing w:lineRule="auto" w:line="52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year ended December 31, 2023 (the “Report”) fully complies with the requirements of Section 13(a) or 15(d) of the Securities Exchange Act of 1934, as amended; and</w:t>
      </w:r>
    </w:p>
    <w:p>
      <w:pPr>
        <w:pStyle w:val="TextBody"/>
        <w:bidi w:val="0"/>
        <w:spacing w:lineRule="auto" w:line="52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360"/>
        <w:jc w:val="left"/>
        <w:rPr/>
      </w:pPr>
      <w:r>
        <w:rPr/>
      </w:r>
    </w:p>
    <w:tbl>
      <w:tblPr>
        <w:tblW w:w="5866" w:type="dxa"/>
        <w:jc w:val="left"/>
        <w:tblInd w:w="0" w:type="dxa"/>
        <w:tblLayout w:type="fixed"/>
        <w:tblCellMar>
          <w:top w:w="28" w:type="dxa"/>
          <w:left w:w="28" w:type="dxa"/>
          <w:bottom w:w="28" w:type="dxa"/>
          <w:right w:w="28" w:type="dxa"/>
        </w:tblCellMar>
      </w:tblPr>
      <w:tblGrid>
        <w:gridCol w:w="754"/>
        <w:gridCol w:w="664"/>
        <w:gridCol w:w="667"/>
        <w:gridCol w:w="189"/>
        <w:gridCol w:w="189"/>
        <w:gridCol w:w="193"/>
        <w:gridCol w:w="935"/>
        <w:gridCol w:w="935"/>
        <w:gridCol w:w="134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81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52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520"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52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Andras Bende, Chief Financial Officer of International Money Express, Inc. (the “Company”), certify, pursuant to 18 U.S.C. Section 1350, that, to my knowledge:</w:t>
      </w:r>
    </w:p>
    <w:p>
      <w:pPr>
        <w:pStyle w:val="TextBody"/>
        <w:bidi w:val="0"/>
        <w:spacing w:lineRule="auto" w:line="52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year ended December 31, 2023 (the “Report”) fully complies with the requirements of Section 13(a) or 15(d) of the Securities Exchange Act of 1934, as amended; and</w:t>
      </w:r>
    </w:p>
    <w:p>
      <w:pPr>
        <w:pStyle w:val="TextBody"/>
        <w:bidi w:val="0"/>
        <w:spacing w:lineRule="auto" w:line="52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40"/>
        <w:ind w:left="0" w:right="0" w:hanging="360"/>
        <w:jc w:val="left"/>
        <w:rPr/>
      </w:pPr>
      <w:r>
        <w:rPr/>
      </w:r>
    </w:p>
    <w:tbl>
      <w:tblPr>
        <w:tblW w:w="5129" w:type="dxa"/>
        <w:jc w:val="left"/>
        <w:tblInd w:w="0" w:type="dxa"/>
        <w:tblLayout w:type="fixed"/>
        <w:tblCellMar>
          <w:top w:w="28" w:type="dxa"/>
          <w:left w:w="28" w:type="dxa"/>
          <w:bottom w:w="28" w:type="dxa"/>
          <w:right w:w="28" w:type="dxa"/>
        </w:tblCellMar>
      </w:tblPr>
      <w:tblGrid>
        <w:gridCol w:w="754"/>
        <w:gridCol w:w="664"/>
        <w:gridCol w:w="667"/>
        <w:gridCol w:w="208"/>
        <w:gridCol w:w="208"/>
        <w:gridCol w:w="213"/>
        <w:gridCol w:w="707"/>
        <w:gridCol w:w="707"/>
        <w:gridCol w:w="10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INTERNATIONAL MONEY EXPRESS,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Policy Regarding the Mandatory Recovery of Compensation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Effective October 2, 2023</w:t>
      </w:r>
    </w:p>
    <w:p>
      <w:pPr>
        <w:pStyle w:val="TextBody"/>
        <w:bidi w:val="0"/>
        <w:spacing w:lineRule="auto" w:line="240" w:before="0" w:after="240"/>
        <w:ind w:left="0" w:right="0" w:hanging="360"/>
        <w:jc w:val="both"/>
        <w:rPr/>
      </w:pPr>
      <w:r>
        <w:rPr>
          <w:rFonts w:ascii="Times New Roman;sans-serif" w:hAnsi="Times New Roman;sans-serif"/>
          <w:b/>
          <w:color w:val="000000"/>
          <w:sz w:val="24"/>
        </w:rPr>
        <w:t>I.Applicability and Administration</w:t>
      </w:r>
      <w:r>
        <w:rPr>
          <w:rFonts w:ascii="Times New Roman;sans-serif" w:hAnsi="Times New Roman;sans-serif"/>
          <w:b w:val="false"/>
          <w:color w:val="000000"/>
          <w:sz w:val="24"/>
        </w:rPr>
        <w:t>. This Policy Regarding the Mandatory Recovery of Compensation (the “Policy”) applies to any Incentive Compensation paid to the Executive Officers of International Money Express, Inc. (the “Company”). This Policy is intended to comply with and be interpreted in accordance with the requirements of Listing Rule 5608 (“Rule 5608”) of the Nasdaq Stock Market LLC (“Nasdaq”). This Policy shall be administered by the Compensation Committee (the “Committee”) of the Board of Directors of the Company (the “Board”) and the Committee is authorized to make all determinations necessary, appropriate or advisable for the administration of this Policy, to engage, at the Company’s expense, such counsel, advisors and agents and to direct the Company’s officers and other employees to take any actions necessary and appropriate to effectuate this Policy. Any determinations made by the Committee shall be final and binding on all affected individuals. The provisions of Rule 5608 shall prevail in the event of any conflict between the text of this Policy and such section. This Policy shall apply to all Incentive Compensation Received on or after October 2, 2023 (the “Effective Date”). Certain capitalized terms are defined in Section IV hereof.</w:t>
      </w:r>
    </w:p>
    <w:p>
      <w:pPr>
        <w:pStyle w:val="TextBody"/>
        <w:bidi w:val="0"/>
        <w:spacing w:lineRule="auto" w:line="240" w:before="0" w:after="240"/>
        <w:ind w:left="0" w:right="0" w:hanging="360"/>
        <w:jc w:val="both"/>
        <w:rPr/>
      </w:pPr>
      <w:r>
        <w:rPr>
          <w:rFonts w:ascii="Times New Roman;sans-serif" w:hAnsi="Times New Roman;sans-serif"/>
          <w:b/>
          <w:color w:val="000000"/>
          <w:sz w:val="24"/>
        </w:rPr>
        <w:t>II.Recovery</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Triggering Event</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as provided herein and subject to Section II(b) below, in the event that the Company is required to prepare a Financial Restatement, the Company shall recover the Recoverable Amount of any Incentive Compensation Received by a current or former Executive Officer during the Look-Back Period. The Recoverable Amount shall be repaid to the Company within a reasonable time after the current or former Executive Officer is notified of the Recoverable Amount as set forth in Section II(c) below. For the sake of clarity, the recovery rule in this Section II(a) shall apply regardless of any misconduct, fault, or illegal activity of the Company, the Executive Officer, the Board or any committee thereof.</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Compensation Subject to Recovery</w:t>
      </w:r>
      <w:r>
        <w:rPr>
          <w:rFonts w:ascii="Times New Roman;sans-serif" w:hAnsi="Times New Roman;sans-serif"/>
          <w:b w:val="false"/>
          <w:color w:val="000000"/>
          <w:sz w:val="24"/>
        </w:rPr>
        <w:t>.</w:t>
      </w:r>
    </w:p>
    <w:p>
      <w:pPr>
        <w:pStyle w:val="TextBody"/>
        <w:bidi w:val="0"/>
        <w:spacing w:lineRule="auto" w:line="240"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i.Incentive Compensation subject to mandatory recovery under Section II(a) includes any Incentive Compensation Received by an Executive Officer on or after the Effective Date: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a.After beginning service as an Executive Officer;</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b.Who served as an Executive Officer at any time during the performance period for that Incentive Compensation; and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c.During the Look-Back Period.</w:t>
      </w:r>
    </w:p>
    <w:p>
      <w:pPr>
        <w:pStyle w:val="TextBody"/>
        <w:bidi w:val="0"/>
        <w:spacing w:lineRule="auto" w:line="240"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i.As used in this Section II(b), Incentive Compensation is deemed “Received” in the fiscal period that the Financial Reporting Measure specified in the applicable Incentive Compensation award is attained, even if the payment or grant of the Incentive Compensation occurs after the end of that period. This Section II(b) will only apply to Incentive Compensation Received after the Effective Date.</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Recoupment</w:t>
      </w:r>
      <w:r>
        <w:rPr>
          <w:rFonts w:ascii="Times New Roman;sans-serif" w:hAnsi="Times New Roman;sans-serif"/>
          <w:b w:val="false"/>
          <w:color w:val="000000"/>
          <w:sz w:val="24"/>
        </w:rPr>
        <w:t>.</w:t>
      </w:r>
    </w:p>
    <w:p>
      <w:pPr>
        <w:pStyle w:val="TextBody"/>
        <w:bidi w:val="0"/>
        <w:spacing w:lineRule="auto" w:line="240" w:before="0" w:after="240"/>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i.The Committee shall determine, at its sole discretion, the method for recouping Incentive Compensation, which may include (A) requiring reimbursement of Incentive Compensation previously paid; (B) seeking recovery of any gain realized on the vesting, exercise, settlement, sale, transfer, or other disposition of any equity-based awards; (C) deducting the amount to be recouped from any compensation otherwise owed by the Company to the Executive Officer; and/or (D) taking any other remedial and recovery action permitted by law, as determined by the Committee.</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i/>
          <w:color w:val="000000"/>
          <w:sz w:val="24"/>
        </w:rPr>
        <w:t>Recoverable Amount</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i.The “Recoverable Amount” is equal to the amount of Incentive Compensation Received in excess of the amount of Incentive Compensation that would have been Received had it been determined based on the restated amounts in the Financial Restatement, without regard to taxes paid by the Company or the Executive Officer.</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ii.In the event the Incentive Compensation is based on a measurement that is not subject to mathematical recalculation (including, without limitation, stock price and total shareholder return), the Recoverable Amount shall be based on a reasonable estimate of the effect of the Financial Restatement on such measurement, as determined by the Committee, which shall be set forth in writing.</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iii.To the extent that an Executive Officer has already reimbursed the Company any portion of the Recoverable Amount under any law, rule, regulation or policy, such amount shall be credited to the Recoverable Amount under this Policy.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i/>
          <w:color w:val="000000"/>
          <w:sz w:val="24"/>
        </w:rPr>
        <w:t>Exceptions to Applicability</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or a delegate thereof must recover the Recoverable Amount of Incentive Compensation as stated above in Section II(a), unless the Committee makes a determination that recovery would be impracticable, and at least one of the following applies: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i.The direct expense paid to a third party to assist in enforcing recovery would exceed the Recoverable Amount, and a reasonable attempt to recover the Recoverable Amount has already been made and documented; or</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ii.Recovery would likely cause an otherwise tax-qualified retirement plan under which benefits are broadly available to employees of the Company, to fail to meet the qualification requirements of 26 U.S.C. 401(a)(13) or 26 U.S.C. 411(a) and regulations thereunder.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immediately preceding clause (i), the Committee may consider whether the laws of the country in which an Executive Officer is employed or is domiciled would be violated by enforcing recovery of Incentive Compensation Received to the extent set forth in a written opinion of counsel in such country.</w: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III.Miscellaneous.</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Committee or the Board of Directors of the Company, as applicable, may require that any incentive plan, employment agreement, equity award agreement, or similar agreement entered into on or after the date hereof shall, as a condition to the grant of any benefit thereunder, require an Executive Officer to agree to abide by the terms of this Policy, including the repayment of the Recoverable Amount of erroneously awarded Incentive Compensation. This Policy shall be binding and enforceable against all Executive Officers and, to the extent required by applicable law, rule or regulation, or guidance from the Securities and Exchange Commission (the “SEC”) or NASDAQ, their beneficiaries, heirs, executors, administrators or other legal representatives. This Policy is to be applied to the fullest extent required by applicable law, regulation and NASDAQ listing standards.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Company shall not directly or indirectly indemnify any Executive Officer or other individual against the forfeiture or repayment of any Incentive Compensation. In addition, the Company shall not directly or indirectly pay or reimburse any Executive Officer for any premiums for third-party insurance that such Executive Officer may elect to purchase to fund such Executive Officer’s potential obligations under this Policy.</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recovery of Incentive Compensation under this Policy will not give rise to any Executive Officer’s right to voluntarily terminate employment for “good reason,” or due to a “constructive termination” (or any similar term or principle of like effect) under any plan, program or policy of, or agreement with, the Company or any of its subsidiaries.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d.The Company shall comply with applicable compensation recovery policy disclosure rules of the Securities and Exchange Commission.</w:t>
      </w:r>
    </w:p>
    <w:p>
      <w:pPr>
        <w:pStyle w:val="TextBody"/>
        <w:bidi w:val="0"/>
        <w:spacing w:lineRule="auto" w:line="240" w:before="0" w:after="240"/>
        <w:ind w:left="0" w:right="0" w:hanging="360"/>
        <w:jc w:val="both"/>
        <w:rPr/>
      </w:pPr>
      <w:r>
        <w:rPr>
          <w:rFonts w:ascii="Times New Roman;sans-serif" w:hAnsi="Times New Roman;sans-serif"/>
          <w:b/>
          <w:color w:val="000000"/>
          <w:sz w:val="24"/>
        </w:rPr>
        <w:t>IV.Definitions</w:t>
      </w:r>
      <w:r>
        <w:rPr>
          <w:rFonts w:ascii="Times New Roman;sans-serif" w:hAnsi="Times New Roman;sans-serif"/>
          <w:b w:val="false"/>
          <w:color w:val="000000"/>
          <w:sz w:val="24"/>
        </w:rPr>
        <w: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Incentive Compensation</w:t>
      </w:r>
      <w:r>
        <w:rPr>
          <w:rFonts w:ascii="Times New Roman;sans-serif" w:hAnsi="Times New Roman;sans-serif"/>
          <w:b w:val="false"/>
          <w:color w:val="000000"/>
          <w:sz w:val="24"/>
        </w:rPr>
        <w:t xml:space="preserve">. “Incentive Compensation” means any compensation that is granted, earned, or vests based wholly or in part upon the attainment of a Financial Reporting Measure, but does not include awards that are earned or vest based solely on the continued provision of services for a period of time.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Financial Reporting Measure</w:t>
      </w:r>
      <w:r>
        <w:rPr>
          <w:rFonts w:ascii="Times New Roman;sans-serif" w:hAnsi="Times New Roman;sans-serif"/>
          <w:b w:val="false"/>
          <w:color w:val="000000"/>
          <w:sz w:val="24"/>
        </w:rPr>
        <w:t>. “Financial Reporting Measure” means any reporting measure that is determined and presented in accordance with the accounting principles used in preparing the Company’s financial statements, and any measures that are derived wholly or in part from such measures and need not be presented with the Company’s financial statements. Stock price and total shareholder return are considered to be Financial Reporting Measures for purposes of this Policy.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Financial Restatement</w:t>
      </w:r>
      <w:r>
        <w:rPr>
          <w:rFonts w:ascii="Times New Roman;sans-serif" w:hAnsi="Times New Roman;sans-serif"/>
          <w:b w:val="false"/>
          <w:color w:val="000000"/>
          <w:sz w:val="24"/>
        </w:rPr>
        <w:t xml:space="preserve">. A “Financial Restatement” means any accounting restatement due to the material noncompliance of the Company with any financial reporting requirement under applicable securities laws, including any required accounting restatement to correct an error in previously issued financial statements that (i) is material to the previously issued financial statements (commonly referred to as a “Big R” restatement), or (ii) is not material to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previously issued financial statements, but would result in a material misstatement if the error was left uncorrected in the current period or the error correction were recognized in the current period (commonly referred to as a “little r” restatement). For purposes of this Policy, the date of a Financial Restatement will be deemed to be the earlier of (i) the date the Board, a committee of the Board, the officer or officers authorized to take such action if Board action is not required concludes, or reasonably should have concluded, that the Company is required to prepare a Financial Restatement, and (ii) the date a court, regulator, or other legally authorized body directs the Company to prepare Financial Restatement.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Executive Officer</w:t>
      </w:r>
      <w:r>
        <w:rPr>
          <w:rFonts w:ascii="Times New Roman;sans-serif" w:hAnsi="Times New Roman;sans-serif"/>
          <w:b w:val="false"/>
          <w:color w:val="000000"/>
          <w:sz w:val="24"/>
        </w:rPr>
        <w:t>. “Executive Officer” shall mean the Company’s Chief Executive Officer, President, Chief Financial Officer, or principal accounting officer (or, if there is no such accounting officer, the Controller), any vice-president of the Company in charge of a principal business unit, division or function (such as sales, administration or finance), and any other officer or person who performs a significant policy-making function for the Company. For the sake of clarity, ”Executive Officer” includes at a minimum executive officers identified by the Board pursuant to 17 CFR 229.401(b).</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i/>
          <w:color w:val="000000"/>
          <w:sz w:val="24"/>
        </w:rPr>
        <w:t>Look-Back Period</w:t>
      </w:r>
      <w:r>
        <w:rPr>
          <w:rFonts w:ascii="Times New Roman;sans-serif" w:hAnsi="Times New Roman;sans-serif"/>
          <w:b w:val="false"/>
          <w:color w:val="000000"/>
          <w:sz w:val="24"/>
        </w:rPr>
        <w:t>. The “Look-Back Period” means the three completed fiscal years immediately preceding the date of a Financial Restatement and any transition period as specified in Rule 5608.</w:t>
      </w:r>
    </w:p>
    <w:p>
      <w:pPr>
        <w:pStyle w:val="TextBody"/>
        <w:bidi w:val="0"/>
        <w:spacing w:before="0" w:after="24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83695/000114036118039596/ex3_1.htm" TargetMode="External"/><Relationship Id="rId4" Type="http://schemas.openxmlformats.org/officeDocument/2006/relationships/hyperlink" Target="http://www.sec.gov/Archives/edgar/data/1683695/000114036118039596/ex3_2.htm" TargetMode="External"/><Relationship Id="rId5" Type="http://schemas.openxmlformats.org/officeDocument/2006/relationships/hyperlink" Target="http://www.sec.gov/Archives/edgar/data/1683695/000162828020003396/exhibit46.htm" TargetMode="External"/><Relationship Id="rId6" Type="http://schemas.openxmlformats.org/officeDocument/2006/relationships/hyperlink" Target="http://www.sec.gov/Archives/edgar/data/1683695/000114036121022415/brhc10026271_ex10-1.htm" TargetMode="External"/><Relationship Id="rId7" Type="http://schemas.openxmlformats.org/officeDocument/2006/relationships/hyperlink" Target="http://www.sec.gov/Archives/edgar/data/1683695/000114036122041129/brhc10043885_ex10-1.htm" TargetMode="External"/><Relationship Id="rId8" Type="http://schemas.openxmlformats.org/officeDocument/2006/relationships/hyperlink" Target="https://www.sec.gov/Archives/edgar/data/1683695/000114036123019024/brhc20051531_ex10-1.htm" TargetMode="External"/><Relationship Id="rId9" Type="http://schemas.openxmlformats.org/officeDocument/2006/relationships/hyperlink" Target="http://www.sec.gov/Archives/edgar/data/1683695/000114036118039596/ex10_3a.htm" TargetMode="External"/><Relationship Id="rId10" Type="http://schemas.openxmlformats.org/officeDocument/2006/relationships/hyperlink" Target="https://www.sec.gov/Archives/edgar/data/1683695/000168369523000022/exhibit103bamendmentto2020.htm" TargetMode="External"/><Relationship Id="rId11" Type="http://schemas.openxmlformats.org/officeDocument/2006/relationships/hyperlink" Target="http://www.sec.gov/Archives/edgar/data/1683695/000114036118039596/ex10_4b.htm" TargetMode="External"/><Relationship Id="rId12" Type="http://schemas.openxmlformats.org/officeDocument/2006/relationships/hyperlink" Target="http://www.sec.gov/Archives/edgar/data/1683695/000114036118039596/ex10_4a.htm" TargetMode="External"/><Relationship Id="rId13" Type="http://schemas.openxmlformats.org/officeDocument/2006/relationships/hyperlink" Target="http://www.sec.gov/Archives/edgar/data/1683695/000114036120011750/nc10011882x1_def14a.htm" TargetMode="External"/><Relationship Id="rId14" Type="http://schemas.openxmlformats.org/officeDocument/2006/relationships/hyperlink" Target="http://www.sec.gov/Archives/edgar/data/1683695/000114036120011750/nc10011882x1_def14a.htm" TargetMode="External"/><Relationship Id="rId15" Type="http://schemas.openxmlformats.org/officeDocument/2006/relationships/hyperlink" Target="http://www.sec.gov/Archives/edgar/data/1683695/000168369520000013/exhibit103formofnqsoag.htm" TargetMode="External"/><Relationship Id="rId16" Type="http://schemas.openxmlformats.org/officeDocument/2006/relationships/hyperlink" Target="http://www.sec.gov/Archives/edgar/data/1683695/000168369520000013/exhibit104formofrsuagr.htm" TargetMode="External"/><Relationship Id="rId17" Type="http://schemas.openxmlformats.org/officeDocument/2006/relationships/hyperlink" Target="http://www.sec.gov/Archives/edgar/data/1683695/000168369521000005/exhibit1017-formofrsuagree.htm" TargetMode="External"/><Relationship Id="rId18" Type="http://schemas.openxmlformats.org/officeDocument/2006/relationships/hyperlink" Target="http://www.sec.gov/Archives/edgar/data/1683695/000168369521000005/exhibit1018-formofpsuagree.htm" TargetMode="External"/><Relationship Id="rId19" Type="http://schemas.openxmlformats.org/officeDocument/2006/relationships/hyperlink" Target="http://www.sec.gov/Archives/edgar/data/1683695/000168369521000005/exhibit1019-formofpsuagree.htm" TargetMode="External"/><Relationship Id="rId20" Type="http://schemas.openxmlformats.org/officeDocument/2006/relationships/hyperlink" Target="http://www.sec.gov/Archives/edgar/data/1683695/000168369521000005/exhibit10ormofrestrictedst.htm" TargetMode="External"/><Relationship Id="rId21" Type="http://schemas.openxmlformats.org/officeDocument/2006/relationships/hyperlink" Target="https://www.sec.gov/Archives/edgar/data/1683695/000168369523000022/exhibit1014-2023formofpsua.htm" TargetMode="External"/><Relationship Id="rId22" Type="http://schemas.openxmlformats.org/officeDocument/2006/relationships/hyperlink" Target="https://www.sec.gov/Archives/edgar/data/1683695/000168369523000022/exhibit1015-2023formofpsua.htm" TargetMode="External"/><Relationship Id="rId23" Type="http://schemas.openxmlformats.org/officeDocument/2006/relationships/hyperlink" Target="http://www.sec.gov/Archives/edgar/data/0001683695/000114036121038168/brhc10030921_ex10-1.htm" TargetMode="External"/><Relationship Id="rId24" Type="http://schemas.openxmlformats.org/officeDocument/2006/relationships/hyperlink" Target="http://www.sec.gov/Archives/edgar/data/1683695/000114036120027563/brhc10017690_ex10-1.htm" TargetMode="External"/><Relationship Id="rId25" Type="http://schemas.openxmlformats.org/officeDocument/2006/relationships/hyperlink" Target="https://www.sec.gov/Archives/edgar/data/1683695/000168369523000069/exhibit101q32023.htm" TargetMode="External"/><Relationship Id="rId26" Type="http://schemas.openxmlformats.org/officeDocument/2006/relationships/hyperlink" Target="http://www.sec.gov/Archives/edgar/data/1683695/000114036119017939/ex10_1.htm" TargetMode="External"/><Relationship Id="rId27" Type="http://schemas.openxmlformats.org/officeDocument/2006/relationships/hyperlink" Target="https://www.sec.gov/Archives/edgar/data/1683695/000168369523000022/exhibit1019b-amendmenttoja.htm" TargetMode="External"/><Relationship Id="rId28" Type="http://schemas.openxmlformats.org/officeDocument/2006/relationships/hyperlink" Target="http://www.sec.gov/Archives/edgar/data/1683695/000114036118039596/ex10_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63415</Words>
  <Characters>357218</Characters>
  <CharactersWithSpaces>418399</CharactersWithSpaces>
  <Paragraphs>3926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