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503.xml.htm"/>
      <w:bookmarkStart w:id="1" w:name="kswkform4_17909735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Maydon Laura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59,536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stock, subject to the reporting person's continued service as a director of the issuer. This restricted stock will vest on 12/31/2026.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Santiago Bravo, Attorney-in-Fact for Laura I. Maydon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178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3254</Characters>
  <CharactersWithSpaces>3785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