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b w:val="1"/>
                <w:bCs w:val="1"/>
                <w:color w:val="auto"/>
                <w:w w:val="89"/>
              </w:rPr>
              <w:t>Commission File No. 001-37986</w:t>
            </w:r>
          </w:p>
        </w:tc>
        <w:tc>
          <w:tcPr>
            <w:tcW w:w="0" w:type="dxa"/>
            <w:vAlign w:val="bottom"/>
          </w:tcPr>
          <w:p>
            <w:pPr>
              <w:spacing w:after="0"/>
              <w:rPr>
                <w:sz w:val="1"/>
                <w:szCs w:val="1"/>
                <w:color w:val="auto"/>
              </w:rPr>
            </w:pPr>
          </w:p>
        </w:tc>
      </w:tr>
      <w:tr>
        <w:trPr>
          <w:trHeight w:val="396"/>
        </w:trPr>
        <w:tc>
          <w:tcPr>
            <w:tcW w:w="11240" w:type="dxa"/>
            <w:vAlign w:val="bottom"/>
            <w:gridSpan w:val="8"/>
          </w:tcPr>
          <w:p>
            <w:pPr>
              <w:jc w:val="center"/>
              <w:spacing w:after="0"/>
              <w:rPr>
                <w:sz w:val="20"/>
                <w:szCs w:val="20"/>
                <w:color w:val="auto"/>
              </w:rPr>
            </w:pPr>
            <w:r>
              <w:rPr>
                <w:rFonts w:ascii="Arial" w:cs="Arial" w:eastAsia="Arial" w:hAnsi="Arial"/>
                <w:sz w:val="29"/>
                <w:szCs w:val="29"/>
                <w:b w:val="1"/>
                <w:bCs w:val="1"/>
                <w:color w:val="auto"/>
              </w:rPr>
              <w:t>INTERNATIONAL MONEY EXPRESS, INC.</w:t>
            </w:r>
          </w:p>
        </w:tc>
        <w:tc>
          <w:tcPr>
            <w:tcW w:w="0" w:type="dxa"/>
            <w:vAlign w:val="bottom"/>
          </w:tcPr>
          <w:p>
            <w:pPr>
              <w:spacing w:after="0"/>
              <w:rPr>
                <w:sz w:val="1"/>
                <w:szCs w:val="1"/>
                <w:color w:val="auto"/>
              </w:rPr>
            </w:pPr>
          </w:p>
        </w:tc>
      </w:tr>
      <w:tr>
        <w:trPr>
          <w:trHeight w:val="29"/>
        </w:trPr>
        <w:tc>
          <w:tcPr>
            <w:tcW w:w="3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99"/>
        </w:trPr>
        <w:tc>
          <w:tcPr>
            <w:tcW w:w="3380" w:type="dxa"/>
            <w:vAlign w:val="bottom"/>
          </w:tcPr>
          <w:p>
            <w:pPr>
              <w:jc w:val="center"/>
              <w:ind w:left="1943"/>
              <w:spacing w:after="0"/>
              <w:rPr>
                <w:sz w:val="20"/>
                <w:szCs w:val="20"/>
                <w:color w:val="auto"/>
              </w:rPr>
            </w:pPr>
            <w:r>
              <w:rPr>
                <w:rFonts w:ascii="Arial" w:cs="Arial" w:eastAsia="Arial" w:hAnsi="Arial"/>
                <w:sz w:val="18"/>
                <w:szCs w:val="18"/>
                <w:b w:val="1"/>
                <w:bCs w:val="1"/>
                <w:color w:val="auto"/>
                <w:w w:val="93"/>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gridSpan w:val="5"/>
          </w:tcPr>
          <w:p>
            <w:pPr>
              <w:jc w:val="center"/>
              <w:ind w:right="1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56"/>
        </w:trPr>
        <w:tc>
          <w:tcPr>
            <w:tcW w:w="668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w w:val="90"/>
              </w:rPr>
              <w:t>9480 South Dixie Highway</w:t>
            </w:r>
          </w:p>
        </w:tc>
        <w:tc>
          <w:tcPr>
            <w:tcW w:w="4560" w:type="dxa"/>
            <w:vAlign w:val="bottom"/>
            <w:gridSpan w:val="3"/>
            <w:vMerge w:val="restart"/>
          </w:tcPr>
          <w:p>
            <w:pPr>
              <w:jc w:val="right"/>
              <w:ind w:right="2390"/>
              <w:spacing w:after="0"/>
              <w:rPr>
                <w:sz w:val="20"/>
                <w:szCs w:val="20"/>
                <w:color w:val="auto"/>
              </w:rPr>
            </w:pPr>
            <w:r>
              <w:rPr>
                <w:rFonts w:ascii="Arial" w:cs="Arial" w:eastAsia="Arial" w:hAnsi="Arial"/>
                <w:sz w:val="18"/>
                <w:szCs w:val="18"/>
                <w:b w:val="1"/>
                <w:bCs w:val="1"/>
                <w:color w:val="auto"/>
              </w:rPr>
              <w:t>33156</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jc w:val="center"/>
              <w:ind w:left="1943"/>
              <w:spacing w:after="0"/>
              <w:rPr>
                <w:sz w:val="20"/>
                <w:szCs w:val="20"/>
                <w:color w:val="auto"/>
              </w:rPr>
            </w:pPr>
            <w:r>
              <w:rPr>
                <w:rFonts w:ascii="Arial" w:cs="Arial" w:eastAsia="Arial" w:hAnsi="Arial"/>
                <w:sz w:val="18"/>
                <w:szCs w:val="18"/>
                <w:b w:val="1"/>
                <w:bCs w:val="1"/>
                <w:color w:val="auto"/>
                <w:w w:val="97"/>
              </w:rPr>
              <w:t>Miami, Florida</w:t>
            </w:r>
          </w:p>
        </w:tc>
        <w:tc>
          <w:tcPr>
            <w:tcW w:w="20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350"/>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0"/>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63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Arial" w:cs="Arial" w:eastAsia="Arial" w:hAnsi="Arial"/>
                <w:sz w:val="18"/>
                <w:szCs w:val="18"/>
                <w:b w:val="1"/>
                <w:bCs w:val="1"/>
                <w:color w:val="auto"/>
                <w:w w:val="86"/>
              </w:rPr>
              <w:t>Title of each class</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380" w:type="dxa"/>
            <w:vAlign w:val="bottom"/>
          </w:tcPr>
          <w:p>
            <w:pPr>
              <w:jc w:val="center"/>
              <w:ind w:left="443"/>
              <w:spacing w:after="0"/>
              <w:rPr>
                <w:sz w:val="20"/>
                <w:szCs w:val="20"/>
                <w:color w:val="auto"/>
              </w:rPr>
            </w:pPr>
            <w:r>
              <w:rPr>
                <w:rFonts w:ascii="Arial" w:cs="Arial" w:eastAsia="Arial" w:hAnsi="Arial"/>
                <w:sz w:val="18"/>
                <w:szCs w:val="18"/>
                <w:color w:val="auto"/>
                <w:w w:val="91"/>
              </w:rPr>
              <w:t>Common stock ($0.0001 par value)</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color w:val="auto"/>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Arial" w:cs="Arial" w:eastAsia="Arial" w:hAnsi="Arial"/>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320" w:type="dxa"/>
        <w:tblCellMar>
          <w:top w:w="0" w:type="dxa"/>
          <w:left w:w="0" w:type="dxa"/>
          <w:bottom w:w="0" w:type="dxa"/>
          <w:right w:w="0" w:type="dxa"/>
        </w:tblCellMar>
      </w:tblPr>
      <w:tr>
        <w:trPr>
          <w:trHeight w:val="283"/>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rPr>
              <w:t>Accelerated filer</w:t>
            </w:r>
          </w:p>
        </w:tc>
      </w:tr>
      <w:tr>
        <w:trPr>
          <w:trHeight w:val="378"/>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Non-accelerated filer</w:t>
            </w: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w w:val="91"/>
              </w:rPr>
              <w:t>Smaller reporting company</w:t>
            </w:r>
          </w:p>
        </w:tc>
      </w:tr>
      <w:tr>
        <w:trPr>
          <w:trHeight w:val="378"/>
        </w:trPr>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w w:val="91"/>
              </w:rPr>
              <w:t>Emerging growth company</w:t>
            </w:r>
          </w:p>
        </w:tc>
      </w:tr>
    </w:tbl>
    <w:p>
      <w:pPr>
        <w:spacing w:after="0" w:line="317" w:lineRule="exact"/>
        <w:rPr>
          <w:sz w:val="24"/>
          <w:szCs w:val="24"/>
          <w:color w:val="auto"/>
        </w:rPr>
      </w:pPr>
    </w:p>
    <w:p>
      <w:pPr>
        <w:ind w:right="1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As of July 30, 2021, there were 38,593,052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914" w:gutter="0" w:footer="0" w:header="0"/>
        </w:sectPr>
      </w:pPr>
    </w:p>
    <w:p>
      <w:pPr>
        <w:spacing w:after="0" w:line="224" w:lineRule="exact"/>
        <w:rPr>
          <w:sz w:val="24"/>
          <w:szCs w:val="24"/>
          <w:color w:val="auto"/>
        </w:rPr>
      </w:pPr>
    </w:p>
    <w:p>
      <w:pPr>
        <w:ind w:left="59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914" w:gutter="0" w:footer="0" w:header="0"/>
          <w:type w:val="continuous"/>
        </w:sectPr>
      </w:pPr>
    </w:p>
    <w:bookmarkStart w:id="1" w:name="page2"/>
    <w:bookmarkEnd w:id="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32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INDEX TO FINANCIAL STATEMENTS</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7680" w:type="dxa"/>
            <w:vAlign w:val="bottom"/>
            <w:gridSpan w:val="22"/>
            <w:shd w:val="clear" w:color="auto" w:fill="CCEEFF"/>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SPECIAL NOTE REGARDING FORWARD-LOOKING STATEMENTS</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19"/>
                <w:szCs w:val="19"/>
                <w:color w:val="auto"/>
              </w:rPr>
            </w:pPr>
          </w:p>
        </w:tc>
        <w:tc>
          <w:tcPr>
            <w:tcW w:w="7680" w:type="dxa"/>
            <w:vAlign w:val="bottom"/>
            <w:gridSpan w:val="22"/>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Balance Sheets as of June 30, 2021 and December 31, 2020</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50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Operations and Comprehensive Income for the</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tcBorders>
              <w:right w:val="single" w:sz="8" w:color="CCEEFF"/>
            </w:tcBorders>
            <w:gridSpan w:val="3"/>
            <w:shd w:val="clear" w:color="auto" w:fill="0000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920" w:type="dxa"/>
            <w:vAlign w:val="bottom"/>
            <w:tcBorders>
              <w:right w:val="single" w:sz="8" w:color="CCEEFF"/>
            </w:tcBorders>
            <w:gridSpan w:val="18"/>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Three and Six Months Ended June 30, 2021 and 2020</w:t>
              </w:r>
            </w:hyperlink>
          </w:p>
        </w:tc>
        <w:tc>
          <w:tcPr>
            <w:tcW w:w="18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0000FF"/>
            </w:tcBorders>
            <w:gridSpan w:val="19"/>
            <w:shd w:val="clear" w:color="auto" w:fill="CCEEFF"/>
          </w:tcPr>
          <w:p>
            <w:pPr>
              <w:spacing w:after="0" w:line="189"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Changes in Stockholders’ Equity for the Three and</w:t>
              </w:r>
            </w:hyperlink>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vMerge w:val="restart"/>
            <w:shd w:val="clear" w:color="auto" w:fill="CCEEFF"/>
          </w:tcPr>
          <w:p>
            <w:pPr>
              <w:jc w:val="center"/>
              <w:ind w:left="5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180" w:type="dxa"/>
            <w:vAlign w:val="bottom"/>
            <w:gridSpan w:val="20"/>
            <w:shd w:val="clear" w:color="auto" w:fill="CCEEFF"/>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Six Months Ended June 30, 2021 and 2020</w:t>
              </w:r>
            </w:hyperlink>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spacing w:after="0"/>
              <w:rPr>
                <w:rFonts w:ascii="Arial" w:cs="Arial" w:eastAsia="Arial" w:hAnsi="Arial"/>
                <w:sz w:val="18"/>
                <w:szCs w:val="18"/>
                <w:color w:val="0000FF"/>
                <w:w w:val="82"/>
              </w:rPr>
            </w:pPr>
            <w:hyperlink w:anchor="page7">
              <w:r>
                <w:rPr>
                  <w:rFonts w:ascii="Arial" w:cs="Arial" w:eastAsia="Arial" w:hAnsi="Arial"/>
                  <w:sz w:val="18"/>
                  <w:szCs w:val="18"/>
                  <w:color w:val="0000FF"/>
                  <w:w w:val="82"/>
                </w:rPr>
                <w:t>2021 and</w:t>
              </w:r>
            </w:hyperlink>
          </w:p>
        </w:tc>
        <w:tc>
          <w:tcPr>
            <w:tcW w:w="6660" w:type="dxa"/>
            <w:vAlign w:val="bottom"/>
            <w:gridSpan w:val="20"/>
            <w:shd w:val="clear" w:color="auto" w:fill="CCEEFF"/>
          </w:tcPr>
          <w:p>
            <w:pPr>
              <w:spacing w:after="0" w:line="189" w:lineRule="exact"/>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Cash Flows for the Six Months Ended June 30,</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0" w:type="dxa"/>
            <w:vAlign w:val="bottom"/>
          </w:tcPr>
          <w:p>
            <w:pPr>
              <w:spacing w:after="0"/>
              <w:rPr>
                <w:sz w:val="1"/>
                <w:szCs w:val="1"/>
                <w:color w:val="auto"/>
              </w:rPr>
            </w:pPr>
          </w:p>
        </w:tc>
      </w:tr>
      <w:tr>
        <w:trPr>
          <w:trHeight w:val="176"/>
        </w:trPr>
        <w:tc>
          <w:tcPr>
            <w:tcW w:w="6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vMerge w:val="continue"/>
            <w:shd w:val="clear" w:color="auto" w:fill="CCEEFF"/>
          </w:tcPr>
          <w:p>
            <w:pPr>
              <w:spacing w:after="0"/>
              <w:rPr>
                <w:sz w:val="15"/>
                <w:szCs w:val="15"/>
                <w:color w:val="auto"/>
              </w:rPr>
            </w:pPr>
          </w:p>
        </w:tc>
        <w:tc>
          <w:tcPr>
            <w:tcW w:w="600" w:type="dxa"/>
            <w:vAlign w:val="bottom"/>
            <w:tcBorders>
              <w:top w:val="single" w:sz="8" w:color="0000FF"/>
            </w:tcBorders>
            <w:gridSpan w:val="3"/>
            <w:shd w:val="clear" w:color="auto" w:fill="CCEEFF"/>
          </w:tcPr>
          <w:p>
            <w:pPr>
              <w:ind w:left="60"/>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2020</w:t>
              </w:r>
            </w:hyperlink>
          </w:p>
        </w:tc>
        <w:tc>
          <w:tcPr>
            <w:tcW w:w="32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560" w:type="dxa"/>
            <w:vAlign w:val="bottom"/>
            <w:tcBorders>
              <w:top w:val="single" w:sz="8" w:color="0000FF"/>
            </w:tcBorders>
            <w:shd w:val="clear" w:color="auto" w:fill="CCEEFF"/>
          </w:tcPr>
          <w:p>
            <w:pPr>
              <w:spacing w:after="0"/>
              <w:rPr>
                <w:sz w:val="15"/>
                <w:szCs w:val="15"/>
                <w:color w:val="auto"/>
              </w:rPr>
            </w:pPr>
          </w:p>
        </w:tc>
        <w:tc>
          <w:tcPr>
            <w:tcW w:w="1660" w:type="dxa"/>
            <w:vAlign w:val="bottom"/>
            <w:tcBorders>
              <w:top w:val="single" w:sz="8" w:color="0000FF"/>
            </w:tcBorders>
            <w:gridSpan w:val="4"/>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920" w:type="dxa"/>
            <w:vAlign w:val="bottom"/>
            <w:tcBorders>
              <w:top w:val="single" w:sz="8" w:color="0000FF"/>
              <w:right w:val="single" w:sz="8" w:color="CCEEFF"/>
            </w:tcBorders>
            <w:gridSpan w:val="3"/>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gridSpan w:val="2"/>
            <w:shd w:val="clear" w:color="auto" w:fill="CCEEFF"/>
          </w:tcPr>
          <w:p>
            <w:pPr>
              <w:spacing w:after="0"/>
              <w:rPr>
                <w:sz w:val="15"/>
                <w:szCs w:val="15"/>
                <w:color w:val="auto"/>
              </w:rPr>
            </w:pPr>
          </w:p>
        </w:tc>
        <w:tc>
          <w:tcPr>
            <w:tcW w:w="106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060" w:type="dxa"/>
            <w:vAlign w:val="bottom"/>
            <w:shd w:val="clear" w:color="auto" w:fill="CCEEFF"/>
          </w:tcPr>
          <w:p>
            <w:pPr>
              <w:jc w:val="center"/>
              <w:ind w:left="550"/>
              <w:spacing w:after="0" w:line="18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w w:val="93"/>
              </w:rPr>
            </w:pPr>
            <w:hyperlink w:anchor="page20">
              <w:r>
                <w:rPr>
                  <w:rFonts w:ascii="Arial" w:cs="Arial" w:eastAsia="Arial" w:hAnsi="Arial"/>
                  <w:sz w:val="18"/>
                  <w:szCs w:val="18"/>
                  <w:color w:val="0000FF"/>
                  <w:w w:val="93"/>
                </w:rPr>
                <w:t>Management’s Discussion and Analysis of Financial Condition and Results of Operations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76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76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rPr>
                <w:sz w:val="19"/>
                <w:szCs w:val="19"/>
                <w:color w:val="auto"/>
              </w:rPr>
            </w:pPr>
          </w:p>
        </w:tc>
        <w:tc>
          <w:tcPr>
            <w:tcW w:w="7680" w:type="dxa"/>
            <w:vAlign w:val="bottom"/>
            <w:gridSpan w:val="22"/>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1A.</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center"/>
              <w:ind w:left="550"/>
              <w:spacing w:after="0" w:line="196"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76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Defaults Upon Senior Securities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Other Information</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42</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7680" w:type="dxa"/>
            <w:vAlign w:val="bottom"/>
            <w:gridSpan w:val="22"/>
            <w:shd w:val="clear" w:color="auto" w:fill="CCEEFF"/>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1060" w:type="dxa"/>
            <w:vAlign w:val="bottom"/>
            <w:shd w:val="clear" w:color="auto" w:fill="CCEEFF"/>
          </w:tcPr>
          <w:p>
            <w:pPr>
              <w:jc w:val="center"/>
              <w:ind w:left="550"/>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2" w:name="page3"/>
    <w:bookmarkEnd w:id="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Section 27A of the Securities Act of 1933, as amended, and Section 21E of the Securities Exchange Act of 1934, as amended, which reflect our current views with respect to certain events that could have an effect on our future performance, including but without limitation, statements regarding our plans, objectives, financial performance, business strategies, expectations for our business and the business of the Company.</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These statements relate to expectations concerning matters that are not historical fact and may include the words or phrases such as “would,” “will,” “should,” “expects,” “believes,” “anticipates,” “continues,” “could,” “may,” “might,” “plans,” “possible,” “potential,” “predicts,” “projects,” “forecasts,” “intends,” “assumes,” “estimates,” “approximately,” “shall,” “our planning assumptions,” “future outlook” and similar expressions, but the absence of these words does not mean that a statement is not forward-looking. Except for historical information, matters discussed in this Form 10-Q are forward-looking statements. These forward-looking statements are based largely on information currently available to our management and on our current expectations, assumptions, plans, estimates, judgments and projections about our business and our industry, as well as macroeconomic conditions, and are subject to various risks and uncertainties that could cause actual results to differ materially from historical results or those currently anticipated. Although we believe our expectations are based on reasonable estimates and assumptions, they are not guarantees of performance and there are a number of known and unknown risks, uncertainties, contingencies and other factors (many of which are outside our control) that could cause actual results to differ materially from those expressed or implied by such forward-looking statements. Accordingly, there is no assurance that our expectations will, in fact, occur or that our estimates or assumptions will be correct, and we caution investors and all others not to place undue reliance on such forward-looking statements. Some factors that could cause or contribute to such differences include, but are not limited to, the following:</w:t>
      </w:r>
    </w:p>
    <w:p>
      <w:pPr>
        <w:spacing w:after="0" w:line="1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1300" w:right="18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inflation and increased capital markets volatility;</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right="52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environment,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risk from elimination of the London Inter-bank Offered Rate (“LIBOR”) as a benchmark interest 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38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U.S. tax laws;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9" w:lineRule="exact"/>
        <w:rPr>
          <w:rFonts w:ascii="Arial" w:cs="Arial" w:eastAsia="Arial" w:hAnsi="Arial"/>
          <w:sz w:val="18"/>
          <w:szCs w:val="18"/>
          <w:color w:val="auto"/>
        </w:rPr>
      </w:pPr>
    </w:p>
    <w:p>
      <w:pPr>
        <w:ind w:left="660" w:right="1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June 30, 2021</w:t>
            </w:r>
          </w:p>
        </w:tc>
        <w:tc>
          <w:tcPr>
            <w:tcW w:w="76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30"/>
        </w:trPr>
        <w:tc>
          <w:tcPr>
            <w:tcW w:w="5080" w:type="dxa"/>
            <w:vAlign w:val="bottom"/>
          </w:tcPr>
          <w:p>
            <w:pPr>
              <w:ind w:left="2600"/>
              <w:spacing w:after="0"/>
              <w:rPr>
                <w:sz w:val="20"/>
                <w:szCs w:val="20"/>
                <w:color w:val="auto"/>
              </w:rPr>
            </w:pPr>
            <w:r>
              <w:rPr>
                <w:rFonts w:ascii="Arial" w:cs="Arial" w:eastAsia="Arial" w:hAnsi="Arial"/>
                <w:sz w:val="14"/>
                <w:szCs w:val="14"/>
                <w:color w:val="auto"/>
              </w:rPr>
              <w:t>ASSETS</w:t>
            </w:r>
          </w:p>
        </w:tc>
        <w:tc>
          <w:tcPr>
            <w:tcW w:w="8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assets:</w:t>
            </w:r>
          </w:p>
        </w:tc>
        <w:tc>
          <w:tcPr>
            <w:tcW w:w="8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780"/>
              <w:spacing w:after="0"/>
              <w:rPr>
                <w:sz w:val="20"/>
                <w:szCs w:val="20"/>
                <w:color w:val="auto"/>
              </w:rPr>
            </w:pPr>
            <w:r>
              <w:rPr>
                <w:rFonts w:ascii="Arial" w:cs="Arial" w:eastAsia="Arial" w:hAnsi="Arial"/>
                <w:sz w:val="18"/>
                <w:szCs w:val="18"/>
                <w:color w:val="auto"/>
              </w:rPr>
              <w:t>Cash</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139,716</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74,907</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Accounts receivable, net of allowance of $1,486 and</w:t>
            </w:r>
          </w:p>
        </w:tc>
        <w:tc>
          <w:tcPr>
            <w:tcW w:w="8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70,540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55,017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$1,503, respectively</w:t>
            </w:r>
          </w:p>
        </w:tc>
        <w:tc>
          <w:tcPr>
            <w:tcW w:w="8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Prepaid wires, net</w:t>
            </w:r>
          </w:p>
        </w:tc>
        <w:tc>
          <w:tcPr>
            <w:tcW w:w="8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14,457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53,281</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7"/>
        </w:trPr>
        <w:tc>
          <w:tcPr>
            <w:tcW w:w="5080" w:type="dxa"/>
            <w:vAlign w:val="bottom"/>
          </w:tcPr>
          <w:p>
            <w:pPr>
              <w:ind w:left="980"/>
              <w:spacing w:after="0"/>
              <w:rPr>
                <w:sz w:val="20"/>
                <w:szCs w:val="20"/>
                <w:color w:val="auto"/>
              </w:rPr>
            </w:pPr>
            <w:r>
              <w:rPr>
                <w:rFonts w:ascii="Arial" w:cs="Arial" w:eastAsia="Arial" w:hAnsi="Arial"/>
                <w:sz w:val="18"/>
                <w:szCs w:val="18"/>
                <w:color w:val="auto"/>
              </w:rPr>
              <w:t>Total current assets</w:t>
            </w:r>
          </w:p>
        </w:tc>
        <w:tc>
          <w:tcPr>
            <w:tcW w:w="8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229,698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186,726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Property and equipment, net</w:t>
            </w:r>
          </w:p>
        </w:tc>
        <w:tc>
          <w:tcPr>
            <w:tcW w:w="8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13,937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13,021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29"/>
        </w:trPr>
        <w:tc>
          <w:tcPr>
            <w:tcW w:w="5080" w:type="dxa"/>
            <w:vAlign w:val="bottom"/>
          </w:tcPr>
          <w:p>
            <w:pPr>
              <w:ind w:left="660"/>
              <w:spacing w:after="0"/>
              <w:rPr>
                <w:sz w:val="20"/>
                <w:szCs w:val="20"/>
                <w:color w:val="auto"/>
              </w:rPr>
            </w:pPr>
            <w:r>
              <w:rPr>
                <w:rFonts w:ascii="Arial" w:cs="Arial" w:eastAsia="Arial" w:hAnsi="Arial"/>
                <w:sz w:val="18"/>
                <w:szCs w:val="18"/>
                <w:color w:val="auto"/>
              </w:rPr>
              <w:t>Intangible assets, net</w:t>
            </w:r>
          </w:p>
        </w:tc>
        <w:tc>
          <w:tcPr>
            <w:tcW w:w="8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17,850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9"/>
        </w:trPr>
        <w:tc>
          <w:tcPr>
            <w:tcW w:w="5080" w:type="dxa"/>
            <w:vAlign w:val="bottom"/>
          </w:tcPr>
          <w:p>
            <w:pPr>
              <w:ind w:left="98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302,423</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259,473</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020"/>
              <w:spacing w:after="0"/>
              <w:rPr>
                <w:sz w:val="20"/>
                <w:szCs w:val="20"/>
                <w:color w:val="auto"/>
              </w:rPr>
            </w:pPr>
            <w:r>
              <w:rPr>
                <w:rFonts w:ascii="Arial" w:cs="Arial" w:eastAsia="Arial" w:hAnsi="Arial"/>
                <w:sz w:val="18"/>
                <w:szCs w:val="18"/>
                <w:color w:val="auto"/>
              </w:rPr>
              <w:t>LIABILITIES AND STOCKHOLDERS’ EQUITY</w:t>
            </w: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780"/>
              <w:spacing w:after="0"/>
              <w:rPr>
                <w:sz w:val="20"/>
                <w:szCs w:val="20"/>
                <w:color w:val="auto"/>
              </w:rPr>
            </w:pPr>
            <w:r>
              <w:rPr>
                <w:rFonts w:ascii="Arial" w:cs="Arial" w:eastAsia="Arial" w:hAnsi="Arial"/>
                <w:sz w:val="18"/>
                <w:szCs w:val="18"/>
                <w:color w:val="auto"/>
              </w:rPr>
              <w:t>Current portion of long-term debt, net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Wire transfers and money orders payable, net</w:t>
            </w:r>
          </w:p>
        </w:tc>
        <w:tc>
          <w:tcPr>
            <w:tcW w:w="8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54,982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41,746</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Accrued and other liabilities</w:t>
            </w:r>
          </w:p>
        </w:tc>
        <w:tc>
          <w:tcPr>
            <w:tcW w:w="8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16"/>
        </w:trPr>
        <w:tc>
          <w:tcPr>
            <w:tcW w:w="5080" w:type="dxa"/>
            <w:vAlign w:val="bottom"/>
          </w:tcPr>
          <w:p>
            <w:pPr>
              <w:ind w:left="980"/>
              <w:spacing w:after="0"/>
              <w:rPr>
                <w:sz w:val="20"/>
                <w:szCs w:val="20"/>
                <w:color w:val="auto"/>
              </w:rPr>
            </w:pPr>
            <w:r>
              <w:rPr>
                <w:rFonts w:ascii="Arial" w:cs="Arial" w:eastAsia="Arial" w:hAnsi="Arial"/>
                <w:sz w:val="18"/>
                <w:szCs w:val="18"/>
                <w:color w:val="auto"/>
              </w:rPr>
              <w:t>Total current liabilities</w:t>
            </w:r>
          </w:p>
        </w:tc>
        <w:tc>
          <w:tcPr>
            <w:tcW w:w="8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98,695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Long-term liabilities:</w:t>
            </w:r>
          </w:p>
        </w:tc>
        <w:tc>
          <w:tcPr>
            <w:tcW w:w="8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Debt, net</w:t>
            </w:r>
          </w:p>
        </w:tc>
        <w:tc>
          <w:tcPr>
            <w:tcW w:w="8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81,152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80,579</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Deferred tax liability, net</w:t>
            </w:r>
          </w:p>
        </w:tc>
        <w:tc>
          <w:tcPr>
            <w:tcW w:w="8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7"/>
        </w:trPr>
        <w:tc>
          <w:tcPr>
            <w:tcW w:w="5080" w:type="dxa"/>
            <w:vAlign w:val="bottom"/>
          </w:tcPr>
          <w:p>
            <w:pPr>
              <w:ind w:left="980"/>
              <w:spacing w:after="0"/>
              <w:rPr>
                <w:sz w:val="20"/>
                <w:szCs w:val="20"/>
                <w:color w:val="auto"/>
              </w:rPr>
            </w:pPr>
            <w:r>
              <w:rPr>
                <w:rFonts w:ascii="Arial" w:cs="Arial" w:eastAsia="Arial" w:hAnsi="Arial"/>
                <w:sz w:val="18"/>
                <w:szCs w:val="18"/>
                <w:color w:val="auto"/>
              </w:rPr>
              <w:t>Total long-term liabilities</w:t>
            </w:r>
          </w:p>
        </w:tc>
        <w:tc>
          <w:tcPr>
            <w:tcW w:w="8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82,552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81,271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Commitments and contingencies, see Note 13</w:t>
            </w: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Stockholders’ equity:</w:t>
            </w: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Common stock $0.0001 par value; 230,000,000 shares authorized,</w:t>
            </w: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38,585,724 and 38,217,125 shares issued and outstanding as of</w:t>
            </w:r>
          </w:p>
        </w:tc>
        <w:tc>
          <w:tcPr>
            <w:tcW w:w="8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June 30, 2021 and December 31, 2020, respectively.</w:t>
            </w:r>
          </w:p>
        </w:tc>
        <w:tc>
          <w:tcPr>
            <w:tcW w:w="8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64,009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Retained earnings</w:t>
            </w:r>
          </w:p>
        </w:tc>
        <w:tc>
          <w:tcPr>
            <w:tcW w:w="8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Accumulated other comprehensive loss</w:t>
            </w:r>
          </w:p>
        </w:tc>
        <w:tc>
          <w:tcPr>
            <w:tcW w:w="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30"/>
        </w:trPr>
        <w:tc>
          <w:tcPr>
            <w:tcW w:w="5080" w:type="dxa"/>
            <w:vAlign w:val="bottom"/>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302,423</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gridSpan w:val="5"/>
          </w:tcPr>
          <w:p>
            <w:pPr>
              <w:ind w:left="340"/>
              <w:spacing w:after="0"/>
              <w:rPr>
                <w:sz w:val="20"/>
                <w:szCs w:val="20"/>
                <w:color w:val="auto"/>
              </w:rPr>
            </w:pPr>
            <w:r>
              <w:rPr>
                <w:rFonts w:ascii="Arial" w:cs="Arial" w:eastAsia="Arial" w:hAnsi="Arial"/>
                <w:sz w:val="18"/>
                <w:szCs w:val="18"/>
                <w:color w:val="auto"/>
              </w:rPr>
              <w:t>Three Months Ended June 30,</w:t>
            </w:r>
          </w:p>
        </w:tc>
        <w:tc>
          <w:tcPr>
            <w:tcW w:w="980" w:type="dxa"/>
            <w:vAlign w:val="bottom"/>
          </w:tcPr>
          <w:p>
            <w:pPr>
              <w:spacing w:after="0"/>
              <w:rPr>
                <w:sz w:val="20"/>
                <w:szCs w:val="20"/>
                <w:color w:val="auto"/>
              </w:rPr>
            </w:pPr>
          </w:p>
        </w:tc>
        <w:tc>
          <w:tcPr>
            <w:tcW w:w="3240" w:type="dxa"/>
            <w:vAlign w:val="bottom"/>
            <w:gridSpan w:val="4"/>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7"/>
              </w:rPr>
              <w:t>Wire transfer and</w:t>
            </w: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99,306</w:t>
            </w: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72,793</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180,218</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139,888</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order fees, net</w:t>
            </w:r>
          </w:p>
        </w:tc>
        <w:tc>
          <w:tcPr>
            <w:tcW w:w="9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780"/>
              <w:spacing w:after="0" w:line="176" w:lineRule="exact"/>
              <w:rPr>
                <w:sz w:val="20"/>
                <w:szCs w:val="20"/>
                <w:color w:val="auto"/>
              </w:rPr>
            </w:pPr>
            <w:r>
              <w:rPr>
                <w:rFonts w:ascii="Arial" w:cs="Arial" w:eastAsia="Arial" w:hAnsi="Arial"/>
                <w:sz w:val="18"/>
                <w:szCs w:val="18"/>
                <w:color w:val="auto"/>
                <w:w w:val="92"/>
              </w:rPr>
              <w:t>Foreign exchange</w:t>
            </w: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16,655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11,660</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29,703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21,214</w:t>
            </w:r>
          </w:p>
        </w:tc>
        <w:tc>
          <w:tcPr>
            <w:tcW w:w="0" w:type="dxa"/>
            <w:vAlign w:val="bottom"/>
          </w:tcPr>
          <w:p>
            <w:pPr>
              <w:spacing w:after="0"/>
              <w:rPr>
                <w:sz w:val="1"/>
                <w:szCs w:val="1"/>
                <w:color w:val="auto"/>
              </w:rPr>
            </w:pPr>
          </w:p>
        </w:tc>
      </w:tr>
      <w:tr>
        <w:trPr>
          <w:trHeight w:val="229"/>
        </w:trPr>
        <w:tc>
          <w:tcPr>
            <w:tcW w:w="2140" w:type="dxa"/>
            <w:vAlign w:val="bottom"/>
          </w:tcPr>
          <w:p>
            <w:pPr>
              <w:ind w:left="140"/>
              <w:spacing w:after="0"/>
              <w:rPr>
                <w:sz w:val="20"/>
                <w:szCs w:val="20"/>
                <w:color w:val="auto"/>
              </w:rPr>
            </w:pPr>
            <w:r>
              <w:rPr>
                <w:rFonts w:ascii="Arial" w:cs="Arial" w:eastAsia="Arial" w:hAnsi="Arial"/>
                <w:sz w:val="18"/>
                <w:szCs w:val="18"/>
                <w:color w:val="auto"/>
              </w:rPr>
              <w:t>gain, net</w:t>
            </w:r>
          </w:p>
        </w:tc>
        <w:tc>
          <w:tcPr>
            <w:tcW w:w="9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Other income</w:t>
            </w:r>
          </w:p>
        </w:tc>
        <w:tc>
          <w:tcPr>
            <w:tcW w:w="9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w w:val="95"/>
              </w:rPr>
              <w:t>Total revenues</w:t>
            </w: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116,747</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85,062</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211,323</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162,313</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660"/>
              <w:spacing w:after="0" w:line="176" w:lineRule="exact"/>
              <w:rPr>
                <w:sz w:val="20"/>
                <w:szCs w:val="20"/>
                <w:color w:val="auto"/>
              </w:rPr>
            </w:pPr>
            <w:r>
              <w:rPr>
                <w:rFonts w:ascii="Arial" w:cs="Arial" w:eastAsia="Arial" w:hAnsi="Arial"/>
                <w:sz w:val="18"/>
                <w:szCs w:val="18"/>
                <w:color w:val="auto"/>
              </w:rPr>
              <w:t>Operating</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expenses:</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Service charges</w:t>
            </w:r>
          </w:p>
        </w:tc>
        <w:tc>
          <w:tcPr>
            <w:tcW w:w="9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141,237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108,498</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from agents and banks</w:t>
            </w:r>
          </w:p>
        </w:tc>
        <w:tc>
          <w:tcPr>
            <w:tcW w:w="9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780"/>
              <w:spacing w:after="0" w:line="176" w:lineRule="exact"/>
              <w:rPr>
                <w:sz w:val="20"/>
                <w:szCs w:val="20"/>
                <w:color w:val="auto"/>
              </w:rPr>
            </w:pPr>
            <w:r>
              <w:rPr>
                <w:rFonts w:ascii="Arial" w:cs="Arial" w:eastAsia="Arial" w:hAnsi="Arial"/>
                <w:sz w:val="18"/>
                <w:szCs w:val="18"/>
                <w:color w:val="auto"/>
              </w:rPr>
              <w:t>Salaries and</w:t>
            </w: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10,175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7,069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20,050</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14,428</w:t>
            </w:r>
          </w:p>
        </w:tc>
        <w:tc>
          <w:tcPr>
            <w:tcW w:w="0" w:type="dxa"/>
            <w:vAlign w:val="bottom"/>
          </w:tcPr>
          <w:p>
            <w:pPr>
              <w:spacing w:after="0"/>
              <w:rPr>
                <w:sz w:val="1"/>
                <w:szCs w:val="1"/>
                <w:color w:val="auto"/>
              </w:rPr>
            </w:pPr>
          </w:p>
        </w:tc>
      </w:tr>
      <w:tr>
        <w:trPr>
          <w:trHeight w:val="229"/>
        </w:trPr>
        <w:tc>
          <w:tcPr>
            <w:tcW w:w="2140" w:type="dxa"/>
            <w:vAlign w:val="bottom"/>
          </w:tcPr>
          <w:p>
            <w:pPr>
              <w:ind w:left="140"/>
              <w:spacing w:after="0"/>
              <w:rPr>
                <w:sz w:val="20"/>
                <w:szCs w:val="20"/>
                <w:color w:val="auto"/>
              </w:rPr>
            </w:pPr>
            <w:r>
              <w:rPr>
                <w:rFonts w:ascii="Arial" w:cs="Arial" w:eastAsia="Arial" w:hAnsi="Arial"/>
                <w:sz w:val="18"/>
                <w:szCs w:val="18"/>
                <w:color w:val="auto"/>
              </w:rPr>
              <w:t>benefits</w:t>
            </w:r>
          </w:p>
        </w:tc>
        <w:tc>
          <w:tcPr>
            <w:tcW w:w="9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Other selling, general and</w:t>
            </w:r>
          </w:p>
        </w:tc>
        <w:tc>
          <w:tcPr>
            <w:tcW w:w="9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administrative expenses</w:t>
            </w:r>
          </w:p>
        </w:tc>
        <w:tc>
          <w:tcPr>
            <w:tcW w:w="9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780"/>
              <w:spacing w:after="0" w:line="176" w:lineRule="exact"/>
              <w:rPr>
                <w:sz w:val="20"/>
                <w:szCs w:val="20"/>
                <w:color w:val="auto"/>
              </w:rPr>
            </w:pPr>
            <w:r>
              <w:rPr>
                <w:rFonts w:ascii="Arial" w:cs="Arial" w:eastAsia="Arial" w:hAnsi="Arial"/>
                <w:sz w:val="18"/>
                <w:szCs w:val="18"/>
                <w:color w:val="auto"/>
                <w:w w:val="98"/>
              </w:rPr>
              <w:t>Depreciation and</w:t>
            </w:r>
          </w:p>
        </w:tc>
        <w:tc>
          <w:tcPr>
            <w:tcW w:w="9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2,691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980"/>
              <w:spacing w:after="0" w:line="162" w:lineRule="exact"/>
              <w:rPr>
                <w:sz w:val="20"/>
                <w:szCs w:val="20"/>
                <w:color w:val="auto"/>
              </w:rPr>
            </w:pPr>
            <w:r>
              <w:rPr>
                <w:rFonts w:ascii="Arial" w:cs="Arial" w:eastAsia="Arial" w:hAnsi="Arial"/>
                <w:sz w:val="18"/>
                <w:szCs w:val="18"/>
                <w:color w:val="auto"/>
                <w:w w:val="94"/>
              </w:rPr>
              <w:t>Total operating</w:t>
            </w:r>
          </w:p>
        </w:tc>
        <w:tc>
          <w:tcPr>
            <w:tcW w:w="9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97,463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71,186</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178,548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138,799</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980"/>
              <w:spacing w:after="0" w:line="176" w:lineRule="exact"/>
              <w:rPr>
                <w:sz w:val="20"/>
                <w:szCs w:val="20"/>
                <w:color w:val="auto"/>
              </w:rPr>
            </w:pPr>
            <w:r>
              <w:rPr>
                <w:rFonts w:ascii="Arial" w:cs="Arial" w:eastAsia="Arial" w:hAnsi="Arial"/>
                <w:sz w:val="18"/>
                <w:szCs w:val="18"/>
                <w:color w:val="auto"/>
                <w:w w:val="99"/>
              </w:rPr>
              <w:t>Income before</w:t>
            </w:r>
          </w:p>
        </w:tc>
        <w:tc>
          <w:tcPr>
            <w:tcW w:w="9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30,181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Income tax</w:t>
            </w:r>
          </w:p>
        </w:tc>
        <w:tc>
          <w:tcPr>
            <w:tcW w:w="9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comprehensive income (loss)</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980"/>
              <w:spacing w:after="0" w:line="176" w:lineRule="exact"/>
              <w:rPr>
                <w:sz w:val="20"/>
                <w:szCs w:val="20"/>
                <w:color w:val="auto"/>
              </w:rPr>
            </w:pPr>
            <w:r>
              <w:rPr>
                <w:rFonts w:ascii="Arial" w:cs="Arial" w:eastAsia="Arial" w:hAnsi="Arial"/>
                <w:sz w:val="18"/>
                <w:szCs w:val="18"/>
                <w:color w:val="auto"/>
                <w:w w:val="90"/>
              </w:rPr>
              <w:t>Comprehensive</w:t>
            </w: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Earnings per</w:t>
            </w:r>
          </w:p>
        </w:tc>
        <w:tc>
          <w:tcPr>
            <w:tcW w:w="9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w:t>
            </w: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98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Weighted-average</w:t>
            </w:r>
          </w:p>
        </w:tc>
        <w:tc>
          <w:tcPr>
            <w:tcW w:w="9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common shares outstanding:</w:t>
            </w: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tcPr>
          <w:p>
            <w:pPr>
              <w:ind w:left="98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38,433,748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38,035,279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38,336,977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38,035,146</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39,027,414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38,047,792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38,937,699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38,043,233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120"/>
          </w:cols>
          <w:pgMar w:left="320" w:top="125" w:right="459" w:bottom="1440" w:gutter="0" w:footer="0" w:header="0"/>
        </w:sectPr>
      </w:pP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June 30, 2021</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34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
                <w:szCs w:val="2"/>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Paid-in Capital</w:t>
            </w:r>
          </w:p>
        </w:tc>
        <w:tc>
          <w:tcPr>
            <w:tcW w:w="12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06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38,362,788</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105,564</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100,275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1360" w:type="dxa"/>
            <w:vAlign w:val="bottom"/>
          </w:tcPr>
          <w:p>
            <w:pPr>
              <w:jc w:val="right"/>
              <w:spacing w:after="0"/>
              <w:rPr>
                <w:sz w:val="20"/>
                <w:szCs w:val="20"/>
                <w:color w:val="auto"/>
              </w:rPr>
            </w:pPr>
            <w:r>
              <w:rPr>
                <w:rFonts w:ascii="Arial" w:cs="Arial" w:eastAsia="Arial" w:hAnsi="Arial"/>
                <w:sz w:val="18"/>
                <w:szCs w:val="18"/>
                <w:color w:val="auto"/>
              </w:rPr>
              <w:t>88,215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Fully vested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net</w:t>
            </w:r>
          </w:p>
        </w:tc>
        <w:tc>
          <w:tcPr>
            <w:tcW w:w="144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June 30, 2021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38,585,724</w:t>
            </w:r>
          </w:p>
        </w:tc>
        <w:tc>
          <w:tcPr>
            <w:tcW w:w="8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64,009</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57,164</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121,176</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June 30, 2020</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340" w:type="dxa"/>
            <w:vAlign w:val="bottom"/>
            <w:gridSpan w:val="3"/>
          </w:tcPr>
          <w:p>
            <w:pPr>
              <w:jc w:val="right"/>
              <w:ind w:right="456"/>
              <w:spacing w:after="0" w:line="149"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88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1060" w:type="dxa"/>
            <w:vAlign w:val="bottom"/>
            <w:vMerge w:val="restart"/>
          </w:tcPr>
          <w:p>
            <w:pPr>
              <w:jc w:val="center"/>
              <w:ind w:right="57"/>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Paid-in Capital</w:t>
            </w:r>
          </w:p>
        </w:tc>
        <w:tc>
          <w:tcPr>
            <w:tcW w:w="12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38,035,279</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62,229</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880" w:type="dxa"/>
            <w:vAlign w:val="bottom"/>
          </w:tcPr>
          <w:p>
            <w:pPr>
              <w:ind w:left="200"/>
              <w:spacing w:after="0"/>
              <w:rPr>
                <w:sz w:val="20"/>
                <w:szCs w:val="20"/>
                <w:color w:val="auto"/>
              </w:rPr>
            </w:pPr>
            <w:r>
              <w:rPr>
                <w:rFonts w:ascii="Arial" w:cs="Arial" w:eastAsia="Arial" w:hAnsi="Arial"/>
                <w:sz w:val="18"/>
                <w:szCs w:val="18"/>
                <w:color w:val="auto"/>
              </w:rPr>
              <w:t>translation, net</w:t>
            </w:r>
          </w:p>
        </w:tc>
        <w:tc>
          <w:tcPr>
            <w:tcW w:w="144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38,035,279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Six Months Ended June 30, 2021</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34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
                <w:szCs w:val="2"/>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Paid-in Capital</w:t>
            </w:r>
          </w:p>
        </w:tc>
        <w:tc>
          <w:tcPr>
            <w:tcW w:w="12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06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38,217,125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22,204</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244,907</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1360" w:type="dxa"/>
            <w:vAlign w:val="bottom"/>
          </w:tcPr>
          <w:p>
            <w:pPr>
              <w:jc w:val="right"/>
              <w:spacing w:after="0"/>
              <w:rPr>
                <w:sz w:val="20"/>
                <w:szCs w:val="20"/>
                <w:color w:val="auto"/>
              </w:rPr>
            </w:pPr>
            <w:r>
              <w:rPr>
                <w:rFonts w:ascii="Arial" w:cs="Arial" w:eastAsia="Arial" w:hAnsi="Arial"/>
                <w:sz w:val="18"/>
                <w:szCs w:val="18"/>
                <w:color w:val="auto"/>
              </w:rPr>
              <w:t>88,215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Fully vested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net</w:t>
            </w:r>
          </w:p>
        </w:tc>
        <w:tc>
          <w:tcPr>
            <w:tcW w:w="144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June 30, 2021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38,585,724</w:t>
            </w:r>
          </w:p>
        </w:tc>
        <w:tc>
          <w:tcPr>
            <w:tcW w:w="8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64,009</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57,164</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121,176</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340" w:type="dxa"/>
            <w:vAlign w:val="bottom"/>
            <w:gridSpan w:val="3"/>
          </w:tcPr>
          <w:p>
            <w:pPr>
              <w:jc w:val="right"/>
              <w:ind w:right="456"/>
              <w:spacing w:after="0" w:line="149"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88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1060" w:type="dxa"/>
            <w:vAlign w:val="bottom"/>
            <w:vMerge w:val="restart"/>
          </w:tcPr>
          <w:p>
            <w:pPr>
              <w:jc w:val="center"/>
              <w:ind w:right="56"/>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Paid-in Capital</w:t>
            </w:r>
          </w:p>
        </w:tc>
        <w:tc>
          <w:tcPr>
            <w:tcW w:w="12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(Loss) Income</w:t>
            </w:r>
          </w:p>
        </w:tc>
        <w:tc>
          <w:tcPr>
            <w:tcW w:w="140" w:type="dxa"/>
            <w:vAlign w:val="bottom"/>
          </w:tcPr>
          <w:p>
            <w:pPr>
              <w:spacing w:after="0"/>
              <w:rPr>
                <w:sz w:val="17"/>
                <w:szCs w:val="17"/>
                <w:color w:val="auto"/>
              </w:rPr>
            </w:pPr>
          </w:p>
        </w:tc>
        <w:tc>
          <w:tcPr>
            <w:tcW w:w="106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38,034,389</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14,666</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880" w:type="dxa"/>
            <w:vAlign w:val="bottom"/>
          </w:tcPr>
          <w:p>
            <w:pPr>
              <w:ind w:left="200"/>
              <w:spacing w:after="0"/>
              <w:rPr>
                <w:sz w:val="20"/>
                <w:szCs w:val="20"/>
                <w:color w:val="auto"/>
              </w:rPr>
            </w:pPr>
            <w:r>
              <w:rPr>
                <w:rFonts w:ascii="Arial" w:cs="Arial" w:eastAsia="Arial" w:hAnsi="Arial"/>
                <w:sz w:val="18"/>
                <w:szCs w:val="18"/>
                <w:color w:val="auto"/>
              </w:rPr>
              <w:t>translation, net</w:t>
            </w:r>
          </w:p>
        </w:tc>
        <w:tc>
          <w:tcPr>
            <w:tcW w:w="144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38,035,279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140" w:right="2100"/>
        <w:spacing w:after="0" w:line="266"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(in thousands, unaudited)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 June 30,</w:t>
            </w:r>
          </w:p>
        </w:tc>
        <w:tc>
          <w:tcPr>
            <w:tcW w:w="1000" w:type="dxa"/>
            <w:vAlign w:val="bottom"/>
            <w:tcBorders>
              <w:bottom w:val="single" w:sz="8" w:color="auto"/>
            </w:tcBorders>
          </w:tcPr>
          <w:p>
            <w:pPr>
              <w:spacing w:after="0"/>
              <w:rPr>
                <w:sz w:val="20"/>
                <w:szCs w:val="20"/>
                <w:color w:val="auto"/>
              </w:rPr>
            </w:pPr>
          </w:p>
        </w:tc>
      </w:tr>
      <w:tr>
        <w:trPr>
          <w:trHeight w:val="237"/>
        </w:trPr>
        <w:tc>
          <w:tcPr>
            <w:tcW w:w="5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9"/>
              </w:rPr>
              <w:t>2020</w:t>
            </w:r>
          </w:p>
        </w:tc>
      </w:tr>
      <w:tr>
        <w:trPr>
          <w:trHeight w:val="216"/>
        </w:trPr>
        <w:tc>
          <w:tcPr>
            <w:tcW w:w="5100" w:type="dxa"/>
            <w:vAlign w:val="bottom"/>
          </w:tcPr>
          <w:p>
            <w:pPr>
              <w:ind w:left="660"/>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w:t>
            </w:r>
          </w:p>
        </w:tc>
      </w:tr>
      <w:tr>
        <w:trPr>
          <w:trHeight w:val="176"/>
        </w:trPr>
        <w:tc>
          <w:tcPr>
            <w:tcW w:w="5100" w:type="dxa"/>
            <w:vAlign w:val="bottom"/>
          </w:tcPr>
          <w:p>
            <w:pPr>
              <w:ind w:left="140"/>
              <w:spacing w:after="0" w:line="176" w:lineRule="exact"/>
              <w:rPr>
                <w:sz w:val="20"/>
                <w:szCs w:val="20"/>
                <w:color w:val="auto"/>
              </w:rPr>
            </w:pPr>
            <w:r>
              <w:rPr>
                <w:rFonts w:ascii="Arial" w:cs="Arial" w:eastAsia="Arial" w:hAnsi="Arial"/>
                <w:sz w:val="18"/>
                <w:szCs w:val="18"/>
                <w:color w:val="auto"/>
              </w:rPr>
              <w:t>Adjustments to reconcile net income to net cash provided by</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5100" w:type="dxa"/>
            <w:vAlign w:val="bottom"/>
          </w:tcPr>
          <w:p>
            <w:pPr>
              <w:ind w:left="30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1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r>
      <w:tr>
        <w:trPr>
          <w:trHeight w:val="229"/>
        </w:trPr>
        <w:tc>
          <w:tcPr>
            <w:tcW w:w="5100" w:type="dxa"/>
            <w:vAlign w:val="bottom"/>
          </w:tcPr>
          <w:p>
            <w:pPr>
              <w:ind w:left="980"/>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29"/>
        </w:trPr>
        <w:tc>
          <w:tcPr>
            <w:tcW w:w="51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credit losses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30"/>
        </w:trPr>
        <w:tc>
          <w:tcPr>
            <w:tcW w:w="5100" w:type="dxa"/>
            <w:vAlign w:val="bottom"/>
          </w:tcPr>
          <w:p>
            <w:pPr>
              <w:ind w:left="980"/>
              <w:spacing w:after="0"/>
              <w:rPr>
                <w:sz w:val="20"/>
                <w:szCs w:val="20"/>
                <w:color w:val="auto"/>
              </w:rPr>
            </w:pPr>
            <w:r>
              <w:rPr>
                <w:rFonts w:ascii="Arial" w:cs="Arial" w:eastAsia="Arial" w:hAnsi="Arial"/>
                <w:sz w:val="18"/>
                <w:szCs w:val="18"/>
                <w:color w:val="auto"/>
              </w:rPr>
              <w:t>Debt origination costs amortization</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51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income tax provision, net</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37"/>
        </w:trPr>
        <w:tc>
          <w:tcPr>
            <w:tcW w:w="510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Loss on disposal of property and equipment</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1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adjustments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r>
      <w:tr>
        <w:trPr>
          <w:trHeight w:val="230"/>
        </w:trPr>
        <w:tc>
          <w:tcPr>
            <w:tcW w:w="5100" w:type="dxa"/>
            <w:vAlign w:val="bottom"/>
          </w:tcPr>
          <w:p>
            <w:pPr>
              <w:ind w:left="9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1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(21,485)</w:t>
            </w:r>
          </w:p>
        </w:tc>
      </w:tr>
      <w:tr>
        <w:trPr>
          <w:trHeight w:val="229"/>
        </w:trPr>
        <w:tc>
          <w:tcPr>
            <w:tcW w:w="5100" w:type="dxa"/>
            <w:vAlign w:val="bottom"/>
          </w:tcPr>
          <w:p>
            <w:pPr>
              <w:ind w:left="1100"/>
              <w:spacing w:after="0"/>
              <w:rPr>
                <w:sz w:val="20"/>
                <w:szCs w:val="20"/>
                <w:color w:val="auto"/>
              </w:rPr>
            </w:pPr>
            <w:r>
              <w:rPr>
                <w:rFonts w:ascii="Arial" w:cs="Arial" w:eastAsia="Arial" w:hAnsi="Arial"/>
                <w:sz w:val="18"/>
                <w:szCs w:val="18"/>
                <w:color w:val="auto"/>
              </w:rPr>
              <w:t>Prepaid wires,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38,825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11,635</w:t>
            </w:r>
          </w:p>
        </w:tc>
      </w:tr>
      <w:tr>
        <w:trPr>
          <w:trHeight w:val="230"/>
        </w:trPr>
        <w:tc>
          <w:tcPr>
            <w:tcW w:w="51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29"/>
        </w:trPr>
        <w:tc>
          <w:tcPr>
            <w:tcW w:w="5100" w:type="dxa"/>
            <w:vAlign w:val="bottom"/>
          </w:tcPr>
          <w:p>
            <w:pPr>
              <w:ind w:left="1100"/>
              <w:spacing w:after="0"/>
              <w:rPr>
                <w:sz w:val="20"/>
                <w:szCs w:val="20"/>
                <w:color w:val="auto"/>
              </w:rPr>
            </w:pPr>
            <w:r>
              <w:rPr>
                <w:rFonts w:ascii="Arial" w:cs="Arial" w:eastAsia="Arial" w:hAnsi="Arial"/>
                <w:sz w:val="18"/>
                <w:szCs w:val="18"/>
                <w:color w:val="auto"/>
              </w:rPr>
              <w:t>Wire transfers and money orders payable,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8,648</w:t>
            </w:r>
          </w:p>
        </w:tc>
      </w:tr>
      <w:tr>
        <w:trPr>
          <w:trHeight w:val="237"/>
        </w:trPr>
        <w:tc>
          <w:tcPr>
            <w:tcW w:w="51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Accounts payable and accrued and other liabilities</w:t>
            </w: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37"/>
        </w:trPr>
        <w:tc>
          <w:tcPr>
            <w:tcW w:w="51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70,290</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21,473</w:t>
            </w:r>
          </w:p>
        </w:tc>
      </w:tr>
      <w:tr>
        <w:trPr>
          <w:trHeight w:val="148"/>
        </w:trPr>
        <w:tc>
          <w:tcPr>
            <w:tcW w:w="5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0"/>
        </w:trPr>
        <w:tc>
          <w:tcPr>
            <w:tcW w:w="5100" w:type="dxa"/>
            <w:vAlign w:val="bottom"/>
          </w:tcPr>
          <w:p>
            <w:pPr>
              <w:ind w:left="660"/>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9"/>
        </w:trPr>
        <w:tc>
          <w:tcPr>
            <w:tcW w:w="5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17"/>
        </w:trPr>
        <w:tc>
          <w:tcPr>
            <w:tcW w:w="510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162"/>
        </w:trPr>
        <w:tc>
          <w:tcPr>
            <w:tcW w:w="5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29"/>
        </w:trPr>
        <w:tc>
          <w:tcPr>
            <w:tcW w:w="5100" w:type="dxa"/>
            <w:vAlign w:val="bottom"/>
          </w:tcPr>
          <w:p>
            <w:pPr>
              <w:ind w:left="660"/>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Repayments of term loan facility</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r>
      <w:tr>
        <w:trPr>
          <w:trHeight w:val="230"/>
        </w:trPr>
        <w:tc>
          <w:tcPr>
            <w:tcW w:w="5100" w:type="dxa"/>
            <w:vAlign w:val="bottom"/>
          </w:tcPr>
          <w:p>
            <w:pPr>
              <w:ind w:left="780"/>
              <w:spacing w:after="0"/>
              <w:rPr>
                <w:sz w:val="20"/>
                <w:szCs w:val="20"/>
                <w:color w:val="auto"/>
              </w:rPr>
            </w:pPr>
            <w:r>
              <w:rPr>
                <w:rFonts w:ascii="Arial" w:cs="Arial" w:eastAsia="Arial" w:hAnsi="Arial"/>
                <w:sz w:val="18"/>
                <w:szCs w:val="18"/>
                <w:color w:val="auto"/>
              </w:rPr>
              <w:t>Borrowings under term loan facility</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40,158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Debt origination costs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1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r>
      <w:tr>
        <w:trPr>
          <w:trHeight w:val="148"/>
        </w:trPr>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37"/>
        </w:trPr>
        <w:tc>
          <w:tcPr>
            <w:tcW w:w="5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Effect of exchange rate changes on cash</w:t>
            </w: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148"/>
        </w:trPr>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30"/>
        </w:trPr>
        <w:tc>
          <w:tcPr>
            <w:tcW w:w="5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increase in cash</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15,868</w:t>
            </w:r>
          </w:p>
        </w:tc>
      </w:tr>
      <w:tr>
        <w:trPr>
          <w:trHeight w:val="162"/>
        </w:trPr>
        <w:tc>
          <w:tcPr>
            <w:tcW w:w="5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6"/>
        </w:trPr>
        <w:tc>
          <w:tcPr>
            <w:tcW w:w="5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beginning of period</w:t>
            </w: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86,117</w:t>
            </w:r>
          </w:p>
        </w:tc>
      </w:tr>
      <w:tr>
        <w:trPr>
          <w:trHeight w:val="149"/>
        </w:trPr>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54"/>
        </w:trPr>
        <w:tc>
          <w:tcPr>
            <w:tcW w:w="5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end of period</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101,985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140" w:right="146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Six Months Ended 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216"/>
        </w:trPr>
        <w:tc>
          <w:tcPr>
            <w:tcW w:w="5160" w:type="dxa"/>
            <w:vAlign w:val="bottom"/>
          </w:tcPr>
          <w:p>
            <w:pPr>
              <w:ind w:left="6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Cash paid for interest</w:t>
            </w:r>
          </w:p>
        </w:tc>
        <w:tc>
          <w:tcPr>
            <w:tcW w:w="162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Cash paid for income taxes</w:t>
            </w: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660"/>
              <w:spacing w:after="0"/>
              <w:rPr>
                <w:sz w:val="20"/>
                <w:szCs w:val="20"/>
                <w:color w:val="auto"/>
              </w:rPr>
            </w:pPr>
            <w:r>
              <w:rPr>
                <w:rFonts w:ascii="Arial" w:cs="Arial" w:eastAsia="Arial" w:hAnsi="Arial"/>
                <w:sz w:val="18"/>
                <w:szCs w:val="18"/>
                <w:b w:val="1"/>
                <w:bCs w:val="1"/>
                <w:color w:val="auto"/>
                <w:w w:val="93"/>
              </w:rPr>
              <w:t>Supplemental disclosure of non-cash financing activity:</w:t>
            </w: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6"/>
              </w:rPr>
              <w:t>Issuance of common stock for cashless exercise of stock</w:t>
            </w:r>
          </w:p>
        </w:tc>
        <w:tc>
          <w:tcPr>
            <w:tcW w:w="162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6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34 Company-operated stores throughout the United States and Canada.</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March 2020, a global pandemic was declared by the World Health Organization related to the rapidly growing outbreak of a novel strain of coronavirus (“COVID-19”). Although the worst effects of the pandemic appear to have subsided in the United States, the pandemic has had and continues to have a significant effect on economic conditions in the United States, and continues to cause significant uncertainties in the U.S. and global economies, particularly as a result of a new Delta variant of COVID-19, which appears to be causing an increase in COVID-19 cases. Public health officials and medical professionals have warned that a resurgence of COVID-19 cases may continue to spike, particularly if vaccination rates do not quickly increase or if additional, potent disease variants emerge. It is unclear how long the resurgence will last, how severe it will be, and what safety measures governments will impose in response to it.</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extent to which the COVID-19 pandemic affects our business, operations and financial results depends, and will continue to depend, on numerous evolving factors that we may not be able to accurately predict.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or resurgence of the pandemic and the related extent of its severity, as well as its impact on the economic conditions, particularly the level of unemployment of our customers, inflation, interest rate levels and foreign exchange volatility, all of which remain uncertain and cannot be predicted at this time. If governmental decisions to ease pandemic related restrictions are ineffective, premature or counterproductive, or if an escalation in the global response to contain the COVID-19 pandemic is required or is unsuccessful, the Company could experience a material adverse effect on its financial condition, results of operations and cash flows.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condensed consolidated financial statements of the Company include Intermex Holdings, Inc., its wholly-owned indirect subsidiary, Intermex Wire Transfer, LLC (“LLC”), Intermex Wire Transfers de Guatemala, S.A. (“Intermex Guatemala”) - 100% owned by LLC, Intermex Wire Transfer de Mexico, S.A. and Intermex Transfers de Mexico, S.A. (“Intermex Mexico”) - 98% owned by LLC, Intermex Wire Transfer Corp. - 100% owned by LLC, Intermex Wire Transfer II, LLC - 100% owned by LLC and Canada International Transfers Corp. - 100% owned by LLC.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financial statements are prepared in accordance with accounting principles generally accepted in the United States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condensed consolidated financial statements.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Financial Accounting Standards Board (“FASB”) issued amended guidance, </w:t>
      </w:r>
      <w:r>
        <w:rPr>
          <w:rFonts w:ascii="Arial" w:cs="Arial" w:eastAsia="Arial" w:hAnsi="Arial"/>
          <w:sz w:val="18"/>
          <w:szCs w:val="18"/>
          <w:i w:val="1"/>
          <w:iCs w:val="1"/>
          <w:color w:val="auto"/>
        </w:rPr>
        <w:t>Intangibles – 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The amended standard simplifies how an entity tests goodwill by eliminating Step 2 of the goodwill impairment test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an impairment charge. Instead, impairment will be recorded for the amount that the carrying amount of a reporting unit exceeds its fair value. This guidance was adopted by the Company on January 1, 2021. The adoption of this guidance did not have a material impact on the condensed consolidated financial statements.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The amended standard requires implementation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by customers in cloud computing arrangements to be deferred and recognized over the term of the arrangement if those costs would be capitalized by the customers in a software licensing arrangement. This guidance was adopted by the Company on January 1, 2021. The adoption of this guidance did not have a material impact on the condensed consolidated financial statements.</w:t>
      </w:r>
    </w:p>
    <w:p>
      <w:pPr>
        <w:spacing w:after="0" w:line="1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This guidance was adopted by the Company on January 1, 2021. The adoption of this guidance did not have a material impact on the condensed consolidated financial statements.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Leases (Topic 842)</w:t>
      </w:r>
      <w:r>
        <w:rPr>
          <w:rFonts w:ascii="Arial" w:cs="Arial" w:eastAsia="Arial" w:hAnsi="Arial"/>
          <w:sz w:val="17"/>
          <w:szCs w:val="17"/>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asset representing its right to use the underlying asset for the lease term on the balance sheet. This guidance is required to be adopted by the Company on January 1, 2022 using the modified retrospective approach. The Company is currently evaluating the impact this guidance will have on the condensed consolidated financial statements.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guidance on January 1, 2023. The Company is currently evaluating the impact this guidance will have on the condensed consolidated financial statements.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FASB issued guidance, </w:t>
      </w:r>
      <w:r>
        <w:rPr>
          <w:rFonts w:ascii="Arial" w:cs="Arial" w:eastAsia="Arial" w:hAnsi="Arial"/>
          <w:sz w:val="16"/>
          <w:szCs w:val="16"/>
          <w:i w:val="1"/>
          <w:iCs w:val="1"/>
          <w:color w:val="auto"/>
        </w:rPr>
        <w:t>Reference Rate Reform (Topic 848): Facilitation of the Effects of Reference Rate Reform on Financial Reporting</w:t>
      </w:r>
      <w:r>
        <w:rPr>
          <w:rFonts w:ascii="Arial" w:cs="Arial" w:eastAsia="Arial" w:hAnsi="Arial"/>
          <w:sz w:val="16"/>
          <w:szCs w:val="16"/>
          <w:color w:val="auto"/>
        </w:rPr>
        <w:t>, which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(“IBORs”) and, particularly, the risk of cessation of the LIBOR, regulators in several jurisdictions around the world have undertaken reference rate reform initiatives to identify alternative reference rates that are more observable or transaction based and less susceptible to manipulation. This accounting standards update provides companies with optional guidance to ease the potential accounting burden associated with transitioning away from reference rates that are expected to be discontinued. This new guidance may be adopted by the Company no later than December 1, 2022, with early adoption permitted. The potential adoption of this guidance is not expected to have a material impact on the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revenues from contracts with customers for the three and six months ended June 30, 2021 and 2020,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200"/>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0"/>
                <w:szCs w:val="20"/>
                <w:color w:val="auto"/>
              </w:rPr>
            </w:pPr>
          </w:p>
        </w:tc>
        <w:tc>
          <w:tcPr>
            <w:tcW w:w="2780" w:type="dxa"/>
            <w:vAlign w:val="bottom"/>
            <w:gridSpan w:val="4"/>
          </w:tcPr>
          <w:p>
            <w:pPr>
              <w:jc w:val="right"/>
              <w:ind w:right="470"/>
              <w:spacing w:after="0"/>
              <w:rPr>
                <w:sz w:val="20"/>
                <w:szCs w:val="20"/>
                <w:color w:val="auto"/>
              </w:rPr>
            </w:pPr>
            <w:r>
              <w:rPr>
                <w:rFonts w:ascii="Arial" w:cs="Arial" w:eastAsia="Arial" w:hAnsi="Arial"/>
                <w:sz w:val="18"/>
                <w:szCs w:val="18"/>
                <w:color w:val="auto"/>
                <w:w w:val="99"/>
              </w:rPr>
              <w:t>Six Months Ended June 30,</w:t>
            </w:r>
          </w:p>
        </w:tc>
      </w:tr>
      <w:tr>
        <w:trPr>
          <w:trHeight w:val="237"/>
        </w:trPr>
        <w:tc>
          <w:tcPr>
            <w:tcW w:w="42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140,281</w:t>
            </w:r>
          </w:p>
        </w:tc>
      </w:tr>
      <w:tr>
        <w:trPr>
          <w:trHeight w:val="23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139,888</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21,214</w:t>
            </w: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162,313</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7) and a corresponding loyalty program expense is recorded as contra revenue. Revenue from this performance obligation is recognized upon customers redeeming points or upon expiration of any points outstanding.</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NOTE 3 – ACCOUNTS RECEIVABLE AND NOTES RECEIVABLE, NET OF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represents outstanding balances from sending agents for pending wire transfers or money orders from our customers. The outstanding balance, net of allowance for credit losses, consists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w w:val="97"/>
              </w:rPr>
              <w:t>December 31, 2020</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72,026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8"/>
              </w:rPr>
              <w:t>56,520</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4"/>
              </w:rPr>
              <w:t>(1,486)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1"/>
              </w:rPr>
              <w:t>(1,503)</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70,540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8"/>
              </w:rPr>
              <w:t>55,017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notes receivable, net of allowance for credit losses, from sending agents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w w:val="97"/>
              </w:rPr>
              <w:t>December 31, 2020</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current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86"/>
              </w:rPr>
              <w:t>630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3"/>
              </w:rPr>
              <w:t>710</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0"/>
              </w:rPr>
              <w:t>(215)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0"/>
              </w:rPr>
              <w:t>(244)</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86"/>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3"/>
              </w:rPr>
              <w:t>466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long-term</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6"/>
              </w:rPr>
              <w:t>921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3"/>
              </w:rPr>
              <w:t>816</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0"/>
              </w:rPr>
              <w:t>(327)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0"/>
              </w:rPr>
              <w:t>(295)</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86"/>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3"/>
              </w:rPr>
              <w:t>521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current portion of notes receivable is included in prepaid expenses and other current assets (see Note 4), and the net long-term portion is included in other assets in the condensed consolidated balance sheets. The notes have interest rates ranging from 0% to 16% per annum. At June 30, 2021 and December 31, 2020, there were $1.6 million and $1.5 million, respectively, of notes collateralized by personal guarantees from the sending agents and assets from their businesses in case of a default by the agent.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maturities of notes receivable at June 30, 2021 are as follows (in thousands):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3"/>
        </w:trPr>
        <w:tc>
          <w:tcPr>
            <w:tcW w:w="8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7"/>
              </w:rPr>
              <w:t>Unpaid Principal</w:t>
            </w:r>
          </w:p>
        </w:tc>
      </w:tr>
      <w:tr>
        <w:trPr>
          <w:trHeight w:val="236"/>
        </w:trPr>
        <w:tc>
          <w:tcPr>
            <w:tcW w:w="8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Balance</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 1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3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Between 2 and 3 years</w:t>
            </w: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and notes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Borders>
              <w:bottom w:val="single" w:sz="8" w:color="CCEEFF"/>
            </w:tcBorders>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Six Months Ended June 30,</w:t>
            </w:r>
          </w:p>
        </w:tc>
        <w:tc>
          <w:tcPr>
            <w:tcW w:w="600" w:type="dxa"/>
            <w:vAlign w:val="bottom"/>
            <w:tcBorders>
              <w:bottom w:val="single" w:sz="8" w:color="auto"/>
            </w:tcBorders>
          </w:tcPr>
          <w:p>
            <w:pPr>
              <w:spacing w:after="0"/>
              <w:rPr>
                <w:sz w:val="20"/>
                <w:szCs w:val="20"/>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shd w:val="clear" w:color="auto" w:fill="CCEEFF"/>
          </w:tcPr>
          <w:p>
            <w:pPr>
              <w:spacing w:after="0"/>
              <w:rPr>
                <w:sz w:val="21"/>
                <w:szCs w:val="2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1,477</w:t>
            </w:r>
          </w:p>
        </w:tc>
        <w:tc>
          <w:tcPr>
            <w:tcW w:w="80" w:type="dxa"/>
            <w:vAlign w:val="bottom"/>
          </w:tcPr>
          <w:p>
            <w:pPr>
              <w:spacing w:after="0"/>
              <w:rPr>
                <w:sz w:val="18"/>
                <w:szCs w:val="18"/>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(1,186)</w:t>
            </w: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 4 – PREPAID EXPENSES AND OTHER CURRENT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Prepaid fees and services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net of allowance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Assets pending settlement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current assets - other</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5 – GOODWILL AND INTANGIBLE ASSETS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Intangible assets on the condensed consolidated balance sheets of the Company consist of goodwill,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over the past 20 years. Other intangible assets primarily relate to the acquisition of Company-operated stores, which are amortized on a straight line basis over 10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and six months ended June 30,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Intangibles</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20,430</w:t>
            </w:r>
          </w:p>
        </w:tc>
      </w:tr>
      <w:tr>
        <w:trPr>
          <w:trHeight w:val="236"/>
        </w:trPr>
        <w:tc>
          <w:tcPr>
            <w:tcW w:w="626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w w:val="91"/>
              </w:rPr>
              <w:t>(2,580)</w:t>
            </w:r>
          </w:p>
        </w:tc>
      </w:tr>
      <w:tr>
        <w:trPr>
          <w:trHeight w:val="255"/>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17,850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next five years and thereafter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2022</w:t>
            </w:r>
          </w:p>
        </w:tc>
        <w:tc>
          <w:tcPr>
            <w:tcW w:w="4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2024</w:t>
            </w:r>
          </w:p>
        </w:tc>
        <w:tc>
          <w:tcPr>
            <w:tcW w:w="4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9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3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2130"/>
              <w:spacing w:after="0"/>
              <w:rPr>
                <w:sz w:val="20"/>
                <w:szCs w:val="20"/>
                <w:color w:val="auto"/>
              </w:rPr>
            </w:pPr>
            <w:r>
              <w:rPr>
                <w:rFonts w:ascii="Arial" w:cs="Arial" w:eastAsia="Arial" w:hAnsi="Arial"/>
                <w:sz w:val="18"/>
                <w:szCs w:val="18"/>
                <w:color w:val="auto"/>
              </w:rPr>
              <w:t>13</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32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6 – WIRE TRANSFERS AND MONEY ORDERS PAYABLE,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Wire transfers and money orders payable, net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2020</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13,374</w:t>
            </w: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w:t>
            </w:r>
          </w:p>
        </w:tc>
      </w:tr>
      <w:tr>
        <w:trPr>
          <w:trHeight w:val="230"/>
        </w:trPr>
        <w:tc>
          <w:tcPr>
            <w:tcW w:w="6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41,746</w:t>
            </w:r>
          </w:p>
        </w:tc>
      </w:tr>
      <w:tr>
        <w:trPr>
          <w:trHeight w:val="20"/>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NOTE 7 – ACCRUED AND OTHER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7"/>
        </w:trPr>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2,957</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bank charges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Accrued legal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professional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loyalty program</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55"/>
        </w:trPr>
        <w:tc>
          <w:tcPr>
            <w:tcW w:w="6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deferred revenue loyalty program liability (in thousands):</w:t>
      </w:r>
    </w:p>
    <w:p>
      <w:pPr>
        <w:sectPr>
          <w:pgSz w:w="11900" w:h="16838" w:orient="portrait"/>
          <w:cols w:equalWidth="0" w:num="1">
            <w:col w:w="11240"/>
          </w:cols>
          <w:pgMar w:left="320" w:top="125"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deferred during the period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during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June 30, 2021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8 –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Debt consisted of the following (in thousands):</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 facility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1820" w:type="dxa"/>
        <w:tblCellMar>
          <w:top w:w="0" w:type="dxa"/>
          <w:left w:w="0" w:type="dxa"/>
          <w:bottom w:w="0" w:type="dxa"/>
          <w:right w:w="0" w:type="dxa"/>
        </w:tblCellMar>
      </w:tblPr>
      <w:tr>
        <w:trPr>
          <w:trHeight w:val="230"/>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30"/>
        </w:trPr>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7"/>
        </w:trPr>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30"/>
        </w:trPr>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-633730</wp:posOffset>
            </wp:positionV>
            <wp:extent cx="622363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23635" cy="1460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-342265</wp:posOffset>
            </wp:positionV>
            <wp:extent cx="622363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2363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r>
      <w:tr>
        <w:trPr>
          <w:trHeight w:val="23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89,383</w:t>
            </w:r>
          </w:p>
        </w:tc>
      </w:tr>
      <w:tr>
        <w:trPr>
          <w:trHeight w:val="223"/>
        </w:trPr>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-307975</wp:posOffset>
            </wp:positionV>
            <wp:extent cx="622363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23635"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40" w:space="720"/>
            <w:col w:w="49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8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(3,882)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(7,044)</w:t>
            </w:r>
          </w:p>
        </w:tc>
      </w:tr>
      <w:tr>
        <w:trPr>
          <w:trHeight w:val="237"/>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Less: Debt origination costs</w:t>
            </w:r>
          </w:p>
        </w:tc>
        <w:tc>
          <w:tcPr>
            <w:tcW w:w="1100" w:type="dxa"/>
            <w:vAlign w:val="bottom"/>
          </w:tcPr>
          <w:p>
            <w:pPr>
              <w:ind w:left="540"/>
              <w:spacing w:after="0"/>
              <w:rPr>
                <w:sz w:val="20"/>
                <w:szCs w:val="20"/>
                <w:color w:val="auto"/>
              </w:rPr>
            </w:pPr>
            <w:r>
              <w:rPr>
                <w:rFonts w:ascii="Arial" w:cs="Arial" w:eastAsia="Arial" w:hAnsi="Arial"/>
                <w:sz w:val="18"/>
                <w:szCs w:val="18"/>
                <w:color w:val="auto"/>
                <w:w w:val="94"/>
              </w:rPr>
              <w:t>(2,466)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ind w:left="540"/>
              <w:spacing w:after="0"/>
              <w:rPr>
                <w:sz w:val="20"/>
                <w:szCs w:val="20"/>
                <w:color w:val="auto"/>
              </w:rPr>
            </w:pPr>
            <w:r>
              <w:rPr>
                <w:rFonts w:ascii="Arial" w:cs="Arial" w:eastAsia="Arial" w:hAnsi="Arial"/>
                <w:sz w:val="18"/>
                <w:szCs w:val="18"/>
                <w:color w:val="auto"/>
                <w:w w:val="91"/>
              </w:rPr>
              <w:t>(1,760)</w:t>
            </w:r>
          </w:p>
        </w:tc>
      </w:tr>
      <w:tr>
        <w:trPr>
          <w:trHeight w:val="254"/>
        </w:trPr>
        <w:tc>
          <w:tcPr>
            <w:tcW w:w="626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81,152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80,579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portion of long-term debt is net of debt origination costs of approximately $0.5 million and $0.6 million at June 30, 2021 and December 31, 2020, respectively.</w:t>
      </w:r>
    </w:p>
    <w:p>
      <w:pPr>
        <w:spacing w:after="0" w:line="31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certain of its domestic subsidiaries as borrowers and the other guarantors from time to time party thereto (collectively, the “Loan Parties”) entered into a financing agreement with a group of banking institutions, dated November 7, 2018 and further amended on December 7, 2018 (the “Original Credit Agreement”). The Original Credit Agreement provided for a $35 million revolving credit facility, a $90 million term loan facility and an up to $30 million incremental facility of which $12 million was utilized in 2019 for the term loan facility and $10 million was utilized in May of 2021 for the revolving credit facility (see below). The Original Credit Agreement also provided for the issuance of letters of credit, which would reduce availability under the revolving credit facility. The maturity date of the Original Credit Agreement was November 7, 2023.</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as of May 12, 2021, the Company amended the Original Credit Agreement by entering into Increase Joinder No. 2 (the “Joinder No. 2”) to the Original Credit Agreement, which was accounted for as a debt modification, under which the revolving line of credit commitment under the Original Credit Agreement was increased by $10 million to an aggregate of $45 million. The Joinder No. 2 did not have any impact to any of the terms of the term loan facility under the Original Credit Agreement. The Company incurred debt origination costs of $76.8 thousand which were capitalized and will be amortized over the remaining life of the revolving line of credit facility, as described below, using the straight-line method, as it is not significantly different than the effective interest method.</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24, 2021, the Loan Parties entered into an Amended and Restated Credit Agreement (the “A&amp;R Credit Agreement”) with a group of banking institutions. The A&amp;R Credit Agreement amended and restated in its entirety the Original Credit Agreement. The A&amp;R Credit Agreement provides for a $150 million revolving credit facility, an $87.5 million term loan facility and an uncommitted incremental facility, which may be utilized for additional revolving or term loans, of up to $70 million. The A&amp;R Credit Agreement also provides for the issuance of letters of credit, which would reduce availability under the revolving credit facility. The proceeds of the term loan were used to refinance the $87.5 million principal amount of the existing term loan facility under the Original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refinancing was accounted for as a debt modification. The balance of the unamortized debt origination costs of $1.8 million under the Original Credit Agreement, the origination costs paid to the Loan Parties of $1.0 million in connection with the term loan facility of the A&amp;R Credit Agreement and debt origination costs paid to the Loan Parties and third-party costs of $1.8 million incurred in connection with the revolving credit facility of the A&amp;R Credit Agreement will be associated with the new arrangement, and therefore, they will be amortized over the remaining life of the A&amp;R Credit Agreement using the straight-line method, as it is not significantly different than the effective interest method. Debt origination costs paid to third parties related to a portion of the term loan facility in connection with the A&amp;R Credit Agreement were expensed as incurred during the three months ended June 30, 2021.</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six months ended June 30, 2021 for the term loan facility and revolving credit facility, which substantially related to the Original Credit Agreement, were 5.19% and 0.98%, respectively.</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is payable (x)(i) generally on the last day of each interest period selected for LIBOR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A&amp;R Credit Agreement contains financial covenants that require the Company to maintain a quarterly minimum fixed charge coverage ratio of 1.25:1.00 and a quarterly maximum consolidated leverage ratio of 3.25:1.00.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 of up to $10.0 million per calendar year, and ii) other restricted payments in an aggregate amount not to exceed $40.0 million plus the Available Amount (as defined in the A&amp;R Credit Agreement).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9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non-financial assets measured at fair value on a nonrecurring basis include goodwill and intangibles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balances are representative of their fair values as these balances are comprised of deposits available on demand. The carrying amounts of accounts receivable, prepaid wires, accounts payable and wire transfers and money orders payable are representative of their fair values because of the short turnover of these instruments.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10 –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26, 2020, at the 2020 Annual Meeting of Stockholders, the Company’s stockholders approved the International Money Express, Inc. 2020 Omnibus Equity Compensation Plan (the “2020 Plan”), which provides for the granting of stock-based incentive awards, including stock options, restricted stock units (“RSUs”), restricted stock awards (“RSAs”) and performance stock units (“PSUs”) to employees and independent directors of the Company. There are 3.4 million shares of the Company’s common stock available for issuance under the 2020 Plan, including 0.4 million shares that were available for grant under the International Money Express, Inc. 2018 Omnibus Equity Compensation Plan (the “2018 Plan” and together with the 2020 Plan, the “Plans”). As of June 30, 2021, 2.6 million shares remained available for future awards under the 2020 Plan. The 2018 Plan was terminated effective June 26,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highly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$0.6 million for both the three months ended June 30, 2021 and 2020, and $1.3 million and $1.2 million for the six months ended June 30, 2021 and 2020, respectively, which are included in salaries and benefits in the condensed consolidated statements of operations and comprehensive income. As of June 30, 2021, unrecognized compensation expense related to stock options of approximately $4.5 million is expected to be recognized over a weighted-average period of 1.6 years.</w:t>
      </w: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Plans during the six months ended June 30,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7"/>
                <w:szCs w:val="17"/>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2,419,245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 and Share Awards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RSUs granted under the Plans to the Company’s employees generally vest in four equal annual installments beginning one year after the date of the grant, while RSUs issued to the Company’s independent directors vest on the one year anniversary from the grant date. The Company recognized compensation expense for RSUs of approximately $0.3 million and $0.1 million for the three months ended June 30, 2021 and 2020, respectively, and $0.5 million and $0.2 million for the six months ended June 30, 2021 and 2020, respectively, which are included in salaries and benefits in the condensed consolidated statements of operations and comprehensive income. As of June 30, 2021, unrecognized compensation expense related to RSUs of approximately $3.5 million is expected to be recognized over a weighted-average period of 2.1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activity during the six months ended June 30,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2"/>
              </w:rPr>
              <w:t>Number of RSUs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269,631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259,723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2020 Plan, effective October 1, 2020, the Lead Independent Director and Chairs of the Committees of the Board of Directors are granted, in aggregate, $64.0 thousand in awards of fully vested shares of the Company’s common stock, payable on a quarterly basis at the end of each quarter in payment of fees earned in such capacities. During the three and six months ended June 30, 2021, 1,065 and 2,096 fully vested shares were granted to the Lead Independent Director and Chairs of the Committees of the Board of Directors resulting in compensation expense of $16.0 thousand and $32.0 thousand, respectively, recorded in the condensed consolidated statements of operations and comprehensive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RSAs issued under the Plans to the Company’s employees generally vest in four equal annual installments beginning one year after the date of grant. The Company recognized compensation expense for RSAs granted of $78 thousand and $101 thousand for the three and six months ended June 30, 2021, respectively, which are included in salaries and benefits in the condensed consolidated statements of operations and comprehensive income. No compensation expense was recognized for the three and six months ended June 30, 2020. As of June 30, 2021, there was $1.1 million of unrecognized compensation expense related to RSAs, which is expected to be recognized over a weighted-average period of 2.3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RSA activity during the six months ended June 30, 2021 is presented below:</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Index</w:t>
              </w:r>
            </w:hyperlink>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400" w:type="dxa"/>
            <w:vAlign w:val="bottom"/>
            <w:tcBorders>
              <w:top w:val="single" w:sz="8" w:color="0000FF"/>
            </w:tcBorders>
          </w:tcPr>
          <w:p>
            <w:pPr>
              <w:spacing w:after="0"/>
              <w:rPr>
                <w:sz w:val="24"/>
                <w:szCs w:val="24"/>
                <w:color w:val="auto"/>
              </w:rPr>
            </w:pPr>
          </w:p>
        </w:tc>
        <w:tc>
          <w:tcPr>
            <w:tcW w:w="6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3"/>
              </w:rPr>
              <w:t>Number of RSAs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400" w:type="dxa"/>
            <w:vAlign w:val="bottom"/>
            <w:tcBorders>
              <w:bottom w:val="single" w:sz="8" w:color="CCEEFF"/>
            </w:tcBorders>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88,215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Stock Units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PSUs granted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parameters for a period of two years combined with a service period of three years. Compensation cost is recognized over the requisite service period when it is probable that the performance condition will be satisfied. The Company recognized compensation expense for PSUs of $0.2 million and $0.3 million for the three and six months ended June 30, 2021, which are included in salaries and benefits in the condensed consolidated statements of operations and comprehensive income. There was no compensation expense recognized for the three and six months ended June 30, 2020. As of June 30, 2021, there was $2.2 million of unrecognized compensation expense related to PSUs, which is expected to be recognized over a weighted-average period of 2.5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PSU activity during the six months ended June 30,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5"/>
                <w:szCs w:val="15"/>
                <w:color w:val="auto"/>
              </w:rPr>
            </w:pPr>
          </w:p>
        </w:tc>
        <w:tc>
          <w:tcPr>
            <w:tcW w:w="1160" w:type="dxa"/>
            <w:vAlign w:val="bottom"/>
            <w:vMerge w:val="restart"/>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3"/>
              </w:rPr>
              <w:t>Number of PSUs</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18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3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171,500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11 –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is calculated by dividing net income for the year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per share for the periods indicated (in thousands, except for share data):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Index</w:t>
              </w:r>
            </w:hyperlink>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97"/>
        </w:trPr>
        <w:tc>
          <w:tcPr>
            <w:tcW w:w="40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180"/>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4"/>
                <w:szCs w:val="24"/>
                <w:color w:val="auto"/>
              </w:rPr>
            </w:pPr>
          </w:p>
        </w:tc>
        <w:tc>
          <w:tcPr>
            <w:tcW w:w="2760" w:type="dxa"/>
            <w:vAlign w:val="bottom"/>
            <w:gridSpan w:val="4"/>
          </w:tcPr>
          <w:p>
            <w:pPr>
              <w:jc w:val="right"/>
              <w:ind w:right="470"/>
              <w:spacing w:after="0"/>
              <w:rPr>
                <w:sz w:val="20"/>
                <w:szCs w:val="20"/>
                <w:color w:val="auto"/>
              </w:rPr>
            </w:pPr>
            <w:r>
              <w:rPr>
                <w:rFonts w:ascii="Arial" w:cs="Arial" w:eastAsia="Arial" w:hAnsi="Arial"/>
                <w:sz w:val="18"/>
                <w:szCs w:val="18"/>
                <w:color w:val="auto"/>
                <w:w w:val="99"/>
              </w:rPr>
              <w:t>Six Months Ended June 30,</w:t>
            </w:r>
          </w:p>
        </w:tc>
      </w:tr>
      <w:tr>
        <w:trPr>
          <w:trHeight w:val="236"/>
        </w:trPr>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57"/>
        </w:trPr>
        <w:tc>
          <w:tcPr>
            <w:tcW w:w="4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14,666</w:t>
            </w:r>
          </w:p>
        </w:tc>
      </w:tr>
      <w:tr>
        <w:trPr>
          <w:trHeight w:val="257"/>
        </w:trPr>
        <w:tc>
          <w:tcPr>
            <w:tcW w:w="4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38,433,748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38,035,279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38,336,977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38,035,146</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RSUs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7,995</w:t>
            </w:r>
          </w:p>
        </w:tc>
      </w:tr>
      <w:tr>
        <w:trPr>
          <w:trHeight w:val="23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RSAs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PSUs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39,027,414</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38,047,792</w:t>
            </w: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38,937,699</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38,043,233</w:t>
            </w:r>
          </w:p>
        </w:tc>
      </w:tr>
      <w:tr>
        <w:trPr>
          <w:trHeight w:val="257"/>
        </w:trPr>
        <w:tc>
          <w:tcPr>
            <w:tcW w:w="4940" w:type="dxa"/>
            <w:vAlign w:val="bottom"/>
            <w:gridSpan w:val="2"/>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common share –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there were 0.6 million options and 53,864 RSUs excluded from the diluted earnings per share calculation because, under the treasury stock method, the inclusion of these would be anti-dilutive.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there were 3.1 million options and 22,500 RSUs excluded from the diluted earnings per share calculation because, under the treasury stock method, the inclusion of these would be anti-dilutive.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12 – INCOME TAXES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operations and comprehensive income is below (in thousands, except for tax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ind w:left="5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2980" w:type="dxa"/>
            <w:vAlign w:val="bottom"/>
            <w:gridSpan w:val="4"/>
            <w:vMerge w:val="restart"/>
          </w:tcPr>
          <w:p>
            <w:pPr>
              <w:jc w:val="right"/>
              <w:ind w:right="5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30,181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20,011</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(211)</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operations and comprehensive income was affected by state taxes, non-deductible expenses, share-based compensation expense and foreign tax rates applicable to the Company’s foreign subsidiaries that are higher or lower than the U.S. statutory rate.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27, 2020, the United States enacted the Coronavirus Aid, Relief, and Economic Security (“CARES”) Act. The CARES Act is an emergency economic stimulus package that includes spending and tax breaks to strengthen the United States economy and fund a</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nationwide effort to curtail the effects of COVID-19. The CARES Act provides various tax law changes in response to the COVID-19 pandemic, including increasing the ability to deduct interest expense, providing for deferral on tax deposits, and amending certain provisions of the previously enacted Tax Cuts and Jobs Act. After considering the provisions of the CARES Act, the Company determined that the CARES Act did not have a material effect on its annual effective tax rate and the income tax provision for the three and six months ended on June 30, 2021 or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13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leases for office space, warehouses and Company-operated store locations. Rent expense under all operating leases, included in other selling, general and administrative expenses in the condensed consolidated statements of operations and comprehensive income, amounted to approximately $0.6 million and $0.5 million for the three months ended June 30, 2021 and 2020, respectively, and $1.2 million and $1.0 million for the six months ended June 30, 2021 and 2020,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At June 30, 2021, future minimum rental payments required under operating leases for the remainder of 2021 and thereafter are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3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50 states in the United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June 30, 2021, the Company’s subsidiaries were in compliance with these two requirements.</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2020.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of America (“United States” or “U.S.”), as the efforts of federal, state, local and foreign governments to react to the public health crisis with mitigation measures have created and continue to cause significant uncertainties in the U.S. and global economy, particularly as a new Delta variant of COVID-19 appears to be causing an increase in COVID-19 cases. The extent to which the COVID-19 pandemic affects our business, operations and financial results depends, and will continue to depend, on numerous evolving factors that we may not be able to accurately predict such as the reduction or reimposition by government and health authorities of restrictions and progress in and effectiveness of vaccination efforts in the United States or in the countries in which we operate and conduct business.</w:t>
      </w:r>
    </w:p>
    <w:p>
      <w:pPr>
        <w:spacing w:after="0" w:line="2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response to the pandemic, our top priority continues being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and requiring use of certain personal protective equipment at our call centers in Mexico and Guatemala. As of June 30, 2021, all of our facilities are open and operating with adjustments to ensure compliance with social distancing and facial covering recommendations and requirements established by state and local regulations.</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operational challenges created by the pandemic, our business continues to function and, to date, our customer service has not been adversely affected in any material respect. Nevertheless,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21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Although certain measures that restrict the normal course of operations of businesses and consumers were still in place for the three and six months ended June 30, 2021, such measures did not have a material adverse effect on the Company’s financial condition, results of operations and cash flows for the three and six months ended June 30, 2021. Notwithstanding the foregoing,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which remain uncertain and cannot be predicted at this time. If the global response to contain and remedy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1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 quantification and discussion of these pandemic related effects, to the extent relevant and material, are included in the discussion of results of operations below.</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rapidly growing and leading money remittance services company focused primarily on the United States to Latin America and the Caribbean (“LAC”) corridor, which includes Mexico, Central and South America and the Caribbean. In recent years, we expanded our services to allow remittances to Africa from the United States and also began offering sending services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seven countries in Africa and two countries in Asia. Our services are accessible in person through over 100,000 independent sending and paying agents and 34 Company-operated stores, as well as online and via Internet-enabled mobile devices.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20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money remittance services enable our customers to send funds through our broad network of locations in the United States and Canada that are primarily operated by third-party businesses, as well as through our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Since January 2020 through June 30, 2021, we have grown our agent network by approximately 18.0%. For the three and six months ended June 30, 2021, principal amount sent increased by approximately 53.2% and 42.2%, respectively, as compared to the same periods in 2020 and total remittances processed were approximately 10.1 million and 18.4 million, representing approximately a 33.4% and 26.6% increase, respectively, as compared to the same periods in 2020.</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non-bank financial institution in the United States, we are regulated by the Department of Treasury, the Internal Revenue Service, FinCEN, the Consumer Financial Protection Bureau, the Department of Banking and Finance of the State of Florida and additionally by the various regulatory institutions of those states in which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Graham-Leach-Bliley Act; and consumer disclosure and consumer protection laws, such as the California Consumer Privacy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97" w:lineRule="exact"/>
        <w:rPr>
          <w:sz w:val="20"/>
          <w:szCs w:val="20"/>
          <w:color w:val="auto"/>
        </w:rPr>
      </w:pPr>
    </w:p>
    <w:p>
      <w:pPr>
        <w:ind w:left="740" w:hanging="246"/>
        <w:spacing w:after="0" w:line="277"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inflation and increased capital market volatility;</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environment, computer network systems and data centers;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of the jurisdictions in which we operate or plan to operate;</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tax laws;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 and</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Throughout 2020 and the first half of 2021, Latin American political and economic conditions have remained unstable, as evidenced by high unemployment rates in key markets, currency reserves, currency controls, restricted lending activity, weak currencies and low consumer confidence, some of which reflects the impact of the COVID-19 pandemic,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19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and future enhancements will continue to result in changes to certain of our business practices and may result in increased costs.</w:t>
      </w:r>
    </w:p>
    <w:p>
      <w:pPr>
        <w:spacing w:after="0" w:line="222"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Regulatory Affairs Officer, whose responsibility is to manage regulatory affairs and licensing.</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w:t>
      </w:r>
    </w:p>
    <w:p>
      <w:pPr>
        <w:sectPr>
          <w:pgSz w:w="11900" w:h="16838" w:orient="portrait"/>
          <w:cols w:equalWidth="0" w:num="1">
            <w:col w:w="11240"/>
          </w:cols>
          <w:pgMar w:left="320" w:top="125" w:right="339" w:bottom="1440" w:gutter="0" w:footer="0" w:header="0"/>
        </w:sectPr>
      </w:pPr>
    </w:p>
    <w:p>
      <w:pPr>
        <w:spacing w:after="0" w:line="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typical for the industry. We compete for money remittance customers on the basis of trust, convenience, service, efficiency of outlets, value, technology and brand recognition.</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encountered and continue to expect to encounter increasing competition as new electronic platforms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which are experiencing customer adoption.</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11" w:lineRule="exact"/>
        <w:rPr>
          <w:sz w:val="20"/>
          <w:szCs w:val="20"/>
          <w:color w:val="auto"/>
        </w:rPr>
      </w:pPr>
    </w:p>
    <w:p>
      <w:pPr>
        <w:ind w:left="500" w:right="20" w:hanging="249"/>
        <w:spacing w:after="0" w:line="277"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480" w:hanging="229"/>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500" w:hanging="249"/>
        <w:spacing w:after="0" w:line="301" w:lineRule="auto"/>
        <w:tabs>
          <w:tab w:leader="none" w:pos="495"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exemption from compliance with any new requirements adopted by the Public Company Accounting Oversight Board requiring mandatory audit firm rotation or communication of Critical Audit Matters (“CAMs”) in the auditor’s report. A CAM is defined as any matter arising from the audit of the financial statements that was communicated or required to be communicated to the audit committee and that (1) relates to accounts or disclosures that are material to the financial statements; and (2) involves especially challenging, subjective, or complex auditor judgment.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2021, the market value of our common stock that is held by non-affiliates approximated $488.5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Service charges primarily consist of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customer selects to send the transfer and the payer organization that facilitates the transaction.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ectPr>
          <w:pgSz w:w="11900" w:h="16838" w:orient="portrait"/>
          <w:cols w:equalWidth="0" w:num="1">
            <w:col w:w="11240"/>
          </w:cols>
          <w:pgMar w:left="320" w:top="125" w:right="339" w:bottom="1440" w:gutter="0" w:footer="0" w:header="0"/>
        </w:sectPr>
      </w:pP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and human resources. Our sales team, located throughout the United States and Canada, is focused on supporting and growing our sending agent network. Share-based compensation is recognized as an expense on a straight-line basis over the requisite service period; unrecognized compensation expense related to options, restricted stock units (“RSUs”), restricted stock awards (“RSAs”) and performance stock units (“PSUs”) of approximately $11.4 million is expected to be recognized over a weighted-average period of 2.0 years.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primarily consist of fixed overhead expenses associated with our operations, such as information technology, telecommunications, rent, insurance, professional services, non-income taxes, facilities maintenance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provision for credit losses and expenses associated with increasing our network of agents. These expenses are expected to continue to increase at a slower pace than the increase in our revenues.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Interest expense consists primarily of interest associated with our debt, which consists of a term loan facility and a revolving credit facility. The effective interest rates for the six months ended June 30, 2021 for the term loan facility and revolving credit facility, which substantially related to the Original Credit Agreement, were 5.19% and 0.98%, respectively. Interest on the term loan and revolving credit facilities is determined by reference to either LIBOR (subject to replacement) or a “base rate”, in each case plus an applicable margin, under the amended and restated credit agreement, of between 2.50% and 3.00% per annum for LIBOR loans and between 1.50% and 2.00% per annum for base rate loans depending on the level of our consolidated leverage ratio. The Company is also required to pay a fee on the unused portion of the revolving credit facility equal to 0.35% per annum.</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2037. After consideration of all evidence, both positive and negative, management has determined that no valuation allowance is required at June 30, 2021 on the Company’s U.S. federal or state deferred tax assets; however, a valuation allowance has been recorded as of June 30, 2021 on deferred tax assets associated with Canadian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restricted stock awards and performance stock units have vested, using the treasury stock method.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34 Company-operated stores throughout the United States and Canada. This is based on the</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objectives of the business and how our chief operating decision maker, the CEO and President, monitors operating performance and allocates resources.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0"/>
                <w:szCs w:val="20"/>
                <w:color w:val="auto"/>
              </w:rPr>
            </w:pPr>
          </w:p>
        </w:tc>
        <w:tc>
          <w:tcPr>
            <w:tcW w:w="2760" w:type="dxa"/>
            <w:vAlign w:val="bottom"/>
            <w:gridSpan w:val="4"/>
          </w:tcPr>
          <w:p>
            <w:pPr>
              <w:jc w:val="right"/>
              <w:ind w:right="470"/>
              <w:spacing w:after="0"/>
              <w:rPr>
                <w:sz w:val="20"/>
                <w:szCs w:val="20"/>
                <w:color w:val="auto"/>
              </w:rPr>
            </w:pPr>
            <w:r>
              <w:rPr>
                <w:rFonts w:ascii="Arial" w:cs="Arial" w:eastAsia="Arial" w:hAnsi="Arial"/>
                <w:sz w:val="18"/>
                <w:szCs w:val="18"/>
                <w:color w:val="auto"/>
                <w:w w:val="99"/>
              </w:rPr>
              <w:t>Six Months Ended June 30,</w:t>
            </w:r>
          </w:p>
        </w:tc>
      </w:tr>
      <w:tr>
        <w:trPr>
          <w:trHeight w:val="23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99,306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72,793</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180,218</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139,888</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21,214</w:t>
            </w:r>
          </w:p>
        </w:tc>
      </w:tr>
      <w:tr>
        <w:trPr>
          <w:trHeight w:val="237"/>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162,313</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108,498</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14,428</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r>
      <w:tr>
        <w:trPr>
          <w:trHeight w:val="237"/>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178,548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138,799</w:t>
            </w:r>
          </w:p>
        </w:tc>
      </w:tr>
      <w:tr>
        <w:trPr>
          <w:trHeight w:val="257"/>
        </w:trPr>
        <w:tc>
          <w:tcPr>
            <w:tcW w:w="4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23,514</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57"/>
        </w:trPr>
        <w:tc>
          <w:tcPr>
            <w:tcW w:w="4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r>
      <w:tr>
        <w:trPr>
          <w:trHeight w:val="256"/>
        </w:trPr>
        <w:tc>
          <w:tcPr>
            <w:tcW w:w="4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5"/>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2021</w:t>
            </w:r>
          </w:p>
        </w:tc>
        <w:tc>
          <w:tcPr>
            <w:tcW w:w="13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2020</w:t>
            </w:r>
          </w:p>
        </w:tc>
        <w:tc>
          <w:tcPr>
            <w:tcW w:w="12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99,306</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85 %</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72,793</w:t>
            </w:r>
          </w:p>
        </w:tc>
        <w:tc>
          <w:tcPr>
            <w:tcW w:w="126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3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116,747</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Wire transfer and money order fees, net of $99.3 million for the three months ended June 30, 2021 increased by $26.5 million from $72.8 million for the three months ended June 30, 2020. This increase of $26.5 million was primarily due to a 33.4% increase in</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volume compared to the second quarter of 2020, largely due to the continued growth in our agent network, which increased by 17.9% from June 2020 to June 2021.</w:t>
      </w:r>
    </w:p>
    <w:p>
      <w:pPr>
        <w:spacing w:after="0" w:line="1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Revenues from foreign exchange gain, net of $16.7 million for the three months ended June 30, 2021 increased by $5.0 million from $11.7 million for the three months ended June 30, 2020. This increase was primarily due to higher transaction volume achieved by growth in our agent network and a higher average amount sent by our customers, primarily as a result of increased foreign exchange volatility in the Mexican peso during the second quarter of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17"/>
                <w:szCs w:val="17"/>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7"/>
              </w:rPr>
              <w:t>Three Months</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8"/>
              </w:rPr>
              <w:t>Ended June 30, 2021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2020</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67 %</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10,175</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9 %</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7,069</w:t>
            </w:r>
          </w:p>
        </w:tc>
        <w:tc>
          <w:tcPr>
            <w:tcW w:w="12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Other selling, general and administrative expenses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3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4"/>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97,463</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84 %</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$77.9 million for the three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$56.3 million for the three months ended June 30, 2020. The increase of $21.6 million was primarily due to the increase in transaction volume described above.</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$10.2 million for the three months ended June 30, 2021 increased by $3.1 million from $7.1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2020. The increase of $3.1 million is primarily due to $2.3 million spent in talent acquisition and retention and increased wages to recognize performance, and to support the continued growth of our business, $0.1 million increase in commission expense for our sales representatives and $0.7 million increase in share-based compensation as a result of new awards granted in the three months ended June 30, 2021 and at the end of the first quarter of 2021.</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$7.1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increased by $1.9 million from $5.2 million for the three months ended June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the result of:</w:t>
      </w:r>
    </w:p>
    <w:p>
      <w:pPr>
        <w:spacing w:after="0" w:line="252" w:lineRule="exact"/>
        <w:rPr>
          <w:sz w:val="20"/>
          <w:szCs w:val="20"/>
          <w:color w:val="auto"/>
        </w:rPr>
      </w:pPr>
    </w:p>
    <w:p>
      <w:pPr>
        <w:ind w:left="740" w:hanging="246"/>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$0.8 million - increase in advertising and promotion expenses as last year we curtailed these activities because of the COVID-19 pandemic;</w:t>
      </w:r>
    </w:p>
    <w:p>
      <w:pPr>
        <w:spacing w:after="0" w:line="34" w:lineRule="exact"/>
        <w:rPr>
          <w:rFonts w:ascii="Arial" w:cs="Arial" w:eastAsia="Arial" w:hAnsi="Arial"/>
          <w:sz w:val="17"/>
          <w:szCs w:val="17"/>
          <w:color w:val="auto"/>
        </w:rPr>
      </w:pPr>
    </w:p>
    <w:p>
      <w:pPr>
        <w:ind w:left="740" w:hanging="246"/>
        <w:spacing w:after="0" w:line="250"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$0.6 million - higher professional fees, travel and other operating expenses to support our business growth, some of which expenses were reduced last year by the COVID-19 pandemic;</w:t>
      </w:r>
    </w:p>
    <w:p>
      <w:pPr>
        <w:ind w:left="740" w:hanging="24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$0.4 million - higher IT related expenses incurred to sustain our business expansion and improve our technology environment;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$0.1 million - increase in provision for credit losses, as write-offs were higher in the three months ended June 30, 2021.</w:t>
      </w:r>
    </w:p>
    <w:p>
      <w:pPr>
        <w:spacing w:after="0" w:line="2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 Depreciation and amortization of $2.3 million for the three months ended June 30, 2021 decreased by $0.4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$2.7 million for the three months ended June 30, 2020. This decrease is mainly due to approximately $0.5 million less amortization related to our trade name, developed technology and agent relationships during the second quarter of 2021, as these intangibles are being amortized on an accelerated basis, which declines over time. This decrease was partially offset by an increase in depreciation of $0.1 million associated primarily with additional computer equipment acquired to support our growing business and sending agent network.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$1.3 million for the three months ended June 30, 2021 decreased by $0.3 million from $1.6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The decrease was primarily due to lower market interest rates paid under the credit agreements (as described below) and lower drawings under our revolving credit facility.</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$4.8 million for the three months ended June 30, 2021, which represents an increase of $1.5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an income tax provision of $3.3 million for the three months ended June 30, 2020. The increase in the income tax provision was mainly attributable to higher taxable income resulting from higher revenues from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$13.2 million for the three months ended June 30, 2021 compared to net income of $9.0 million for the three months ended June 30, 2020, which resulted in an increase of $4.2 million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acquisition activity, which varies from period to period and amortization of intangibles expense is primarily related to the effects of push down accounting resulting from acquisitions.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amounts necessary to service interest or principal payments on our Credit Agreement;</w:t>
      </w:r>
    </w:p>
    <w:p>
      <w:pPr>
        <w:spacing w:after="0" w:line="275" w:lineRule="exact"/>
        <w:rPr>
          <w:rFonts w:ascii="Arial" w:cs="Arial" w:eastAsia="Arial" w:hAnsi="Arial"/>
          <w:sz w:val="16"/>
          <w:szCs w:val="16"/>
          <w:color w:val="auto"/>
        </w:rPr>
      </w:pPr>
    </w:p>
    <w:p>
      <w:pPr>
        <w:ind w:left="740" w:hanging="246"/>
        <w:spacing w:after="0" w:line="277"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push-down accounting, which will recur in future periods until these assets have been fully amortized, non-cash compensation costs, litigation settlements and other items set forth in the table below, as these charges and expenses are not considered a part of our core business operations and are not an indicator of ongoing, future company performance.</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1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Adjusted Net Income for the three months ended June 30, 2021 was $15.3 million, representing an increase of $4.5 million, or 41.2%, from Adjusted Net Income of $10.8 million for the three months ended June 30, 2020. The increase in Adjusted Net Income was primarily due to the increase in revenues of $31.7 million, offset primarily by an increase in service charges from agents and banks of $21.6 million due to higher transaction volume.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6"/>
              </w:rPr>
              <w:t>Three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8,978</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TCPA settlement (b)</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Amortization of intangibles (d)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(e)</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10,823</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0"/>
        </w:trPr>
        <w:tc>
          <w:tcPr>
            <w:tcW w:w="6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38,433,748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38,035,279</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39,027,414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38,047,792</w:t>
            </w:r>
          </w:p>
        </w:tc>
      </w:tr>
    </w:tbl>
    <w:p>
      <w:pPr>
        <w:spacing w:after="0" w:line="322" w:lineRule="exact"/>
        <w:rPr>
          <w:sz w:val="20"/>
          <w:szCs w:val="20"/>
          <w:color w:val="auto"/>
        </w:rPr>
      </w:pPr>
    </w:p>
    <w:p>
      <w:pPr>
        <w:ind w:left="420" w:hanging="331"/>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losses.</w:t>
      </w:r>
    </w:p>
    <w:p>
      <w:pPr>
        <w:spacing w:after="0" w:line="9" w:lineRule="exact"/>
        <w:rPr>
          <w:rFonts w:ascii="Arial" w:cs="Arial" w:eastAsia="Arial" w:hAnsi="Arial"/>
          <w:sz w:val="18"/>
          <w:szCs w:val="18"/>
          <w:color w:val="auto"/>
        </w:rPr>
      </w:pPr>
    </w:p>
    <w:p>
      <w:pPr>
        <w:ind w:left="400" w:hanging="311"/>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ind w:left="420" w:right="280" w:hanging="331"/>
        <w:spacing w:after="0" w:line="260" w:lineRule="auto"/>
        <w:tabs>
          <w:tab w:leader="none" w:pos="4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 Basic for the three months ended June 30, 2021 was $0.40, representing an increase of $0.12, or 42.9%, compared to $0.28 for the three months ended June 30,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 Diluted for the three months ended June 30, 2021 was $0.39, representing an increase of $0.11, or 39.3%, compared to $0.28 for the three months ended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ind w:left="380"/>
              <w:spacing w:after="0"/>
              <w:rPr>
                <w:sz w:val="20"/>
                <w:szCs w:val="20"/>
                <w:color w:val="auto"/>
              </w:rPr>
            </w:pPr>
            <w:r>
              <w:rPr>
                <w:rFonts w:ascii="Arial" w:cs="Arial" w:eastAsia="Arial" w:hAnsi="Arial"/>
                <w:sz w:val="18"/>
                <w:szCs w:val="18"/>
                <w:color w:val="auto"/>
              </w:rPr>
              <w:t>Three Months Ended June 30,</w:t>
            </w:r>
          </w:p>
        </w:tc>
      </w:tr>
      <w:tr>
        <w:trPr>
          <w:trHeight w:val="236"/>
        </w:trPr>
        <w:tc>
          <w:tcPr>
            <w:tcW w:w="46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30"/>
        </w:trPr>
        <w:tc>
          <w:tcPr>
            <w:tcW w:w="46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0"/>
              </w:rPr>
              <w:t>Basic and Diluted</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0.24</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left="1030"/>
              <w:spacing w:after="0"/>
              <w:rPr>
                <w:sz w:val="20"/>
                <w:szCs w:val="20"/>
                <w:color w:val="auto"/>
              </w:rPr>
            </w:pPr>
            <w:r>
              <w:rPr>
                <w:rFonts w:ascii="Arial" w:cs="Arial" w:eastAsia="Arial" w:hAnsi="Arial"/>
                <w:sz w:val="18"/>
                <w:szCs w:val="18"/>
                <w:color w:val="auto"/>
                <w:w w:val="91"/>
              </w:rPr>
              <w:t>0.02</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TCPA settlement</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NM</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1560" w:type="dxa"/>
            <w:vAlign w:val="bottom"/>
          </w:tcPr>
          <w:p>
            <w:pPr>
              <w:ind w:left="1260"/>
              <w:spacing w:after="0"/>
              <w:rPr>
                <w:sz w:val="20"/>
                <w:szCs w:val="20"/>
                <w:color w:val="auto"/>
              </w:rPr>
            </w:pPr>
            <w:r>
              <w:rPr>
                <w:rFonts w:ascii="Arial" w:cs="Arial" w:eastAsia="Arial" w:hAnsi="Arial"/>
                <w:sz w:val="18"/>
                <w:szCs w:val="18"/>
                <w:color w:val="auto"/>
                <w:w w:val="99"/>
              </w:rPr>
              <w:t>NM</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1"/>
              </w:rPr>
              <w:t>0.04</w:t>
            </w:r>
          </w:p>
        </w:tc>
      </w:tr>
      <w:tr>
        <w:trPr>
          <w:trHeight w:val="237"/>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3"/>
              </w:rPr>
              <w:t>(0.02)</w:t>
            </w:r>
          </w:p>
        </w:tc>
      </w:tr>
      <w:tr>
        <w:trPr>
          <w:trHeight w:val="25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b w:val="1"/>
                <w:bCs w:val="1"/>
                <w:color w:val="auto"/>
                <w:w w:val="91"/>
              </w:rPr>
              <w:t>0.28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Per share amounts are not meaningful.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for the three months ended June 30, 2021 was $23.2 million, representing an increase of $5.8 million, or 33.4%, from $17.4 million for the three months ended June 30, 2020. The increase in Adjusted EBITDA was primarily due to the increase in revenues of $31.7 million, offset primarily by an increase in service charges from agents and banks of $21.6 million due to an increase in transaction volume.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w w:val="96"/>
              </w:rPr>
              <w:t>Three Months Ended June 30,</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8,978</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3,265</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21,629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16,567</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TCPA settlement (b)</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17,373</w:t>
            </w:r>
          </w:p>
        </w:tc>
      </w:tr>
      <w:tr>
        <w:trPr>
          <w:trHeight w:val="21"/>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hanging="331"/>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losses.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Pr>
          <w:p>
            <w:pPr>
              <w:spacing w:after="0"/>
              <w:rPr>
                <w:sz w:val="17"/>
                <w:szCs w:val="17"/>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0"/>
              </w:rPr>
              <w:t>Six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20" w:type="dxa"/>
            <w:vAlign w:val="bottom"/>
          </w:tcPr>
          <w:p>
            <w:pPr>
              <w:spacing w:after="0"/>
              <w:rPr>
                <w:sz w:val="17"/>
                <w:szCs w:val="17"/>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0"/>
              </w:rPr>
              <w:t>Six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June 30, 2021</w:t>
            </w:r>
          </w:p>
        </w:tc>
        <w:tc>
          <w:tcPr>
            <w:tcW w:w="13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June 30, 2020</w:t>
            </w:r>
          </w:p>
        </w:tc>
        <w:tc>
          <w:tcPr>
            <w:tcW w:w="12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180,218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139,888</w:t>
            </w:r>
          </w:p>
        </w:tc>
        <w:tc>
          <w:tcPr>
            <w:tcW w:w="126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29,703</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211,323</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162,313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Wire transfer and money order fees, net of $180.2 million for the six months ended June 30, 2021 increased by $40.3 million from $139.9 million for the six months ended June 30, 2020. This increase of $40.3 million was primarily due to a 26.6% increase in transaction volume compared to the six months ended June 30, 2020, largely due to the continued growth in our agent network, which increased by 17.9% from June 2020 to June 2021.</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foreign exchange gain, net of $29.7 million for the six months ended June 30, 2021 increased by $8.5 million from $21.2 million for the six months ended June 30, 2020. This increase was primarily due to higher transaction volume achieved by growth in our agent network and a higher average amount sent by our customers primarily as a result of increased foreign exchange volatility in the Mexican peso during the first six months of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40" w:right="840"/>
        <w:spacing w:after="0" w:line="266" w:lineRule="auto"/>
        <w:rPr>
          <w:sz w:val="20"/>
          <w:szCs w:val="20"/>
          <w:color w:val="auto"/>
        </w:rPr>
      </w:pPr>
      <w:r>
        <w:rPr>
          <w:rFonts w:ascii="Arial" w:cs="Arial" w:eastAsia="Arial" w:hAnsi="Arial"/>
          <w:sz w:val="18"/>
          <w:szCs w:val="18"/>
          <w:color w:val="auto"/>
        </w:rPr>
        <w:t>Service charges from agents and banks Salaries and benefits</w:t>
      </w:r>
    </w:p>
    <w:p>
      <w:pPr>
        <w:ind w:left="140"/>
        <w:spacing w:after="0" w:line="296" w:lineRule="auto"/>
        <w:rPr>
          <w:sz w:val="20"/>
          <w:szCs w:val="20"/>
          <w:color w:val="auto"/>
        </w:rPr>
      </w:pPr>
      <w:r>
        <w:rPr>
          <w:rFonts w:ascii="Arial" w:cs="Arial" w:eastAsia="Arial" w:hAnsi="Arial"/>
          <w:sz w:val="18"/>
          <w:szCs w:val="18"/>
          <w:color w:val="auto"/>
        </w:rPr>
        <w:t>Other selling, general and administrative expenses Depreciation and amortization</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left="-56"/>
        <w:spacing w:after="0"/>
        <w:rPr>
          <w:sz w:val="20"/>
          <w:szCs w:val="20"/>
          <w:color w:val="auto"/>
        </w:rPr>
      </w:pPr>
      <w:r>
        <w:rPr>
          <w:rFonts w:ascii="Arial" w:cs="Arial" w:eastAsia="Arial" w:hAnsi="Arial"/>
          <w:sz w:val="17"/>
          <w:szCs w:val="17"/>
          <w:color w:val="auto"/>
        </w:rPr>
        <w:t>Six Months Ended</w:t>
      </w:r>
    </w:p>
    <w:p>
      <w:pPr>
        <w:jc w:val="center"/>
        <w:ind w:left="-56"/>
        <w:spacing w:after="0"/>
        <w:rPr>
          <w:sz w:val="20"/>
          <w:szCs w:val="20"/>
          <w:color w:val="auto"/>
        </w:rPr>
      </w:pPr>
      <w:r>
        <w:rPr>
          <w:rFonts w:ascii="Arial" w:cs="Arial" w:eastAsia="Arial" w:hAnsi="Arial"/>
          <w:sz w:val="18"/>
          <w:szCs w:val="18"/>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9944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pacing w:after="0" w:line="230" w:lineRule="exact"/>
        <w:rPr>
          <w:sz w:val="20"/>
          <w:szCs w:val="20"/>
          <w:color w:val="auto"/>
        </w:rPr>
      </w:pPr>
    </w:p>
    <w:p>
      <w:pPr>
        <w:ind w:left="897" w:hanging="897"/>
        <w:spacing w:after="0"/>
        <w:tabs>
          <w:tab w:leader="none" w:pos="8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141,237</w:t>
      </w:r>
    </w:p>
    <w:p>
      <w:pPr>
        <w:spacing w:after="0" w:line="46" w:lineRule="exact"/>
        <w:rPr>
          <w:rFonts w:ascii="Arial" w:cs="Arial" w:eastAsia="Arial" w:hAnsi="Arial"/>
          <w:sz w:val="16"/>
          <w:szCs w:val="16"/>
          <w:color w:val="auto"/>
        </w:rPr>
      </w:pPr>
    </w:p>
    <w:p>
      <w:pPr>
        <w:ind w:left="977"/>
        <w:spacing w:after="0"/>
        <w:rPr>
          <w:rFonts w:ascii="Arial" w:cs="Arial" w:eastAsia="Arial" w:hAnsi="Arial"/>
          <w:sz w:val="16"/>
          <w:szCs w:val="16"/>
          <w:color w:val="auto"/>
        </w:rPr>
      </w:pPr>
      <w:r>
        <w:rPr>
          <w:rFonts w:ascii="Arial" w:cs="Arial" w:eastAsia="Arial" w:hAnsi="Arial"/>
          <w:sz w:val="16"/>
          <w:szCs w:val="16"/>
          <w:color w:val="auto"/>
        </w:rPr>
        <w:t>20,050</w:t>
      </w:r>
    </w:p>
    <w:p>
      <w:pPr>
        <w:spacing w:after="0" w:line="45" w:lineRule="exact"/>
        <w:rPr>
          <w:rFonts w:ascii="Arial" w:cs="Arial" w:eastAsia="Arial" w:hAnsi="Arial"/>
          <w:sz w:val="16"/>
          <w:szCs w:val="16"/>
          <w:color w:val="auto"/>
        </w:rPr>
      </w:pPr>
    </w:p>
    <w:p>
      <w:pPr>
        <w:ind w:left="977"/>
        <w:spacing w:after="0"/>
        <w:rPr>
          <w:rFonts w:ascii="Arial" w:cs="Arial" w:eastAsia="Arial" w:hAnsi="Arial"/>
          <w:sz w:val="16"/>
          <w:szCs w:val="16"/>
          <w:color w:val="auto"/>
        </w:rPr>
      </w:pPr>
      <w:r>
        <w:rPr>
          <w:rFonts w:ascii="Arial" w:cs="Arial" w:eastAsia="Arial" w:hAnsi="Arial"/>
          <w:sz w:val="16"/>
          <w:szCs w:val="16"/>
          <w:color w:val="auto"/>
        </w:rPr>
        <w:t>12,582</w:t>
      </w:r>
    </w:p>
    <w:p>
      <w:pPr>
        <w:spacing w:after="0" w:line="45" w:lineRule="exact"/>
        <w:rPr>
          <w:rFonts w:ascii="Arial" w:cs="Arial" w:eastAsia="Arial" w:hAnsi="Arial"/>
          <w:sz w:val="16"/>
          <w:szCs w:val="16"/>
          <w:color w:val="auto"/>
        </w:rPr>
      </w:pPr>
    </w:p>
    <w:p>
      <w:pPr>
        <w:ind w:left="1077"/>
        <w:spacing w:after="0"/>
        <w:rPr>
          <w:rFonts w:ascii="Arial" w:cs="Arial" w:eastAsia="Arial" w:hAnsi="Arial"/>
          <w:sz w:val="16"/>
          <w:szCs w:val="16"/>
          <w:color w:val="auto"/>
        </w:rPr>
      </w:pPr>
      <w:r>
        <w:rPr>
          <w:rFonts w:ascii="Arial" w:cs="Arial" w:eastAsia="Arial" w:hAnsi="Arial"/>
          <w:sz w:val="15"/>
          <w:szCs w:val="15"/>
          <w:color w:val="auto"/>
        </w:rPr>
        <w:t>4,679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-546100</wp:posOffset>
            </wp:positionV>
            <wp:extent cx="62407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40780" cy="1460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-254635</wp:posOffset>
            </wp:positionV>
            <wp:extent cx="62407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40780" cy="14541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36195</wp:posOffset>
            </wp:positionV>
            <wp:extent cx="62407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63" w:lineRule="exact"/>
        <w:rPr>
          <w:sz w:val="20"/>
          <w:szCs w:val="20"/>
          <w:color w:val="auto"/>
        </w:rPr>
      </w:pPr>
    </w:p>
    <w:p>
      <w:pPr>
        <w:ind w:left="897" w:hanging="897"/>
        <w:spacing w:after="0"/>
        <w:tabs>
          <w:tab w:leader="none" w:pos="8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178,548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994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0"/>
              </w:rPr>
              <w:t>Six Months Ended</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 of</w:t>
            </w:r>
          </w:p>
        </w:tc>
      </w:tr>
      <w:tr>
        <w:trPr>
          <w:trHeight w:val="223"/>
        </w:trPr>
        <w:tc>
          <w:tcPr>
            <w:tcW w:w="1040" w:type="dxa"/>
            <w:vAlign w:val="bottom"/>
          </w:tcPr>
          <w:p>
            <w:pPr>
              <w:jc w:val="right"/>
              <w:ind w:right="250"/>
              <w:spacing w:after="0"/>
              <w:rPr>
                <w:sz w:val="20"/>
                <w:szCs w:val="20"/>
                <w:color w:val="auto"/>
              </w:rPr>
            </w:pPr>
            <w:r>
              <w:rPr>
                <w:rFonts w:ascii="Arial" w:cs="Arial" w:eastAsia="Arial" w:hAnsi="Arial"/>
                <w:sz w:val="18"/>
                <w:szCs w:val="18"/>
                <w:color w:val="auto"/>
                <w:w w:val="83"/>
              </w:rPr>
              <w:t>Revenues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June 30, 2020</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Revenues</w:t>
            </w:r>
          </w:p>
        </w:tc>
      </w:tr>
      <w:tr>
        <w:trPr>
          <w:trHeight w:val="445"/>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67 %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108,498</w:t>
            </w:r>
          </w:p>
        </w:tc>
        <w:tc>
          <w:tcPr>
            <w:tcW w:w="124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14,428</w:t>
            </w: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10,492</w:t>
            </w:r>
          </w:p>
        </w:tc>
        <w:tc>
          <w:tcPr>
            <w:tcW w:w="12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7"/>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138,799</w:t>
            </w:r>
          </w:p>
        </w:tc>
        <w:tc>
          <w:tcPr>
            <w:tcW w:w="124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780" w:space="323"/>
            <w:col w:w="1477" w:space="400"/>
            <w:col w:w="5260"/>
          </w:cols>
          <w:pgMar w:left="320" w:top="125" w:right="339" w:bottom="1440" w:gutter="0" w:footer="0" w:header="0"/>
          <w:type w:val="continuous"/>
        </w:sectPr>
      </w:pP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$141.2 million for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$108.5 million for the six months ended June 30, 2020. The increase of $32.7 million was primarily due to the increase in transaction volume described above.</w:t>
      </w:r>
    </w:p>
    <w:p>
      <w:pPr>
        <w:spacing w:after="0" w:line="2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Salaries and benefits </w:t>
      </w:r>
      <w:r>
        <w:rPr>
          <w:rFonts w:ascii="Arial" w:cs="Arial" w:eastAsia="Arial" w:hAnsi="Arial"/>
          <w:sz w:val="16"/>
          <w:szCs w:val="16"/>
          <w:color w:val="auto"/>
        </w:rPr>
        <w:t>— Salaries and benefits of $20.1 million for the six months ended June 30, 2021 increased by $5.7 million from $14.4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2020. The increase of $5.7 million is primarily due to $4.0 million spent in talent acquisition and retention and increased wages to recognize performance, and to support the continued growth of our business, a $0.8 million increase in commission expense for our sales representatives and $0.9 million increase in share-based compensation as a result of new awards granted in the first six months of 2021.</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$12.6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increased by $2.1 million from $10.5 million for the six months ended June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the result of:</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740" w:hanging="246"/>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$1.1 million - increase in advertising and promotion expenses as last year we curtailed these activities because of the COVID-19 pandemic;</w:t>
      </w:r>
    </w:p>
    <w:p>
      <w:pPr>
        <w:spacing w:after="0" w:line="34" w:lineRule="exact"/>
        <w:rPr>
          <w:rFonts w:ascii="Arial" w:cs="Arial" w:eastAsia="Arial" w:hAnsi="Arial"/>
          <w:sz w:val="17"/>
          <w:szCs w:val="17"/>
          <w:color w:val="auto"/>
        </w:rPr>
      </w:pPr>
    </w:p>
    <w:p>
      <w:pPr>
        <w:ind w:left="740" w:right="200" w:hanging="246"/>
        <w:spacing w:after="0" w:line="250" w:lineRule="auto"/>
        <w:tabs>
          <w:tab w:leader="none" w:pos="7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$0.7 million - higher professional fees and other operating expenses to support our business growth, some of which expenses were reduced last year by the COVID-19 pandemic; and</w:t>
      </w: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$0.7 million - higher IT related expenses incurred to sustain our business expansion and improve our technology environment.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252" w:lineRule="exact"/>
        <w:rPr>
          <w:sz w:val="20"/>
          <w:szCs w:val="20"/>
          <w:color w:val="auto"/>
        </w:rPr>
      </w:pPr>
    </w:p>
    <w:p>
      <w:pPr>
        <w:jc w:val="both"/>
        <w:ind w:left="740" w:hanging="246"/>
        <w:spacing w:after="0" w:line="263" w:lineRule="auto"/>
        <w:tabs>
          <w:tab w:leader="none" w:pos="735"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$0.4 million - reduction in provision for credit losses, as the six months ended June 30, 2020 include certain losses resulting from the deterioration of the creditworthiness of a small number of sending agents rather than the result of sending agents that were adversely affected by the COVID-19 pandemic.</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$4.7 million for the six months ended June 30, 2021 decreased by $0.7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$5.4 million for the six months ended June 30, 2020. This decrease is mainly due to $0.9 million less amortization related to our trade name, developed technology and agent relationships during the first half of 2021, as these intangibles are being amortized on an accelerated basis, which declines over time. This decrease was partially offset by an increase in depreciation of $0.2 million associated primarily with additional computer equipment acquired to support our growing business and sending agent network.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$2.6 million for the six months ended June 30, 2021 decreased by $0.9 million from $3.5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The decrease was primarily due to lower market interest rates paid under the credit agreements (as described below) and lower drawings under our revolving credit facility.</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$8.0 million for the six months ended June 30, 2021, which represents an increase of $2.7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an income tax provision of $5.3 million for the six months ended June 30, 2020. The increase in the income tax provision was mainly attributable to higher taxable income resulting from higher revenues from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reported net income of $22.2 million for the six months ended June 30, 2021 compared to net income of $14.7 million for the six months ended June 30, 2020, which resulted in an increase of $7.5 million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(previously defined and used as described above) for the six months ended June 30, 2021 was $25.9 million, representing an increase of $7.5 million, or 40.7%, from Adjusted Net Income of $18.4 million for the six months ended June 30, 2020. The increase in Adjusted Net Income was primarily due to the increase in revenues of $49.0 million, offset primarily by an increase in service charges from agents and banks of $32.7 million due to higher transaction volume.</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Six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14,666</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TCPA settlement (b)</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Amortization of intangibles (d)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3,421</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(e)</w:t>
            </w: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18,419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70"/>
        </w:trPr>
        <w:tc>
          <w:tcPr>
            <w:tcW w:w="6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38,035,146</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38,937,699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38,043,233</w:t>
            </w:r>
          </w:p>
        </w:tc>
      </w:tr>
    </w:tbl>
    <w:p>
      <w:pPr>
        <w:spacing w:after="0" w:line="322" w:lineRule="exact"/>
        <w:rPr>
          <w:sz w:val="20"/>
          <w:szCs w:val="20"/>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losses.</w:t>
      </w:r>
    </w:p>
    <w:p>
      <w:pPr>
        <w:spacing w:after="0" w:line="9" w:lineRule="exact"/>
        <w:rPr>
          <w:rFonts w:ascii="Arial" w:cs="Arial" w:eastAsia="Arial" w:hAnsi="Arial"/>
          <w:sz w:val="18"/>
          <w:szCs w:val="18"/>
          <w:color w:val="auto"/>
        </w:rPr>
      </w:pPr>
    </w:p>
    <w:p>
      <w:pPr>
        <w:ind w:left="400" w:hanging="311"/>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ind w:left="420" w:right="280" w:hanging="331"/>
        <w:spacing w:after="0" w:line="260" w:lineRule="auto"/>
        <w:tabs>
          <w:tab w:leader="none" w:pos="4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Earnings per Share - Basic (previously defined and used as described above) for the six months ended June 30, 2021 was $0.68, representing an increase of $0.20, or 41.7%, compared to $0.48 for the six months ended June 30, 2020.</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Earnings per Share - Diluted (previously defined and used as described above) for the six months ended June 30, 2021 was $0.67, representing an increase of $0.19, or 39.6%, compared to $0.48 for the six months ended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Six Months Ended June 30,</w:t>
            </w:r>
          </w:p>
        </w:tc>
      </w:tr>
      <w:tr>
        <w:trPr>
          <w:trHeight w:val="236"/>
        </w:trPr>
        <w:tc>
          <w:tcPr>
            <w:tcW w:w="46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30"/>
        </w:trPr>
        <w:tc>
          <w:tcPr>
            <w:tcW w:w="46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4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0"/>
              </w:rPr>
              <w:t>Basic and Diluted</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0.39</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left="1030"/>
              <w:spacing w:after="0"/>
              <w:rPr>
                <w:sz w:val="20"/>
                <w:szCs w:val="20"/>
                <w:color w:val="auto"/>
              </w:rPr>
            </w:pPr>
            <w:r>
              <w:rPr>
                <w:rFonts w:ascii="Arial" w:cs="Arial" w:eastAsia="Arial" w:hAnsi="Arial"/>
                <w:sz w:val="18"/>
                <w:szCs w:val="18"/>
                <w:color w:val="auto"/>
                <w:w w:val="91"/>
              </w:rPr>
              <w:t>0.04</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TCPA settlement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NM</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left="1030"/>
              <w:spacing w:after="0"/>
              <w:rPr>
                <w:sz w:val="20"/>
                <w:szCs w:val="20"/>
                <w:color w:val="auto"/>
              </w:rPr>
            </w:pPr>
            <w:r>
              <w:rPr>
                <w:rFonts w:ascii="Arial" w:cs="Arial" w:eastAsia="Arial" w:hAnsi="Arial"/>
                <w:sz w:val="18"/>
                <w:szCs w:val="18"/>
                <w:color w:val="auto"/>
                <w:w w:val="91"/>
              </w:rPr>
              <w:t>0.01</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1"/>
              </w:rPr>
              <w:t>0.09</w:t>
            </w:r>
          </w:p>
        </w:tc>
      </w:tr>
      <w:tr>
        <w:trPr>
          <w:trHeight w:val="237"/>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(0.04)</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3"/>
              </w:rPr>
              <w:t>(0.04)</w:t>
            </w:r>
          </w:p>
        </w:tc>
      </w:tr>
      <w:tr>
        <w:trPr>
          <w:trHeight w:val="25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b w:val="1"/>
                <w:bCs w:val="1"/>
                <w:color w:val="auto"/>
                <w:w w:val="91"/>
              </w:rPr>
              <w:t>0.48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Per share amounts are not meaningful.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(previously defined and used as described above) for the six months ended June 30, 2021 was $40.0 million, representing an increase of $9.4 million, or 30.8%, from $30.6 million for the six months ended June 30, 2020. The increase in Adjusted EBITDA was primarily due to the increase in revenues of $49.0 million, offset primarily by an increase in service charges from agents and banks of $32.7 million due to an increase in transaction volume.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w w:val="99"/>
              </w:rPr>
              <w:t>Six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14,666</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5,345</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37,454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28,895</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TCPA settlement (b)</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30,593</w:t>
            </w:r>
          </w:p>
        </w:tc>
      </w:tr>
      <w:tr>
        <w:trPr>
          <w:trHeight w:val="20"/>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hanging="331"/>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losses.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liquidity in terms of cash flows from operations and their sufficiency to fund business operations, including working capital needs, debt service, acquisitions, contractual obligations and other commitments. In particular, to meet our payment service obligations at all times, we must have sufficient highly liquid assets and be able to move funds on a timely basis.</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 to day operations, to pay interest and principal on our indebtedness, to fund working capital requirements and to make capital expenditures.</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Notwithstanding the recent effects of the COVID-19 pandemic in the U.S. economy, we have funded and still expect to continue funding our liquidity requirements through internally generated funds, supplemented in the ordinary course, with borrowings under our revolving credit facility. While our operating cash flows may be affected by the economic conditions resulting from the pandemic and other factors, we maintain a strong cash balance position and have access to committed funding sources, which we have used only on a limited and ordinary course basis during the six months ended June 30, 2021.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w:t>
      </w:r>
    </w:p>
    <w:p>
      <w:pPr>
        <w:spacing w:after="0" w:line="19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and certain of its domestic subsidiaries as borrowers and the other guarantors from time to time party thereto (collectively, the “Loan Parties”) entered into a financing agreement with a group of banking institutions, dated November 7, 2018 and further amended on December 7, 2018 (the “Original Credit Agreement”). The Original Credit Agreement provided for a $35 million revolving credit facility, a $90 million term loan facility and an up to $30 million incremental facility of which $12 million was utilized for the term loan facility in 2019 and $10 million was utilized for the revolving credit facility in May of 2021 (see below). The Original Credit Agreement also provided for the issuance of letters of credit, which would reduce availability under the revolving credit facility. The maturity date of the Original Credit Agreement was November 7, 2023.</w:t>
      </w:r>
    </w:p>
    <w:p>
      <w:pPr>
        <w:spacing w:after="0" w:line="205"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Effective as of May 12, 2021, the Company amended the Original Credit Agreement by entering into Increase Joinder No. 2 (the “Joinder No. 2”) to the Original Credit Agreement, under which the revolving line of credit commitment under the Original Credit Agreement was increased by $10 million to an aggregate of $45 million. The Joinder No. 2 did not have any impact to any of the terms of the term loan facility under the Original Credit Agreement.</w:t>
      </w:r>
    </w:p>
    <w:p>
      <w:pPr>
        <w:sectPr>
          <w:pgSz w:w="11900" w:h="16838" w:orient="portrait"/>
          <w:cols w:equalWidth="0" w:num="1">
            <w:col w:w="11240"/>
          </w:cols>
          <w:pgMar w:left="320" w:top="125" w:right="339" w:bottom="1440" w:gutter="0" w:footer="0" w:header="0"/>
        </w:sectPr>
      </w:pPr>
    </w:p>
    <w:p>
      <w:pPr>
        <w:spacing w:after="0" w:line="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24, 2021, the Loan Parties entered into an Amended and Restated Credit Agreement (the “A&amp;R Credit Agreement”) with a group of banking institutions. The A&amp;R Credit Agreement amended and restated in its entirety the Original Credit Agreement. The A&amp;R Credit Agreement provides for a $150 million revolving credit facility, an $87.5 million term loan facility and an uncommitted incremental facility, which may be utilized for additional revolving or term loans, of up to $70 million. The A&amp;R Credit Agreement also provides for the issuance of letters of credit, which would reduce availability under the revolving credit facility. The proceeds of the term loan were used to refinance the $87.5 million principal amount of the existing term loan under the Original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2021, we had total indebtedness of $87.5 million, consisting of borrowings under the term loan facility, excluding debt origination costs of $2.5 million. There were $220.0 million of additional borrowings available under these facilities as of June 30, 2021.</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six months ended June 30, 2021 for the term loan facility and revolving credit facility, which substantially related to the Original Credit Agreement, were 5.19% and 0.98%, respectively.</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Interest is payable (x)(i) generally on the last day of each interest period selected for LIBOR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A&amp;R Credit Agreement contains financial covenants that require the Company to maintain a quarterly minimum fixed charge coverage ratio of 1.25:1.00 and a quarterly maximum consolidated leverage ratio of 3.25:1.00. As of June 30, 2021, we were in compliance with the covenants of the A&amp;R Credit Agreement.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 million per calendar year, and ii) other restricted payments in an aggregate amount not to exceed $40 million plus the Available Amount (as defined in the A&amp;R Credit Agreement).</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indebtedness, which may limit our operating flexibility and could adversely affect our business,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Annual Report on Form 10-K for the year ended December 31, 2020.</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to our cash flows for the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Cash Flows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 on cash</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in cash</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beginning of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end of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Six Months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445"/>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70,290</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21,473</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229"/>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37"/>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15,868</w:t>
            </w:r>
          </w:p>
        </w:tc>
      </w:tr>
      <w:tr>
        <w:trPr>
          <w:trHeight w:val="492"/>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86,117</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-1397000</wp:posOffset>
            </wp:positionV>
            <wp:extent cx="597471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-1105535</wp:posOffset>
            </wp:positionV>
            <wp:extent cx="597471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-814070</wp:posOffset>
            </wp:positionV>
            <wp:extent cx="597471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-505460</wp:posOffset>
            </wp:positionV>
            <wp:extent cx="597471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-187960</wp:posOffset>
            </wp:positionV>
            <wp:extent cx="597471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730" w:lineRule="exact"/>
        <w:rPr>
          <w:sz w:val="20"/>
          <w:szCs w:val="20"/>
          <w:color w:val="auto"/>
        </w:rPr>
      </w:pPr>
    </w:p>
    <w:p>
      <w:pPr>
        <w:sectPr>
          <w:pgSz w:w="11900" w:h="16838" w:orient="portrait"/>
          <w:cols w:equalWidth="0" w:num="2">
            <w:col w:w="5520" w:space="720"/>
            <w:col w:w="5000"/>
          </w:cols>
          <w:pgMar w:left="320" w:top="125" w:right="339" w:bottom="1440" w:gutter="0" w:footer="0" w:header="0"/>
          <w:type w:val="continuous"/>
        </w:sectPr>
      </w:pPr>
    </w:p>
    <w:p>
      <w:pPr>
        <w:spacing w:after="0" w:line="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was $70.3 million for the six months ended June 30, 2021, an increase of $48.8 million from net cash provided by operating activities of $21.5 million for the six months ended June 30, 2020. The increase is a result of $41.5 million changes in working capital, which varies due to timing of transmittal orders and payments, and by additional cash generated by our operating results for the six months ended June 30, 2021, which were positively affected by the further growth of the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$3.2 million for the six months ended June 30, 2021, representing an increase of $1.6 million from net cash used in investing activities of $1.6 million for the six months ended June 30, 2020. This increase was due to higher purchases of property and equipment during the six months ended June 30, 2021 as a result of the continued expansion of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$2.3 million for the six months ended June 30, 2021, which primarily consisted of a $40.1 million repayment and $2.9 million of debt origination costs in connection with the refinancing of the Original Credit Agreement, and a $1.9 million scheduled quarterly payment due on the term loan facility, offset by $40.2 million borrowings in connection with the refinancing of the Original Credit Agreement and $2.4 million in proceeds from issuance of stock as a result of the exercise of options.</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financing activities was $3.8 million for the six months ended June 30, 2020, which consisted of scheduled quarterly repayments due on the term loan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June 30, 2021, our contractual obligations over the next several periods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Less than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More than</w:t>
            </w:r>
          </w:p>
        </w:tc>
      </w:tr>
      <w:tr>
        <w:trPr>
          <w:trHeight w:val="237"/>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1 to 3 years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3 to 5 years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5 years</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principal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Non-cancelable operating leases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1"/>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condensed consolidated balance sheet reflects $85.0 million of debt as of June 30, 2021, as the principal payment obligations of $87.5 million are gross of unamortized debt origination costs. The above table reflects the principal and interest of the revolving credit facility and term loan facility under the A&amp;R Credit Agreement that will be paid through the term of the debt using the rates in effect on June 30, 2021 and assuming no voluntary prepayments of principal.</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not a party to any material off-balance sheet arrangements, such as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w:t>
      </w:r>
      <w:r>
        <w:rPr>
          <w:rFonts w:ascii="Arial" w:cs="Arial" w:eastAsia="Arial" w:hAnsi="Arial"/>
          <w:sz w:val="16"/>
          <w:szCs w:val="16"/>
          <w:i w:val="1"/>
          <w:iCs w:val="1"/>
          <w:color w:val="auto"/>
        </w:rPr>
        <w:t>Management’s Discussion and Analysis of Financial Condition and Results of Operations - Critical Accounting Policies and</w:t>
      </w:r>
      <w:r>
        <w:rPr>
          <w:rFonts w:ascii="Arial" w:cs="Arial" w:eastAsia="Arial" w:hAnsi="Arial"/>
          <w:sz w:val="16"/>
          <w:szCs w:val="16"/>
          <w:color w:val="auto"/>
        </w:rPr>
        <w:t xml:space="preserve"> </w:t>
      </w:r>
      <w:r>
        <w:rPr>
          <w:rFonts w:ascii="Arial" w:cs="Arial" w:eastAsia="Arial" w:hAnsi="Arial"/>
          <w:sz w:val="16"/>
          <w:szCs w:val="16"/>
          <w:i w:val="1"/>
          <w:iCs w:val="1"/>
          <w:color w:val="auto"/>
        </w:rPr>
        <w:t>Estimates</w:t>
      </w:r>
      <w:r>
        <w:rPr>
          <w:rFonts w:ascii="Arial" w:cs="Arial" w:eastAsia="Arial" w:hAnsi="Arial"/>
          <w:sz w:val="16"/>
          <w:szCs w:val="16"/>
          <w:color w:val="auto"/>
        </w:rPr>
        <w:t>” in our Annual Report on Form 10-K for the year ended December 31, 2020, for which there were no material changes, included the following:</w:t>
      </w:r>
    </w:p>
    <w:p>
      <w:pPr>
        <w:spacing w:after="0" w:line="184"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Receivable and Allowance for Credit Losses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Note 1 of our unaudited condensed consolidated financial statements included in this filing for further information on recent accounting pronouncements.</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included in wire transfer and money orders payable, net in our condensed consolidated balance sheets as of June 30, 2021 and December 31, 2020, there are $15.3 million and $7.6 million, respectively, of wires payable denominated in foreign currencies, primarily Mexican pesos and Guatemalan quetzales.</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Also, included in prepaid wires, net in our condensed consolidated balance sheets as of June 30, 2021 and December 31, 2020, there are $11.6 million and $50.1 million, respectively, of prepaid wires denominated in foreign currencies, primarily Mexican pesos and Guatemalan quetzales.</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six months ended June 30, 2021. Therefore, a 10% increase or decrease in these currency rates against the U.S. dollar would result in a de minimis change to our overall operating results.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Mexico, Guatemala and Canada currencies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94"/>
              </w:rPr>
              <w:t>2021</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w w:val="94"/>
              </w:rPr>
              <w:t>2020</w:t>
            </w:r>
          </w:p>
        </w:tc>
      </w:tr>
      <w:tr>
        <w:trPr>
          <w:trHeight w:val="245"/>
        </w:trPr>
        <w:tc>
          <w:tcPr>
            <w:tcW w:w="3940" w:type="dxa"/>
            <w:vAlign w:val="bottom"/>
          </w:tcPr>
          <w:p>
            <w:pPr>
              <w:spacing w:after="0"/>
              <w:rPr>
                <w:sz w:val="21"/>
                <w:szCs w:val="21"/>
                <w:color w:val="auto"/>
              </w:rPr>
            </w:pPr>
          </w:p>
        </w:tc>
        <w:tc>
          <w:tcPr>
            <w:tcW w:w="1200" w:type="dxa"/>
            <w:vAlign w:val="bottom"/>
          </w:tcPr>
          <w:p>
            <w:pPr>
              <w:jc w:val="right"/>
              <w:ind w:right="9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0" w:type="dxa"/>
            <w:vAlign w:val="bottom"/>
          </w:tcPr>
          <w:p>
            <w:pPr>
              <w:spacing w:after="0"/>
              <w:rPr>
                <w:sz w:val="21"/>
                <w:szCs w:val="21"/>
                <w:color w:val="auto"/>
              </w:rPr>
            </w:pPr>
          </w:p>
        </w:tc>
        <w:tc>
          <w:tcPr>
            <w:tcW w:w="1460" w:type="dxa"/>
            <w:vAlign w:val="bottom"/>
            <w:gridSpan w:val="2"/>
          </w:tcPr>
          <w:p>
            <w:pPr>
              <w:ind w:left="380"/>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c>
          <w:tcPr>
            <w:tcW w:w="1200" w:type="dxa"/>
            <w:vAlign w:val="bottom"/>
          </w:tcPr>
          <w:p>
            <w:pPr>
              <w:jc w:val="right"/>
              <w:ind w:right="11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0" w:type="dxa"/>
            <w:vAlign w:val="bottom"/>
          </w:tcPr>
          <w:p>
            <w:pPr>
              <w:spacing w:after="0"/>
              <w:rPr>
                <w:sz w:val="21"/>
                <w:szCs w:val="21"/>
                <w:color w:val="auto"/>
              </w:rPr>
            </w:pPr>
          </w:p>
        </w:tc>
        <w:tc>
          <w:tcPr>
            <w:tcW w:w="1200" w:type="dxa"/>
            <w:vAlign w:val="bottom"/>
          </w:tcPr>
          <w:p>
            <w:pPr>
              <w:jc w:val="right"/>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r>
      <w:tr>
        <w:trPr>
          <w:trHeight w:val="230"/>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U.S. dollar/Guatemala Quetzal</w:t>
            </w:r>
          </w:p>
        </w:tc>
        <w:tc>
          <w:tcPr>
            <w:tcW w:w="1200" w:type="dxa"/>
            <w:vAlign w:val="bottom"/>
          </w:tcPr>
          <w:p>
            <w:pPr>
              <w:jc w:val="right"/>
              <w:spacing w:after="0"/>
              <w:rPr>
                <w:sz w:val="20"/>
                <w:szCs w:val="20"/>
                <w:color w:val="auto"/>
              </w:rPr>
            </w:pPr>
            <w:r>
              <w:rPr>
                <w:rFonts w:ascii="Arial" w:cs="Arial" w:eastAsia="Arial" w:hAnsi="Arial"/>
                <w:sz w:val="18"/>
                <w:szCs w:val="18"/>
                <w:color w:val="auto"/>
              </w:rPr>
              <w:t>7.74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46"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June 30, 2021 and December 31, 2020.</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six months ended June 30, 2021 and 2020.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sustained appreciation of the Mexican peso or Guatemalan quetzal as compared to the U.S. dollar could affect our margins.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2021, we had $87.5 million in outstanding borrowings under the term loan and revolving credit facility. A hypothetical 1% increase or decrease in the interest rate on our indebtedness as of June 30, 2021 would have increased or decreased cash interest expense on our term loan facility by approximately $0.9 million per annum.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certain cash balances in various U.S. banks, which at times, may exceed federally insured limits. We have not incurred any losses on these accounts. In addition, we maintain various bank accounts in Mexico, Guatemala and Canada, which are not insured. During the six months ended June 30, 2021, we have not incurred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June 30, 2021, we also</w:t>
      </w: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had $1.6 million outstanding of notes receivable from sending agents. Most of the notes are collateralized by personal guarantees from the sending agents and by assets from their businesses. Due to the COVID-19 pandemic, it is possible we could be adversely affected by credit losses, such as those related to our outstanding notes receivables from sending agents. At the date of this report, however, we are not aware of any significant exposure and are continuing to monitor our credit risk.</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credit losses was approximately $0.7 million for the six months ended June 30, 2021 (0.6% of total revenues) and $1.1 million for the six months ended June 30, 2020 (0.7% of total revenues). The decrease in our provision for credit losses in the six months ended June 30, 2021 is due to the 2020 provision including losses resulting from the deterioration of the creditworthiness of a small number of sending agents rather than the result of sending agents that were adversely affected by the COVID-19 pandemic.</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President, and Chief Financial Officer carried out an evaluation of the effectiveness of our disclosure controls and procedures as of June 30, 2021.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June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Note 13 – Commitments and Contingencies in the Unaudited Condensed Consolidated Financial Statements of International Money Express, Inc. contained elsewhere in this Quarterly Report on Form 10–Q for information regarding certain legal proceedings to which we are a party, which information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2020 (the “2020 Form 10-K”). Prospective investors are encouraged to consider the risks described in our 2020 Form 10-K, our Management’s Discussion and Analysis of Financial Condition and Results of Operations contained in this Quarterly Report on Form 10-Q and in our 2020 Form 10-K, and other information publicly disclosed or contained in documents we file with the Securities and Exchange Commission before purchasing our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0139"/>
          </w:cols>
          <w:pgMar w:left="320" w:top="125" w:right="1440"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rFonts w:ascii="Arial" w:cs="Arial" w:eastAsia="Arial" w:hAnsi="Arial"/>
          <w:sz w:val="18"/>
          <w:szCs w:val="18"/>
          <w:color w:val="0000FF"/>
        </w:rPr>
      </w:pPr>
      <w:hyperlink r:id="rId67">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rFonts w:ascii="Arial" w:cs="Arial" w:eastAsia="Arial" w:hAnsi="Arial"/>
          <w:sz w:val="18"/>
          <w:szCs w:val="18"/>
          <w:color w:val="0000FF"/>
        </w:rPr>
      </w:pPr>
      <w:hyperlink r:id="rId68">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180340</wp:posOffset>
            </wp:positionV>
            <wp:extent cx="6266180" cy="805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66180" cy="805815"/>
                    </a:xfrm>
                    <a:prstGeom prst="rect">
                      <a:avLst/>
                    </a:prstGeom>
                    <a:noFill/>
                  </pic:spPr>
                </pic:pic>
              </a:graphicData>
            </a:graphic>
          </wp:anchor>
        </w:drawing>
      </w:r>
    </w:p>
    <w:p>
      <w:pPr>
        <w:spacing w:after="0" w:line="277" w:lineRule="exact"/>
        <w:rPr>
          <w:sz w:val="20"/>
          <w:szCs w:val="20"/>
          <w:color w:val="auto"/>
        </w:rPr>
      </w:pPr>
    </w:p>
    <w:p>
      <w:pPr>
        <w:ind w:right="299"/>
        <w:spacing w:after="0"/>
        <w:rPr>
          <w:sz w:val="20"/>
          <w:szCs w:val="20"/>
          <w:color w:val="auto"/>
        </w:rPr>
      </w:pPr>
      <w:r>
        <w:rPr>
          <w:rFonts w:ascii="Arial" w:cs="Arial" w:eastAsia="Arial" w:hAnsi="Arial"/>
          <w:sz w:val="18"/>
          <w:szCs w:val="18"/>
          <w:color w:val="auto"/>
        </w:rPr>
        <w:t>Increase Joinder No. 2 to Credit Agreement, dated as of May 12, 2021, by and among International Money Express, Inc., as Holdings, International Money Express Sub 2, LLC, as Intermediate Holdings, Intermex Holdings, Inc., as the Term Borrower, Intermex Wire Transfer, LLC, as the Revolver Borrower, the other guarantors from time to time party thereto, the lenders from time to time party thereto and KeyBank National Association, as the Administrative Agent and L/C Issuer. (incorporated by reference to Exhibit 10.1 to the Registrant’s Current Report on Form 8-K filed on May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180340</wp:posOffset>
            </wp:positionV>
            <wp:extent cx="6266180" cy="805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66180" cy="805815"/>
                    </a:xfrm>
                    <a:prstGeom prst="rect">
                      <a:avLst/>
                    </a:prstGeom>
                    <a:noFill/>
                  </pic:spPr>
                </pic:pic>
              </a:graphicData>
            </a:graphic>
          </wp:anchor>
        </w:drawing>
      </w:r>
    </w:p>
    <w:p>
      <w:pPr>
        <w:spacing w:after="0" w:line="277" w:lineRule="exact"/>
        <w:rPr>
          <w:sz w:val="20"/>
          <w:szCs w:val="20"/>
          <w:color w:val="auto"/>
        </w:rPr>
      </w:pPr>
    </w:p>
    <w:p>
      <w:pPr>
        <w:ind w:right="299"/>
        <w:spacing w:after="0"/>
        <w:rPr>
          <w:sz w:val="20"/>
          <w:szCs w:val="20"/>
          <w:color w:val="auto"/>
        </w:rPr>
      </w:pPr>
      <w:r>
        <w:rPr>
          <w:rFonts w:ascii="Arial" w:cs="Arial" w:eastAsia="Arial" w:hAnsi="Arial"/>
          <w:sz w:val="18"/>
          <w:szCs w:val="18"/>
          <w:color w:val="auto"/>
        </w:rPr>
        <w:t>Amended and Restated Credit Agreement, dated as of June 24, 2021, by and among International Money Express, Inc., as Holdings, International Money Express Sub 2, LLC, as Intermediate Holdings, Intermex Holdings, Inc., as the Term Borrower, Intermex Wire Transfer, LLC, as the Revolver Borrower, the other guarantors from time to time party thereto, the lenders from time to time party thereto and KeyBank National Association, as the Administrative Agent and L/C Issuer. (incorporated by reference to Exhibit 10.1 to the Registrant’s Current Report on Form 8-K filed on June 28, 2021)</w:t>
      </w:r>
    </w:p>
    <w:p>
      <w:pPr>
        <w:spacing w:after="0" w:line="200" w:lineRule="exact"/>
        <w:rPr>
          <w:sz w:val="20"/>
          <w:szCs w:val="20"/>
          <w:color w:val="auto"/>
        </w:rPr>
      </w:pPr>
    </w:p>
    <w:p>
      <w:pPr>
        <w:sectPr>
          <w:pgSz w:w="11900" w:h="16838" w:orient="portrait"/>
          <w:cols w:equalWidth="0" w:num="2">
            <w:col w:w="900" w:space="440"/>
            <w:col w:w="8799"/>
          </w:cols>
          <w:pgMar w:left="320" w:top="125" w:right="1440" w:bottom="1440" w:gutter="0" w:footer="0" w:header="0"/>
          <w:type w:val="continuous"/>
        </w:sectPr>
      </w:pPr>
    </w:p>
    <w:p>
      <w:pPr>
        <w:spacing w:after="0" w:line="84" w:lineRule="exact"/>
        <w:rPr>
          <w:sz w:val="20"/>
          <w:szCs w:val="20"/>
          <w:color w:val="auto"/>
        </w:rPr>
      </w:pPr>
    </w:p>
    <w:p>
      <w:pPr>
        <w:ind w:left="20"/>
        <w:spacing w:after="0"/>
        <w:rPr>
          <w:rFonts w:ascii="Arial" w:cs="Arial" w:eastAsia="Arial" w:hAnsi="Arial"/>
          <w:sz w:val="18"/>
          <w:szCs w:val="18"/>
          <w:color w:val="0000FF"/>
        </w:rPr>
      </w:pPr>
      <w:hyperlink w:anchor="page44">
        <w:r>
          <w:rPr>
            <w:rFonts w:ascii="Arial" w:cs="Arial" w:eastAsia="Arial" w:hAnsi="Arial"/>
            <w:sz w:val="18"/>
            <w:szCs w:val="18"/>
            <w:u w:val="single" w:color="auto"/>
            <w:color w:val="0000FF"/>
          </w:rPr>
          <w:t>31.1</w:t>
        </w:r>
      </w:hyperlink>
      <w:r>
        <w:rPr>
          <w:rFonts w:ascii="Arial" w:cs="Arial" w:eastAsia="Arial" w:hAnsi="Arial"/>
          <w:sz w:val="18"/>
          <w:szCs w:val="18"/>
          <w:color w:val="000000"/>
        </w:rPr>
        <w:t>*</w:t>
      </w:r>
    </w:p>
    <w:p>
      <w:pPr>
        <w:spacing w:after="0" w:line="279" w:lineRule="exact"/>
        <w:rPr>
          <w:sz w:val="20"/>
          <w:szCs w:val="20"/>
          <w:color w:val="auto"/>
        </w:rPr>
      </w:pPr>
    </w:p>
    <w:p>
      <w:pPr>
        <w:ind w:left="20"/>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31.2</w:t>
        </w:r>
      </w:hyperlink>
      <w:r>
        <w:rPr>
          <w:rFonts w:ascii="Arial" w:cs="Arial" w:eastAsia="Arial" w:hAnsi="Arial"/>
          <w:sz w:val="18"/>
          <w:szCs w:val="18"/>
          <w:color w:val="000000"/>
        </w:rPr>
        <w:t>*</w:t>
      </w:r>
    </w:p>
    <w:p>
      <w:pPr>
        <w:spacing w:after="0" w:line="279" w:lineRule="exact"/>
        <w:rPr>
          <w:sz w:val="20"/>
          <w:szCs w:val="20"/>
          <w:color w:val="auto"/>
        </w:rPr>
      </w:pPr>
    </w:p>
    <w:p>
      <w:pPr>
        <w:ind w:left="20"/>
        <w:spacing w:after="0"/>
        <w:rPr>
          <w:rFonts w:ascii="Arial" w:cs="Arial" w:eastAsia="Arial" w:hAnsi="Arial"/>
          <w:sz w:val="18"/>
          <w:szCs w:val="18"/>
          <w:color w:val="0000FF"/>
        </w:rPr>
      </w:pPr>
      <w:hyperlink w:anchor="page46">
        <w:r>
          <w:rPr>
            <w:rFonts w:ascii="Arial" w:cs="Arial" w:eastAsia="Arial" w:hAnsi="Arial"/>
            <w:sz w:val="18"/>
            <w:szCs w:val="18"/>
            <w:u w:val="single" w:color="auto"/>
            <w:color w:val="0000FF"/>
          </w:rPr>
          <w:t>32.1</w:t>
        </w:r>
      </w:hyperlink>
      <w:r>
        <w:rPr>
          <w:rFonts w:ascii="Arial" w:cs="Arial" w:eastAsia="Arial" w:hAnsi="Arial"/>
          <w:sz w:val="18"/>
          <w:szCs w:val="18"/>
          <w:color w:val="000000"/>
        </w:rPr>
        <w:t>#</w:t>
      </w:r>
    </w:p>
    <w:p>
      <w:pPr>
        <w:spacing w:after="0" w:line="279" w:lineRule="exact"/>
        <w:rPr>
          <w:sz w:val="20"/>
          <w:szCs w:val="20"/>
          <w:color w:val="auto"/>
        </w:rPr>
      </w:pPr>
    </w:p>
    <w:p>
      <w:pPr>
        <w:ind w:left="20"/>
        <w:spacing w:after="0"/>
        <w:rPr>
          <w:rFonts w:ascii="Arial" w:cs="Arial" w:eastAsia="Arial" w:hAnsi="Arial"/>
          <w:sz w:val="18"/>
          <w:szCs w:val="18"/>
          <w:color w:val="0000FF"/>
        </w:rPr>
      </w:pPr>
      <w:hyperlink w:anchor="page47">
        <w:r>
          <w:rPr>
            <w:rFonts w:ascii="Arial" w:cs="Arial" w:eastAsia="Arial" w:hAnsi="Arial"/>
            <w:sz w:val="18"/>
            <w:szCs w:val="18"/>
            <w:u w:val="single" w:color="auto"/>
            <w:color w:val="0000FF"/>
          </w:rPr>
          <w:t>32.2</w:t>
        </w:r>
      </w:hyperlink>
      <w:r>
        <w:rPr>
          <w:rFonts w:ascii="Arial" w:cs="Arial" w:eastAsia="Arial" w:hAnsi="Arial"/>
          <w:sz w:val="18"/>
          <w:szCs w:val="18"/>
          <w:color w:val="000000"/>
        </w:rPr>
        <w:t>#</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ind w:right="719"/>
        <w:spacing w:after="0" w:line="235"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-256540</wp:posOffset>
            </wp:positionV>
            <wp:extent cx="6266180"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266180" cy="2571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626618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66180" cy="14605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186055</wp:posOffset>
            </wp:positionV>
            <wp:extent cx="6266180"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266180" cy="291465"/>
                    </a:xfrm>
                    <a:prstGeom prst="rect">
                      <a:avLst/>
                    </a:prstGeom>
                    <a:noFill/>
                  </pic:spPr>
                </pic:pic>
              </a:graphicData>
            </a:graphic>
          </wp:anchor>
        </w:drawing>
      </w:r>
    </w:p>
    <w:p>
      <w:pPr>
        <w:spacing w:after="0" w:line="286" w:lineRule="exact"/>
        <w:rPr>
          <w:sz w:val="20"/>
          <w:szCs w:val="20"/>
          <w:color w:val="auto"/>
        </w:rPr>
      </w:pPr>
    </w:p>
    <w:p>
      <w:pPr>
        <w:ind w:right="439"/>
        <w:spacing w:after="0" w:line="261" w:lineRule="auto"/>
        <w:rPr>
          <w:sz w:val="20"/>
          <w:szCs w:val="20"/>
          <w:color w:val="auto"/>
        </w:rPr>
      </w:pPr>
      <w:r>
        <w:rPr>
          <w:rFonts w:ascii="Arial" w:cs="Arial" w:eastAsia="Arial" w:hAnsi="Arial"/>
          <w:sz w:val="18"/>
          <w:szCs w:val="18"/>
          <w:color w:val="auto"/>
        </w:rPr>
        <w:t>The cover page from the Company’s Quarterly Report on Form 10-Q for the quarter ended June 30, 2021, formatted in Inline XBRL (included with the Exhibit 101 attachments).</w:t>
      </w:r>
    </w:p>
    <w:p>
      <w:pPr>
        <w:spacing w:after="0" w:line="200" w:lineRule="exact"/>
        <w:rPr>
          <w:sz w:val="20"/>
          <w:szCs w:val="20"/>
          <w:color w:val="auto"/>
        </w:rPr>
      </w:pPr>
    </w:p>
    <w:p>
      <w:pPr>
        <w:sectPr>
          <w:pgSz w:w="11900" w:h="16838" w:orient="portrait"/>
          <w:cols w:equalWidth="0" w:num="2">
            <w:col w:w="700" w:space="640"/>
            <w:col w:w="8799"/>
          </w:cols>
          <w:pgMar w:left="320" w:top="125" w:right="1440" w:bottom="1440" w:gutter="0" w:footer="0" w:header="0"/>
          <w:type w:val="continuous"/>
        </w:sectPr>
      </w:pPr>
    </w:p>
    <w:p>
      <w:pPr>
        <w:spacing w:after="0" w:line="92" w:lineRule="exact"/>
        <w:rPr>
          <w:sz w:val="20"/>
          <w:szCs w:val="20"/>
          <w:color w:val="auto"/>
        </w:rPr>
      </w:pPr>
    </w:p>
    <w:p>
      <w:pPr>
        <w:ind w:left="80" w:right="8619" w:firstLine="9"/>
        <w:spacing w:after="0" w:line="274" w:lineRule="auto"/>
        <w:tabs>
          <w:tab w:leader="none" w:pos="3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Filed herewith. ** Previously filed.</w:t>
      </w:r>
    </w:p>
    <w:p>
      <w:pPr>
        <w:ind w:left="80"/>
        <w:spacing w:after="0"/>
        <w:rPr>
          <w:rFonts w:ascii="Arial" w:cs="Arial" w:eastAsia="Arial" w:hAnsi="Arial"/>
          <w:sz w:val="17"/>
          <w:szCs w:val="17"/>
          <w:color w:val="auto"/>
        </w:rPr>
      </w:pPr>
      <w:r>
        <w:rPr>
          <w:rFonts w:ascii="Arial" w:cs="Arial" w:eastAsia="Arial" w:hAnsi="Arial"/>
          <w:sz w:val="18"/>
          <w:szCs w:val="18"/>
          <w:color w:val="auto"/>
        </w:rPr>
        <w:t>#  Furnished herewith.</w:t>
      </w:r>
    </w:p>
    <w:p>
      <w:pPr>
        <w:spacing w:after="0" w:line="49"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Robert Lisy</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Andras Bende</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25"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19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198" w:lineRule="exact"/>
        <w:rPr>
          <w:rFonts w:ascii="Arial" w:cs="Arial" w:eastAsia="Arial" w:hAnsi="Arial"/>
          <w:sz w:val="18"/>
          <w:szCs w:val="18"/>
          <w:color w:val="auto"/>
        </w:rPr>
      </w:pPr>
    </w:p>
    <w:p>
      <w:pPr>
        <w:jc w:val="both"/>
        <w:ind w:left="660" w:hanging="652"/>
        <w:spacing w:after="0" w:line="29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34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95"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95"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644"/>
        <w:spacing w:after="0" w:line="377"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95"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4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41"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Andras Bende, certify that:</w:t>
      </w:r>
    </w:p>
    <w:p>
      <w:pPr>
        <w:spacing w:after="0" w:line="19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198" w:lineRule="exact"/>
        <w:rPr>
          <w:rFonts w:ascii="Arial" w:cs="Arial" w:eastAsia="Arial" w:hAnsi="Arial"/>
          <w:sz w:val="18"/>
          <w:szCs w:val="18"/>
          <w:color w:val="auto"/>
        </w:rPr>
      </w:pPr>
    </w:p>
    <w:p>
      <w:pPr>
        <w:jc w:val="both"/>
        <w:ind w:left="660" w:hanging="652"/>
        <w:spacing w:after="0" w:line="29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341"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95"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95"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644"/>
        <w:spacing w:after="0" w:line="377" w:lineRule="auto"/>
        <w:tabs>
          <w:tab w:leader="none" w:pos="12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95"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41"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41" w:lineRule="auto"/>
        <w:tabs>
          <w:tab w:leader="none" w:pos="12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20"/>
              <w:spacing w:after="0"/>
              <w:rPr>
                <w:sz w:val="20"/>
                <w:szCs w:val="20"/>
                <w:color w:val="auto"/>
              </w:rPr>
            </w:pPr>
            <w:r>
              <w:rPr>
                <w:rFonts w:ascii="Arial" w:cs="Arial" w:eastAsia="Arial" w:hAnsi="Arial"/>
                <w:sz w:val="18"/>
                <w:szCs w:val="18"/>
                <w:color w:val="auto"/>
              </w:rPr>
              <w:t>/s/ Andras Bende</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Andras Bende</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spacing w:after="0" w:line="355"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1" w:lineRule="exact"/>
        <w:rPr>
          <w:sz w:val="20"/>
          <w:szCs w:val="20"/>
          <w:color w:val="auto"/>
        </w:rPr>
      </w:pPr>
    </w:p>
    <w:p>
      <w:pPr>
        <w:ind w:left="660" w:hanging="652"/>
        <w:spacing w:after="0" w:line="3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27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spacing w:after="0" w:line="355" w:lineRule="auto"/>
        <w:rPr>
          <w:sz w:val="20"/>
          <w:szCs w:val="20"/>
          <w:color w:val="auto"/>
        </w:rPr>
      </w:pPr>
      <w:r>
        <w:rPr>
          <w:rFonts w:ascii="Arial" w:cs="Arial" w:eastAsia="Arial" w:hAnsi="Arial"/>
          <w:sz w:val="18"/>
          <w:szCs w:val="18"/>
          <w:color w:val="auto"/>
        </w:rPr>
        <w:t>I, Andras Bende, Chief Financial Officer of International Money Express, Inc. (the “Company”), certify, pursuant to 18 U.S.C. Section 1350, that, to my knowledge:</w:t>
      </w:r>
    </w:p>
    <w:p>
      <w:pPr>
        <w:spacing w:after="0" w:line="171" w:lineRule="exact"/>
        <w:rPr>
          <w:sz w:val="20"/>
          <w:szCs w:val="20"/>
          <w:color w:val="auto"/>
        </w:rPr>
      </w:pPr>
    </w:p>
    <w:p>
      <w:pPr>
        <w:ind w:left="660" w:hanging="652"/>
        <w:spacing w:after="0" w:line="3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20" w:right="200" w:hanging="12"/>
        <w:spacing w:after="0" w:line="618"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2021</w:t>
      </w:r>
    </w:p>
    <w:p>
      <w:pPr>
        <w:spacing w:after="0" w:line="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Andras Bende</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Andras Bende</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67" Type="http://schemas.openxmlformats.org/officeDocument/2006/relationships/hyperlink" Target="http://www.sec.gov/Archives/edgar/data/1683695/000114036121017477/brhc10024655_10-1.htm" TargetMode="External"/><Relationship Id="rId68" Type="http://schemas.openxmlformats.org/officeDocument/2006/relationships/hyperlink" Target="http://www.sec.gov/Archives/edgar/data/1683695/000114036121022415/brhc1002627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2021-08-06T15:33:06Z</dcterms:created>
  <dcterms:modified xsi:type="dcterms:W3CDTF">2021-08-06T15:33:06Z</dcterms:modified>
</cp:coreProperties>
</file>