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30"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32" w:lineRule="exact"/>
        <w:rPr>
          <w:sz w:val="24"/>
          <w:szCs w:val="24"/>
          <w:color w:val="auto"/>
        </w:rPr>
      </w:pPr>
    </w:p>
    <w:p>
      <w:pPr>
        <w:ind w:left="500" w:hanging="474"/>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5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For the transition period from</w:t>
            </w:r>
          </w:p>
        </w:tc>
        <w:tc>
          <w:tcPr>
            <w:tcW w:w="860" w:type="dxa"/>
            <w:vAlign w:val="bottom"/>
            <w:tcBorders>
              <w:bottom w:val="single" w:sz="8" w:color="auto"/>
            </w:tcBorders>
          </w:tcPr>
          <w:p>
            <w:pPr>
              <w:spacing w:after="0"/>
              <w:rPr>
                <w:sz w:val="17"/>
                <w:szCs w:val="17"/>
                <w:color w:val="auto"/>
              </w:rPr>
            </w:pPr>
          </w:p>
        </w:tc>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345"/>
        </w:trPr>
        <w:tc>
          <w:tcPr>
            <w:tcW w:w="3740" w:type="dxa"/>
            <w:vAlign w:val="bottom"/>
          </w:tcPr>
          <w:p>
            <w:pPr>
              <w:spacing w:after="0"/>
              <w:rPr>
                <w:sz w:val="24"/>
                <w:szCs w:val="24"/>
                <w:color w:val="auto"/>
              </w:rPr>
            </w:pPr>
          </w:p>
        </w:tc>
        <w:tc>
          <w:tcPr>
            <w:tcW w:w="3380" w:type="dxa"/>
            <w:vAlign w:val="bottom"/>
            <w:gridSpan w:val="4"/>
          </w:tcPr>
          <w:p>
            <w:pPr>
              <w:jc w:val="center"/>
              <w:ind w:left="313"/>
              <w:spacing w:after="0"/>
              <w:rPr>
                <w:sz w:val="20"/>
                <w:szCs w:val="20"/>
                <w:color w:val="auto"/>
              </w:rPr>
            </w:pPr>
            <w:r>
              <w:rPr>
                <w:rFonts w:ascii="Arial" w:cs="Arial" w:eastAsia="Arial" w:hAnsi="Arial"/>
                <w:sz w:val="18"/>
                <w:szCs w:val="18"/>
                <w:b w:val="1"/>
                <w:bCs w:val="1"/>
                <w:color w:val="auto"/>
                <w:w w:val="89"/>
              </w:rPr>
              <w:t>Commission File No. 001-37986</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1240" w:type="dxa"/>
            <w:vAlign w:val="bottom"/>
            <w:gridSpan w:val="6"/>
          </w:tcPr>
          <w:p>
            <w:pPr>
              <w:jc w:val="center"/>
              <w:spacing w:after="0"/>
              <w:rPr>
                <w:sz w:val="20"/>
                <w:szCs w:val="20"/>
                <w:color w:val="auto"/>
              </w:rPr>
            </w:pPr>
            <w:r>
              <w:rPr>
                <w:rFonts w:ascii="Arial" w:cs="Arial" w:eastAsia="Arial" w:hAnsi="Arial"/>
                <w:sz w:val="29"/>
                <w:szCs w:val="29"/>
                <w:b w:val="1"/>
                <w:bCs w:val="1"/>
                <w:color w:val="auto"/>
              </w:rPr>
              <w:t>INTERNATIONAL MONEY EXPRESS, INC.</w:t>
            </w:r>
          </w:p>
        </w:tc>
        <w:tc>
          <w:tcPr>
            <w:tcW w:w="0" w:type="dxa"/>
            <w:vAlign w:val="bottom"/>
          </w:tcPr>
          <w:p>
            <w:pPr>
              <w:spacing w:after="0"/>
              <w:rPr>
                <w:sz w:val="1"/>
                <w:szCs w:val="1"/>
                <w:color w:val="auto"/>
              </w:rPr>
            </w:pPr>
          </w:p>
        </w:tc>
      </w:tr>
      <w:tr>
        <w:trPr>
          <w:trHeight w:val="29"/>
        </w:trPr>
        <w:tc>
          <w:tcPr>
            <w:tcW w:w="3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7500" w:type="dxa"/>
            <w:vAlign w:val="bottom"/>
            <w:gridSpan w:val="5"/>
          </w:tcPr>
          <w:p>
            <w:pPr>
              <w:jc w:val="center"/>
              <w:ind w:right="3654"/>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648"/>
        </w:trPr>
        <w:tc>
          <w:tcPr>
            <w:tcW w:w="3740" w:type="dxa"/>
            <w:vAlign w:val="bottom"/>
          </w:tcPr>
          <w:p>
            <w:pPr>
              <w:jc w:val="center"/>
              <w:ind w:left="1587"/>
              <w:spacing w:after="0"/>
              <w:rPr>
                <w:sz w:val="20"/>
                <w:szCs w:val="20"/>
                <w:color w:val="auto"/>
              </w:rPr>
            </w:pPr>
            <w:r>
              <w:rPr>
                <w:rFonts w:ascii="Arial" w:cs="Arial" w:eastAsia="Arial" w:hAnsi="Arial"/>
                <w:sz w:val="18"/>
                <w:szCs w:val="18"/>
                <w:b w:val="1"/>
                <w:bCs w:val="1"/>
                <w:color w:val="auto"/>
                <w:w w:val="93"/>
              </w:rPr>
              <w:t>Delaware</w:t>
            </w: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tcPr>
          <w:p>
            <w:pPr>
              <w:jc w:val="right"/>
              <w:ind w:right="2194"/>
              <w:spacing w:after="0"/>
              <w:rPr>
                <w:sz w:val="20"/>
                <w:szCs w:val="20"/>
                <w:color w:val="auto"/>
              </w:rPr>
            </w:pPr>
            <w:r>
              <w:rPr>
                <w:rFonts w:ascii="Arial" w:cs="Arial" w:eastAsia="Arial" w:hAnsi="Arial"/>
                <w:sz w:val="18"/>
                <w:szCs w:val="18"/>
                <w:b w:val="1"/>
                <w:bCs w:val="1"/>
                <w:color w:val="auto"/>
              </w:rPr>
              <w:t>47-4219082</w:t>
            </w:r>
          </w:p>
        </w:tc>
        <w:tc>
          <w:tcPr>
            <w:tcW w:w="0" w:type="dxa"/>
            <w:vAlign w:val="bottom"/>
          </w:tcPr>
          <w:p>
            <w:pPr>
              <w:spacing w:after="0"/>
              <w:rPr>
                <w:sz w:val="1"/>
                <w:szCs w:val="1"/>
                <w:color w:val="auto"/>
              </w:rPr>
            </w:pPr>
          </w:p>
        </w:tc>
      </w:tr>
      <w:tr>
        <w:trPr>
          <w:trHeight w:val="34"/>
        </w:trPr>
        <w:tc>
          <w:tcPr>
            <w:tcW w:w="54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120" w:type="dxa"/>
            <w:vAlign w:val="bottom"/>
            <w:gridSpan w:val="5"/>
          </w:tcPr>
          <w:p>
            <w:pPr>
              <w:jc w:val="center"/>
              <w:ind w:right="170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120" w:type="dxa"/>
            <w:vAlign w:val="bottom"/>
          </w:tcPr>
          <w:p>
            <w:pPr>
              <w:jc w:val="center"/>
              <w:ind w:right="1194"/>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249"/>
        </w:trPr>
        <w:tc>
          <w:tcPr>
            <w:tcW w:w="3740" w:type="dxa"/>
            <w:vAlign w:val="bottom"/>
          </w:tcPr>
          <w:p>
            <w:pPr>
              <w:jc w:val="center"/>
              <w:ind w:left="1587"/>
              <w:spacing w:after="0"/>
              <w:rPr>
                <w:sz w:val="20"/>
                <w:szCs w:val="20"/>
                <w:color w:val="auto"/>
              </w:rPr>
            </w:pPr>
            <w:r>
              <w:rPr>
                <w:rFonts w:ascii="Arial" w:cs="Arial" w:eastAsia="Arial" w:hAnsi="Arial"/>
                <w:sz w:val="18"/>
                <w:szCs w:val="18"/>
                <w:b w:val="1"/>
                <w:bCs w:val="1"/>
                <w:color w:val="auto"/>
                <w:w w:val="90"/>
              </w:rPr>
              <w:t>9480 South Dixie Highway</w:t>
            </w:r>
          </w:p>
        </w:tc>
        <w:tc>
          <w:tcPr>
            <w:tcW w:w="1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120" w:type="dxa"/>
            <w:vAlign w:val="bottom"/>
            <w:vMerge w:val="restart"/>
          </w:tcPr>
          <w:p>
            <w:pPr>
              <w:jc w:val="right"/>
              <w:ind w:right="2394"/>
              <w:spacing w:after="0"/>
              <w:rPr>
                <w:sz w:val="20"/>
                <w:szCs w:val="20"/>
                <w:color w:val="auto"/>
              </w:rPr>
            </w:pPr>
            <w:r>
              <w:rPr>
                <w:rFonts w:ascii="Arial" w:cs="Arial" w:eastAsia="Arial" w:hAnsi="Arial"/>
                <w:sz w:val="18"/>
                <w:szCs w:val="18"/>
                <w:b w:val="1"/>
                <w:bCs w:val="1"/>
                <w:color w:val="auto"/>
              </w:rPr>
              <w:t>33156</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auto"/>
            </w:tcBorders>
          </w:tcPr>
          <w:p>
            <w:pPr>
              <w:jc w:val="center"/>
              <w:ind w:left="1587"/>
              <w:spacing w:after="0"/>
              <w:rPr>
                <w:sz w:val="20"/>
                <w:szCs w:val="20"/>
                <w:color w:val="auto"/>
              </w:rPr>
            </w:pPr>
            <w:r>
              <w:rPr>
                <w:rFonts w:ascii="Arial" w:cs="Arial" w:eastAsia="Arial" w:hAnsi="Arial"/>
                <w:sz w:val="18"/>
                <w:szCs w:val="18"/>
                <w:b w:val="1"/>
                <w:bCs w:val="1"/>
                <w:color w:val="auto"/>
                <w:w w:val="97"/>
              </w:rPr>
              <w:t>Miami, Florida</w:t>
            </w:r>
          </w:p>
        </w:tc>
        <w:tc>
          <w:tcPr>
            <w:tcW w:w="16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20" w:type="dxa"/>
            <w:vAlign w:val="bottom"/>
            <w:gridSpan w:val="5"/>
          </w:tcPr>
          <w:p>
            <w:pPr>
              <w:jc w:val="center"/>
              <w:ind w:right="1720"/>
              <w:spacing w:after="0"/>
              <w:rPr>
                <w:sz w:val="20"/>
                <w:szCs w:val="20"/>
                <w:color w:val="auto"/>
              </w:rPr>
            </w:pPr>
            <w:r>
              <w:rPr>
                <w:rFonts w:ascii="Arial" w:cs="Arial" w:eastAsia="Arial" w:hAnsi="Arial"/>
                <w:sz w:val="16"/>
                <w:szCs w:val="16"/>
                <w:color w:val="auto"/>
                <w:w w:val="93"/>
              </w:rPr>
              <w:t>(Address of Principal Executive Offices)</w:t>
            </w:r>
          </w:p>
        </w:tc>
        <w:tc>
          <w:tcPr>
            <w:tcW w:w="4120" w:type="dxa"/>
            <w:vAlign w:val="bottom"/>
          </w:tcPr>
          <w:p>
            <w:pPr>
              <w:jc w:val="center"/>
              <w:ind w:right="1194"/>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627"/>
        </w:trPr>
        <w:tc>
          <w:tcPr>
            <w:tcW w:w="3740" w:type="dxa"/>
            <w:vAlign w:val="bottom"/>
          </w:tcPr>
          <w:p>
            <w:pPr>
              <w:spacing w:after="0"/>
              <w:rPr>
                <w:sz w:val="24"/>
                <w:szCs w:val="24"/>
                <w:color w:val="auto"/>
              </w:rPr>
            </w:pPr>
          </w:p>
        </w:tc>
        <w:tc>
          <w:tcPr>
            <w:tcW w:w="2520" w:type="dxa"/>
            <w:vAlign w:val="bottom"/>
            <w:gridSpan w:val="3"/>
          </w:tcPr>
          <w:p>
            <w:pPr>
              <w:jc w:val="center"/>
              <w:ind w:left="1153"/>
              <w:spacing w:after="0"/>
              <w:rPr>
                <w:sz w:val="20"/>
                <w:szCs w:val="20"/>
                <w:color w:val="auto"/>
              </w:rPr>
            </w:pPr>
            <w:r>
              <w:rPr>
                <w:rFonts w:ascii="Arial" w:cs="Arial" w:eastAsia="Arial" w:hAnsi="Arial"/>
                <w:sz w:val="18"/>
                <w:szCs w:val="18"/>
                <w:b w:val="1"/>
                <w:bCs w:val="1"/>
                <w:color w:val="auto"/>
                <w:w w:val="90"/>
              </w:rPr>
              <w:t>(305) 671-8000</w:t>
            </w: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auto"/>
            </w:tcBorders>
          </w:tcPr>
          <w:p>
            <w:pPr>
              <w:spacing w:after="0"/>
              <w:rPr>
                <w:sz w:val="21"/>
                <w:szCs w:val="21"/>
                <w:color w:val="auto"/>
              </w:rPr>
            </w:pPr>
          </w:p>
        </w:tc>
        <w:tc>
          <w:tcPr>
            <w:tcW w:w="750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740" w:type="dxa"/>
            <w:vAlign w:val="bottom"/>
          </w:tcPr>
          <w:p>
            <w:pPr>
              <w:spacing w:after="0"/>
              <w:rPr>
                <w:sz w:val="18"/>
                <w:szCs w:val="18"/>
                <w:color w:val="auto"/>
              </w:rPr>
            </w:pPr>
          </w:p>
        </w:tc>
        <w:tc>
          <w:tcPr>
            <w:tcW w:w="7500" w:type="dxa"/>
            <w:vAlign w:val="bottom"/>
            <w:gridSpan w:val="5"/>
          </w:tcPr>
          <w:p>
            <w:pPr>
              <w:jc w:val="center"/>
              <w:ind w:right="3654"/>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344"/>
        </w:trPr>
        <w:tc>
          <w:tcPr>
            <w:tcW w:w="7120" w:type="dxa"/>
            <w:vAlign w:val="bottom"/>
            <w:gridSpan w:val="5"/>
          </w:tcPr>
          <w:p>
            <w:pPr>
              <w:jc w:val="center"/>
              <w:ind w:right="16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40" w:type="dxa"/>
            <w:vAlign w:val="bottom"/>
          </w:tcPr>
          <w:p>
            <w:pPr>
              <w:jc w:val="center"/>
              <w:ind w:left="107"/>
              <w:spacing w:after="0"/>
              <w:rPr>
                <w:sz w:val="20"/>
                <w:szCs w:val="20"/>
                <w:color w:val="auto"/>
              </w:rPr>
            </w:pPr>
            <w:r>
              <w:rPr>
                <w:rFonts w:ascii="Arial" w:cs="Arial" w:eastAsia="Arial" w:hAnsi="Arial"/>
                <w:sz w:val="18"/>
                <w:szCs w:val="18"/>
                <w:b w:val="1"/>
                <w:bCs w:val="1"/>
                <w:color w:val="auto"/>
                <w:w w:val="86"/>
              </w:rPr>
              <w:t>Title of each class</w:t>
            </w:r>
          </w:p>
        </w:tc>
        <w:tc>
          <w:tcPr>
            <w:tcW w:w="33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Trading Symbol(s)</w:t>
            </w:r>
          </w:p>
        </w:tc>
        <w:tc>
          <w:tcPr>
            <w:tcW w:w="4120" w:type="dxa"/>
            <w:vAlign w:val="bottom"/>
          </w:tcPr>
          <w:p>
            <w:pPr>
              <w:jc w:val="center"/>
              <w:ind w:right="494"/>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50"/>
        </w:trPr>
        <w:tc>
          <w:tcPr>
            <w:tcW w:w="3740" w:type="dxa"/>
            <w:vAlign w:val="bottom"/>
          </w:tcPr>
          <w:p>
            <w:pPr>
              <w:jc w:val="center"/>
              <w:ind w:left="107"/>
              <w:spacing w:after="0"/>
              <w:rPr>
                <w:sz w:val="20"/>
                <w:szCs w:val="20"/>
                <w:color w:val="auto"/>
              </w:rPr>
            </w:pPr>
            <w:r>
              <w:rPr>
                <w:rFonts w:ascii="Arial" w:cs="Arial" w:eastAsia="Arial" w:hAnsi="Arial"/>
                <w:sz w:val="16"/>
                <w:szCs w:val="16"/>
                <w:color w:val="auto"/>
                <w:w w:val="92"/>
              </w:rPr>
              <w:t>Common stock ($0.0001 par value)</w:t>
            </w:r>
          </w:p>
        </w:tc>
        <w:tc>
          <w:tcPr>
            <w:tcW w:w="3380" w:type="dxa"/>
            <w:vAlign w:val="bottom"/>
            <w:gridSpan w:val="4"/>
          </w:tcPr>
          <w:p>
            <w:pPr>
              <w:jc w:val="center"/>
              <w:ind w:right="380"/>
              <w:spacing w:after="0"/>
              <w:rPr>
                <w:sz w:val="20"/>
                <w:szCs w:val="20"/>
                <w:color w:val="auto"/>
              </w:rPr>
            </w:pPr>
            <w:r>
              <w:rPr>
                <w:rFonts w:ascii="Arial" w:cs="Arial" w:eastAsia="Arial" w:hAnsi="Arial"/>
                <w:sz w:val="16"/>
                <w:szCs w:val="16"/>
                <w:color w:val="auto"/>
              </w:rPr>
              <w:t>IMXI</w:t>
            </w:r>
          </w:p>
        </w:tc>
        <w:tc>
          <w:tcPr>
            <w:tcW w:w="4120" w:type="dxa"/>
            <w:vAlign w:val="bottom"/>
          </w:tcPr>
          <w:p>
            <w:pPr>
              <w:jc w:val="center"/>
              <w:ind w:right="494"/>
              <w:spacing w:after="0"/>
              <w:rPr>
                <w:sz w:val="20"/>
                <w:szCs w:val="20"/>
                <w:color w:val="auto"/>
              </w:rPr>
            </w:pPr>
            <w:r>
              <w:rPr>
                <w:rFonts w:ascii="Arial" w:cs="Arial" w:eastAsia="Arial" w:hAnsi="Arial"/>
                <w:sz w:val="16"/>
                <w:szCs w:val="16"/>
                <w:color w:val="auto"/>
                <w:w w:val="92"/>
              </w:rPr>
              <w:t>Nasdaq Capital Market</w:t>
            </w:r>
          </w:p>
        </w:tc>
        <w:tc>
          <w:tcPr>
            <w:tcW w:w="0" w:type="dxa"/>
            <w:vAlign w:val="bottom"/>
          </w:tcPr>
          <w:p>
            <w:pPr>
              <w:spacing w:after="0"/>
              <w:rPr>
                <w:sz w:val="1"/>
                <w:szCs w:val="1"/>
                <w:color w:val="auto"/>
              </w:rPr>
            </w:pPr>
          </w:p>
        </w:tc>
      </w:tr>
    </w:tbl>
    <w:p>
      <w:pPr>
        <w:spacing w:after="0" w:line="334" w:lineRule="exact"/>
        <w:rPr>
          <w:sz w:val="24"/>
          <w:szCs w:val="24"/>
          <w:color w:val="auto"/>
        </w:rPr>
      </w:pPr>
    </w:p>
    <w:p>
      <w:pPr>
        <w:ind w:right="40"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 w:firstLine="648"/>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40"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29" w:right="339" w:bottom="1440" w:gutter="0" w:footer="0" w:header="0"/>
        </w:sectPr>
      </w:pPr>
    </w:p>
    <w:p>
      <w:pPr>
        <w:spacing w:after="0" w:line="45" w:lineRule="exact"/>
        <w:rPr>
          <w:sz w:val="24"/>
          <w:szCs w:val="24"/>
          <w:color w:val="auto"/>
        </w:rPr>
      </w:pPr>
    </w:p>
    <w:p>
      <w:pPr>
        <w:ind w:left="8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w:t>
      </w:r>
    </w:p>
    <w:p>
      <w:pPr>
        <w:spacing w:after="0" w:line="179" w:lineRule="exact"/>
        <w:rPr>
          <w:sz w:val="24"/>
          <w:szCs w:val="24"/>
          <w:color w:val="auto"/>
        </w:rPr>
      </w:pPr>
    </w:p>
    <w:p>
      <w:pPr>
        <w:sectPr>
          <w:pgSz w:w="11900" w:h="16838" w:orient="portrait"/>
          <w:cols w:equalWidth="0" w:num="2">
            <w:col w:w="5100" w:space="720"/>
            <w:col w:w="5420"/>
          </w:cols>
          <w:pgMar w:left="320" w:top="1129" w:right="339" w:bottom="1440" w:gutter="0" w:footer="0" w:header="0"/>
          <w:type w:val="continuous"/>
        </w:sectPr>
      </w:pPr>
    </w:p>
    <w:p>
      <w:pPr>
        <w:ind w:left="8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p>
      <w:pPr>
        <w:spacing w:after="0" w:line="20" w:lineRule="exact"/>
        <w:rPr>
          <w:sz w:val="24"/>
          <w:szCs w:val="24"/>
          <w:color w:val="auto"/>
        </w:rPr>
      </w:pPr>
      <w:r>
        <w:rPr>
          <w:sz w:val="24"/>
          <w:szCs w:val="24"/>
          <w:color w:val="auto"/>
        </w:rPr>
        <w:br w:type="column"/>
      </w:r>
    </w:p>
    <w:p>
      <w:pPr>
        <w:jc w:val="center"/>
        <w:ind w:right="3460"/>
        <w:spacing w:after="0" w:line="14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w:t>
      </w:r>
    </w:p>
    <w:p>
      <w:pPr>
        <w:spacing w:after="0" w:line="190" w:lineRule="exact"/>
        <w:rPr>
          <w:sz w:val="24"/>
          <w:szCs w:val="24"/>
          <w:color w:val="auto"/>
        </w:rPr>
      </w:pPr>
    </w:p>
    <w:p>
      <w:pPr>
        <w:sectPr>
          <w:pgSz w:w="11900" w:h="16838" w:orient="portrait"/>
          <w:cols w:equalWidth="0" w:num="2">
            <w:col w:w="5100" w:space="720"/>
            <w:col w:w="5420"/>
          </w:cols>
          <w:pgMar w:left="320" w:top="1129" w:right="339" w:bottom="1440" w:gutter="0" w:footer="0" w:header="0"/>
          <w:type w:val="continuous"/>
        </w:sectPr>
      </w:pPr>
    </w:p>
    <w:p>
      <w:pPr>
        <w:ind w:left="58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w:t>
      </w:r>
    </w:p>
    <w:p>
      <w:pPr>
        <w:sectPr>
          <w:pgSz w:w="11900" w:h="16838" w:orient="portrait"/>
          <w:cols w:equalWidth="0" w:num="1">
            <w:col w:w="11240"/>
          </w:cols>
          <w:pgMar w:left="320" w:top="1129" w:right="339" w:bottom="1440" w:gutter="0" w:footer="0" w:header="0"/>
          <w:type w:val="continuous"/>
        </w:sectPr>
      </w:pPr>
    </w:p>
    <w:p>
      <w:pPr>
        <w:spacing w:after="0" w:line="193" w:lineRule="exact"/>
        <w:rPr>
          <w:sz w:val="24"/>
          <w:szCs w:val="24"/>
          <w:color w:val="auto"/>
        </w:rPr>
      </w:pPr>
    </w:p>
    <w:p>
      <w:pPr>
        <w:ind w:right="44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40" w:firstLine="648"/>
        <w:spacing w:after="0" w:line="275" w:lineRule="auto"/>
        <w:rPr>
          <w:sz w:val="20"/>
          <w:szCs w:val="20"/>
          <w:color w:val="auto"/>
        </w:rPr>
      </w:pPr>
      <w:r>
        <w:rPr>
          <w:rFonts w:ascii="Arial" w:cs="Arial" w:eastAsia="Arial" w:hAnsi="Arial"/>
          <w:sz w:val="16"/>
          <w:szCs w:val="16"/>
          <w:color w:val="auto"/>
        </w:rPr>
        <w:t>As of October 30, 2020, there were 38,072,882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80" w:type="dxa"/>
            <w:vAlign w:val="bottom"/>
            <w:gridSpan w:val="6"/>
          </w:tcPr>
          <w:p>
            <w:pPr>
              <w:jc w:val="center"/>
              <w:ind w:right="860"/>
              <w:spacing w:after="0"/>
              <w:rPr>
                <w:sz w:val="20"/>
                <w:szCs w:val="20"/>
                <w:color w:val="auto"/>
              </w:rPr>
            </w:pPr>
            <w:r>
              <w:rPr>
                <w:rFonts w:ascii="Arial" w:cs="Arial" w:eastAsia="Arial" w:hAnsi="Arial"/>
                <w:sz w:val="18"/>
                <w:szCs w:val="18"/>
                <w:b w:val="1"/>
                <w:bCs w:val="1"/>
                <w:color w:val="auto"/>
              </w:rPr>
              <w:t>INTERNATIONAL MONEY EXPRESS, INC.</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80" w:type="dxa"/>
            <w:vAlign w:val="bottom"/>
            <w:gridSpan w:val="6"/>
          </w:tcPr>
          <w:p>
            <w:pPr>
              <w:jc w:val="center"/>
              <w:ind w:right="880"/>
              <w:spacing w:after="0"/>
              <w:rPr>
                <w:sz w:val="20"/>
                <w:szCs w:val="20"/>
                <w:color w:val="auto"/>
              </w:rPr>
            </w:pPr>
            <w:r>
              <w:rPr>
                <w:rFonts w:ascii="Arial" w:cs="Arial" w:eastAsia="Arial" w:hAnsi="Arial"/>
                <w:sz w:val="18"/>
                <w:szCs w:val="18"/>
                <w:b w:val="1"/>
                <w:bCs w:val="1"/>
                <w:color w:val="auto"/>
              </w:rPr>
              <w:t>INDEX TO FINANCIAL STATEMENTS</w:t>
            </w:r>
          </w:p>
        </w:tc>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00" w:type="dxa"/>
            <w:vAlign w:val="bottom"/>
            <w:gridSpan w:val="10"/>
            <w:shd w:val="clear" w:color="auto" w:fill="CCEEFF"/>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SPECIAL NOTE REGARDING FORWARD-LOOKING STATEMENTS</w:t>
              </w:r>
            </w:hyperlink>
          </w:p>
        </w:tc>
        <w:tc>
          <w:tcPr>
            <w:tcW w:w="820" w:type="dxa"/>
            <w:vAlign w:val="bottom"/>
            <w:shd w:val="clear" w:color="auto" w:fill="CCEEFF"/>
          </w:tcPr>
          <w:p>
            <w:pPr>
              <w:jc w:val="center"/>
              <w:spacing w:after="0"/>
              <w:rPr>
                <w:rFonts w:ascii="Arial" w:cs="Arial" w:eastAsia="Arial" w:hAnsi="Arial"/>
                <w:sz w:val="18"/>
                <w:szCs w:val="18"/>
                <w:color w:val="0000FF"/>
                <w:w w:val="99"/>
              </w:rPr>
            </w:pPr>
            <w:hyperlink w:anchor="page2">
              <w:r>
                <w:rPr>
                  <w:rFonts w:ascii="Arial" w:cs="Arial" w:eastAsia="Arial" w:hAnsi="Arial"/>
                  <w:sz w:val="18"/>
                  <w:szCs w:val="18"/>
                  <w:color w:val="0000FF"/>
                  <w:w w:val="99"/>
                </w:rPr>
                <w:t>3</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gridSpan w:val="10"/>
            <w:shd w:val="clear" w:color="auto" w:fill="CCEEFF"/>
          </w:tcPr>
          <w:p>
            <w:pPr>
              <w:ind w:left="20"/>
              <w:spacing w:after="0"/>
              <w:rPr>
                <w:sz w:val="20"/>
                <w:szCs w:val="20"/>
                <w:color w:val="auto"/>
              </w:rPr>
            </w:pPr>
            <w:r>
              <w:rPr>
                <w:rFonts w:ascii="Arial" w:cs="Arial" w:eastAsia="Arial" w:hAnsi="Arial"/>
                <w:sz w:val="18"/>
                <w:szCs w:val="18"/>
                <w:b w:val="1"/>
                <w:bCs w:val="1"/>
                <w:color w:val="auto"/>
              </w:rPr>
              <w:t>PART 1 - FINANCIAL INFORMATION</w:t>
            </w:r>
          </w:p>
        </w:tc>
        <w:tc>
          <w:tcPr>
            <w:tcW w:w="820" w:type="dxa"/>
            <w:vAlign w:val="bottom"/>
            <w:shd w:val="clear" w:color="auto" w:fill="CCEEFF"/>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 (Unaudited)</w:t>
              </w:r>
            </w:hyperlink>
          </w:p>
        </w:tc>
        <w:tc>
          <w:tcPr>
            <w:tcW w:w="820" w:type="dxa"/>
            <w:vAlign w:val="bottom"/>
            <w:shd w:val="clear" w:color="auto" w:fill="CCEEFF"/>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as of September 30, 2020 and December 31, 2019</w:t>
              </w:r>
            </w:hyperlink>
          </w:p>
        </w:tc>
        <w:tc>
          <w:tcPr>
            <w:tcW w:w="820" w:type="dxa"/>
            <w:vAlign w:val="bottom"/>
            <w:shd w:val="clear" w:color="auto" w:fill="CCEEFF"/>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7740" w:type="dxa"/>
            <w:vAlign w:val="bottom"/>
            <w:gridSpan w:val="9"/>
            <w:shd w:val="clear" w:color="auto" w:fill="CCEEFF"/>
          </w:tcPr>
          <w:p>
            <w:pPr>
              <w:spacing w:after="0" w:line="189" w:lineRule="exact"/>
              <w:rPr>
                <w:rFonts w:ascii="Arial" w:cs="Arial" w:eastAsia="Arial" w:hAnsi="Arial"/>
                <w:sz w:val="18"/>
                <w:szCs w:val="18"/>
                <w:color w:val="0000FF"/>
                <w:w w:val="93"/>
              </w:rPr>
            </w:pPr>
            <w:hyperlink w:anchor="page4">
              <w:r>
                <w:rPr>
                  <w:rFonts w:ascii="Arial" w:cs="Arial" w:eastAsia="Arial" w:hAnsi="Arial"/>
                  <w:sz w:val="18"/>
                  <w:szCs w:val="18"/>
                  <w:color w:val="0000FF"/>
                  <w:w w:val="93"/>
                </w:rPr>
                <w:t>Condensed Consolidated Statements of Operations and Comprehensive Income for the Three and Nine</w:t>
              </w:r>
            </w:hyperlink>
          </w:p>
        </w:tc>
        <w:tc>
          <w:tcPr>
            <w:tcW w:w="820" w:type="dxa"/>
            <w:vAlign w:val="bottom"/>
            <w:vMerge w:val="restart"/>
            <w:shd w:val="clear" w:color="auto" w:fill="CCEEFF"/>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 w:type="dxa"/>
            <w:vAlign w:val="bottom"/>
            <w:tcBorders>
              <w:top w:val="single" w:sz="8" w:color="CCEEFF"/>
            </w:tcBorders>
            <w:shd w:val="clear" w:color="auto" w:fill="CCEEFF"/>
          </w:tcPr>
          <w:p>
            <w:pPr>
              <w:spacing w:after="0"/>
              <w:rPr>
                <w:sz w:val="15"/>
                <w:szCs w:val="15"/>
                <w:color w:val="auto"/>
              </w:rPr>
            </w:pPr>
          </w:p>
        </w:tc>
        <w:tc>
          <w:tcPr>
            <w:tcW w:w="740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Months Ended </w:t>
              </w:r>
              <w:r>
                <w:rPr>
                  <w:rFonts w:ascii="Arial" w:cs="Arial" w:eastAsia="Arial" w:hAnsi="Arial"/>
                  <w:sz w:val="18"/>
                  <w:szCs w:val="18"/>
                  <w:u w:val="single" w:color="auto"/>
                  <w:color w:val="0000FF"/>
                </w:rPr>
                <w:t>September 30, 2020 and 2019</w:t>
              </w:r>
            </w:hyperlink>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vMerge w:val="continue"/>
            <w:shd w:val="clear" w:color="auto" w:fill="CCEEFF"/>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7740" w:type="dxa"/>
            <w:vAlign w:val="bottom"/>
            <w:gridSpan w:val="9"/>
            <w:shd w:val="clear" w:color="auto" w:fill="CCEEFF"/>
          </w:tcPr>
          <w:p>
            <w:pPr>
              <w:spacing w:after="0" w:line="189" w:lineRule="exact"/>
              <w:rPr>
                <w:rFonts w:ascii="Arial" w:cs="Arial" w:eastAsia="Arial" w:hAnsi="Arial"/>
                <w:sz w:val="18"/>
                <w:szCs w:val="18"/>
                <w:color w:val="0000FF"/>
                <w:w w:val="92"/>
              </w:rPr>
            </w:pPr>
            <w:hyperlink w:anchor="page4">
              <w:r>
                <w:rPr>
                  <w:rFonts w:ascii="Arial" w:cs="Arial" w:eastAsia="Arial" w:hAnsi="Arial"/>
                  <w:sz w:val="18"/>
                  <w:szCs w:val="18"/>
                  <w:u w:val="single" w:color="auto"/>
                  <w:color w:val="0000FF"/>
                  <w:w w:val="92"/>
                </w:rPr>
                <w:t>Condensed Consolidated Statements of Changes in Stockholders’ Equity for the</w:t>
              </w:r>
              <w:r>
                <w:rPr>
                  <w:rFonts w:ascii="Arial" w:cs="Arial" w:eastAsia="Arial" w:hAnsi="Arial"/>
                  <w:sz w:val="18"/>
                  <w:szCs w:val="18"/>
                  <w:color w:val="0000FF"/>
                  <w:w w:val="92"/>
                </w:rPr>
                <w:t xml:space="preserve"> Three and Nine Months</w:t>
              </w:r>
            </w:hyperlink>
          </w:p>
        </w:tc>
        <w:tc>
          <w:tcPr>
            <w:tcW w:w="820" w:type="dxa"/>
            <w:vAlign w:val="bottom"/>
            <w:shd w:val="clear" w:color="auto" w:fill="CCEEFF"/>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 w:type="dxa"/>
            <w:vAlign w:val="bottom"/>
            <w:tcBorders>
              <w:top w:val="single" w:sz="8" w:color="CCEEFF"/>
            </w:tcBorders>
            <w:shd w:val="clear" w:color="auto" w:fill="CCEEFF"/>
          </w:tcPr>
          <w:p>
            <w:pPr>
              <w:spacing w:after="0"/>
              <w:rPr>
                <w:sz w:val="15"/>
                <w:szCs w:val="15"/>
                <w:color w:val="auto"/>
              </w:rPr>
            </w:pPr>
          </w:p>
        </w:tc>
        <w:tc>
          <w:tcPr>
            <w:tcW w:w="5760" w:type="dxa"/>
            <w:vAlign w:val="bottom"/>
            <w:tcBorders>
              <w:top w:val="single" w:sz="8" w:color="CCEEFF"/>
            </w:tcBorders>
            <w:gridSpan w:val="5"/>
            <w:shd w:val="clear" w:color="auto" w:fill="CCEEFF"/>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Ended September 30, 2020 and 2019</w:t>
              </w:r>
            </w:hyperlink>
          </w:p>
        </w:tc>
        <w:tc>
          <w:tcPr>
            <w:tcW w:w="1760" w:type="dxa"/>
            <w:vAlign w:val="bottom"/>
            <w:tcBorders>
              <w:top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jc w:val="center"/>
              <w:spacing w:after="0" w:line="15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7740" w:type="dxa"/>
            <w:vAlign w:val="bottom"/>
            <w:gridSpan w:val="9"/>
            <w:shd w:val="clear" w:color="auto" w:fill="CCEEFF"/>
          </w:tcPr>
          <w:p>
            <w:pPr>
              <w:spacing w:after="0" w:line="189" w:lineRule="exact"/>
              <w:rPr>
                <w:rFonts w:ascii="Arial" w:cs="Arial" w:eastAsia="Arial" w:hAnsi="Arial"/>
                <w:sz w:val="18"/>
                <w:szCs w:val="18"/>
                <w:color w:val="0000FF"/>
                <w:w w:val="91"/>
              </w:rPr>
            </w:pPr>
            <w:hyperlink w:anchor="page4">
              <w:r>
                <w:rPr>
                  <w:rFonts w:ascii="Arial" w:cs="Arial" w:eastAsia="Arial" w:hAnsi="Arial"/>
                  <w:sz w:val="18"/>
                  <w:szCs w:val="18"/>
                  <w:u w:val="single" w:color="auto"/>
                  <w:color w:val="0000FF"/>
                  <w:w w:val="91"/>
                </w:rPr>
                <w:t>Condensed Consolidated Statements of Cash Flows for the</w:t>
              </w:r>
              <w:r>
                <w:rPr>
                  <w:rFonts w:ascii="Arial" w:cs="Arial" w:eastAsia="Arial" w:hAnsi="Arial"/>
                  <w:sz w:val="18"/>
                  <w:szCs w:val="18"/>
                  <w:color w:val="0000FF"/>
                  <w:w w:val="91"/>
                </w:rPr>
                <w:t xml:space="preserve"> Nine Months Ended September 30, 2020 and</w:t>
              </w:r>
            </w:hyperlink>
          </w:p>
        </w:tc>
        <w:tc>
          <w:tcPr>
            <w:tcW w:w="820" w:type="dxa"/>
            <w:vAlign w:val="bottom"/>
            <w:shd w:val="clear" w:color="auto" w:fill="CCEEFF"/>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gridSpan w:val="2"/>
            <w:shd w:val="clear" w:color="auto" w:fill="CCEEFF"/>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2019</w:t>
              </w:r>
            </w:hyperlink>
          </w:p>
        </w:tc>
        <w:tc>
          <w:tcPr>
            <w:tcW w:w="156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0000FF"/>
            </w:tcBorders>
            <w:shd w:val="clear" w:color="auto" w:fill="CCEEFF"/>
          </w:tcPr>
          <w:p>
            <w:pPr>
              <w:spacing w:after="0"/>
              <w:rPr>
                <w:sz w:val="15"/>
                <w:szCs w:val="15"/>
                <w:color w:val="auto"/>
              </w:rPr>
            </w:pPr>
          </w:p>
        </w:tc>
        <w:tc>
          <w:tcPr>
            <w:tcW w:w="164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jc w:val="center"/>
              <w:spacing w:after="0" w:line="156"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2.</w:t>
            </w: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Management’s Discussion and Analysis of Financial Condition and Results of Operations</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20</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Quantitative and Qualitative Disclosures about Market Risk</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4.</w:t>
            </w: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Controls and Procedures</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gridSpan w:val="10"/>
            <w:shd w:val="clear" w:color="auto" w:fill="CCEEFF"/>
          </w:tcPr>
          <w:p>
            <w:pPr>
              <w:ind w:left="20"/>
              <w:spacing w:after="0"/>
              <w:rPr>
                <w:sz w:val="20"/>
                <w:szCs w:val="20"/>
                <w:color w:val="auto"/>
              </w:rPr>
            </w:pPr>
            <w:r>
              <w:rPr>
                <w:rFonts w:ascii="Arial" w:cs="Arial" w:eastAsia="Arial" w:hAnsi="Arial"/>
                <w:sz w:val="18"/>
                <w:szCs w:val="18"/>
                <w:b w:val="1"/>
                <w:bCs w:val="1"/>
                <w:color w:val="auto"/>
              </w:rPr>
              <w:t>PART II - OTHER INFORMATION</w:t>
            </w:r>
          </w:p>
        </w:tc>
        <w:tc>
          <w:tcPr>
            <w:tcW w:w="820" w:type="dxa"/>
            <w:vAlign w:val="bottom"/>
            <w:shd w:val="clear" w:color="auto" w:fill="CCEEFF"/>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Legal Proceedings</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1A.</w:t>
            </w: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Risk Factors</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2.</w:t>
            </w: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Unregistered Sales of Equity Securities and Use of Proceeds</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Defaults Upon Senior Securities</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4.</w:t>
            </w: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Mine Safety Disclosures</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Other Information</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6.</w:t>
            </w:r>
          </w:p>
        </w:tc>
        <w:tc>
          <w:tcPr>
            <w:tcW w:w="7740" w:type="dxa"/>
            <w:vAlign w:val="bottom"/>
            <w:gridSpan w:val="9"/>
            <w:shd w:val="clear" w:color="auto" w:fill="CCEEFF"/>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Exhibits</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gridSpan w:val="10"/>
            <w:shd w:val="clear" w:color="auto" w:fill="CCEEFF"/>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SIGNATURES</w:t>
              </w:r>
            </w:hyperlink>
          </w:p>
        </w:tc>
        <w:tc>
          <w:tcPr>
            <w:tcW w:w="820" w:type="dxa"/>
            <w:vAlign w:val="bottom"/>
            <w:shd w:val="clear" w:color="auto" w:fill="CCEEFF"/>
          </w:tcPr>
          <w:p>
            <w:pPr>
              <w:jc w:val="cente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6"/>
        </w:trPr>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Quarterly Report on Form 10-Q may contain certain “forward-looking statements” within the meaning of Section 27A of the Securities Act of 1933, as amended, and Section 21E of the Securities Exchange Act of 1934, as amended, which reflect our current views with respect to certain events that could have an effect on our future performance, including but without limitation, statements regarding our plans, objectives, financial performance, business strategies, expectations for our business and the business of the Company.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These statements relate to expectations concerning matters that are not historical fact and may include the words or phrases such as “would,” “will,” “should,” “expects,” “believes,” “anticipates,” “continues,” “could,” “may,” “might,” “plans,” “possible,” “potential,” “predicts,” “projects,” “forecasts,” “intends,” “assumes,” “estimates,” “approximately,” “shall,” “our planning assumptions,” “future outlook” and similar expressions, but the absence of these words does not mean that a statement is not forward-looking. Except for historical information, matters discussed in this Form 10-Q are forward-looking statements. These forward-looking statements are based largely on information currently available to our management and on our current expectations, assumptions, plans, estimates, judgments and projections about our business and our industry, as well as macroeconomic conditions, and are subject to various risks and uncertainties that could cause actual results to differ materially from historical results or those currently anticipated. Although we believe our expectations are based on reasonable estimates and assumptions, they are not guarantees of performance and there are a number of known and unknown risks, uncertainties, contingencies and other factors (many of which are outside our control) that could cause actual results to differ materially from those expressed or implied by such forward-looking statements. Accordingly, there is no assurance that our expectations will, in fact, occur or that our estimates or assumptions will be correct, and we caution investors and all others not to place undue reliance on such forward-looking statements. Some factors that could cause actual results to differ and could materially adversely affect our business, financial condition, results of operations, cash flows and liquidity include, but are not limited to:</w:t>
      </w:r>
    </w:p>
    <w:p>
      <w:pPr>
        <w:spacing w:after="0" w:line="1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1300" w:right="16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and increased capital markets volatility;</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1300" w:right="52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interest rate risk from elimination of the London Inter-bank Offered Rate (“LIBOR”) as a benchmark interest 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9" w:lineRule="exact"/>
        <w:rPr>
          <w:rFonts w:ascii="Arial" w:cs="Arial" w:eastAsia="Arial" w:hAnsi="Arial"/>
          <w:sz w:val="18"/>
          <w:szCs w:val="18"/>
          <w:color w:val="auto"/>
        </w:rPr>
      </w:pPr>
    </w:p>
    <w:p>
      <w:pPr>
        <w:ind w:left="1300" w:right="38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 and Canada;</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customers’ authentication;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9" w:lineRule="exact"/>
        <w:rPr>
          <w:rFonts w:ascii="Arial" w:cs="Arial" w:eastAsia="Arial" w:hAnsi="Arial"/>
          <w:sz w:val="18"/>
          <w:szCs w:val="18"/>
          <w:color w:val="auto"/>
        </w:rPr>
      </w:pPr>
    </w:p>
    <w:p>
      <w:pPr>
        <w:ind w:left="660" w:right="4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section entitled “Risk Factors” in our Annual Report on Form 10-K for the year ended December 31, 2019.</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for share data)</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12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30"/>
        </w:trPr>
        <w:tc>
          <w:tcPr>
            <w:tcW w:w="6060" w:type="dxa"/>
            <w:vAlign w:val="bottom"/>
          </w:tcPr>
          <w:p>
            <w:pPr>
              <w:jc w:val="center"/>
              <w:spacing w:after="0"/>
              <w:rPr>
                <w:sz w:val="20"/>
                <w:szCs w:val="20"/>
                <w:color w:val="auto"/>
              </w:rPr>
            </w:pPr>
            <w:r>
              <w:rPr>
                <w:rFonts w:ascii="Arial" w:cs="Arial" w:eastAsia="Arial" w:hAnsi="Arial"/>
                <w:sz w:val="14"/>
                <w:szCs w:val="14"/>
                <w:color w:val="auto"/>
                <w:w w:val="94"/>
              </w:rPr>
              <w:t>ASSETS</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20"/>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109,067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86,117</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 of $1,243 and $759, respectively</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0" w:type="dxa"/>
            <w:vAlign w:val="bottom"/>
          </w:tcPr>
          <w:p>
            <w:pPr>
              <w:spacing w:after="0"/>
              <w:rPr>
                <w:sz w:val="1"/>
                <w:szCs w:val="1"/>
                <w:color w:val="auto"/>
              </w:rPr>
            </w:pPr>
          </w:p>
        </w:tc>
      </w:tr>
      <w:tr>
        <w:trPr>
          <w:trHeight w:val="229"/>
        </w:trPr>
        <w:tc>
          <w:tcPr>
            <w:tcW w:w="6060" w:type="dxa"/>
            <w:vAlign w:val="bottom"/>
          </w:tcPr>
          <w:p>
            <w:pPr>
              <w:ind w:left="120"/>
              <w:spacing w:after="0"/>
              <w:rPr>
                <w:sz w:val="20"/>
                <w:szCs w:val="20"/>
                <w:color w:val="auto"/>
              </w:rPr>
            </w:pPr>
            <w:r>
              <w:rPr>
                <w:rFonts w:ascii="Arial" w:cs="Arial" w:eastAsia="Arial" w:hAnsi="Arial"/>
                <w:sz w:val="18"/>
                <w:szCs w:val="18"/>
                <w:color w:val="auto"/>
              </w:rPr>
              <w:t>Prepaid wires, net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18,201</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16"/>
        </w:trPr>
        <w:tc>
          <w:tcPr>
            <w:tcW w:w="60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180,697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148,227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12,770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net</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54"/>
        </w:trPr>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227,306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LIABILITIES AND STOCKHOLDERS' EQUITY</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30"/>
        </w:trPr>
        <w:tc>
          <w:tcPr>
            <w:tcW w:w="60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Wire transfers and money orders payable, net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and other liabilities</w:t>
            </w: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83,716</w:t>
            </w:r>
          </w:p>
        </w:tc>
        <w:tc>
          <w:tcPr>
            <w:tcW w:w="0" w:type="dxa"/>
            <w:vAlign w:val="bottom"/>
          </w:tcPr>
          <w:p>
            <w:pPr>
              <w:spacing w:after="0"/>
              <w:rPr>
                <w:sz w:val="1"/>
                <w:szCs w:val="1"/>
                <w:color w:val="auto"/>
              </w:rPr>
            </w:pPr>
          </w:p>
        </w:tc>
      </w:tr>
      <w:tr>
        <w:trPr>
          <w:trHeight w:val="203"/>
        </w:trPr>
        <w:tc>
          <w:tcPr>
            <w:tcW w:w="6060" w:type="dxa"/>
            <w:vAlign w:val="bottom"/>
          </w:tcPr>
          <w:p>
            <w:pPr>
              <w:ind w:left="20"/>
              <w:spacing w:after="0" w:line="203" w:lineRule="exact"/>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net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87,623</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tax liabilities, net</w:t>
            </w: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60" w:type="dxa"/>
            <w:vAlign w:val="bottom"/>
          </w:tcPr>
          <w:p>
            <w:pPr>
              <w:ind w:left="140"/>
              <w:spacing w:after="0" w:line="176" w:lineRule="exact"/>
              <w:rPr>
                <w:sz w:val="20"/>
                <w:szCs w:val="20"/>
                <w:color w:val="auto"/>
              </w:rPr>
            </w:pPr>
            <w:r>
              <w:rPr>
                <w:rFonts w:ascii="Arial" w:cs="Arial" w:eastAsia="Arial" w:hAnsi="Arial"/>
                <w:sz w:val="18"/>
                <w:szCs w:val="18"/>
                <w:color w:val="auto"/>
                <w:w w:val="94"/>
              </w:rPr>
              <w:t>Common stock $0.0001 par value; 230,000,000 shares authorized, 38,059,737</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60" w:type="dxa"/>
            <w:vAlign w:val="bottom"/>
          </w:tcPr>
          <w:p>
            <w:pPr>
              <w:jc w:val="center"/>
              <w:spacing w:after="0" w:line="176" w:lineRule="exact"/>
              <w:rPr>
                <w:sz w:val="20"/>
                <w:szCs w:val="20"/>
                <w:color w:val="auto"/>
              </w:rPr>
            </w:pPr>
            <w:r>
              <w:rPr>
                <w:rFonts w:ascii="Arial" w:cs="Arial" w:eastAsia="Arial" w:hAnsi="Arial"/>
                <w:sz w:val="18"/>
                <w:szCs w:val="18"/>
                <w:color w:val="auto"/>
                <w:w w:val="88"/>
              </w:rPr>
              <w:t>and 38,034,389 shares issued and outstanding as of September 30, 2020 and</w:t>
            </w:r>
          </w:p>
        </w:tc>
        <w:tc>
          <w:tcPr>
            <w:tcW w:w="1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060" w:type="dxa"/>
            <w:vAlign w:val="bottom"/>
          </w:tcPr>
          <w:p>
            <w:pPr>
              <w:ind w:left="300"/>
              <w:spacing w:after="0"/>
              <w:rPr>
                <w:sz w:val="20"/>
                <w:szCs w:val="20"/>
                <w:color w:val="auto"/>
              </w:rPr>
            </w:pPr>
            <w:r>
              <w:rPr>
                <w:rFonts w:ascii="Arial" w:cs="Arial" w:eastAsia="Arial" w:hAnsi="Arial"/>
                <w:sz w:val="18"/>
                <w:szCs w:val="18"/>
                <w:color w:val="auto"/>
              </w:rPr>
              <w:t>December 31, 2019, respectively.</w:t>
            </w:r>
          </w:p>
        </w:tc>
        <w:tc>
          <w:tcPr>
            <w:tcW w:w="1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54,694</w:t>
            </w:r>
          </w:p>
        </w:tc>
        <w:tc>
          <w:tcPr>
            <w:tcW w:w="0" w:type="dxa"/>
            <w:vAlign w:val="bottom"/>
          </w:tcPr>
          <w:p>
            <w:pPr>
              <w:spacing w:after="0"/>
              <w:rPr>
                <w:sz w:val="1"/>
                <w:szCs w:val="1"/>
                <w:color w:val="auto"/>
              </w:rPr>
            </w:pPr>
          </w:p>
        </w:tc>
      </w:tr>
      <w:tr>
        <w:trPr>
          <w:trHeight w:val="230"/>
        </w:trPr>
        <w:tc>
          <w:tcPr>
            <w:tcW w:w="60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25,340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227,306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5"/>
          </w:tcPr>
          <w:p>
            <w:pPr>
              <w:ind w:left="36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590"/>
              <w:spacing w:after="0"/>
              <w:rPr>
                <w:sz w:val="20"/>
                <w:szCs w:val="20"/>
                <w:color w:val="auto"/>
              </w:rPr>
            </w:pPr>
            <w:r>
              <w:rPr>
                <w:rFonts w:ascii="Arial" w:cs="Arial" w:eastAsia="Arial" w:hAnsi="Arial"/>
                <w:sz w:val="18"/>
                <w:szCs w:val="18"/>
                <w:color w:val="auto"/>
              </w:rPr>
              <w:t>Nine Months Ended</w:t>
            </w:r>
          </w:p>
        </w:tc>
      </w:tr>
      <w:tr>
        <w:trPr>
          <w:trHeight w:val="229"/>
        </w:trPr>
        <w:tc>
          <w:tcPr>
            <w:tcW w:w="3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Pr>
          <w:p>
            <w:pPr>
              <w:spacing w:after="0"/>
              <w:rPr>
                <w:sz w:val="19"/>
                <w:szCs w:val="19"/>
                <w:color w:val="auto"/>
              </w:rPr>
            </w:pPr>
          </w:p>
        </w:tc>
      </w:tr>
      <w:tr>
        <w:trPr>
          <w:trHeight w:val="237"/>
        </w:trPr>
        <w:tc>
          <w:tcPr>
            <w:tcW w:w="3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2019</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2019</w:t>
            </w: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Wire transfer and money order fees,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222,534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201,410</w:t>
            </w:r>
          </w:p>
        </w:tc>
      </w:tr>
      <w:tr>
        <w:trPr>
          <w:trHeight w:val="229"/>
        </w:trPr>
        <w:tc>
          <w:tcPr>
            <w:tcW w:w="3980" w:type="dxa"/>
            <w:vAlign w:val="bottom"/>
          </w:tcPr>
          <w:p>
            <w:pPr>
              <w:ind w:left="120"/>
              <w:spacing w:after="0"/>
              <w:rPr>
                <w:sz w:val="20"/>
                <w:szCs w:val="20"/>
                <w:color w:val="auto"/>
              </w:rPr>
            </w:pPr>
            <w:r>
              <w:rPr>
                <w:rFonts w:ascii="Arial" w:cs="Arial" w:eastAsia="Arial" w:hAnsi="Arial"/>
                <w:sz w:val="18"/>
                <w:szCs w:val="18"/>
                <w:color w:val="auto"/>
              </w:rPr>
              <w:t>Foreign exchange gain, net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33,510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33,297</w:t>
            </w:r>
          </w:p>
        </w:tc>
      </w:tr>
      <w:tr>
        <w:trPr>
          <w:trHeight w:val="237"/>
        </w:trPr>
        <w:tc>
          <w:tcPr>
            <w:tcW w:w="3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r>
      <w:tr>
        <w:trPr>
          <w:trHeight w:val="236"/>
        </w:trPr>
        <w:tc>
          <w:tcPr>
            <w:tcW w:w="3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257,907</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236,359</w:t>
            </w:r>
          </w:p>
        </w:tc>
      </w:tr>
      <w:tr>
        <w:trPr>
          <w:trHeight w:val="203"/>
        </w:trPr>
        <w:tc>
          <w:tcPr>
            <w:tcW w:w="3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156,510</w:t>
            </w:r>
          </w:p>
        </w:tc>
      </w:tr>
      <w:tr>
        <w:trPr>
          <w:trHeight w:val="230"/>
        </w:trPr>
        <w:tc>
          <w:tcPr>
            <w:tcW w:w="398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22,512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22,806</w:t>
            </w:r>
          </w:p>
        </w:tc>
      </w:tr>
      <w:tr>
        <w:trPr>
          <w:trHeight w:val="229"/>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Other selling, general and administrative expenses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20,850</w:t>
            </w:r>
          </w:p>
        </w:tc>
      </w:tr>
      <w:tr>
        <w:trPr>
          <w:trHeight w:val="237"/>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9,486</w:t>
            </w:r>
          </w:p>
        </w:tc>
      </w:tr>
      <w:tr>
        <w:trPr>
          <w:trHeight w:val="237"/>
        </w:trPr>
        <w:tc>
          <w:tcPr>
            <w:tcW w:w="3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219,821</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209,652</w:t>
            </w:r>
          </w:p>
        </w:tc>
      </w:tr>
      <w:tr>
        <w:trPr>
          <w:trHeight w:val="203"/>
        </w:trPr>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26,707</w:t>
            </w:r>
          </w:p>
        </w:tc>
      </w:tr>
      <w:tr>
        <w:trPr>
          <w:trHeight w:val="216"/>
        </w:trPr>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r>
      <w:tr>
        <w:trPr>
          <w:trHeight w:val="203"/>
        </w:trPr>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3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20,204</w:t>
            </w:r>
          </w:p>
        </w:tc>
      </w:tr>
      <w:tr>
        <w:trPr>
          <w:trHeight w:val="216"/>
        </w:trPr>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6"/>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r>
      <w:tr>
        <w:trPr>
          <w:trHeight w:val="203"/>
        </w:trPr>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3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w:t>
            </w:r>
          </w:p>
        </w:tc>
      </w:tr>
      <w:tr>
        <w:trPr>
          <w:trHeight w:val="216"/>
        </w:trPr>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3"/>
        </w:trPr>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3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3980" w:type="dxa"/>
            <w:vAlign w:val="bottom"/>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0.64</w:t>
            </w:r>
          </w:p>
        </w:tc>
        <w:tc>
          <w:tcPr>
            <w:tcW w:w="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3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16"/>
        </w:trPr>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3980" w:type="dxa"/>
            <w:vAlign w:val="bottom"/>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38,050,610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37,984,316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38,040,339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37,230,831</w:t>
            </w:r>
          </w:p>
        </w:tc>
      </w:tr>
      <w:tr>
        <w:trPr>
          <w:trHeight w:val="230"/>
        </w:trPr>
        <w:tc>
          <w:tcPr>
            <w:tcW w:w="3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38,652,707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38,286,702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38,246,429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37,365,371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218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9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
                <w:szCs w:val="2"/>
                <w:color w:val="auto"/>
              </w:rPr>
            </w:pPr>
          </w:p>
        </w:tc>
        <w:tc>
          <w:tcPr>
            <w:tcW w:w="1060" w:type="dxa"/>
            <w:vAlign w:val="bottom"/>
            <w:vMerge w:val="restart"/>
          </w:tcPr>
          <w:p>
            <w:pPr>
              <w:jc w:val="center"/>
              <w:ind w:right="55"/>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Paid-in Capital</w:t>
            </w:r>
          </w:p>
        </w:tc>
        <w:tc>
          <w:tcPr>
            <w:tcW w:w="13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9"/>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38,035,279</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71,896</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10,607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units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176"/>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8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net</w:t>
            </w:r>
          </w:p>
        </w:tc>
        <w:tc>
          <w:tcPr>
            <w:tcW w:w="130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September 30, 2020</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38,059,737</w:t>
            </w:r>
          </w:p>
        </w:tc>
        <w:tc>
          <w:tcPr>
            <w:tcW w:w="120" w:type="dxa"/>
            <w:vAlign w:val="bottom"/>
            <w:tcBorders>
              <w:top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56,793</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25,340</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3"/>
        </w:trPr>
        <w:tc>
          <w:tcPr>
            <w:tcW w:w="29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180" w:type="dxa"/>
            <w:vAlign w:val="bottom"/>
            <w:gridSpan w:val="3"/>
          </w:tcPr>
          <w:p>
            <w:pPr>
              <w:jc w:val="right"/>
              <w:ind w:right="376"/>
              <w:spacing w:after="0" w:line="149" w:lineRule="exact"/>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9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1060" w:type="dxa"/>
            <w:vAlign w:val="bottom"/>
            <w:vMerge w:val="restart"/>
          </w:tcPr>
          <w:p>
            <w:pPr>
              <w:jc w:val="center"/>
              <w:ind w:right="55"/>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Paid-in Capital</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7"/>
                <w:szCs w:val="17"/>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9"/>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2019</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37,982,848</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44,960</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units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net</w:t>
            </w:r>
          </w:p>
        </w:tc>
        <w:tc>
          <w:tcPr>
            <w:tcW w:w="130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September 30, 2019</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38,005,623</w:t>
            </w:r>
          </w:p>
        </w:tc>
        <w:tc>
          <w:tcPr>
            <w:tcW w:w="120" w:type="dxa"/>
            <w:vAlign w:val="bottom"/>
            <w:tcBorders>
              <w:top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53,748</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tcPr>
          <w:p>
            <w:pPr>
              <w:jc w:val="right"/>
              <w:ind w:right="399"/>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restart"/>
          </w:tcPr>
          <w:p>
            <w:pPr>
              <w:jc w:val="center"/>
              <w:ind w:right="55"/>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Retained Earnings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20" w:type="dxa"/>
            <w:vAlign w:val="bottom"/>
          </w:tcPr>
          <w:p>
            <w:pPr>
              <w:spacing w:after="0"/>
              <w:rPr>
                <w:sz w:val="17"/>
                <w:szCs w:val="17"/>
                <w:color w:val="auto"/>
              </w:rPr>
            </w:pPr>
          </w:p>
        </w:tc>
        <w:tc>
          <w:tcPr>
            <w:tcW w:w="128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(Loss)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9"/>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38,034,389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24,164</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11,497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units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176"/>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2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net</w:t>
            </w:r>
          </w:p>
        </w:tc>
        <w:tc>
          <w:tcPr>
            <w:tcW w:w="20" w:type="dxa"/>
            <w:vAlign w:val="bottom"/>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September 30, 2020</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38,059,737</w:t>
            </w: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71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56,793</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25,340</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3"/>
        </w:trPr>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5"/>
          </w:tcPr>
          <w:p>
            <w:pPr>
              <w:jc w:val="right"/>
              <w:ind w:right="399"/>
              <w:spacing w:after="0" w:line="149"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3"/>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ind w:right="55"/>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Paid-in 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36,182,783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44,473</w:t>
            </w: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6" w:lineRule="exact"/>
              <w:rPr>
                <w:sz w:val="20"/>
                <w:szCs w:val="20"/>
                <w:color w:val="auto"/>
              </w:rPr>
            </w:pPr>
            <w:r>
              <w:rPr>
                <w:rFonts w:ascii="Arial" w:cs="Arial" w:eastAsia="Arial" w:hAnsi="Arial"/>
                <w:sz w:val="18"/>
                <w:szCs w:val="18"/>
                <w:color w:val="auto"/>
              </w:rPr>
              <w:t>Adoption of revenue recognition</w:t>
            </w:r>
          </w:p>
        </w:tc>
        <w:tc>
          <w:tcPr>
            <w:tcW w:w="20" w:type="dxa"/>
            <w:vAlign w:val="bottom"/>
          </w:tcPr>
          <w:p>
            <w:pPr>
              <w:spacing w:after="0"/>
              <w:rPr>
                <w:sz w:val="15"/>
                <w:szCs w:val="15"/>
                <w:color w:val="auto"/>
              </w:rPr>
            </w:pPr>
          </w:p>
        </w:tc>
        <w:tc>
          <w:tcPr>
            <w:tcW w:w="12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vMerge w:val="restart"/>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9"/>
        </w:trPr>
        <w:tc>
          <w:tcPr>
            <w:tcW w:w="2900" w:type="dxa"/>
            <w:vAlign w:val="bottom"/>
          </w:tcPr>
          <w:p>
            <w:pPr>
              <w:ind w:left="180"/>
              <w:spacing w:after="0"/>
              <w:rPr>
                <w:sz w:val="20"/>
                <w:szCs w:val="20"/>
                <w:color w:val="auto"/>
              </w:rPr>
            </w:pPr>
            <w:r>
              <w:rPr>
                <w:rFonts w:ascii="Arial" w:cs="Arial" w:eastAsia="Arial" w:hAnsi="Arial"/>
                <w:sz w:val="18"/>
                <w:szCs w:val="18"/>
                <w:color w:val="auto"/>
              </w:rPr>
              <w:t>accounting pronouncement</w:t>
            </w:r>
          </w:p>
        </w:tc>
        <w:tc>
          <w:tcPr>
            <w:tcW w:w="2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exchange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units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2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net</w:t>
            </w:r>
          </w:p>
        </w:tc>
        <w:tc>
          <w:tcPr>
            <w:tcW w:w="20" w:type="dxa"/>
            <w:vAlign w:val="bottom"/>
            <w:shd w:val="clear" w:color="auto" w:fill="CCEEFF"/>
          </w:tcPr>
          <w:p>
            <w:pPr>
              <w:spacing w:after="0"/>
              <w:rPr>
                <w:sz w:val="20"/>
                <w:szCs w:val="20"/>
                <w:color w:val="auto"/>
              </w:rPr>
            </w:pPr>
          </w:p>
        </w:tc>
        <w:tc>
          <w:tcPr>
            <w:tcW w:w="128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9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September 30, 2019</w:t>
            </w: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38,005,623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53,748</w:t>
            </w: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tc>
        <w:tc>
          <w:tcPr>
            <w:tcW w:w="2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630"/>
        </w:trPr>
        <w:tc>
          <w:tcPr>
            <w:tcW w:w="3780" w:type="dxa"/>
            <w:vAlign w:val="bottom"/>
          </w:tcPr>
          <w:p>
            <w:pPr>
              <w:spacing w:after="0"/>
              <w:rPr>
                <w:sz w:val="24"/>
                <w:szCs w:val="24"/>
                <w:color w:val="auto"/>
              </w:rPr>
            </w:pPr>
          </w:p>
        </w:tc>
        <w:tc>
          <w:tcPr>
            <w:tcW w:w="430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rPr>
              <w:t>INTERNATIONAL MONEY EXPRESS, INC.</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8540" w:type="dxa"/>
            <w:vAlign w:val="bottom"/>
            <w:gridSpan w:val="6"/>
          </w:tcPr>
          <w:p>
            <w:pPr>
              <w:jc w:val="center"/>
              <w:ind w:left="26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2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29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9"/>
              </w:rPr>
              <w:t>(in thousands, unaudited)</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72"/>
        </w:trPr>
        <w:tc>
          <w:tcPr>
            <w:tcW w:w="3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gridSpan w:val="4"/>
          </w:tcPr>
          <w:p>
            <w:pPr>
              <w:jc w:val="right"/>
              <w:ind w:right="410"/>
              <w:spacing w:after="0"/>
              <w:rPr>
                <w:sz w:val="20"/>
                <w:szCs w:val="20"/>
                <w:color w:val="auto"/>
              </w:rPr>
            </w:pPr>
            <w:r>
              <w:rPr>
                <w:rFonts w:ascii="Arial" w:cs="Arial" w:eastAsia="Arial" w:hAnsi="Arial"/>
                <w:sz w:val="18"/>
                <w:szCs w:val="18"/>
                <w:color w:val="auto"/>
                <w:w w:val="91"/>
              </w:rPr>
              <w:t>Nine Months Ended September 30,</w:t>
            </w:r>
          </w:p>
        </w:tc>
      </w:tr>
      <w:tr>
        <w:trPr>
          <w:trHeight w:val="237"/>
        </w:trPr>
        <w:tc>
          <w:tcPr>
            <w:tcW w:w="3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2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w:t>
            </w:r>
          </w:p>
        </w:tc>
      </w:tr>
      <w:tr>
        <w:trPr>
          <w:trHeight w:val="229"/>
        </w:trPr>
        <w:tc>
          <w:tcPr>
            <w:tcW w:w="6680" w:type="dxa"/>
            <w:vAlign w:val="bottom"/>
            <w:gridSpan w:val="3"/>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r>
      <w:tr>
        <w:trPr>
          <w:trHeight w:val="229"/>
        </w:trPr>
        <w:tc>
          <w:tcPr>
            <w:tcW w:w="37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29"/>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bad debt</w:t>
            </w:r>
          </w:p>
        </w:tc>
        <w:tc>
          <w:tcPr>
            <w:tcW w:w="2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30"/>
        </w:trPr>
        <w:tc>
          <w:tcPr>
            <w:tcW w:w="3780" w:type="dxa"/>
            <w:vAlign w:val="bottom"/>
          </w:tcPr>
          <w:p>
            <w:pPr>
              <w:ind w:left="340"/>
              <w:spacing w:after="0"/>
              <w:rPr>
                <w:sz w:val="20"/>
                <w:szCs w:val="20"/>
                <w:color w:val="auto"/>
              </w:rPr>
            </w:pPr>
            <w:r>
              <w:rPr>
                <w:rFonts w:ascii="Arial" w:cs="Arial" w:eastAsia="Arial" w:hAnsi="Arial"/>
                <w:sz w:val="18"/>
                <w:szCs w:val="18"/>
                <w:color w:val="auto"/>
              </w:rPr>
              <w:t>Debt origination costs amortization</w:t>
            </w: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provision, net</w:t>
            </w:r>
          </w:p>
        </w:tc>
        <w:tc>
          <w:tcPr>
            <w:tcW w:w="2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7"/>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7"/>
              </w:rPr>
              <w:t>Loss on disposal of property and equipment</w:t>
            </w:r>
          </w:p>
        </w:tc>
        <w:tc>
          <w:tcPr>
            <w:tcW w:w="24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3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adjustments</w:t>
            </w:r>
          </w:p>
        </w:tc>
        <w:tc>
          <w:tcPr>
            <w:tcW w:w="2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w:t>
            </w:r>
          </w:p>
        </w:tc>
      </w:tr>
      <w:tr>
        <w:trPr>
          <w:trHeight w:val="230"/>
        </w:trPr>
        <w:tc>
          <w:tcPr>
            <w:tcW w:w="37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2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w:t>
            </w:r>
          </w:p>
        </w:tc>
      </w:tr>
      <w:tr>
        <w:trPr>
          <w:trHeight w:val="229"/>
        </w:trPr>
        <w:tc>
          <w:tcPr>
            <w:tcW w:w="3780" w:type="dxa"/>
            <w:vAlign w:val="bottom"/>
          </w:tcPr>
          <w:p>
            <w:pPr>
              <w:ind w:left="460"/>
              <w:spacing w:after="0"/>
              <w:rPr>
                <w:sz w:val="20"/>
                <w:szCs w:val="20"/>
                <w:color w:val="auto"/>
              </w:rPr>
            </w:pPr>
            <w:r>
              <w:rPr>
                <w:rFonts w:ascii="Arial" w:cs="Arial" w:eastAsia="Arial" w:hAnsi="Arial"/>
                <w:sz w:val="18"/>
                <w:szCs w:val="18"/>
                <w:color w:val="auto"/>
              </w:rPr>
              <w:t>Prepaid wires, net</w:t>
            </w: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17,259</w:t>
            </w:r>
          </w:p>
        </w:tc>
      </w:tr>
      <w:tr>
        <w:trPr>
          <w:trHeight w:val="230"/>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assets</w:t>
            </w:r>
          </w:p>
        </w:tc>
        <w:tc>
          <w:tcPr>
            <w:tcW w:w="2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29"/>
        </w:trPr>
        <w:tc>
          <w:tcPr>
            <w:tcW w:w="3780" w:type="dxa"/>
            <w:vAlign w:val="bottom"/>
          </w:tcPr>
          <w:p>
            <w:pPr>
              <w:ind w:left="460"/>
              <w:spacing w:after="0"/>
              <w:rPr>
                <w:sz w:val="20"/>
                <w:szCs w:val="20"/>
                <w:color w:val="auto"/>
              </w:rPr>
            </w:pPr>
            <w:r>
              <w:rPr>
                <w:rFonts w:ascii="Arial" w:cs="Arial" w:eastAsia="Arial" w:hAnsi="Arial"/>
                <w:sz w:val="18"/>
                <w:szCs w:val="18"/>
                <w:color w:val="auto"/>
                <w:w w:val="90"/>
              </w:rPr>
              <w:t>Wire transfers and money orders payable, net</w:t>
            </w: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21,047</w:t>
            </w:r>
          </w:p>
        </w:tc>
      </w:tr>
      <w:tr>
        <w:trPr>
          <w:trHeight w:val="237"/>
        </w:trPr>
        <w:tc>
          <w:tcPr>
            <w:tcW w:w="66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Accounts payable and accrued and other liabilities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w:t>
            </w:r>
          </w:p>
        </w:tc>
      </w:tr>
      <w:tr>
        <w:trPr>
          <w:trHeight w:val="237"/>
        </w:trPr>
        <w:tc>
          <w:tcPr>
            <w:tcW w:w="378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tcBorders>
              <w:top w:val="single" w:sz="8" w:color="CCEEFF"/>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31,597</w:t>
            </w:r>
          </w:p>
        </w:tc>
        <w:tc>
          <w:tcPr>
            <w:tcW w:w="100" w:type="dxa"/>
            <w:vAlign w:val="bottom"/>
            <w:tcBorders>
              <w:top w:val="single" w:sz="8" w:color="CCEEFF"/>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57,147</w:t>
            </w:r>
          </w:p>
        </w:tc>
      </w:tr>
      <w:tr>
        <w:trPr>
          <w:trHeight w:val="148"/>
        </w:trPr>
        <w:tc>
          <w:tcPr>
            <w:tcW w:w="37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2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r>
      <w:tr>
        <w:trPr>
          <w:trHeight w:val="237"/>
        </w:trPr>
        <w:tc>
          <w:tcPr>
            <w:tcW w:w="3780" w:type="dxa"/>
            <w:vAlign w:val="bottom"/>
          </w:tcPr>
          <w:p>
            <w:pPr>
              <w:ind w:left="120"/>
              <w:spacing w:after="0"/>
              <w:rPr>
                <w:sz w:val="20"/>
                <w:szCs w:val="20"/>
                <w:color w:val="auto"/>
              </w:rPr>
            </w:pPr>
            <w:r>
              <w:rPr>
                <w:rFonts w:ascii="Arial" w:cs="Arial" w:eastAsia="Arial" w:hAnsi="Arial"/>
                <w:sz w:val="18"/>
                <w:szCs w:val="18"/>
                <w:color w:val="auto"/>
              </w:rPr>
              <w:t>Acquisition of agent locations</w:t>
            </w:r>
          </w:p>
        </w:tc>
        <w:tc>
          <w:tcPr>
            <w:tcW w:w="2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7"/>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r>
      <w:tr>
        <w:trPr>
          <w:trHeight w:val="148"/>
        </w:trPr>
        <w:tc>
          <w:tcPr>
            <w:tcW w:w="37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3780" w:type="dxa"/>
            <w:vAlign w:val="bottom"/>
          </w:tcPr>
          <w:p>
            <w:pPr>
              <w:ind w:left="120"/>
              <w:spacing w:after="0"/>
              <w:rPr>
                <w:sz w:val="20"/>
                <w:szCs w:val="20"/>
                <w:color w:val="auto"/>
              </w:rPr>
            </w:pPr>
            <w:r>
              <w:rPr>
                <w:rFonts w:ascii="Arial" w:cs="Arial" w:eastAsia="Arial" w:hAnsi="Arial"/>
                <w:sz w:val="18"/>
                <w:szCs w:val="18"/>
                <w:color w:val="auto"/>
              </w:rPr>
              <w:t>Borrowings under term loan</w:t>
            </w: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30"/>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of term loan</w:t>
            </w:r>
          </w:p>
        </w:tc>
        <w:tc>
          <w:tcPr>
            <w:tcW w:w="2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rPr>
              <w:t>Repayments under revolving loan, net</w:t>
            </w: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origination costs</w:t>
            </w:r>
          </w:p>
        </w:tc>
        <w:tc>
          <w:tcPr>
            <w:tcW w:w="2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3780" w:type="dxa"/>
            <w:vAlign w:val="bottom"/>
          </w:tcPr>
          <w:p>
            <w:pPr>
              <w:ind w:left="120"/>
              <w:spacing w:after="0"/>
              <w:rPr>
                <w:sz w:val="20"/>
                <w:szCs w:val="20"/>
                <w:color w:val="auto"/>
              </w:rPr>
            </w:pPr>
            <w:r>
              <w:rPr>
                <w:rFonts w:ascii="Arial" w:cs="Arial" w:eastAsia="Arial" w:hAnsi="Arial"/>
                <w:sz w:val="18"/>
                <w:szCs w:val="18"/>
                <w:color w:val="auto"/>
              </w:rPr>
              <w:t>Proceeds from exercise of options</w:t>
            </w: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in warrant exchange</w:t>
            </w:r>
          </w:p>
        </w:tc>
        <w:tc>
          <w:tcPr>
            <w:tcW w:w="2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r>
      <w:tr>
        <w:trPr>
          <w:trHeight w:val="237"/>
        </w:trPr>
        <w:tc>
          <w:tcPr>
            <w:tcW w:w="378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80" w:type="dxa"/>
            <w:vAlign w:val="bottom"/>
            <w:tcBorders>
              <w:top w:val="single" w:sz="8" w:color="CCEEFF"/>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(5,726)</w:t>
            </w:r>
          </w:p>
        </w:tc>
        <w:tc>
          <w:tcPr>
            <w:tcW w:w="100" w:type="dxa"/>
            <w:vAlign w:val="bottom"/>
            <w:tcBorders>
              <w:top w:val="single" w:sz="8" w:color="CCEEFF"/>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(31,950)</w:t>
            </w:r>
          </w:p>
        </w:tc>
      </w:tr>
      <w:tr>
        <w:trPr>
          <w:trHeight w:val="148"/>
        </w:trPr>
        <w:tc>
          <w:tcPr>
            <w:tcW w:w="37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3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4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149"/>
        </w:trPr>
        <w:tc>
          <w:tcPr>
            <w:tcW w:w="37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bl>
    <w:p>
      <w:pPr>
        <w:spacing w:after="0" w:line="1" w:lineRule="exact"/>
        <w:rPr>
          <w:sz w:val="20"/>
          <w:szCs w:val="20"/>
          <w:color w:val="auto"/>
        </w:rPr>
      </w:pPr>
    </w:p>
    <w:p>
      <w:pPr>
        <w:sectPr>
          <w:pgSz w:w="11900" w:h="16838" w:orient="portrait"/>
          <w:cols w:equalWidth="0" w:num="1">
            <w:col w:w="10139"/>
          </w:cols>
          <w:pgMar w:left="320" w:top="125" w:right="1440" w:bottom="1440" w:gutter="0" w:footer="0" w:header="0"/>
        </w:sectPr>
      </w:pPr>
    </w:p>
    <w:p>
      <w:pPr>
        <w:ind w:left="20"/>
        <w:spacing w:after="0"/>
        <w:rPr>
          <w:sz w:val="20"/>
          <w:szCs w:val="20"/>
          <w:color w:val="auto"/>
        </w:rPr>
      </w:pPr>
      <w:r>
        <w:rPr>
          <w:rFonts w:ascii="Arial" w:cs="Arial" w:eastAsia="Arial" w:hAnsi="Arial"/>
          <w:sz w:val="18"/>
          <w:szCs w:val="18"/>
          <w:color w:val="auto"/>
        </w:rPr>
        <w:t>Net increase in cash</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beginning of period</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21,160</w:t>
            </w:r>
          </w:p>
        </w:tc>
      </w:tr>
      <w:tr>
        <w:trPr>
          <w:trHeight w:val="398"/>
        </w:trPr>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86,117</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73,029</w:t>
            </w:r>
          </w:p>
        </w:tc>
      </w:tr>
      <w:tr>
        <w:trPr>
          <w:trHeight w:val="378"/>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109,067</w:t>
            </w:r>
          </w:p>
        </w:tc>
        <w:tc>
          <w:tcPr>
            <w:tcW w:w="100" w:type="dxa"/>
            <w:vAlign w:val="bottom"/>
          </w:tcPr>
          <w:p>
            <w:pPr>
              <w:spacing w:after="0"/>
              <w:rPr>
                <w:sz w:val="24"/>
                <w:szCs w:val="24"/>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94,189</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-539115</wp:posOffset>
            </wp:positionV>
            <wp:extent cx="620649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06490" cy="10287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-281940</wp:posOffset>
            </wp:positionV>
            <wp:extent cx="620649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0649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720"/>
            <w:col w:w="3879"/>
          </w:cols>
          <w:pgMar w:left="320" w:top="125" w:right="1440"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8" w:name="page9"/>
    <w:bookmarkEnd w:id="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left="1780" w:right="820"/>
        <w:spacing w:after="0" w:line="275"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0" w:type="dxa"/>
            <w:vAlign w:val="bottom"/>
            <w:gridSpan w:val="4"/>
          </w:tcPr>
          <w:p>
            <w:pPr>
              <w:jc w:val="right"/>
              <w:ind w:right="390"/>
              <w:spacing w:after="0"/>
              <w:rPr>
                <w:sz w:val="20"/>
                <w:szCs w:val="20"/>
                <w:color w:val="auto"/>
              </w:rPr>
            </w:pPr>
            <w:r>
              <w:rPr>
                <w:rFonts w:ascii="Arial" w:cs="Arial" w:eastAsia="Arial" w:hAnsi="Arial"/>
                <w:sz w:val="18"/>
                <w:szCs w:val="18"/>
                <w:color w:val="auto"/>
                <w:w w:val="96"/>
              </w:rPr>
              <w:t>Nine Months Ended September 30,</w:t>
            </w:r>
          </w:p>
        </w:tc>
      </w:tr>
      <w:tr>
        <w:trPr>
          <w:trHeight w:val="237"/>
        </w:trPr>
        <w:tc>
          <w:tcPr>
            <w:tcW w:w="6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6"/>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r>
      <w:tr>
        <w:trPr>
          <w:trHeight w:val="237"/>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r>
      <w:tr>
        <w:trPr>
          <w:trHeight w:val="243"/>
        </w:trPr>
        <w:tc>
          <w:tcPr>
            <w:tcW w:w="6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activity:</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7"/>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Agent business acquired in exchange for receivables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628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financing activity:</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6280" w:type="dxa"/>
            <w:vAlign w:val="bottom"/>
          </w:tcPr>
          <w:p>
            <w:pPr>
              <w:ind w:left="120"/>
              <w:spacing w:after="0"/>
              <w:rPr>
                <w:sz w:val="20"/>
                <w:szCs w:val="20"/>
                <w:color w:val="auto"/>
              </w:rPr>
            </w:pPr>
            <w:r>
              <w:rPr>
                <w:rFonts w:ascii="Arial" w:cs="Arial" w:eastAsia="Arial" w:hAnsi="Arial"/>
                <w:sz w:val="18"/>
                <w:szCs w:val="18"/>
                <w:color w:val="auto"/>
              </w:rPr>
              <w:t>Issuance of common stock for cashless exercise of options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ind w:left="5520" w:right="2680" w:hanging="2834"/>
        <w:spacing w:after="0" w:line="250"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International Money Express, Inc. (the “Company” or “us” or “we”) operates as a money transmitter between the United States of America (“U.S.”) and Canada to Mexico, Guatemala and other countries in Latin America, Africa and Asia through a network of authorized agents located in various unaffiliated retail establishments and 34 Company-operated stores throughout the U.S. and Canada.</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financial statements of the Company include Intermex Holdings, Inc., its wholly-owned indirect subsidiary, Intermex Wire Transfer, LLC (“LLC”), Intermex Wire Transfers de Guatemala, S.A. (“Intermex Guatemala”) - 99.8% owned by LLC, Intermex Wire Transfer de Mexico, S.A. and Intermex Transfers de Mexico, S.A. (“Intermex Mexico”) - 98% owned by LLC, Intermex Wire Transfer Corp. - 100% owned by LLC, Intermex Wire Transfer II, LLC - 100% owned by LLC and Canada International Transfers Corp. - 100% owned by LLC. Non-controlling interest in the results of operations of consolidated subsidiaries represents the minority stockholders’ share of the profit or loss of Intermex Mexico and Intermex Guatemala. The non-controlling interest asset and non-controlling interest in the portion of the profit or loss from operations of these subsidiaries were not recorded by the Company as they are considered immaterial.</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condensed consolidated financial statements are prepared in accordance with accounting principles generally accepted in the U.S. (“GAAP”). All significant inter-company balances and transactions have been eliminated from the condensed consolidated financial statements.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interim condensed consolidated financial statements and related notes are unaudited. In the opinion of management, all adjustments (including normal recurring adjustments) and disclosures necessary for a fair presentation of these interim financial statements have been included. The results reported in these interim financial statements are not necessarily indicative of the results that may be reported for the entire year. Certain information and footnote disclosures required by GAAP have been condensed or omitted. These condensed consolidated financial statements should be read in conjunction with the consolidated financial statements and related notes thereto included in the Company’s Annual Report on Form 10-K for the year ended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the outbreak of a new strain of coronavirus (“COVID-19”) and the risks to the international community as the virus spread globally beyond its point of origin. In March 2020, the WHO classified the COVID-19 outbreak as a pandemic, based on the rapid increase in exposure globally and national, state and local governments in the jurisdictions where we operate and serve our customers imposed emergency restrictions to mitigate the spread of the virus.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Starting in March 2020, governmental authorities took measures that restricted the normal course of operations of businesses and consumers. Although those restrictions were in place for most of the second and third quarter and affected the Company, sending and paying agents as well as consumers and their beneficiaries, those measures did not have a material adverse effect on the Company’s financial condition, results of operations and cash flows for the three and nine month periods ended September 30, 2020.</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our sending agents are considered essential businesses under current federal guidance; however,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results of operations and financial condition is dependent on future developments, including the duration of the pandemic and the related extent of its severity, as well as its impact on the economic conditions, particularly the level of unemployment of our customers, all of which remain uncertain and cannot be predicted at this time. If the global response to contain the COVID-19 pandemic escalates further or is unsuccessful, or if governmental decisions to ease pandemic related restrictions are ineffective, premature, counterproductive or reversed, the Company could experience a material adverse effect on its business, financial condition,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Financial Accounting Standards Board (“FASB”) issued guidance, </w:t>
      </w:r>
      <w:r>
        <w:rPr>
          <w:rFonts w:ascii="Arial" w:cs="Arial" w:eastAsia="Arial" w:hAnsi="Arial"/>
          <w:sz w:val="18"/>
          <w:szCs w:val="18"/>
          <w:i w:val="1"/>
          <w:iCs w:val="1"/>
          <w:color w:val="auto"/>
        </w:rPr>
        <w:t>Leases (Topic 842)</w:t>
      </w:r>
      <w:r>
        <w:rPr>
          <w:rFonts w:ascii="Arial" w:cs="Arial" w:eastAsia="Arial" w:hAnsi="Arial"/>
          <w:sz w:val="18"/>
          <w:szCs w:val="18"/>
          <w:color w:val="auto"/>
        </w:rPr>
        <w:t>, to increase transparency and comparability among organizations by recognizing lease assets and lease liabilities on the balance sheet for those leases classified as operating leases under previous GAAP. The guidance requires that a lessee recognizes a liability to make lease payments (the lease liability) and a right-of-use asset representing its right to use the underlying asset for the lease term on the balance sheet. This guidance is required to be adopted by the Company on January 1, 2022 and may be applied using either the earliest period adjustment method or the modified retrospective approach. The adoption of this guidance is not expected to have a material impact on the condensed consolidated financial statements.</w:t>
      </w:r>
    </w:p>
    <w:p>
      <w:pPr>
        <w:spacing w:after="0" w:line="2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FASB issued amended guidance,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The amended standard simplifies how an entity tests goodwill by eliminating Step 2 of the goodwill impairment test related to measuring an impairment charge. Instead, impairment will be recorded for the amount that the carrying amount of a reporting unit exceeds its fair value. This new guidance is effective for the Company on January 1, 2021. The adoption of this guidance is not expected to have a material impact on the condensed consolidated financial statements.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FASB issued amended guidance,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The amended standard requires implementation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by customers in cloud computing arrangements to be deferred and recognized over the term of the arrangement, if those costs would be capitalized by the customers in a software licensing arrangement. This new guidance is effective for the Company on January 1, 2021. The adoption of this guidance is not expected to have a material impact on the condensed consolidated financial statements.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which removes certain exceptions to the general principles in Topic 740 and improves consistent application of and simplifies GAAP for other areas of Topic 740 by clarifying and amending existing guidance. This new guidance is effective for the Company on January 1, 2021. The adoption of this guidance is not expected to have a material impact on the condensed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currently required to adopt the new standard on January 1, 2023. The Company is currently evaluating the impact this guidance will have on the condensed consolidated financial statements.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FASB issued guidance, </w:t>
      </w:r>
      <w:r>
        <w:rPr>
          <w:rFonts w:ascii="Arial" w:cs="Arial" w:eastAsia="Arial" w:hAnsi="Arial"/>
          <w:sz w:val="16"/>
          <w:szCs w:val="16"/>
          <w:i w:val="1"/>
          <w:iCs w:val="1"/>
          <w:color w:val="auto"/>
        </w:rPr>
        <w:t>Reference Rate Reform (Topic 848): Facilitation of the Effects of Reference Rate Reform on Financial Reporting</w:t>
      </w:r>
      <w:r>
        <w:rPr>
          <w:rFonts w:ascii="Arial" w:cs="Arial" w:eastAsia="Arial" w:hAnsi="Arial"/>
          <w:sz w:val="16"/>
          <w:szCs w:val="16"/>
          <w:color w:val="auto"/>
        </w:rPr>
        <w:t>, which provides optional expedient and exceptions for applying generally accepted accounting principles to contracts, hedging relationships, and other transactions affected by reference rate reform if certain criteria are met. In response to the concerns about structural risks of interbank offered rates (“IBORs”) and, particularly, the risk of cessation of the LIBOR, regulators in several jurisdictions around the world have undertaken reference rate reform initiatives to identify alternative reference rates that are more observable or transaction based and less susceptible to manipulation. This accounting standards update provides companies with optional guidance to ease the potential accounting burden associated with transitioning away from reference rates that are expected to be discontinued. This new guidance may be adopted by the Company no later than December 1, 2022, with early adoption permitted. The potential adoption of this guidance is not expected to have a material impact on the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2 –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revenues from contracts with customers for the three and nine months ended September 30, 2020 and 2019,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5"/>
          </w:tcPr>
          <w:p>
            <w:pPr>
              <w:ind w:left="38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2580" w:type="dxa"/>
            <w:vAlign w:val="bottom"/>
            <w:gridSpan w:val="4"/>
          </w:tcPr>
          <w:p>
            <w:pPr>
              <w:jc w:val="right"/>
              <w:ind w:right="630"/>
              <w:spacing w:after="0"/>
              <w:rPr>
                <w:sz w:val="20"/>
                <w:szCs w:val="20"/>
                <w:color w:val="auto"/>
              </w:rPr>
            </w:pPr>
            <w:r>
              <w:rPr>
                <w:rFonts w:ascii="Arial" w:cs="Arial" w:eastAsia="Arial" w:hAnsi="Arial"/>
                <w:sz w:val="18"/>
                <w:szCs w:val="18"/>
                <w:color w:val="auto"/>
              </w:rPr>
              <w:t>Nine Months Ended</w:t>
            </w:r>
          </w:p>
        </w:tc>
      </w:tr>
      <w:tr>
        <w:trPr>
          <w:trHeight w:val="237"/>
        </w:trPr>
        <w:tc>
          <w:tcPr>
            <w:tcW w:w="4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36"/>
        </w:trPr>
        <w:tc>
          <w:tcPr>
            <w:tcW w:w="49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2019</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2019</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223,171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202,202</w:t>
            </w:r>
          </w:p>
        </w:tc>
      </w:tr>
      <w:tr>
        <w:trPr>
          <w:trHeight w:val="236"/>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Discounts and promotions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222,534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201,410</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33,510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33,297</w:t>
            </w:r>
          </w:p>
        </w:tc>
      </w:tr>
      <w:tr>
        <w:trPr>
          <w:trHeight w:val="23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85,334</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257,907</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236,359</w:t>
            </w: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higher foreign exchange rate. The discounts vary by country, and the earned points expire if the customer has not initiated and completed an eligible wire transfer transaction within the immediately preceding 180 day period. In addition, earned points will expire 30 days after the end of the program. Therefore, because the loyalty program benefits represent a future performance obligation, a portion of the initial consideration is recorded as deferred revenue (see Note 7) and a corresponding loyalty program expense is recorded as contra revenue. Revenue from this performance obligation is recognized upon customers redeeming points or upon expiration of any points outstanding.</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loyalty program discussed above, our revenues include only one performance obligation, which is to collect the customer’s money and make funds available for payment, generally on the same day, to a designated recipient in the currency requested.</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several other services, including money orders and check cashing,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3 – ACCOUNTS RECEIVABLE, NET OF ALLOWANCE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 outstanding balances from sending agents for pending wire transfers or money orders from our customers. The outstanding balance consists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2020</w:t>
            </w:r>
          </w:p>
        </w:tc>
        <w:tc>
          <w:tcPr>
            <w:tcW w:w="14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8"/>
              </w:rPr>
              <w:t>December 31, 2019</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61,205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40,513</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4"/>
              </w:rPr>
              <w:t>(1,243)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59,962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credit losses related to accounts receivable and notes receivable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80" w:type="dxa"/>
            <w:vAlign w:val="bottom"/>
            <w:tcBorders>
              <w:bottom w:val="single" w:sz="8" w:color="CCEEFF"/>
            </w:tcBorders>
            <w:shd w:val="clear" w:color="auto" w:fill="CCEEFF"/>
          </w:tcPr>
          <w:p>
            <w:pPr>
              <w:spacing w:after="0"/>
              <w:rPr>
                <w:sz w:val="20"/>
                <w:szCs w:val="20"/>
                <w:color w:val="auto"/>
              </w:rPr>
            </w:pPr>
          </w:p>
        </w:tc>
        <w:tc>
          <w:tcPr>
            <w:tcW w:w="3460" w:type="dxa"/>
            <w:vAlign w:val="bottom"/>
            <w:tcBorders>
              <w:bottom w:val="single" w:sz="8" w:color="auto"/>
            </w:tcBorders>
            <w:gridSpan w:val="5"/>
            <w:shd w:val="clear" w:color="auto" w:fill="CCEEFF"/>
          </w:tcPr>
          <w:p>
            <w:pPr>
              <w:jc w:val="right"/>
              <w:ind w:right="330"/>
              <w:spacing w:after="0"/>
              <w:rPr>
                <w:sz w:val="20"/>
                <w:szCs w:val="20"/>
                <w:color w:val="auto"/>
              </w:rPr>
            </w:pPr>
            <w:r>
              <w:rPr>
                <w:rFonts w:ascii="Arial" w:cs="Arial" w:eastAsia="Arial" w:hAnsi="Arial"/>
                <w:sz w:val="18"/>
                <w:szCs w:val="18"/>
                <w:color w:val="auto"/>
              </w:rPr>
              <w:t>Three Months Ended September 30,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3200" w:type="dxa"/>
            <w:vAlign w:val="bottom"/>
            <w:tcBorders>
              <w:bottom w:val="single" w:sz="8" w:color="auto"/>
            </w:tcBorders>
            <w:gridSpan w:val="6"/>
            <w:shd w:val="clear" w:color="auto" w:fill="CCEEFF"/>
          </w:tcPr>
          <w:p>
            <w:pPr>
              <w:jc w:val="right"/>
              <w:ind w:right="390"/>
              <w:spacing w:after="0"/>
              <w:rPr>
                <w:sz w:val="20"/>
                <w:szCs w:val="20"/>
                <w:color w:val="auto"/>
              </w:rPr>
            </w:pPr>
            <w:r>
              <w:rPr>
                <w:rFonts w:ascii="Arial" w:cs="Arial" w:eastAsia="Arial" w:hAnsi="Arial"/>
                <w:sz w:val="18"/>
                <w:szCs w:val="18"/>
                <w:color w:val="auto"/>
                <w:w w:val="96"/>
              </w:rPr>
              <w:t>Nine Months Ended September 30,</w:t>
            </w:r>
          </w:p>
        </w:tc>
      </w:tr>
      <w:tr>
        <w:trPr>
          <w:trHeight w:val="237"/>
        </w:trPr>
        <w:tc>
          <w:tcPr>
            <w:tcW w:w="27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1,171</w:t>
            </w: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37"/>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5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80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8040" w:type="dxa"/>
            <w:vAlign w:val="bottom"/>
            <w:gridSpan w:val="11"/>
          </w:tcPr>
          <w:p>
            <w:pPr>
              <w:spacing w:after="0"/>
              <w:rPr>
                <w:sz w:val="20"/>
                <w:szCs w:val="20"/>
                <w:color w:val="auto"/>
              </w:rPr>
            </w:pPr>
            <w:r>
              <w:rPr>
                <w:rFonts w:ascii="Arial" w:cs="Arial" w:eastAsia="Arial" w:hAnsi="Arial"/>
                <w:sz w:val="18"/>
                <w:szCs w:val="18"/>
                <w:color w:val="auto"/>
                <w:w w:val="99"/>
              </w:rPr>
              <w:t>The allowance for credit losses allocated by financial instrument category is as follows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3"/>
        </w:trPr>
        <w:tc>
          <w:tcPr>
            <w:tcW w:w="2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color w:val="auto"/>
                <w:w w:val="98"/>
              </w:rPr>
              <w:t>September 30, 2020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8"/>
              </w:rPr>
              <w:t>December 31, 2019</w:t>
            </w:r>
          </w:p>
        </w:tc>
      </w:tr>
      <w:tr>
        <w:trPr>
          <w:trHeight w:val="229"/>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37"/>
        </w:trPr>
        <w:tc>
          <w:tcPr>
            <w:tcW w:w="2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Notes receivable </w:t>
            </w:r>
            <w:r>
              <w:rPr>
                <w:rFonts w:ascii="Arial" w:cs="Arial" w:eastAsia="Arial" w:hAnsi="Arial"/>
                <w:sz w:val="23"/>
                <w:szCs w:val="23"/>
                <w:color w:val="auto"/>
                <w:vertAlign w:val="superscript"/>
              </w:rPr>
              <w:t>(1)</w:t>
            </w:r>
          </w:p>
        </w:tc>
        <w:tc>
          <w:tcPr>
            <w:tcW w:w="11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55"/>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firstLine="8"/>
        <w:spacing w:after="0" w:line="257" w:lineRule="auto"/>
        <w:tabs>
          <w:tab w:leader="none" w:pos="21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allowance relates to $1.3 million in notes receivable from sending agents as of both September 30, 2020 and December 31, 2019. The current portion of these notes amounted to $1.1 million and $1.0 million as of September 30, 2020 and December 31, 2019, respectively. The net current portion is included in prepaid expenses and other current assets (see Note 4) and the net long-term portion is included in other assets in the condensed 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NOTE 4 – PREPAID EXPENSES AND OTHER CURRENT ASSETS</w:t>
            </w: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w w:val="92"/>
              </w:rPr>
              <w:t>Prepaid expenses and other current assets consisted of the following (in thousands):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79"/>
        </w:trPr>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2020</w:t>
            </w:r>
          </w:p>
        </w:tc>
        <w:tc>
          <w:tcPr>
            <w:tcW w:w="140" w:type="dxa"/>
            <w:vAlign w:val="bottom"/>
          </w:tcPr>
          <w:p>
            <w:pPr>
              <w:spacing w:after="0"/>
              <w:rPr>
                <w:sz w:val="24"/>
                <w:szCs w:val="24"/>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8"/>
              </w:rPr>
              <w:t>December 31, 2019</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Prepaid fees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net of allowance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Prepaid taxes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29"/>
        </w:trPr>
        <w:tc>
          <w:tcPr>
            <w:tcW w:w="6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w:t>
            </w:r>
          </w:p>
        </w:tc>
      </w:tr>
      <w:tr>
        <w:trPr>
          <w:trHeight w:val="21"/>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5 – GOODWILL AND INTANGIBLE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Intangible assets on the condensed consolidated balance sheets of the Company consist of goodwill, agent relationships, trade name, developed technology and other intangible assets. Agent relationships, trade name and developed technology are all amortized over 15 years using an accelerated method that correlates with the projected realization of the benefit. The agent relationships intangible represents the network of independent sending agents; trade name refers to the Intermex name, branded on all agent locations and well recognized in the market; and developed technology includes the state-of-the-art system that the Company has continued to develop and improve upon over the past 20 years. Other intangible assets primarily relate to the acquisition of Company-operated stores, which are amortized on a straight line basis over 10 years. The determination of our intangible fair values includes several assumptions that are subject to various</w:t>
      </w:r>
    </w:p>
    <w:p>
      <w:pPr>
        <w:sectPr>
          <w:pgSz w:w="11900" w:h="16838" w:orient="portrait"/>
          <w:cols w:equalWidth="0" w:num="1">
            <w:col w:w="11240"/>
          </w:cols>
          <w:pgMar w:left="320" w:top="125" w:right="339" w:bottom="1440" w:gutter="0" w:footer="0" w:header="0"/>
        </w:sectPr>
      </w:pPr>
    </w:p>
    <w:p>
      <w:pPr>
        <w:spacing w:after="0" w:line="14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risks and uncertainties. Management believes it has made reasonable estimates and judgments concerning these risks and uncertainties. See below for further discussion on impairment.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intangible assets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w w:val="98"/>
              </w:rPr>
              <w:t>Intangibles</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27,381</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(5,213)</w:t>
            </w:r>
          </w:p>
        </w:tc>
      </w:tr>
      <w:tr>
        <w:trPr>
          <w:trHeight w:val="255"/>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8440" w:type="dxa"/>
            <w:vAlign w:val="bottom"/>
            <w:gridSpan w:val="6"/>
          </w:tcPr>
          <w:p>
            <w:pPr>
              <w:spacing w:after="0"/>
              <w:rPr>
                <w:sz w:val="20"/>
                <w:szCs w:val="20"/>
                <w:color w:val="auto"/>
              </w:rPr>
            </w:pPr>
            <w:r>
              <w:rPr>
                <w:rFonts w:ascii="Arial" w:cs="Arial" w:eastAsia="Arial" w:hAnsi="Arial"/>
                <w:sz w:val="18"/>
                <w:szCs w:val="18"/>
                <w:color w:val="auto"/>
                <w:w w:val="92"/>
              </w:rPr>
              <w:t>Amortization expense related to intangible assets for the next five years and thereafter is as follows (in thousands):</w:t>
            </w:r>
          </w:p>
        </w:tc>
        <w:tc>
          <w:tcPr>
            <w:tcW w:w="1340" w:type="dxa"/>
            <w:vAlign w:val="bottom"/>
          </w:tcPr>
          <w:p>
            <w:pPr>
              <w:spacing w:after="0"/>
              <w:rPr>
                <w:sz w:val="24"/>
                <w:szCs w:val="24"/>
                <w:color w:val="auto"/>
              </w:rPr>
            </w:pPr>
          </w:p>
        </w:tc>
      </w:tr>
      <w:tr>
        <w:trPr>
          <w:trHeight w:val="243"/>
        </w:trPr>
        <w:tc>
          <w:tcPr>
            <w:tcW w:w="6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5,161</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2,989</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w:t>
            </w:r>
          </w:p>
        </w:tc>
      </w:tr>
      <w:tr>
        <w:trPr>
          <w:trHeight w:val="254"/>
        </w:trPr>
        <w:tc>
          <w:tcPr>
            <w:tcW w:w="6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to the COVID-19 pandemic that has resulted in a deterioration in macro-economic conditions and increased stock market volatility, the Company performed a qualitative assessment of goodwill during both the second and third quarter of 2020 to determine whether a quantitative test was necessary. Although our fair value measurements include some significant inputs, such as the Company’s forecasted revenues and assumed turnover of agent locations, that may have or will be affected by the pandemic, we believe that as of September 30, 2020, the effects of the pandemic have not had a material negative effect on the Company’s financial condition, results of operations and cash flows. As a result, there are currently no indicators that the fair value of the Company’s goodwill is below its carrying amount based on our qualitative assessment. Therefore, we determined that a quantitative test was not necessary as of September 30, 2020.</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finite-lived intangibles, we also assessed during both the second and third quarter of 2020 whether there were events or changes in circumstances that indicated that the carrying amounts of our intangible assets may not be recoverable. Similar to our goodwill assessment above, we believe that as of September 30, 2020, the effects of the COVID-19 pandemic have not had a material negative effect on the company’s financial condition, results of operations and cash flows. As a result, there are currently no indicators that could require an impairment test. Therefore, we determined that the carrying amounts of our intangibles are recoverable as of September 30, 2020.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will continue to monitor this evolving pandemic to determine the need, if any, to further evaluate for impairment our goodwill and intangible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6 – WIRE TRANSFERS AND MONEY ORDERS PAYABLE,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Wire transfers and money orders payable, net consisted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2020</w:t>
            </w:r>
          </w:p>
        </w:tc>
        <w:tc>
          <w:tcPr>
            <w:tcW w:w="14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8"/>
              </w:rPr>
              <w:t>December 31, 2019</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transfers payable,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16,058</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Customer voided wires payable</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10,937</w:t>
            </w: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orders payable</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13,202</w:t>
            </w:r>
          </w:p>
        </w:tc>
      </w:tr>
      <w:tr>
        <w:trPr>
          <w:trHeight w:val="230"/>
        </w:trPr>
        <w:tc>
          <w:tcPr>
            <w:tcW w:w="6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40,197</w:t>
            </w: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Customer voided wires payable consist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color w:val="auto"/>
              </w:rPr>
              <w:t>NOTE 7 – ACCRUED AND OTHER LIABILITIES</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September 30, 2020</w:t>
            </w:r>
          </w:p>
        </w:tc>
        <w:tc>
          <w:tcPr>
            <w:tcW w:w="14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2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Commissions payable to sending agents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Accrued legal settlement (see Note 13)</w:t>
            </w:r>
          </w:p>
        </w:tc>
        <w:tc>
          <w:tcPr>
            <w:tcW w:w="1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Accrued bank charges</w:t>
            </w:r>
          </w:p>
        </w:tc>
        <w:tc>
          <w:tcPr>
            <w:tcW w:w="1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Accrued legal fees</w:t>
            </w:r>
          </w:p>
        </w:tc>
        <w:tc>
          <w:tcPr>
            <w:tcW w:w="1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 professional fees</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1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loyalty program</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54"/>
        </w:trPr>
        <w:tc>
          <w:tcPr>
            <w:tcW w:w="6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23,074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060" w:type="dxa"/>
            <w:vAlign w:val="bottom"/>
            <w:gridSpan w:val="5"/>
          </w:tcPr>
          <w:p>
            <w:pPr>
              <w:spacing w:after="0"/>
              <w:rPr>
                <w:sz w:val="20"/>
                <w:szCs w:val="20"/>
                <w:color w:val="auto"/>
              </w:rPr>
            </w:pPr>
            <w:r>
              <w:rPr>
                <w:rFonts w:ascii="Arial" w:cs="Arial" w:eastAsia="Arial" w:hAnsi="Arial"/>
                <w:sz w:val="18"/>
                <w:szCs w:val="18"/>
                <w:color w:val="auto"/>
                <w:w w:val="99"/>
              </w:rPr>
              <w:t>The following table shows the changes in the deferred revenue loyalty program liability (in thousands):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Revenue deferred during the period</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color w:val="auto"/>
              </w:rPr>
              <w:t>Balance, September 30, 2020</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NOTE 8 – DEBT</w:t>
            </w: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6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tcPr>
          <w:p>
            <w:pPr>
              <w:spacing w:after="0"/>
              <w:rPr>
                <w:sz w:val="20"/>
                <w:szCs w:val="20"/>
                <w:color w:val="auto"/>
              </w:rPr>
            </w:pPr>
            <w:r>
              <w:rPr>
                <w:rFonts w:ascii="Arial" w:cs="Arial" w:eastAsia="Arial" w:hAnsi="Arial"/>
                <w:sz w:val="18"/>
                <w:szCs w:val="18"/>
                <w:color w:val="auto"/>
              </w:rPr>
              <w:t>Debt consisted of the following (in thousands):</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September 30, 2020</w:t>
            </w:r>
          </w:p>
        </w:tc>
        <w:tc>
          <w:tcPr>
            <w:tcW w:w="14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2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91,298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97,044</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Less: Current portion of long-term debt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origination costs</w:t>
            </w: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82,340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87,623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Current portion of long-term debt is net of debt origination costs of approximately $0.6 million both at September 30, 2020 and December 31, 2019.</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certain of its domestic subsidiaries as borrowers (the “Loan Parties”) have a financing agreement (as amended, the “Credit Agreement”) with a group of banking institutions. The Credit Agreement provides for a $35 million revolving credit facility, a $90 million term loan facility and an up to $30 million incremental facility of which $12 million was utilized in the second quarter of 2019. The Credit Agreement also provides for the issuance of letters of credit, which would reduce availability under the revolving credit facility. The maturity date of the Credit Agreement is November 7, 2023. As of September 30, 2020 and December 31, 2019, there were no outstanding amounts drawn on the revolving credit facility.</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nine months ended September 30, 2020 for the term loan facility and revolving credit facility were 5.93% and 0.99%, respectively.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amount of the term loan facility under the Credit Agreement must be repaid in consecutive quarterly installments of 5.0% in year 1, 7.5% in years 2 and 3, and 10.0% in years 4 and 5, in each case on the last day of each quarter, which commenced in March 2019 with a final payment at maturity. The loans under the Credit Agreement may be prepaid at any time without premium or penalty.</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also contains financial covenants that require the Company to maintain a quarterly minimum fixed charge coverage ratio of 1.25:1.00 and a quarterly maximum consolidated leverage ratio of 3.25:1.00.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obligations under the Credit Agreement are guaranteed by the Company and certain domestic subsidiaries of the Company and secured by liens on substantially all of the assets of the Loan Parties, subject to certain exclusions and limitations.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20, 2020, the Company received funds under the Paycheck Protection Program (the “Program”) in the amount of $3.5 million. Although the Company believes that it met all eligibility criteria for a loan under the Program at the time of its application, subsequent to receiving the funds, the Small Business Administration (“SBA”), in consultation with the Department of the Treasury (“Treasury”), provided additional guidance to address public, borrower and lender questions concerning the eligibility criteria under the Program. Based on this guidance provided by the SBA and Treasury, the Company returned the funds received under the Program on April 29,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9 – FAIR VALUE MEASUREMENTS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determines fair value in accordance with the provisions of FASB guidance,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non-financial assets measured at fair value on a nonrecurring basis include goodwill and intangibles assets. The determination of our intangible fair values includes several assumptions and inputs (Level 3) that are subject to various risks and uncertainties. Management believes it has made reasonable estimates and judgments concerning these risks and uncertainties. All other financial assets and liabilities are carried at amortized cost.</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cash is representative of fair value as these balances are comprised of deposits available on demand. Accounts receivable, prepaid wires, accounts payable and wire transfers and money orders payable are representative of their fair values because of the short turnover of these items.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financial liabilities include its revolving credit facility and term loan. The fair value of the term loan,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10 – STOCKHOLDERS' EQUITY AND SHARE-BASED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30, 2020, the Company entered into an underwriting agreement with certain selling stockholders and several underwriters relating to the underwritten public offering of 4.9 million shares of the Company’s common stock at a price to the public of $13.50 per share. The closing of the offering occurred on October 5, 2020. Also, on November 4, 2020, the underwriters completed the purchase of 0.7 million additional shares of common stock at the same price as the initial shares under a 30-day option granted by certain of the selling stockholders. The Company did not receive any of the proceeds from the offering. It did, however, incur approximately $0.5 million in certain costs, which are included in other selling, general and administrative expenses in the condensed consolidated statement of operations and comprehensive income.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26, 2020, at the 2020 Annual Meeting of Stockholders, the Company's stockholders approved the International Money Express, Inc. 2020 Omnibus Equity Compensation Plan (the “2020 Plan”), which provides for the granting of stock-based incentive awards, including stock options and restricted stock units (“RSUs”), to employees and independent directors of the Company. There are 3.4 million shares of the Company's common stock available for issuance under the 2020 Plan, including 0.4 million shares that were available for grant under the International Money Express, Inc. 2018 Omnibus Equity Compensation Plan (the “2018 Plan”). As of September 30, 2020, there are 0.3 million stock options granted under the 2020 Plan. The 2018 Plan was terminated effective June 26, 2020. Hereafter, we refer to the 2020 Plan and 2018 Plan together as the “Plans.”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value of each option grant is estimated on the grant date using the Black-Scholes option pricing model (“BSM”). The option pricing model requires the input of certain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Share-based compensation is recognized as an expense on a straight-line basis over the requisite service period, which is generally the vesting period. The stock options issued under the Company’s Plans have 10-year terms and vest in four equal annual installments beginning one year after the date of the grant. During the nine months ended September 30, 2020, 0.7 million stock options vested. The Company recognized compensation expense for stock options of approximately $0.7 million and $0.6 million for the three months ended September 30, 2020 and 2019, respectively, and $1.9 million for both the nine months ended September 30, 2020 and 2019, which are included in salaries and benefits in the condensed consolidated statements of operations and comprehensive income. As of September 30, 2020, there were 3.2 million outstanding stock options and unrecognized compensation expense of $7.4 million is expected to be recognized over a weighted-average period of 2.5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during the nine months ended September 30, 2020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200" w:type="dxa"/>
            <w:vAlign w:val="bottom"/>
          </w:tcPr>
          <w:p>
            <w:pPr>
              <w:spacing w:after="0"/>
              <w:rPr>
                <w:sz w:val="17"/>
                <w:szCs w:val="17"/>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Weighted-</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2,905,219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555,000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(244,792)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3,167,927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1,239,443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RSUs issued under the Company’s Plans to the Company’s independent directors vest on the one-year anniversary from the grant date and the RSUs issued under the 2020 Plan to the Company’s employees vest with respect to 25% of the shares on each of the first four anniversaries of the date of grant. The Company recognized compensation expense for RSUs of $89.1 thousand and $17.5 thousand for the three months ended September 30, 2020 and 2019, respectively, and $0.3 million and $0.1 million for the nine months ended September 30, 2020 and 2019, respectively, which is included in salaries and benefits in the condensed consolidated statements of operations and comprehensive income. During the nine months ended September 30, 2020, 10.0 thousand RSUs were granted to the Company's employees and no RSUs vested. There were no forfeited RSUs during the nine months ended September 30, 2020. As of September 30, 2020, there was $0.4 million of unrecognized compensation expense for the restricted stock units, which is expected to be recognized over a weighted-average period of 1.74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11 –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is calculated by dividing net income for the period by the weighted average number of common shares outstanding for the period. In computing dilutive earnings per share, basic earnings per share is adjusted for the assumed issuance of all applicable potentially dilutive share-based awards, including common stock options and RSUs.</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6"/>
        </w:trPr>
        <w:tc>
          <w:tcPr>
            <w:tcW w:w="8760" w:type="dxa"/>
            <w:vAlign w:val="bottom"/>
            <w:gridSpan w:val="7"/>
          </w:tcPr>
          <w:p>
            <w:pPr>
              <w:spacing w:after="0"/>
              <w:rPr>
                <w:sz w:val="20"/>
                <w:szCs w:val="20"/>
                <w:color w:val="auto"/>
              </w:rPr>
            </w:pPr>
            <w:r>
              <w:rPr>
                <w:rFonts w:ascii="Arial" w:cs="Arial" w:eastAsia="Arial" w:hAnsi="Arial"/>
                <w:sz w:val="18"/>
                <w:szCs w:val="18"/>
                <w:color w:val="auto"/>
                <w:w w:val="99"/>
              </w:rPr>
              <w:t>Below are basic and diluted earnings per share for the periods indicated (in thousands, except for share data):</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260" w:type="dxa"/>
            <w:vAlign w:val="bottom"/>
            <w:gridSpan w:val="4"/>
          </w:tcPr>
          <w:p>
            <w:pPr>
              <w:jc w:val="right"/>
              <w:ind w:right="430"/>
              <w:spacing w:after="0"/>
              <w:rPr>
                <w:sz w:val="20"/>
                <w:szCs w:val="20"/>
                <w:color w:val="auto"/>
              </w:rPr>
            </w:pPr>
            <w:r>
              <w:rPr>
                <w:rFonts w:ascii="Arial" w:cs="Arial" w:eastAsia="Arial" w:hAnsi="Arial"/>
                <w:sz w:val="18"/>
                <w:szCs w:val="18"/>
                <w:color w:val="auto"/>
              </w:rPr>
              <w:t>Nine Months Ended</w:t>
            </w:r>
          </w:p>
        </w:tc>
      </w:t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260" w:type="dxa"/>
            <w:vAlign w:val="bottom"/>
            <w:gridSpan w:val="4"/>
          </w:tcPr>
          <w:p>
            <w:pPr>
              <w:jc w:val="right"/>
              <w:ind w:right="630"/>
              <w:spacing w:after="0"/>
              <w:rPr>
                <w:sz w:val="20"/>
                <w:szCs w:val="20"/>
                <w:color w:val="auto"/>
              </w:rPr>
            </w:pPr>
            <w:r>
              <w:rPr>
                <w:rFonts w:ascii="Arial" w:cs="Arial" w:eastAsia="Arial" w:hAnsi="Arial"/>
                <w:sz w:val="18"/>
                <w:szCs w:val="18"/>
                <w:color w:val="auto"/>
              </w:rPr>
              <w:t>September 30,</w:t>
            </w:r>
          </w:p>
        </w:tc>
      </w:tr>
      <w:tr>
        <w:trPr>
          <w:trHeight w:val="237"/>
        </w:trPr>
        <w:tc>
          <w:tcPr>
            <w:tcW w:w="6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56"/>
        </w:trPr>
        <w:tc>
          <w:tcPr>
            <w:tcW w:w="6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for basic and diluted earnings per common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14,268</w:t>
            </w:r>
          </w:p>
        </w:tc>
      </w:tr>
      <w:tr>
        <w:trPr>
          <w:trHeight w:val="203"/>
        </w:trPr>
        <w:tc>
          <w:tcPr>
            <w:tcW w:w="6180" w:type="dxa"/>
            <w:vAlign w:val="bottom"/>
          </w:tcPr>
          <w:p>
            <w:pPr>
              <w:ind w:left="20"/>
              <w:spacing w:after="0" w:line="203" w:lineRule="exact"/>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38,050,610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37,984,316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38,040,339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37,230,831</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16,555</w:t>
            </w: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589,376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283,164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196,520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100,975</w:t>
            </w:r>
          </w:p>
        </w:tc>
      </w:tr>
      <w:tr>
        <w:trPr>
          <w:trHeight w:val="249"/>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17,010</w:t>
            </w:r>
          </w:p>
        </w:tc>
      </w:tr>
      <w:tr>
        <w:trPr>
          <w:trHeight w:val="217"/>
        </w:trPr>
        <w:tc>
          <w:tcPr>
            <w:tcW w:w="61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38,652,707</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38,286,702</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38,246,429</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37,365,371</w:t>
            </w:r>
          </w:p>
        </w:tc>
      </w:tr>
      <w:tr>
        <w:trPr>
          <w:trHeight w:val="257"/>
        </w:trPr>
        <w:tc>
          <w:tcPr>
            <w:tcW w:w="6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Earnings per common share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0.64</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37"/>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common share –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there were 0.7 million options excluded from the diluted earnings per share calculation because, under the treasury stock method, the inclusion of these would be anti-dilutive.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2019, there were 0.4 million options excluded from the diluted earnings per share calculation because, under the treasury stock method, the inclusion of these would be anti-dilutive. In April 2019, the Company executed a tender offer for all warrants, subsequent to which all warrants ceased to exist.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12 – INCOME TAXES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reconciliation between the income tax provision at the US statutory tax rate and the Company’s income tax provision on the condensed consolidated statements of operations and comprehensive income is below (in thousands, except for tax rates):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38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2600" w:type="dxa"/>
            <w:vAlign w:val="bottom"/>
            <w:gridSpan w:val="4"/>
          </w:tcPr>
          <w:p>
            <w:pPr>
              <w:jc w:val="right"/>
              <w:ind w:right="650"/>
              <w:spacing w:after="0"/>
              <w:rPr>
                <w:sz w:val="20"/>
                <w:szCs w:val="20"/>
                <w:color w:val="auto"/>
              </w:rPr>
            </w:pPr>
            <w:r>
              <w:rPr>
                <w:rFonts w:ascii="Arial" w:cs="Arial" w:eastAsia="Arial" w:hAnsi="Arial"/>
                <w:sz w:val="18"/>
                <w:szCs w:val="18"/>
                <w:color w:val="auto"/>
              </w:rPr>
              <w:t>Nine Months Ended</w:t>
            </w:r>
          </w:p>
        </w:tc>
      </w:tr>
      <w:tr>
        <w:trPr>
          <w:trHeight w:val="237"/>
        </w:trPr>
        <w:tc>
          <w:tcPr>
            <w:tcW w:w="5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color w:val="auto"/>
                <w:w w:val="88"/>
              </w:rPr>
              <w:t>September 30,</w:t>
            </w:r>
          </w:p>
        </w:tc>
        <w:tc>
          <w:tcPr>
            <w:tcW w:w="920" w:type="dxa"/>
            <w:vAlign w:val="bottom"/>
            <w:tcBorders>
              <w:bottom w:val="single" w:sz="8" w:color="auto"/>
            </w:tcBorders>
          </w:tcPr>
          <w:p>
            <w:pPr>
              <w:spacing w:after="0"/>
              <w:rPr>
                <w:sz w:val="20"/>
                <w:szCs w:val="20"/>
                <w:color w:val="auto"/>
              </w:rPr>
            </w:pPr>
          </w:p>
        </w:tc>
      </w:tr>
      <w:tr>
        <w:trPr>
          <w:trHeight w:val="236"/>
        </w:trPr>
        <w:tc>
          <w:tcPr>
            <w:tcW w:w="5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2019</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33,053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20,204</w:t>
            </w:r>
          </w:p>
        </w:tc>
      </w:tr>
      <w:tr>
        <w:trPr>
          <w:trHeight w:val="237"/>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6,941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4,243</w:t>
            </w:r>
          </w:p>
        </w:tc>
      </w:tr>
      <w:tr>
        <w:trPr>
          <w:trHeight w:val="257"/>
        </w:trPr>
        <w:tc>
          <w:tcPr>
            <w:tcW w:w="5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1,140</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Foreign tax rates different from U.S. statutory rate</w:t>
            </w: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41</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246</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Credits</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267</w:t>
            </w: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Total tax provision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2,253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8,889</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5,936</w:t>
            </w: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presented in the income tax reconciliation above, the tax provision recognized on the condensed consolidated statements of operations and comprehensive income was affected by state taxes, non-deductible expenses, share-based compensation expenses and foreign tax rates applicable to the Company’s foreign subsidiaries that are higher or lower than the U.S. statutory rate.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2020, Intermex Holdings II, Inc., the Company's parent company prior to the 2018 merger, was notified by the IRS that its 2017 federal income tax return was selected for examination. In August 2020, the examination was closed with no changes to the reported tax.</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27, 2020, the United States enacted the Coronavirus Aid, Relief, and Economic Security (“CARES”) Act. The Cares Act is an emergency economic stimulus package that includes spending and tax breaks to strengthen the United States economy and fund a nationwide effort to curtail the effects of COVID-19. The CARES Act provides various tax law changes in response to the COVID-19 pandemic, including increasing the ability to deduct interest expense, providing for deferral on tax deposits, and amending certain provisions of the previously enacted Tax Cuts and Jobs Act. After considering the provisions of the CARES Act, the Company determined that the CARES Act did not have a material effect on its annual effective tax rate and the income tax provision for the three and nine months ended on September 30,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13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leases for office space, warehouses and Company-operated store locations. Rent expense under all operating leases, included in other selling, general and administrative expenses in the condensed consolidated statements of operations and comprehensive income, amounted to approximately $0.6 million and $0.5 million for the three months ended September 30, 2020 and 2019, respectively, and $1.6 million and $1.5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2020, future minimum rental payments required under operating leases for the remainder of 2020 and thereafter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882</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3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55"/>
        </w:trPr>
        <w:tc>
          <w:tcPr>
            <w:tcW w:w="7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 except for the matter related to a complaint filed under the Telephone Consumer Protection Act of 1991 (the “TCPA claim”) described below.</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30, 2019, Stuart Sawyer filed a putative class action complaint in the United States District Court for the Southern District of Florida asserting a claim under the TCPA, 47 U.S.C. § 227, et seq., based on allegations that since May 30, 2015, the Company had sent text messages to class members’ wireless telephones without their consent. Following a mediation held on October 7, 2019, the Company and the plaintiff entered into a term sheet providing the general terms for the settlement of the action, which was memorialized in a definitive Settlement Agreement on March 16, 2020 subject to subsequent Court approval. The Settlement Agreement provides for resolution of Mr. Sawyer's TCPA claims and the claims of a class of similarly situated individuals, as defined in the complaint, who received text messages from the Company during the period May 30, 2015 through October 7, 2019, and for the creation of a $3.25 million settlement fund that will be used to pay all class member claims, class counsel's fees and the costs of administering the settlement.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Settlement Agreement also established procedures for the notification of claimants and the processing of claims. The settlement fund will be managed by a duly-appointed settlement administrator which will be authorized to communicate with class members, process claims and make payments from the fund in accordance with the terms of the Settlement Agreement and the final judgment in the case. No amount of the settlement fund will revert to the Company; instead, any unclaimed funds will be sent to a consumer advocacy organization approved by the Court.</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remaining balance of the amount payable under the Settlement Agreement of approximately $2.9 million is included in accrued and other liabilities in the condensed consolidated balance sheet as of September 30, 2020. The $2.9 million was paid to the settlement fund in October 2020.</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in all U.S.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applicable licensing laws, certain domestic subsidiaries of the Company are required to maintain minimum tangible net worth and liquid assets (eligible securities) to cover the amount outstanding of wire transfers and money orders payable. As of September 30, 2020, the Company’s subsidiaries were in compliance with these two requirements.</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2019.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risks related to the COVID-19 pandemic described in Pt. II, Item 1A, “Risk Factors” below which is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March 2020, a global pandemic was declared by the World Health Organization related to the rapidly growing outbreak of a novel strain of coronavirus (“COVID-19”). The pandemic continues affecting economic conditions in the United States of America (“United States” or “U.S.”), as federal, state, local and foreign governments reacted to the public health crisis with mitigation measures, creating significant uncertainties in the U.S. and global economy. The extent to which the COVID-19 pandemic affects our business, operations and financial results depends, and will continue to depend, on numerous evolving factors that we may not be able to accurately predict.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response to the pandemic, our top priority has been to take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and mandated distancing programs, employee temperature monitoring and requiring use of certain personal protective equipment at our U.S. headquarters and call centers in Mexico and Guatemala. Initially, we temporarily closed our Company-operated stores and implemented a mandatory work-at-home program for all of our administrative offices and employees in all countries where we operate. Starting in the second quarter, however, we started to allow office-based employees to work from our offices on a voluntary basis, while maintaining the option to work at home and, as of September 30, 2020, all Company-operated stores have been reopened with adjustments to ensure social distancing and facial covering requirements established by state and local regulations.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the operational challenges created by these measures, our business continues to function and, to date, our customer service has not been adversely affected in any material respect. Despite these efforts, the COVID-19 pandemic continues to pose the risk that we or our employees, sending and paying agents, as well as consumers and their beneficiaries, are or may become further restricted from conducting business activities, partially or completely, for an indefinite period of time, including due to shutdowns requested or mandated by governmental authorities or imposed by our management, or that the pandemic may otherwise interrupt or impair business activities. These risks could be magnified if the recent resurgence of COVID-19 illnesses continues or is not adequately contained and governmental authorities once again impose restrictions on commercial and social activities or businesses that employ our customers take actions that adversely affect the incomes of those employees.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operational changes noted above had only a limited effect on the Company’s financial results for the three and nine month periods ended September 30, 2020. Although we saw a slight year over year decrease in our volume of transactions at the beginning of the pandemic, the three months ended September 30, 2020 have shown a year-over-year increase in volume and transactions, including an all-time high for one-month sales in August. The economic effects of the pandemic caused increased foreign exchange volatility, particularly with respect to the Mexican peso, which has created additional operational challenges; however, the overall effect on our results of operations to date has been positive. Despite positive trends during the third quarter, we continue to monitor this evolving pandemic and its potential effects on the Company’s operations.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Although governmental authorities took measures that restricted the normal course of operations of businesses and consumers that were in place for much of the pandemic affected period, the Company and our sending agents are considered essential businesses under current federal guidance and such measures did not have a material adverse effect on the Company’s financial condition, results of operations and cash flows for the three and nine month periods ended September 30, 2020. Notwithstanding the foregoing,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dependent on future developments, including the duration of the pandemic and the related extent of its severity, as well as its impact on the economic conditions, particularly the level of</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unemployment of our customers, which remain uncertain and cannot be predicted at this time. If the global response to contain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quantification and discussion of these pandemic related effects, to the extent relevant and material, are included in the discussion of results of operations below.</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rapidly growing and leading money remittance services company focused primarily on the United States to Latin America and the Caribbean (“LAC”) corridor, which includes Mexico, Central and South America and the Caribbean. In 2019, we expanded our services to allow remittances to Africa from the United States and also began offering sending services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customers can send money to beneficiaries in 17 LAC countries, seven countries in Africa and two countries in Asia. Our services are accessible in person through over 100,000 sending and paying agents and Company-operated stores, as well as online and via Internet-enabled mobile devices. Additionally, we have expanded our product and service portfolio to include online payment options, pre-paid debit cards and direct deposit payroll cards, which may present different cost, demand, regulatory and risk profiles relative to our core remittance business.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We believe many of our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money remittance services enable our customers to send funds through our broad network of locations in the United States and Canada that are primarily operated by third-party businesses, as well as through 34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We currently operate in the United States, Mexico, Guatemala, Canada and 15 additional countries in LAC corridor, seven countries in Africa and two in Asia. Since January 2019 through September 30, 2020, we have grown our sending agent network by more than 13% and increased our remittance transactions volume by approximately 15%. In the three and nine months ended September 30, 2020, we processed approximately 8.5 million and 23.1 million remittances, respectively, representing approximately 13% and 10% growth in transactions, respectively, as compared to the same periods in 2019.</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non-bank financial institution in the United States, we are regulated by the Department of Treasury, the Internal Revenue Service, FinCEN, the Consumer Financial Protection Bureau (“CFPB”), the Department of Banking and Finance of the State of Florida and additionally by the various regulatory institutions of those states in which we hold an operating license. We are duly registered as a Money Service Business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laws; money transfer and payment instrument licensing laws; escheatment laws; privacy, data protection and information security laws, such as the Graham-Leach-Bliley Act (“GLBA”); and consumer disclosure and consumer protection laws, such as the California Consumer Privacy Act (“CCPA”).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Various trends and other factors have affected and may continue to affect our business, financial condition and operating results, including, but not limited to:</w:t>
      </w:r>
    </w:p>
    <w:p>
      <w:pPr>
        <w:spacing w:after="0" w:line="170" w:lineRule="exact"/>
        <w:rPr>
          <w:sz w:val="20"/>
          <w:szCs w:val="20"/>
          <w:color w:val="auto"/>
        </w:rPr>
      </w:pPr>
    </w:p>
    <w:p>
      <w:pPr>
        <w:ind w:left="980" w:right="4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and increased capital market volatility;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 and Canada;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 authentication;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Throughout 2020, Latin American political and economic conditions have remained unstable, as evidenced by high unemployment rates in key markets, currency reserves, currency controls, restricted lending activity, weak currencies, low consumer confidence and the impact of the COVID-19 pandemic, among other factors.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party for their daily needs; however, long-term sustained appreciation of the Mexican peso or Guatemalan quetzal as compared to the U.S. Dollar could negatively affect our revenues and profitability.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Wall Street Reform and Consumer Protection Act and similar regulations outside the United States. In coming periods, we expect these enhancements will continue to result in changes to certain of our business practices and may result in increased costs.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a regulatory compliance department, under the direction of our experienced Chief Administrative and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w:t>
      </w:r>
    </w:p>
    <w:p>
      <w:pPr>
        <w:sectPr>
          <w:pgSz w:w="11900" w:h="16838" w:orient="portrait"/>
          <w:cols w:equalWidth="0" w:num="1">
            <w:col w:w="11240"/>
          </w:cols>
          <w:pgMar w:left="320" w:top="125" w:right="339" w:bottom="1440" w:gutter="0" w:footer="0" w:header="0"/>
        </w:sectPr>
      </w:pP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structure and marketing efforts. As a philosophy, we sell credible solutions to our sending agents, not discounts or higher commissions, as is typical for the industry. We compete for money remittance customers on the basis of trust, convenience, service, efficiency of outlets, value, technology and brand recognition.</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expect to encounter increasing competition as new electronic platforms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in preparation for customer adoption.</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184" w:lineRule="exact"/>
        <w:rPr>
          <w:sz w:val="20"/>
          <w:szCs w:val="20"/>
          <w:color w:val="auto"/>
        </w:rPr>
      </w:pPr>
    </w:p>
    <w:p>
      <w:pPr>
        <w:ind w:left="980" w:right="2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exemption from the adoption of new or revised financial accounting standards until they would apply to private companies; and</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will remain an “emerging growth company” until the earlier of (1) the earliest of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 As of June 30, 2020, the market value of our common stock that is held by non-affiliates approximated $308.0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September 30, 2020, the Company entered into an underwriting agreement with certain selling stockholders and several underwriters relating to the underwritten public offering of 4.9 million shares of the Company’s common stock at a price to the public of $13.50 per share. The closing of the offering occurred on October 5, 2020. Also, on November 4, 2020, the underwriters completed the purchase of 0.7 million additional shares of common stock at the same price as the initial shares under a 30-day option granted by certain of the selling stockholders. The Company did not receive any of the proceeds from the offering. It did, however, incur approximately $0.5 million in certain costs, which are included in other selling, general and administrative expenses in the condensed consolidated statement of operations and comprehensive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Service charges and fees primarily consist of agent commissions and bank fees. Service charges and fees vary based on agent commission percentages and the amount of fees charged by the banks. Sending agents earn a commission on each transaction they process of approximately 50% of the transaction fee. Service charges and fees may increase if banks or payer organizations increase their fee structure or sending agents use higher fee methods to remit the funds to us. Service charges also vary based on the method the customer selects to send the transfer and payer organization that facilitates the transaction.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finance and human resources. Our sales team, located throughout the United States and Canada, is focused on supporting and growing our sending agent network.</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General and administrative expenses primarily consist of fixed overhead expenses associated with our operations, such as information technology, rent, insurance, professional services, non-income taxes, facilities maintenance and other similar types of expenses. A portion of these expenses relate to our 34 Company-operated stores; however, the majority relate to the overall business and compliance requirements of a regulated publicly traded financial services company. Selling expenses include expenses such as advertising and promotion, provision for bad debt and expenses associated with increasing our network of agents. These expenses are expected to continue to increase in line with increase in revenues.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largely consists of depreciation of computer equipment and software that supports our technology platform. Amortization of intangible assets is primarily related to our agent relationships, trade name and developed technology.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consists primarily of interest associated with our debt, which consists of a term loan and revolving credit facility. The effective interest rates for the nine months ended September 30, 2020 for the term loan facility and revolving credit facility were 5.93% and 0.99%, respectively. Interest on the term loan facility and revolving credit facility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income tax provision includes the expected benefit of all deferred tax assets, including our net operating loss carryforwards. With few exceptions, our net operating loss carryforwards will expire from 2029 through 2037. After consideration of all evidence, both positive and negative, management has determined that no valuation allowance is required at September 30, 2020 on the Company's U.S. federal or state deferred tax assets; however, a valuation allowance of $0.1 million as of September 30, 2020 has been recorded on deferred tax assets associated with Canadian net operating loss carryforwards. Our income tax provision reflects the effects of state taxes, non-deductible expenses, share-based compensation expenses, and foreign tax rates applicable to the Company’s foreign subsidiaries that are higher or lower than the U.S. statutory rate.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is determined by subtracting operating and non-operating expenses from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 various unaffiliated retail establishments and 34 Company-operated stores throughout the U.S. and Canada. This is based on the objectives</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of the business and how our chief operating decision maker, the CEO and President, monitors operating performance and allocates resources.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17"/>
                <w:szCs w:val="17"/>
                <w:color w:val="auto"/>
              </w:rPr>
            </w:pPr>
          </w:p>
        </w:tc>
        <w:tc>
          <w:tcPr>
            <w:tcW w:w="2180" w:type="dxa"/>
            <w:vAlign w:val="bottom"/>
            <w:gridSpan w:val="4"/>
          </w:tcPr>
          <w:p>
            <w:pPr>
              <w:jc w:val="right"/>
              <w:ind w:right="410"/>
              <w:spacing w:after="0"/>
              <w:rPr>
                <w:sz w:val="20"/>
                <w:szCs w:val="20"/>
                <w:color w:val="auto"/>
              </w:rPr>
            </w:pPr>
            <w:r>
              <w:rPr>
                <w:rFonts w:ascii="Arial" w:cs="Arial" w:eastAsia="Arial" w:hAnsi="Arial"/>
                <w:sz w:val="18"/>
                <w:szCs w:val="18"/>
                <w:color w:val="auto"/>
              </w:rPr>
              <w:t>Nine Months Ended</w:t>
            </w:r>
          </w:p>
        </w:tc>
      </w:tr>
      <w:tr>
        <w:trPr>
          <w:trHeight w:val="229"/>
        </w:trPr>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19"/>
                <w:szCs w:val="19"/>
                <w:color w:val="auto"/>
              </w:rPr>
            </w:pPr>
          </w:p>
        </w:tc>
        <w:tc>
          <w:tcPr>
            <w:tcW w:w="2180" w:type="dxa"/>
            <w:vAlign w:val="bottom"/>
            <w:gridSpan w:val="4"/>
          </w:tcPr>
          <w:p>
            <w:pPr>
              <w:jc w:val="right"/>
              <w:ind w:right="610"/>
              <w:spacing w:after="0"/>
              <w:rPr>
                <w:sz w:val="20"/>
                <w:szCs w:val="20"/>
                <w:color w:val="auto"/>
              </w:rPr>
            </w:pPr>
            <w:r>
              <w:rPr>
                <w:rFonts w:ascii="Arial" w:cs="Arial" w:eastAsia="Arial" w:hAnsi="Arial"/>
                <w:sz w:val="18"/>
                <w:szCs w:val="18"/>
                <w:color w:val="auto"/>
              </w:rPr>
              <w:t>September 30,</w:t>
            </w:r>
          </w:p>
        </w:tc>
      </w:tr>
      <w:tr>
        <w:trPr>
          <w:trHeight w:val="23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Wire transfer and money order fees,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82,646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72,468</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222,534</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201,410</w:t>
            </w:r>
          </w:p>
        </w:tc>
      </w:tr>
      <w:tr>
        <w:trPr>
          <w:trHeight w:val="229"/>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gain,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33,297</w:t>
            </w:r>
          </w:p>
        </w:tc>
      </w:tr>
      <w:tr>
        <w:trPr>
          <w:trHeight w:val="237"/>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r>
      <w:tr>
        <w:trPr>
          <w:trHeight w:val="229"/>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236,359</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156,510</w:t>
            </w: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22,806</w:t>
            </w: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20,850</w:t>
            </w:r>
          </w:p>
        </w:tc>
      </w:tr>
      <w:tr>
        <w:trPr>
          <w:trHeight w:val="237"/>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9,486</w:t>
            </w:r>
          </w:p>
        </w:tc>
      </w:tr>
      <w:tr>
        <w:trPr>
          <w:trHeight w:val="229"/>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209,652</w:t>
            </w:r>
          </w:p>
        </w:tc>
      </w:tr>
      <w:tr>
        <w:trPr>
          <w:trHeight w:val="270"/>
        </w:trPr>
        <w:tc>
          <w:tcPr>
            <w:tcW w:w="5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26,707</w:t>
            </w:r>
          </w:p>
        </w:tc>
      </w:tr>
      <w:tr>
        <w:trPr>
          <w:trHeight w:val="270"/>
        </w:trPr>
        <w:tc>
          <w:tcPr>
            <w:tcW w:w="5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r>
      <w:tr>
        <w:trPr>
          <w:trHeight w:val="257"/>
        </w:trPr>
        <w:tc>
          <w:tcPr>
            <w:tcW w:w="5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20,204</w:t>
            </w:r>
          </w:p>
        </w:tc>
      </w:tr>
      <w:tr>
        <w:trPr>
          <w:trHeight w:val="270"/>
        </w:trPr>
        <w:tc>
          <w:tcPr>
            <w:tcW w:w="5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r>
      <w:tr>
        <w:trPr>
          <w:trHeight w:val="257"/>
        </w:trPr>
        <w:tc>
          <w:tcPr>
            <w:tcW w:w="5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5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Three Months Ended September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above periods are presented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ind w:left="120" w:right="120"/>
        <w:spacing w:after="0" w:line="289" w:lineRule="auto"/>
        <w:rPr>
          <w:sz w:val="20"/>
          <w:szCs w:val="20"/>
          <w:color w:val="auto"/>
        </w:rPr>
      </w:pPr>
      <w:r>
        <w:rPr>
          <w:rFonts w:ascii="Arial" w:cs="Arial" w:eastAsia="Arial" w:hAnsi="Arial"/>
          <w:sz w:val="17"/>
          <w:szCs w:val="17"/>
          <w:color w:val="auto"/>
        </w:rPr>
        <w:t>Wire transfer and money order fees, net Foreign exchange gain, net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5"/>
              </w:rPr>
              <w:t>Three Months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5"/>
              </w:rPr>
              <w:t>Three Months</w:t>
            </w:r>
          </w:p>
        </w:tc>
        <w:tc>
          <w:tcPr>
            <w:tcW w:w="1240" w:type="dxa"/>
            <w:vAlign w:val="bottom"/>
          </w:tcPr>
          <w:p>
            <w:pPr>
              <w:spacing w:after="0"/>
              <w:rPr>
                <w:sz w:val="18"/>
                <w:szCs w:val="18"/>
                <w:color w:val="auto"/>
              </w:rPr>
            </w:pPr>
          </w:p>
        </w:tc>
      </w:tr>
      <w:tr>
        <w:trPr>
          <w:trHeight w:val="189"/>
        </w:trPr>
        <w:tc>
          <w:tcPr>
            <w:tcW w:w="150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w w:val="93"/>
              </w:rPr>
              <w:t>Ended September</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w w:val="93"/>
              </w:rPr>
              <w:t>Ended September</w:t>
            </w:r>
          </w:p>
        </w:tc>
        <w:tc>
          <w:tcPr>
            <w:tcW w:w="124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9"/>
              </w:rPr>
              <w:t>%</w:t>
            </w:r>
          </w:p>
        </w:tc>
      </w:tr>
      <w:tr>
        <w:trPr>
          <w:trHeight w:val="175"/>
        </w:trPr>
        <w:tc>
          <w:tcPr>
            <w:tcW w:w="180" w:type="dxa"/>
            <w:vAlign w:val="bottom"/>
          </w:tcPr>
          <w:p>
            <w:pPr>
              <w:spacing w:after="0"/>
              <w:rPr>
                <w:sz w:val="15"/>
                <w:szCs w:val="15"/>
                <w:color w:val="auto"/>
              </w:rPr>
            </w:pPr>
          </w:p>
        </w:tc>
        <w:tc>
          <w:tcPr>
            <w:tcW w:w="1320" w:type="dxa"/>
            <w:vAlign w:val="bottom"/>
          </w:tcPr>
          <w:p>
            <w:pPr>
              <w:jc w:val="right"/>
              <w:ind w:right="550"/>
              <w:spacing w:after="0" w:line="176" w:lineRule="exact"/>
              <w:rPr>
                <w:sz w:val="20"/>
                <w:szCs w:val="20"/>
                <w:color w:val="auto"/>
              </w:rPr>
            </w:pPr>
            <w:r>
              <w:rPr>
                <w:rFonts w:ascii="Arial" w:cs="Arial" w:eastAsia="Arial" w:hAnsi="Arial"/>
                <w:sz w:val="18"/>
                <w:szCs w:val="18"/>
                <w:color w:val="auto"/>
              </w:rPr>
              <w:t>30,</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rPr>
              <w:t>of</w:t>
            </w:r>
          </w:p>
        </w:tc>
        <w:tc>
          <w:tcPr>
            <w:tcW w:w="160" w:type="dxa"/>
            <w:vAlign w:val="bottom"/>
          </w:tcPr>
          <w:p>
            <w:pPr>
              <w:spacing w:after="0"/>
              <w:rPr>
                <w:sz w:val="15"/>
                <w:szCs w:val="15"/>
                <w:color w:val="auto"/>
              </w:rPr>
            </w:pPr>
          </w:p>
        </w:tc>
        <w:tc>
          <w:tcPr>
            <w:tcW w:w="1320" w:type="dxa"/>
            <w:vAlign w:val="bottom"/>
          </w:tcPr>
          <w:p>
            <w:pPr>
              <w:jc w:val="right"/>
              <w:ind w:right="530"/>
              <w:spacing w:after="0" w:line="176" w:lineRule="exact"/>
              <w:rPr>
                <w:sz w:val="20"/>
                <w:szCs w:val="20"/>
                <w:color w:val="auto"/>
              </w:rPr>
            </w:pPr>
            <w:r>
              <w:rPr>
                <w:rFonts w:ascii="Arial" w:cs="Arial" w:eastAsia="Arial" w:hAnsi="Arial"/>
                <w:sz w:val="18"/>
                <w:szCs w:val="18"/>
                <w:color w:val="auto"/>
              </w:rPr>
              <w:t>30,</w:t>
            </w:r>
          </w:p>
        </w:tc>
        <w:tc>
          <w:tcPr>
            <w:tcW w:w="1240" w:type="dxa"/>
            <w:vAlign w:val="bottom"/>
          </w:tcPr>
          <w:p>
            <w:pPr>
              <w:jc w:val="center"/>
              <w:ind w:left="30"/>
              <w:spacing w:after="0" w:line="176" w:lineRule="exact"/>
              <w:rPr>
                <w:sz w:val="20"/>
                <w:szCs w:val="20"/>
                <w:color w:val="auto"/>
              </w:rPr>
            </w:pPr>
            <w:r>
              <w:rPr>
                <w:rFonts w:ascii="Arial" w:cs="Arial" w:eastAsia="Arial" w:hAnsi="Arial"/>
                <w:sz w:val="18"/>
                <w:szCs w:val="18"/>
                <w:color w:val="auto"/>
              </w:rPr>
              <w:t>of</w:t>
            </w:r>
          </w:p>
        </w:tc>
      </w:tr>
      <w:tr>
        <w:trPr>
          <w:trHeight w:val="223"/>
        </w:trPr>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Revenues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240" w:type="dxa"/>
            <w:vAlign w:val="bottom"/>
          </w:tcPr>
          <w:p>
            <w:pPr>
              <w:jc w:val="center"/>
              <w:ind w:left="50"/>
              <w:spacing w:after="0"/>
              <w:rPr>
                <w:sz w:val="20"/>
                <w:szCs w:val="20"/>
                <w:color w:val="auto"/>
              </w:rPr>
            </w:pPr>
            <w:r>
              <w:rPr>
                <w:rFonts w:ascii="Arial" w:cs="Arial" w:eastAsia="Arial" w:hAnsi="Arial"/>
                <w:sz w:val="18"/>
                <w:szCs w:val="18"/>
                <w:color w:val="auto"/>
                <w:w w:val="86"/>
              </w:rPr>
              <w:t>Revenues</w:t>
            </w:r>
          </w:p>
        </w:tc>
      </w:tr>
      <w:tr>
        <w:trPr>
          <w:trHeight w:val="445"/>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82,646</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72,468</w:t>
            </w:r>
          </w:p>
        </w:tc>
        <w:tc>
          <w:tcPr>
            <w:tcW w:w="124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12,296</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12,272</w:t>
            </w:r>
          </w:p>
        </w:tc>
        <w:tc>
          <w:tcPr>
            <w:tcW w:w="12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7"/>
        </w:trPr>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95,594</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100 %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85,334</w:t>
            </w: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-779145</wp:posOffset>
            </wp:positionV>
            <wp:extent cx="597471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74715" cy="14541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-488315</wp:posOffset>
            </wp:positionV>
            <wp:extent cx="597471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-187960</wp:posOffset>
            </wp:positionV>
            <wp:extent cx="597471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3100" w:space="720"/>
            <w:col w:w="7420"/>
          </w:cols>
          <w:pgMar w:left="320" w:top="125" w:right="339" w:bottom="1440" w:gutter="0" w:footer="0" w:header="0"/>
          <w:type w:val="continuous"/>
        </w:sectPr>
      </w:pPr>
    </w:p>
    <w:p>
      <w:pPr>
        <w:jc w:val="both"/>
        <w:ind w:firstLine="648"/>
        <w:spacing w:after="0" w:line="259" w:lineRule="auto"/>
        <w:rPr>
          <w:sz w:val="20"/>
          <w:szCs w:val="20"/>
          <w:color w:val="auto"/>
        </w:rPr>
      </w:pPr>
      <w:r>
        <w:rPr>
          <w:rFonts w:ascii="Arial" w:cs="Arial" w:eastAsia="Arial" w:hAnsi="Arial"/>
          <w:sz w:val="18"/>
          <w:szCs w:val="18"/>
          <w:color w:val="auto"/>
        </w:rPr>
        <w:t>Wire transfer and money order fees, net of $82.6 million for the three months ended September 30, 2020 increased by $10.1 million from $72.5 million for the three months ended September 30, 2019. This increase of $10.1 million was primarily due to a 13% increase in transaction volume compared to the third quarter of 2019, largely due to the continued growth in our agent network, which has increased by 5% from September 2019 to September 2020.</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foreign exchange gain, net of $12.3 million for the three months ended September 30, 2020 remained consistent with $12.3 million for the three months ended September 30, 2019 due to lower foreign exchange volatility during the quarter.</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5"/>
              </w:rPr>
              <w:t>Three Months</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5"/>
              </w:rPr>
              <w:t>Three Months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46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w w:val="92"/>
              </w:rPr>
              <w:t>Ended September</w:t>
            </w:r>
          </w:p>
        </w:tc>
        <w:tc>
          <w:tcPr>
            <w:tcW w:w="1380" w:type="dxa"/>
            <w:vAlign w:val="bottom"/>
          </w:tcPr>
          <w:p>
            <w:pPr>
              <w:jc w:val="center"/>
              <w:spacing w:after="0" w:line="189" w:lineRule="exact"/>
              <w:rPr>
                <w:sz w:val="20"/>
                <w:szCs w:val="20"/>
                <w:color w:val="auto"/>
              </w:rPr>
            </w:pPr>
            <w:r>
              <w:rPr>
                <w:rFonts w:ascii="Arial" w:cs="Arial" w:eastAsia="Arial" w:hAnsi="Arial"/>
                <w:sz w:val="18"/>
                <w:szCs w:val="18"/>
                <w:color w:val="auto"/>
                <w:w w:val="87"/>
              </w:rPr>
              <w:t>%</w:t>
            </w:r>
          </w:p>
        </w:tc>
        <w:tc>
          <w:tcPr>
            <w:tcW w:w="14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w w:val="93"/>
              </w:rPr>
              <w:t>Ended September</w:t>
            </w:r>
          </w:p>
        </w:tc>
        <w:tc>
          <w:tcPr>
            <w:tcW w:w="1260" w:type="dxa"/>
            <w:vAlign w:val="bottom"/>
          </w:tcPr>
          <w:p>
            <w:pPr>
              <w:jc w:val="center"/>
              <w:ind w:left="1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4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15"/>
                <w:szCs w:val="15"/>
                <w:color w:val="auto"/>
              </w:rPr>
            </w:pPr>
          </w:p>
        </w:tc>
        <w:tc>
          <w:tcPr>
            <w:tcW w:w="1300" w:type="dxa"/>
            <w:vAlign w:val="bottom"/>
          </w:tcPr>
          <w:p>
            <w:pPr>
              <w:jc w:val="right"/>
              <w:ind w:right="530"/>
              <w:spacing w:after="0" w:line="176" w:lineRule="exact"/>
              <w:rPr>
                <w:sz w:val="20"/>
                <w:szCs w:val="20"/>
                <w:color w:val="auto"/>
              </w:rPr>
            </w:pPr>
            <w:r>
              <w:rPr>
                <w:rFonts w:ascii="Arial" w:cs="Arial" w:eastAsia="Arial" w:hAnsi="Arial"/>
                <w:sz w:val="18"/>
                <w:szCs w:val="18"/>
                <w:color w:val="auto"/>
              </w:rPr>
              <w:t>30,</w:t>
            </w:r>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w w:val="92"/>
              </w:rPr>
              <w:t>of</w:t>
            </w:r>
          </w:p>
        </w:tc>
        <w:tc>
          <w:tcPr>
            <w:tcW w:w="160" w:type="dxa"/>
            <w:vAlign w:val="bottom"/>
          </w:tcPr>
          <w:p>
            <w:pPr>
              <w:spacing w:after="0"/>
              <w:rPr>
                <w:sz w:val="15"/>
                <w:szCs w:val="15"/>
                <w:color w:val="auto"/>
              </w:rPr>
            </w:pPr>
          </w:p>
        </w:tc>
        <w:tc>
          <w:tcPr>
            <w:tcW w:w="1320" w:type="dxa"/>
            <w:vAlign w:val="bottom"/>
          </w:tcPr>
          <w:p>
            <w:pPr>
              <w:jc w:val="right"/>
              <w:ind w:right="550"/>
              <w:spacing w:after="0" w:line="176" w:lineRule="exact"/>
              <w:rPr>
                <w:sz w:val="20"/>
                <w:szCs w:val="20"/>
                <w:color w:val="auto"/>
              </w:rPr>
            </w:pPr>
            <w:r>
              <w:rPr>
                <w:rFonts w:ascii="Arial" w:cs="Arial" w:eastAsia="Arial" w:hAnsi="Arial"/>
                <w:sz w:val="18"/>
                <w:szCs w:val="18"/>
                <w:color w:val="auto"/>
              </w:rPr>
              <w:t>30,</w:t>
            </w:r>
          </w:p>
        </w:tc>
        <w:tc>
          <w:tcPr>
            <w:tcW w:w="1260" w:type="dxa"/>
            <w:vAlign w:val="bottom"/>
          </w:tcPr>
          <w:p>
            <w:pPr>
              <w:jc w:val="center"/>
              <w:ind w:left="10"/>
              <w:spacing w:after="0" w:line="176" w:lineRule="exact"/>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Revenues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Revenues</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63,904</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8,084</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7,612</w:t>
            </w:r>
          </w:p>
        </w:tc>
        <w:tc>
          <w:tcPr>
            <w:tcW w:w="12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13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3 %</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4"/>
        </w:trPr>
        <w:tc>
          <w:tcPr>
            <w:tcW w:w="4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81,022</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$63.9 million, or 67% of revenues,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compared to $56.3 million, or 66% of revenues, for the three months ended September 30, 2019. The increase of $7.6 million was primarily due to the increase in transaction volume described above.</w:t>
      </w:r>
    </w:p>
    <w:p>
      <w:pPr>
        <w:spacing w:after="0" w:line="184"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i w:val="1"/>
          <w:iCs w:val="1"/>
          <w:color w:val="auto"/>
        </w:rPr>
        <w:t xml:space="preserve">Salaries and benefits </w:t>
      </w:r>
      <w:r>
        <w:rPr>
          <w:rFonts w:ascii="Arial" w:cs="Arial" w:eastAsia="Arial" w:hAnsi="Arial"/>
          <w:sz w:val="17"/>
          <w:szCs w:val="17"/>
          <w:color w:val="auto"/>
        </w:rPr>
        <w:t>— Salaries and benefits of $8.1 million for the three months ended September 30, 2020 increased by $0.5 million from $7.6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September 30, 2019. The increase of $0.5 million is primarily due to $0.6 million in increased wages to support the continued growth of our business and $0.2 increase in stock based compensation. These increases are offset by a $0.3 million decrease in commission expense for our representatives primarily due to a lower than expected gross margin achieved compared to established goals.</w:t>
      </w:r>
    </w:p>
    <w:p>
      <w:pPr>
        <w:spacing w:after="0" w:line="171"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$6.3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decreased by $3.5 million from $9.8 million for the three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the result of:</w:t>
      </w:r>
    </w:p>
    <w:p>
      <w:pPr>
        <w:spacing w:after="0" w:line="225" w:lineRule="exact"/>
        <w:rPr>
          <w:sz w:val="20"/>
          <w:szCs w:val="20"/>
          <w:color w:val="auto"/>
        </w:rPr>
      </w:pPr>
    </w:p>
    <w:p>
      <w:pPr>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$3.3 million - nonrecurrence of settlement and legal fees associated with a Telephone Consumer Protection Act of 1991 (“TCPA”) class action lawsuit in 2019;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$0.3 million - reduction in advertising and promotion expense due to a change in marketing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$0.3 million - lower legal and professional fees in connection with secondary offerings of the Company’s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$0.3 million - decrease in travel expenses due to reduced employee travel during the COVID-19 pandemic.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$0.4 million - higher IT related expenses incurred to sustain our business expansion;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$0.3 million - loss incurred in the closure of a financial institution in Mexico.</w:t>
      </w:r>
    </w:p>
    <w:p>
      <w:pPr>
        <w:spacing w:after="0" w:line="238"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$2.7 million for the three months ended September 30, 2020 decreased by $0.5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$3.2 million for the three months ended September 30, 2019. This decrease is mainly due to $0.6 million less amortization related to our trade name, developed technology and agent relationships during the third quarter of 2020 as these intangibles are being amortized on an accelerated basis, which declines over time. This decrease was partially offset by an increase in depreciation of $0.1 million associated primarily with additional computer equipment to support our growing business and sending agent network.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of $1.5 million for the three months ended September 30, 2020 decreased by $0.6 million from $2.1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2019. The decrease of $0.6 million was primarily due to a reduction in interest rates paid under the Credit Agreement (as defined below) and lower drawings under the revolving credit facility.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of $3.5 million for the three months ended September 30, 2020 increased by $1.2 million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provision of $2.3 million for the three months ended September 30, 2019. The increase in the income tax provision was mainly attributable to higher taxable income resulting from higher revenues.</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reported net income of $9.5 million for the three months ended September 30, 2020 compared to net income of $4.0 million for the three months ended September 30, 2019, representing an increase of $5.5 million or 138%, due to the same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acquisition activity, which varies from period to period and amortization of intangibles expense is primarily related to the effects of push down accounting resulting from our 2018 merger.</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present these non-GAAP financial measures because we believe they are frequently used by analysts, investors and other interested parties to evaluate companies in our industry. Further,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particular, Adjusted EBITDA is subject to certain limitations, including the following: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amounts necessary to service interest or principal payments on our Credit Agreement;</w:t>
      </w:r>
    </w:p>
    <w:p>
      <w:pPr>
        <w:spacing w:after="0" w:line="2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adjust for these limitations by relying primarily on our GAAP results and using Adjusted EBITDA, as well as our other non-GAAP financial measures, only as supplemental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Adjusted Net Income is defined as net income adjusted to add back certain charges and expenses, such as non-cash amortization of intangible assets resulting from push-down accounting, which will recur in future periods until these assets have been fully amortized, and excludes the amortization of other intangible assets related to the acquisition of Company-operated stores, non-cash compensation costs, litigation settlements and other items set forth in the table below, as these charges and expenses are not considered a part of our core business operations and are not an indicator of ongoing, future company performance.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Adjusted Earnings per Share - Basic and Diluted is calculated by dividing Adjusted Net Income by GAAP weighted-average common shares outstanding (basic and diluted).</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Adjusted Net Income for the three months ended September 30, 2020 was $12.2 million, representing an increase of $2.7 million, or 28%, from Adjusted Net Income of $9.5 million for the three months ended September 30, 2019. The increase in Adjusted Net Income was primarily due to the increase in revenues of $10.3 million, offset primarily by an increase in service charges from agents and banks of $7.6 million due to higher transaction volume.</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1"/>
              </w:rPr>
              <w:t>Three Months Ended September 30,</w:t>
            </w:r>
          </w:p>
        </w:tc>
      </w:tr>
      <w:tr>
        <w:trPr>
          <w:trHeight w:val="23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4,038</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Offering costs (b)</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TCPA settlement (c)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Loss on bank closure (d)</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charges and expenses (e)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240" w:type="dxa"/>
            <w:vAlign w:val="bottom"/>
          </w:tcPr>
          <w:p>
            <w:pPr>
              <w:ind w:left="120"/>
              <w:spacing w:after="0"/>
              <w:rPr>
                <w:sz w:val="20"/>
                <w:szCs w:val="20"/>
                <w:color w:val="auto"/>
              </w:rPr>
            </w:pPr>
            <w:r>
              <w:rPr>
                <w:rFonts w:ascii="Arial" w:cs="Arial" w:eastAsia="Arial" w:hAnsi="Arial"/>
                <w:sz w:val="18"/>
                <w:szCs w:val="18"/>
                <w:color w:val="auto"/>
              </w:rPr>
              <w:t>Amortization of intangibles (f)</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2,312</w:t>
            </w:r>
          </w:p>
        </w:tc>
      </w:tr>
      <w:tr>
        <w:trPr>
          <w:trHeight w:val="237"/>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related to adjustments (g)</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9,540</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70"/>
        </w:trPr>
        <w:tc>
          <w:tcPr>
            <w:tcW w:w="6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24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38,050,610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37,984,316</w:t>
            </w: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38,652,707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38,286,702</w:t>
            </w:r>
          </w:p>
        </w:tc>
      </w:tr>
    </w:tbl>
    <w:p>
      <w:pPr>
        <w:spacing w:after="0" w:line="8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Stock options and restricted stock were granted to employees and independent directors of the Company.</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expenses incurred for professional and legal fees in connection with secondary offerings of the Company’s common stock.</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legal fees and charge for the settlement of a class action lawsuit related to the TCPA.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 loss during the three months ended September 30, 2020 related to the closure of a financial institution in Mexico.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loss on disposal of fixed assets and foreign currency (gains) losses.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amortization of certain intangible assets that resulted from the application of push-down accounting.</w:t>
      </w:r>
    </w:p>
    <w:p>
      <w:pPr>
        <w:spacing w:after="0" w:line="1" w:lineRule="exact"/>
        <w:rPr>
          <w:rFonts w:ascii="Arial" w:cs="Arial" w:eastAsia="Arial" w:hAnsi="Arial"/>
          <w:sz w:val="14"/>
          <w:szCs w:val="14"/>
          <w:color w:val="auto"/>
        </w:rPr>
      </w:pPr>
    </w:p>
    <w:p>
      <w:pPr>
        <w:ind w:left="340" w:hanging="332"/>
        <w:spacing w:after="0" w:line="255"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379" w:lineRule="exact"/>
        <w:rPr>
          <w:sz w:val="20"/>
          <w:szCs w:val="20"/>
          <w:color w:val="auto"/>
        </w:rPr>
      </w:pPr>
    </w:p>
    <w:p>
      <w:pPr>
        <w:ind w:firstLine="607"/>
        <w:spacing w:after="0" w:line="277" w:lineRule="auto"/>
        <w:rPr>
          <w:sz w:val="20"/>
          <w:szCs w:val="20"/>
          <w:color w:val="auto"/>
        </w:rPr>
      </w:pPr>
      <w:r>
        <w:rPr>
          <w:rFonts w:ascii="Arial" w:cs="Arial" w:eastAsia="Arial" w:hAnsi="Arial"/>
          <w:sz w:val="18"/>
          <w:szCs w:val="18"/>
          <w:color w:val="auto"/>
        </w:rPr>
        <w:t>Adjusted Earnings per Share - Basic and Diluted for the three months ended September 30, 2020 was $0.32, representing an increase of $0.07, or 28%, compared to $0.25 for the three months ended September 30, 2019.</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GAAP Earnings per Share, our closest GAAP measure, to Adjusted Earnings per Share: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980" w:type="dxa"/>
            <w:vAlign w:val="bottom"/>
            <w:gridSpan w:val="6"/>
          </w:tcPr>
          <w:p>
            <w:pPr>
              <w:ind w:left="280"/>
              <w:spacing w:after="0"/>
              <w:rPr>
                <w:sz w:val="20"/>
                <w:szCs w:val="20"/>
                <w:color w:val="auto"/>
              </w:rPr>
            </w:pPr>
            <w:r>
              <w:rPr>
                <w:rFonts w:ascii="Arial" w:cs="Arial" w:eastAsia="Arial" w:hAnsi="Arial"/>
                <w:sz w:val="18"/>
                <w:szCs w:val="18"/>
                <w:color w:val="auto"/>
              </w:rPr>
              <w:t>Three Months Ended September 30,</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Earnings per Share - Basic and Diluted</w:t>
            </w:r>
          </w:p>
        </w:tc>
        <w:tc>
          <w:tcPr>
            <w:tcW w:w="1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1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0.01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TCPA settlement</w:t>
            </w:r>
          </w:p>
        </w:tc>
        <w:tc>
          <w:tcPr>
            <w:tcW w:w="1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Arial" w:cs="Arial" w:eastAsia="Arial" w:hAnsi="Arial"/>
                <w:sz w:val="18"/>
                <w:szCs w:val="18"/>
                <w:color w:val="auto"/>
              </w:rPr>
              <w:t>Loss on bank closure</w:t>
            </w: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0.01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charges and expenses</w:t>
            </w:r>
          </w:p>
        </w:tc>
        <w:tc>
          <w:tcPr>
            <w:tcW w:w="1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0.04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0.06</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related to adjustments</w:t>
            </w:r>
          </w:p>
        </w:tc>
        <w:tc>
          <w:tcPr>
            <w:tcW w:w="1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 - Basic and Diluted</w:t>
            </w:r>
          </w:p>
        </w:tc>
        <w:tc>
          <w:tcPr>
            <w:tcW w:w="1440" w:type="dxa"/>
            <w:vAlign w:val="bottom"/>
          </w:tcPr>
          <w:p>
            <w:pPr>
              <w:spacing w:after="0"/>
              <w:rPr>
                <w:sz w:val="18"/>
                <w:szCs w:val="18"/>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0.32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0.25</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40" w:type="dxa"/>
            <w:vAlign w:val="bottom"/>
            <w:vMerge w:val="restart"/>
          </w:tcPr>
          <w:p>
            <w:pPr>
              <w:jc w:val="right"/>
              <w:ind w:right="130"/>
              <w:spacing w:after="0"/>
              <w:rPr>
                <w:sz w:val="20"/>
                <w:szCs w:val="20"/>
                <w:color w:val="auto"/>
              </w:rPr>
            </w:pPr>
            <w:r>
              <w:rPr>
                <w:rFonts w:ascii="Arial" w:cs="Arial" w:eastAsia="Arial" w:hAnsi="Arial"/>
                <w:sz w:val="18"/>
                <w:szCs w:val="18"/>
                <w:color w:val="auto"/>
              </w:rPr>
              <w:t>28</w:t>
            </w: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48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8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 - Per share amounts are not meaningful.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are not an indicator of ongoing, future company performance.</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for the three months ended September 30, 2020 was $19.1 million, representing an increase of $2.6 million, or 16%, from $16.5 million for the three months ended September 30, 2019. The increase in Adjusted EBITDA was primarily due to the increase in revenues of $10.3 million, offset primarily by an increase in service charges from agents and banks of $7.6 million due to an increase in transaction volume.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2"/>
              </w:rPr>
              <w:t>Three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4,038</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r>
      <w:tr>
        <w:trPr>
          <w:trHeight w:val="229"/>
        </w:trPr>
        <w:tc>
          <w:tcPr>
            <w:tcW w:w="624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2,253</w:t>
            </w:r>
          </w:p>
        </w:tc>
      </w:tr>
      <w:tr>
        <w:trPr>
          <w:trHeight w:val="250"/>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17,270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11,615</w:t>
            </w: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6240" w:type="dxa"/>
            <w:vAlign w:val="bottom"/>
          </w:tcPr>
          <w:p>
            <w:pPr>
              <w:ind w:left="120"/>
              <w:spacing w:after="0"/>
              <w:rPr>
                <w:sz w:val="20"/>
                <w:szCs w:val="20"/>
                <w:color w:val="auto"/>
              </w:rPr>
            </w:pPr>
            <w:r>
              <w:rPr>
                <w:rFonts w:ascii="Arial" w:cs="Arial" w:eastAsia="Arial" w:hAnsi="Arial"/>
                <w:sz w:val="18"/>
                <w:szCs w:val="18"/>
                <w:color w:val="auto"/>
              </w:rPr>
              <w:t>Offering costs (b)</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TCPA settlement (c)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29"/>
        </w:trPr>
        <w:tc>
          <w:tcPr>
            <w:tcW w:w="6240" w:type="dxa"/>
            <w:vAlign w:val="bottom"/>
          </w:tcPr>
          <w:p>
            <w:pPr>
              <w:ind w:left="120"/>
              <w:spacing w:after="0"/>
              <w:rPr>
                <w:sz w:val="20"/>
                <w:szCs w:val="20"/>
                <w:color w:val="auto"/>
              </w:rPr>
            </w:pPr>
            <w:r>
              <w:rPr>
                <w:rFonts w:ascii="Arial" w:cs="Arial" w:eastAsia="Arial" w:hAnsi="Arial"/>
                <w:sz w:val="18"/>
                <w:szCs w:val="18"/>
                <w:color w:val="auto"/>
              </w:rPr>
              <w:t>Loss on bank closure (d)</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 (e)</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16,459</w:t>
            </w: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Stock options and restricted stock were granted to employees and independent directors of the Company.</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expenses incurred for professional and legal fees in connection with secondary offerings for the Company’s common stock.</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legal fees and charge for the settlement of a class action lawsuit related to the TCPA.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 loss in the three months ended September 30, 2020 related to the closure of a financial institution in Mexico.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loss on disposal of fixed assets and foreign currency (gains) losses.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Compared to Nine Months Ended September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above periods are presented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ind w:left="120" w:right="120"/>
        <w:spacing w:after="0" w:line="289" w:lineRule="auto"/>
        <w:rPr>
          <w:sz w:val="20"/>
          <w:szCs w:val="20"/>
          <w:color w:val="auto"/>
        </w:rPr>
      </w:pPr>
      <w:r>
        <w:rPr>
          <w:rFonts w:ascii="Arial" w:cs="Arial" w:eastAsia="Arial" w:hAnsi="Arial"/>
          <w:sz w:val="17"/>
          <w:szCs w:val="17"/>
          <w:color w:val="auto"/>
        </w:rPr>
        <w:t>Wire transfer and money order fees, net Foreign exchange gain, net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w w:val="98"/>
              </w:rPr>
              <w:t>Nine Months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Nine Months</w:t>
            </w:r>
          </w:p>
        </w:tc>
        <w:tc>
          <w:tcPr>
            <w:tcW w:w="1240" w:type="dxa"/>
            <w:vAlign w:val="bottom"/>
          </w:tcPr>
          <w:p>
            <w:pPr>
              <w:spacing w:after="0"/>
              <w:rPr>
                <w:sz w:val="18"/>
                <w:szCs w:val="18"/>
                <w:color w:val="auto"/>
              </w:rPr>
            </w:pPr>
          </w:p>
        </w:tc>
      </w:tr>
      <w:tr>
        <w:trPr>
          <w:trHeight w:val="189"/>
        </w:trPr>
        <w:tc>
          <w:tcPr>
            <w:tcW w:w="150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w w:val="93"/>
              </w:rPr>
              <w:t>Ended September</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w w:val="93"/>
              </w:rPr>
              <w:t>Ended September</w:t>
            </w:r>
          </w:p>
        </w:tc>
        <w:tc>
          <w:tcPr>
            <w:tcW w:w="124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9"/>
              </w:rPr>
              <w:t>%</w:t>
            </w:r>
          </w:p>
        </w:tc>
      </w:tr>
      <w:tr>
        <w:trPr>
          <w:trHeight w:val="176"/>
        </w:trPr>
        <w:tc>
          <w:tcPr>
            <w:tcW w:w="200" w:type="dxa"/>
            <w:vAlign w:val="bottom"/>
          </w:tcPr>
          <w:p>
            <w:pPr>
              <w:spacing w:after="0"/>
              <w:rPr>
                <w:sz w:val="15"/>
                <w:szCs w:val="15"/>
                <w:color w:val="auto"/>
              </w:rPr>
            </w:pPr>
          </w:p>
        </w:tc>
        <w:tc>
          <w:tcPr>
            <w:tcW w:w="1300" w:type="dxa"/>
            <w:vAlign w:val="bottom"/>
          </w:tcPr>
          <w:p>
            <w:pPr>
              <w:jc w:val="right"/>
              <w:ind w:right="550"/>
              <w:spacing w:after="0" w:line="176" w:lineRule="exact"/>
              <w:rPr>
                <w:sz w:val="20"/>
                <w:szCs w:val="20"/>
                <w:color w:val="auto"/>
              </w:rPr>
            </w:pPr>
            <w:r>
              <w:rPr>
                <w:rFonts w:ascii="Arial" w:cs="Arial" w:eastAsia="Arial" w:hAnsi="Arial"/>
                <w:sz w:val="18"/>
                <w:szCs w:val="18"/>
                <w:color w:val="auto"/>
              </w:rPr>
              <w:t>30,</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rPr>
              <w:t>of</w:t>
            </w:r>
          </w:p>
        </w:tc>
        <w:tc>
          <w:tcPr>
            <w:tcW w:w="180" w:type="dxa"/>
            <w:vAlign w:val="bottom"/>
          </w:tcPr>
          <w:p>
            <w:pPr>
              <w:spacing w:after="0"/>
              <w:rPr>
                <w:sz w:val="15"/>
                <w:szCs w:val="15"/>
                <w:color w:val="auto"/>
              </w:rPr>
            </w:pPr>
          </w:p>
        </w:tc>
        <w:tc>
          <w:tcPr>
            <w:tcW w:w="1300" w:type="dxa"/>
            <w:vAlign w:val="bottom"/>
          </w:tcPr>
          <w:p>
            <w:pPr>
              <w:jc w:val="right"/>
              <w:ind w:right="530"/>
              <w:spacing w:after="0" w:line="176" w:lineRule="exact"/>
              <w:rPr>
                <w:sz w:val="20"/>
                <w:szCs w:val="20"/>
                <w:color w:val="auto"/>
              </w:rPr>
            </w:pPr>
            <w:r>
              <w:rPr>
                <w:rFonts w:ascii="Arial" w:cs="Arial" w:eastAsia="Arial" w:hAnsi="Arial"/>
                <w:sz w:val="18"/>
                <w:szCs w:val="18"/>
                <w:color w:val="auto"/>
              </w:rPr>
              <w:t>30,</w:t>
            </w:r>
          </w:p>
        </w:tc>
        <w:tc>
          <w:tcPr>
            <w:tcW w:w="1240" w:type="dxa"/>
            <w:vAlign w:val="bottom"/>
          </w:tcPr>
          <w:p>
            <w:pPr>
              <w:jc w:val="center"/>
              <w:ind w:left="30"/>
              <w:spacing w:after="0" w:line="176" w:lineRule="exact"/>
              <w:rPr>
                <w:sz w:val="20"/>
                <w:szCs w:val="20"/>
                <w:color w:val="auto"/>
              </w:rPr>
            </w:pPr>
            <w:r>
              <w:rPr>
                <w:rFonts w:ascii="Arial" w:cs="Arial" w:eastAsia="Arial" w:hAnsi="Arial"/>
                <w:sz w:val="18"/>
                <w:szCs w:val="18"/>
                <w:color w:val="auto"/>
              </w:rPr>
              <w:t>of</w:t>
            </w:r>
          </w:p>
        </w:tc>
      </w:tr>
      <w:tr>
        <w:trPr>
          <w:trHeight w:val="223"/>
        </w:trPr>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Revenues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240" w:type="dxa"/>
            <w:vAlign w:val="bottom"/>
          </w:tcPr>
          <w:p>
            <w:pPr>
              <w:jc w:val="center"/>
              <w:ind w:left="50"/>
              <w:spacing w:after="0"/>
              <w:rPr>
                <w:sz w:val="20"/>
                <w:szCs w:val="20"/>
                <w:color w:val="auto"/>
              </w:rPr>
            </w:pPr>
            <w:r>
              <w:rPr>
                <w:rFonts w:ascii="Arial" w:cs="Arial" w:eastAsia="Arial" w:hAnsi="Arial"/>
                <w:sz w:val="18"/>
                <w:szCs w:val="18"/>
                <w:color w:val="auto"/>
                <w:w w:val="86"/>
              </w:rPr>
              <w:t>Revenues</w:t>
            </w:r>
          </w:p>
        </w:tc>
      </w:tr>
      <w:tr>
        <w:trPr>
          <w:trHeight w:val="445"/>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222,534</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201,410</w:t>
            </w:r>
          </w:p>
        </w:tc>
        <w:tc>
          <w:tcPr>
            <w:tcW w:w="124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33,510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33,297</w:t>
            </w:r>
          </w:p>
        </w:tc>
        <w:tc>
          <w:tcPr>
            <w:tcW w:w="12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7"/>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257,907</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100 %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236,359</w:t>
            </w: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-779780</wp:posOffset>
            </wp:positionV>
            <wp:extent cx="597471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-487680</wp:posOffset>
            </wp:positionV>
            <wp:extent cx="597471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-187960</wp:posOffset>
            </wp:positionV>
            <wp:extent cx="597471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3100" w:space="720"/>
            <w:col w:w="7420"/>
          </w:cols>
          <w:pgMar w:left="320" w:top="125" w:right="339" w:bottom="1440" w:gutter="0" w:footer="0" w:header="0"/>
          <w:type w:val="continuous"/>
        </w:sectPr>
      </w:pPr>
    </w:p>
    <w:p>
      <w:pPr>
        <w:jc w:val="both"/>
        <w:ind w:firstLine="648"/>
        <w:spacing w:after="0" w:line="259" w:lineRule="auto"/>
        <w:rPr>
          <w:sz w:val="20"/>
          <w:szCs w:val="20"/>
          <w:color w:val="auto"/>
        </w:rPr>
      </w:pPr>
      <w:r>
        <w:rPr>
          <w:rFonts w:ascii="Arial" w:cs="Arial" w:eastAsia="Arial" w:hAnsi="Arial"/>
          <w:sz w:val="18"/>
          <w:szCs w:val="18"/>
          <w:color w:val="auto"/>
        </w:rPr>
        <w:t>Wire transfer and money order fees, net of $222.5 million for the nine months ended September 30, 2020 increased by $21.1 million from $201.4 million for the nine months ended September 30, 2019. This increase of $21.1 million was primarily due to a 10% increase in transaction volume compared to the nine months ended September 30, 2019, largely due to the continued growth in our agent network, which has increased by 5% from September 2019 to September 2020.</w:t>
      </w:r>
    </w:p>
    <w:p>
      <w:pPr>
        <w:sectPr>
          <w:pgSz w:w="11900" w:h="16838" w:orient="portrait"/>
          <w:cols w:equalWidth="0" w:num="1">
            <w:col w:w="11240"/>
          </w:cols>
          <w:pgMar w:left="320" w:top="125" w:right="339" w:bottom="1440" w:gutter="0" w:footer="0" w:header="0"/>
          <w:type w:val="continuous"/>
        </w:sectPr>
      </w:pP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from foreign exchange gain, net of $33.5 million for the nine months ended September 30, 2020 increased by $0.2 million from $33.3 million for the nine months ended September 30, 2019. This increase was primarily due to higher transaction volume resulting from growth in our agent network and a higher average amount sent by our customers as a result of increased foreign exchange volatility due to the pandemic for the first half of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8"/>
              </w:rPr>
              <w:t>Nine Months</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w w:val="98"/>
              </w:rPr>
              <w:t>Nine Months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46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w w:val="92"/>
              </w:rPr>
              <w:t>Ended September</w:t>
            </w:r>
          </w:p>
        </w:tc>
        <w:tc>
          <w:tcPr>
            <w:tcW w:w="1380" w:type="dxa"/>
            <w:vAlign w:val="bottom"/>
          </w:tcPr>
          <w:p>
            <w:pPr>
              <w:jc w:val="center"/>
              <w:spacing w:after="0" w:line="189" w:lineRule="exact"/>
              <w:rPr>
                <w:sz w:val="20"/>
                <w:szCs w:val="20"/>
                <w:color w:val="auto"/>
              </w:rPr>
            </w:pPr>
            <w:r>
              <w:rPr>
                <w:rFonts w:ascii="Arial" w:cs="Arial" w:eastAsia="Arial" w:hAnsi="Arial"/>
                <w:sz w:val="18"/>
                <w:szCs w:val="18"/>
                <w:color w:val="auto"/>
                <w:w w:val="87"/>
              </w:rPr>
              <w:t>%</w:t>
            </w:r>
          </w:p>
        </w:tc>
        <w:tc>
          <w:tcPr>
            <w:tcW w:w="14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w w:val="93"/>
              </w:rPr>
              <w:t>Ended September</w:t>
            </w:r>
          </w:p>
        </w:tc>
        <w:tc>
          <w:tcPr>
            <w:tcW w:w="1260" w:type="dxa"/>
            <w:vAlign w:val="bottom"/>
          </w:tcPr>
          <w:p>
            <w:pPr>
              <w:jc w:val="center"/>
              <w:ind w:left="1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4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15"/>
                <w:szCs w:val="15"/>
                <w:color w:val="auto"/>
              </w:rPr>
            </w:pPr>
          </w:p>
        </w:tc>
        <w:tc>
          <w:tcPr>
            <w:tcW w:w="1280" w:type="dxa"/>
            <w:vAlign w:val="bottom"/>
          </w:tcPr>
          <w:p>
            <w:pPr>
              <w:jc w:val="right"/>
              <w:ind w:right="530"/>
              <w:spacing w:after="0" w:line="176" w:lineRule="exact"/>
              <w:rPr>
                <w:sz w:val="20"/>
                <w:szCs w:val="20"/>
                <w:color w:val="auto"/>
              </w:rPr>
            </w:pPr>
            <w:r>
              <w:rPr>
                <w:rFonts w:ascii="Arial" w:cs="Arial" w:eastAsia="Arial" w:hAnsi="Arial"/>
                <w:sz w:val="18"/>
                <w:szCs w:val="18"/>
                <w:color w:val="auto"/>
              </w:rPr>
              <w:t>30,</w:t>
            </w:r>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w w:val="92"/>
              </w:rPr>
              <w:t>of</w:t>
            </w:r>
          </w:p>
        </w:tc>
        <w:tc>
          <w:tcPr>
            <w:tcW w:w="180" w:type="dxa"/>
            <w:vAlign w:val="bottom"/>
          </w:tcPr>
          <w:p>
            <w:pPr>
              <w:spacing w:after="0"/>
              <w:rPr>
                <w:sz w:val="15"/>
                <w:szCs w:val="15"/>
                <w:color w:val="auto"/>
              </w:rPr>
            </w:pPr>
          </w:p>
        </w:tc>
        <w:tc>
          <w:tcPr>
            <w:tcW w:w="1300" w:type="dxa"/>
            <w:vAlign w:val="bottom"/>
          </w:tcPr>
          <w:p>
            <w:pPr>
              <w:jc w:val="right"/>
              <w:ind w:right="550"/>
              <w:spacing w:after="0" w:line="176" w:lineRule="exact"/>
              <w:rPr>
                <w:sz w:val="20"/>
                <w:szCs w:val="20"/>
                <w:color w:val="auto"/>
              </w:rPr>
            </w:pPr>
            <w:r>
              <w:rPr>
                <w:rFonts w:ascii="Arial" w:cs="Arial" w:eastAsia="Arial" w:hAnsi="Arial"/>
                <w:sz w:val="18"/>
                <w:szCs w:val="18"/>
                <w:color w:val="auto"/>
              </w:rPr>
              <w:t>30,</w:t>
            </w:r>
          </w:p>
        </w:tc>
        <w:tc>
          <w:tcPr>
            <w:tcW w:w="1260" w:type="dxa"/>
            <w:vAlign w:val="bottom"/>
          </w:tcPr>
          <w:p>
            <w:pPr>
              <w:jc w:val="center"/>
              <w:ind w:left="10"/>
              <w:spacing w:after="0" w:line="176" w:lineRule="exact"/>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Revenues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Revenues</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172,403</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156,510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22,512</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9 %</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22,806</w:t>
            </w:r>
          </w:p>
        </w:tc>
        <w:tc>
          <w:tcPr>
            <w:tcW w:w="12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7 %</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w:t>
            </w:r>
          </w:p>
        </w:tc>
        <w:tc>
          <w:tcPr>
            <w:tcW w:w="13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3 %</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9,486</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4"/>
        </w:trPr>
        <w:tc>
          <w:tcPr>
            <w:tcW w:w="4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219,821</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85 %</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209,652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$172.4 million, or 67% of revenues,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compared to $156.5 million, or 66% of revenues, for the nine months ended September 30, 2019. The increase of $15.9 million was primarily due to the increase in transaction volume described above.</w:t>
      </w:r>
    </w:p>
    <w:p>
      <w:pPr>
        <w:spacing w:after="0" w:line="184"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i w:val="1"/>
          <w:iCs w:val="1"/>
          <w:color w:val="auto"/>
        </w:rPr>
        <w:t xml:space="preserve">Salaries and benefits </w:t>
      </w:r>
      <w:r>
        <w:rPr>
          <w:rFonts w:ascii="Arial" w:cs="Arial" w:eastAsia="Arial" w:hAnsi="Arial"/>
          <w:sz w:val="18"/>
          <w:szCs w:val="18"/>
          <w:color w:val="auto"/>
        </w:rPr>
        <w:t>— Salaries and benefits of $22.5 million for the nine months ended September 30, 2020 decreased by $0.3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$22.8 million for the nine months ended September 30, 2019. The decrease of $0.3 million is primarily due to a $1.0 million decrease in commission expense for our representatives primarily due to lower than expected gross margin achieved compared to established goals. This decrease is offset by an increase of $0.4 million in increased wages, largely in management and other areas to support our growing operations and a $0.3 million increase related to share-based compensation.</w:t>
      </w:r>
    </w:p>
    <w:p>
      <w:pPr>
        <w:spacing w:after="0" w:line="188"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$16.8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decreased by $4.1 million from $20.9 million for the nine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the result of:</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 million - nonrecurrence of settlement and legal fees associated with a TCPA class action lawsuit in 2019;</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 million - primarily lower legal and professional fees in connection with secondary offerings of the Company’s common stock and an exchange offer for warrants (“Warrant Offer”);</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$0.9 million - decrease in travel expenses due to reduced employee travel during the COVID-19 pandemic; and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$0.8 million - higher IT related expenses incurred to sustain our business expansion;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$0.3 million - loss incurred in the closure of a financial institution in Mexico; and</w:t>
      </w:r>
    </w:p>
    <w:p>
      <w:pPr>
        <w:spacing w:after="0" w:line="9" w:lineRule="exact"/>
        <w:rPr>
          <w:rFonts w:ascii="Arial" w:cs="Arial" w:eastAsia="Arial" w:hAnsi="Arial"/>
          <w:sz w:val="18"/>
          <w:szCs w:val="18"/>
          <w:color w:val="auto"/>
        </w:rPr>
      </w:pPr>
    </w:p>
    <w:p>
      <w:pPr>
        <w:ind w:left="660" w:hanging="328"/>
        <w:spacing w:after="0" w:line="323"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$0.2 million - increase in provision for bad debt as write-offs were higher in the 2020 period, resulting primarily from the deterioration of the creditworthiness of a small number of sending agents during the first quarter that were affected by events other than the COVID-19 pandemic.</w:t>
      </w:r>
    </w:p>
    <w:p>
      <w:pPr>
        <w:spacing w:after="0" w:line="165"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 Depreciation and amortization of $8.1 million for the nine months ended September 30, 2020 decreased by $1.4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$9.5 million for the nine months ended September 30, 2019. This decrease is mainly due to $1.8 million less amortization related to our trade name, developed technology and agent relationships during the nine months ended September 30, 2020 as these intangibles are being amortized on an accelerated basis, which declines over time. This decrease was partially offset by an increase in depreciation of $0.4 million associated primarily with additional computer equipment to support our growing business and sending agent network.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was $5.0 million for the nine months ended September 30, 2020, representing a decrease of $1.5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$6.5 million for the nine months ended September 30, 2019. The decrease of $1.5 million was primarily due to a reduction in interest rates paid under the Credit Agreement (as defined below) and lower drawings under the revolving credit facility.</w:t>
      </w:r>
    </w:p>
    <w:p>
      <w:pPr>
        <w:sectPr>
          <w:pgSz w:w="11900" w:h="16838" w:orient="portrait"/>
          <w:cols w:equalWidth="0" w:num="1">
            <w:col w:w="11240"/>
          </w:cols>
          <w:pgMar w:left="320" w:top="125" w:right="339" w:bottom="1440" w:gutter="0" w:footer="0" w:header="0"/>
        </w:sect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$8.9 million for the nine months ended September 30, 2020, representing an increase of $3.0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an income tax provision of $5.9 million for the nine months ended September 30, 2019. This increase was mainly attributable to higher taxable income primarily as a result of higher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reported net income of $24.2 million for the nine months ended September 30, 2020 compared to net income of $14.3 million for the nine months ended September 30, 2019, representing an increase of $9.9 million or 69%, due to the same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Adjusted Net Income (previously defined and used as described above) for the nine months ended September 30, 2020 was $30.6 million, representing an increase of $5.6 million or 22% from Adjusted Net Income of $25.0 million for the nine months ended September 30, 2019. The increase in Adjusted Net Income was primarily due to the increase in revenues of $21.5 million, offset primarily by an increase in service charges from agents and banks of $15.9 million due to higher transaction volume.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3"/>
              </w:rPr>
              <w:t>Nine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14,268</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29"/>
        </w:trPr>
        <w:tc>
          <w:tcPr>
            <w:tcW w:w="6240" w:type="dxa"/>
            <w:vAlign w:val="bottom"/>
          </w:tcPr>
          <w:p>
            <w:pPr>
              <w:ind w:left="120"/>
              <w:spacing w:after="0"/>
              <w:rPr>
                <w:sz w:val="20"/>
                <w:szCs w:val="20"/>
                <w:color w:val="auto"/>
              </w:rPr>
            </w:pPr>
            <w:r>
              <w:rPr>
                <w:rFonts w:ascii="Arial" w:cs="Arial" w:eastAsia="Arial" w:hAnsi="Arial"/>
                <w:sz w:val="18"/>
                <w:szCs w:val="18"/>
                <w:color w:val="auto"/>
              </w:rPr>
              <w:t>Offering costs (b)</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TCPA settlement (c)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Loss on bank closure (d)</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employee severance (e)</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Other charges and expenses (f)</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 (g)</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r>
      <w:tr>
        <w:trPr>
          <w:trHeight w:val="237"/>
        </w:trPr>
        <w:tc>
          <w:tcPr>
            <w:tcW w:w="6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 benefit related to adjustments (h)</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w:t>
            </w: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24,972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70"/>
        </w:trPr>
        <w:tc>
          <w:tcPr>
            <w:tcW w:w="6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38,040,339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37,230,831</w:t>
            </w: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38,246,429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37,365,371</w:t>
            </w:r>
          </w:p>
        </w:tc>
      </w:tr>
    </w:tbl>
    <w:p>
      <w:pPr>
        <w:spacing w:after="0" w:line="89"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Stock options and restricted stock were granted to employees and independent directors of the Company.</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expenses incurred for professional and legal fees in connection with secondary offerings for the Company’s common stock and Warrants Offer.</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legal fees and charge for the settlement of a class action lawsuit related to the TCPA.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 loss in the nine months ended September 30, 2020 related to the closure of a financial institution in Mexico.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severance costs incurred during the nine months ended September 30, 2019 related to departmental changes.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loss on disposal of fixed assets and foreign currency (gains) losses.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amortization of certain intangible assets that resulted from the application of push-down accounting.</w:t>
      </w:r>
    </w:p>
    <w:p>
      <w:pPr>
        <w:spacing w:after="0" w:line="1" w:lineRule="exact"/>
        <w:rPr>
          <w:rFonts w:ascii="Arial" w:cs="Arial" w:eastAsia="Arial" w:hAnsi="Arial"/>
          <w:sz w:val="14"/>
          <w:szCs w:val="14"/>
          <w:color w:val="auto"/>
        </w:rPr>
      </w:pPr>
    </w:p>
    <w:p>
      <w:pPr>
        <w:ind w:left="340" w:hanging="332"/>
        <w:spacing w:after="0" w:line="255"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color w:val="auto"/>
        </w:rPr>
        <w:t>Adjusted Earnings per Share - Basic (previously defined and used as described above) for the nine months ended September 30, 2020 was $0.81, representing an increase of $0.14, or 21%, compared to $0.67 for the nine months ended September 30, 2019.</w:t>
      </w:r>
    </w:p>
    <w:p>
      <w:pPr>
        <w:spacing w:after="0" w:line="116"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Adjusted Earnings per Share - Diluted (previously defined and used as described above) for the nine months ended September 30, 2020 was $0.80, representing an increase of $0.13, or 19%, compared to $0.67 for the nine months ended September 30, 2019.</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GAAP Earnings per Share, our closest GAAP measure, to Adjusted Earnings per Share: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940" w:type="dxa"/>
            <w:vAlign w:val="bottom"/>
            <w:gridSpan w:val="8"/>
          </w:tcPr>
          <w:p>
            <w:pPr>
              <w:ind w:left="140"/>
              <w:spacing w:after="0"/>
              <w:rPr>
                <w:sz w:val="20"/>
                <w:szCs w:val="20"/>
                <w:color w:val="auto"/>
              </w:rPr>
            </w:pPr>
            <w:r>
              <w:rPr>
                <w:rFonts w:ascii="Arial" w:cs="Arial" w:eastAsia="Arial" w:hAnsi="Arial"/>
                <w:sz w:val="18"/>
                <w:szCs w:val="18"/>
                <w:color w:val="auto"/>
              </w:rPr>
              <w:t>Nine Months Ended September 30,</w:t>
            </w:r>
          </w:p>
        </w:tc>
      </w:tr>
      <w:tr>
        <w:trPr>
          <w:trHeight w:val="237"/>
        </w:trPr>
        <w:tc>
          <w:tcPr>
            <w:tcW w:w="424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2020</w:t>
            </w:r>
          </w:p>
        </w:tc>
        <w:tc>
          <w:tcPr>
            <w:tcW w:w="1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r>
      <w:tr>
        <w:trPr>
          <w:trHeight w:val="229"/>
        </w:trPr>
        <w:tc>
          <w:tcPr>
            <w:tcW w:w="42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8"/>
              </w:rPr>
              <w:t>Basic and Diluted</w:t>
            </w:r>
          </w:p>
        </w:tc>
        <w:tc>
          <w:tcPr>
            <w:tcW w:w="100" w:type="dxa"/>
            <w:vAlign w:val="bottom"/>
            <w:shd w:val="clear" w:color="auto" w:fill="CCEEFF"/>
          </w:tcPr>
          <w:p>
            <w:pPr>
              <w:spacing w:after="0"/>
              <w:rPr>
                <w:sz w:val="19"/>
                <w:szCs w:val="19"/>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0.64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100" w:type="dxa"/>
            <w:vAlign w:val="bottom"/>
          </w:tcPr>
          <w:p>
            <w:pPr>
              <w:spacing w:after="0"/>
              <w:rPr>
                <w:sz w:val="19"/>
                <w:szCs w:val="19"/>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r>
      <w:tr>
        <w:trPr>
          <w:trHeight w:val="229"/>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Offering costs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TCPA settlement</w:t>
            </w:r>
          </w:p>
        </w:tc>
        <w:tc>
          <w:tcPr>
            <w:tcW w:w="1000" w:type="dxa"/>
            <w:vAlign w:val="bottom"/>
          </w:tcPr>
          <w:p>
            <w:pPr>
              <w:spacing w:after="0"/>
              <w:rPr>
                <w:sz w:val="19"/>
                <w:szCs w:val="19"/>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r>
      <w:tr>
        <w:trPr>
          <w:trHeight w:val="229"/>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bank closure</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tcPr>
          <w:p>
            <w:pPr>
              <w:ind w:left="120"/>
              <w:spacing w:after="0"/>
              <w:rPr>
                <w:sz w:val="20"/>
                <w:szCs w:val="20"/>
                <w:color w:val="auto"/>
              </w:rPr>
            </w:pPr>
            <w:r>
              <w:rPr>
                <w:rFonts w:ascii="Arial" w:cs="Arial" w:eastAsia="Arial" w:hAnsi="Arial"/>
                <w:sz w:val="18"/>
                <w:szCs w:val="18"/>
                <w:color w:val="auto"/>
              </w:rPr>
              <w:t>Other employee severance</w:t>
            </w:r>
          </w:p>
        </w:tc>
        <w:tc>
          <w:tcPr>
            <w:tcW w:w="10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NM</w:t>
            </w:r>
          </w:p>
        </w:tc>
      </w:tr>
      <w:tr>
        <w:trPr>
          <w:trHeight w:val="230"/>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charges and expenses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r>
      <w:tr>
        <w:trPr>
          <w:trHeight w:val="229"/>
        </w:trPr>
        <w:tc>
          <w:tcPr>
            <w:tcW w:w="42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related to adjustments</w:t>
            </w:r>
          </w:p>
        </w:tc>
        <w:tc>
          <w:tcPr>
            <w:tcW w:w="10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0.67</w:t>
            </w:r>
          </w:p>
        </w:tc>
        <w:tc>
          <w:tcPr>
            <w:tcW w:w="100" w:type="dxa"/>
            <w:vAlign w:val="bottom"/>
          </w:tcPr>
          <w:p>
            <w:pPr>
              <w:spacing w:after="0"/>
              <w:rPr>
                <w:sz w:val="19"/>
                <w:szCs w:val="19"/>
                <w:color w:val="auto"/>
              </w:rPr>
            </w:pPr>
          </w:p>
        </w:tc>
      </w:tr>
      <w:tr>
        <w:trPr>
          <w:trHeight w:val="21"/>
        </w:trPr>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 - Per share amounts are not meaningful.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Adjusted EBITDA (previously defined and used as described above) for the nine months ended September 30, 2020 was $49.7 million, representing an increase of $6.2 million, or 14%, from $43.5 million for the nine months ended September 30, 2019. The increase in Adjusted EBITDA was primarily due to the increase in revenues of $21.5 million, offset primarily by an increase in service charges from agents and banks of $15.9 million due to an increase in transaction volume.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3"/>
              </w:rPr>
              <w:t>Nine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14,268</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5,936</w:t>
            </w:r>
          </w:p>
        </w:tc>
      </w:tr>
      <w:tr>
        <w:trPr>
          <w:trHeight w:val="250"/>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46,165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36,193</w:t>
            </w: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 (a)</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Offering costs (b)</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TCPA settlement (c)</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Loss on bank closure (d)</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employee severance (e)</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6"/>
        </w:trPr>
        <w:tc>
          <w:tcPr>
            <w:tcW w:w="6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charges and expenses (f)</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43,487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Stock options and restricted stock were granted to employees and independent directors of the Company.</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expenses incurred for professional and legal fees in connection with secondary offerings for the Company’s common stock and Warrants Offer.</w:t>
      </w:r>
    </w:p>
    <w:p>
      <w:pPr>
        <w:spacing w:after="0" w:line="4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legal fees and charge for the settlement of a class action lawsuit related to the TCPA.</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loss in the nine months ended September 30, 2020 related to the closure of a financial institution in Mexico.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severance costs incurred during the nine months ended September 30, 2019 related to departmental changes.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loss on disposal of fixed assets and foreign currency (gains) losses.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consider liquidity in terms of cash flows from operations and their sufficiency to fund business operations, including working capital needs, debt service, acquisitions, contractual obligations and other commitments. In particular, to meet our payment service obligations at all times, we must have sufficient highly liquid assets and be able to move funds on a timely basis.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supplemented with borrowings under our revolving credit facility. Our primary cash needs are for day to day operations, to pay interest and principal on our indebtedness, to fund working capital requirements and to make capital expenditures.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Notwithstanding the recent effects of the COVID-19 pandemic in the U.S. economy, we still expect to continue funding our liquidity requirements through internally generated funds, supplemented in the ordinary course, with borrowings under our revolving credit facility. While our operating cash flows may be affected by the economic conditions resulting from the pandemic, we maintain a strong cash balance position and have access to committed funding sources, which we have used only on a limited and ordinary course basis during the nine months ended September 30, 2020. Therefore, we believe that our projected cash flows generated from operations, together with borrowings under our revolving credit facility are sufficient to fund our principal debt payments, interest expense, our working capital needs and our expected capital expenditures for at least the next twelve months. We will, however, continue to evaluate the nature and extent of these potential impacts to our business and liquidity and capital resources and take action, as necessary, to preserve adequate liquidity, such as limiting discretionary spending and re-prioritizing our capital projects, to ensure that our business can continue to operate during these uncertain times.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and certain of its domestic subsidiaries as borrowers maintain a financing agreement (as amended, the “Credit Agreement”) with a group of banking institutions. The Credit Agreement provides for a $35.0 million revolving credit facility, a $90.0 million term loan facility and up to a $30.0 million incremental facility, of which $12.0 million was primarily used to pay for the cash portion of the tender offer to purchase warrants during the second quarter of 2019 (the “Offer”). The Credit Agreement also provides for the issuance of letters of credit, which would reduce availability under the revolving credit facility. The maturity date of the Credit Agreement is November 7, 2023.</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on the term loan and revolving credit facilities of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nine months ended September 30, 2020 for the term loan facility and revolving credit facility were 5.93% and 0.99%, respectively.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principal amount of the term loan facility under the Credit Agreement must be repaid in consecutive quarterly installments of 5% in year 1, 7.5% in years 2 and 3, and 10% in years 4 and 5, in each case on the last day of each quarter, which commenced in March 2019 with a final payment at maturity. The loans under the Credit Agreement may be prepaid at any time without payment or penalty.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 The Credit Agreement allows for redemptions or acquisitions of the Company’s equity interests subject to certain dollar limitations.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Agreement also contains financial covenants that require the Company to maintain a quarterly minimum fixed charge coverage ratio of 1.25:1.00 and a quarterly maximum consolidated leverage ratio of 3.25:1.00.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were in compliance with the covenants of the Credit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2020, we had total indebtedness of $91.3 million, consisting of borrowings under the term loan facility, excluding debt origination costs of $1.9 million. There were $53.0 million of additional borrowings available under these facilities as of September 30, 2020.</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20, 2020, the Company received funds under the Paycheck Protection Program (the “Program”) in the amount of $3.5 million. Although the Company believes that it met all eligibility criteria for a loan under the Program at the time of its application, subsequent to receiving the funds, the Small Business Administration (“SBA”), in consultation with the Department of the Treasury (“Treasury”), provided additional guidance to address public, borrower and lender questions concerning the eligibility criteria under the</w:t>
      </w: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Program. Based on this guidance provided by the SBA and Treasury, the Company returned the funds received under the Program on April 29, 2020.</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 Indebtedness—We have a substantial</w:t>
      </w:r>
      <w:r>
        <w:rPr>
          <w:rFonts w:ascii="Arial" w:cs="Arial" w:eastAsia="Arial" w:hAnsi="Arial"/>
          <w:sz w:val="18"/>
          <w:szCs w:val="18"/>
          <w:color w:val="auto"/>
        </w:rPr>
        <w:t xml:space="preserve"> </w:t>
      </w:r>
      <w:r>
        <w:rPr>
          <w:rFonts w:ascii="Arial" w:cs="Arial" w:eastAsia="Arial" w:hAnsi="Arial"/>
          <w:sz w:val="18"/>
          <w:szCs w:val="18"/>
          <w:i w:val="1"/>
          <w:iCs w:val="1"/>
          <w:color w:val="auto"/>
        </w:rPr>
        <w:t>amount of indebtedness, which may limit our operating flexibility and could adversely affect our business,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Annual Report on Form 10-K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to our cash flows for the periods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 of Cash Flows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exchange rate changes on cash</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in cash</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beginning of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end of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Nine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445"/>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31,597</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57,147</w:t>
            </w:r>
          </w:p>
        </w:tc>
      </w:tr>
      <w:tr>
        <w:trPr>
          <w:trHeight w:val="229"/>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(4,067)</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(31,950)</w:t>
            </w:r>
          </w:p>
        </w:tc>
      </w:tr>
      <w:tr>
        <w:trPr>
          <w:trHeight w:val="237"/>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21,160</w:t>
            </w:r>
          </w:p>
        </w:tc>
      </w:tr>
      <w:tr>
        <w:trPr>
          <w:trHeight w:val="492"/>
        </w:trPr>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73,029</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94,189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-1396365</wp:posOffset>
            </wp:positionV>
            <wp:extent cx="597471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74715"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-1104900</wp:posOffset>
            </wp:positionV>
            <wp:extent cx="597471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74715"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-813435</wp:posOffset>
            </wp:positionV>
            <wp:extent cx="597471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74715" cy="15430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-504825</wp:posOffset>
            </wp:positionV>
            <wp:extent cx="5974715"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-187960</wp:posOffset>
            </wp:positionV>
            <wp:extent cx="597471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500" w:lineRule="exact"/>
        <w:rPr>
          <w:sz w:val="20"/>
          <w:szCs w:val="20"/>
          <w:color w:val="auto"/>
        </w:rPr>
      </w:pPr>
    </w:p>
    <w:p>
      <w:pPr>
        <w:sectPr>
          <w:pgSz w:w="11900" w:h="16838" w:orient="portrait"/>
          <w:cols w:equalWidth="0" w:num="2">
            <w:col w:w="5520" w:space="720"/>
            <w:col w:w="5000"/>
          </w:cols>
          <w:pgMar w:left="320" w:top="125" w:right="339" w:bottom="1440" w:gutter="0" w:footer="0" w:header="0"/>
          <w:type w:val="continuous"/>
        </w:sectPr>
      </w:pPr>
    </w:p>
    <w:p>
      <w:pPr>
        <w:spacing w:after="0" w:line="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cash provided by operating activities was $31.6 million for the nine months ended September 30, 2020, representing a decrease of $25.5 million from net cash provided by operating activities of $57.1 million for the nine months ended September 30, 2019. The decrease is a result of a $35.5 million change in working capital, which may vary from period to period due to timing of transmittal orders and payments, offset by additional cash generated by our operating results for the nine months ended September 30, 2020, which benefited from further growth of the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cash used in investing activities was $2.8 million for the nine months ended September 30, 2020, representing a decrease of $1.3 million from net cash used in investing activities of $4.1 million for the nine months ended September 30, 2019. This decrease in cash used in investing activities was primarily due to lower purchases of property and equipment and no acquisitions of agent locations during the nine months ended September 30,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$5.7 million for the nine months ended September 30, 2020, which consisted of scheduled quarterly repayments due on the term loan facility, offset by proceeds from issuance of stock as a result of the exercise of options.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financing activities was $32.0 million for the nine months ended September 30, 2019, which consisted of $30.0 million in revolving credit line repayments, $10.0 million related to payments made in connection with the Offer, $3.7 million in quarterly payments due on the term loan and payment of debt origination costs associated with an amendment to the Credit Agreement, offset by $12.0 million in borrowings under the Credit Agreement.</w:t>
      </w: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includes aggregated information about contractual obligations that affect our liquidity and capital needs. At September 30, 2020, our contractual obligations over the next several periods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More than</w:t>
            </w:r>
          </w:p>
        </w:tc>
      </w:tr>
      <w:tr>
        <w:trPr>
          <w:trHeight w:val="23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3 to 5 years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5 years</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principal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Interest payments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Non-cancelable operating leases</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1"/>
        </w:trPr>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condensed consolidated balance sheet reflects $89.4 million of debt as of September 30, 2020, as the principal payment obligations of $91.3 million are gross of unamortized debt origination costs. The above table reflects the principal and interest of the revolver and term loan under the Credit Agreement that will be paid through the maturity of the debt using the rates in effect on September 30, 2020 and assuming no voluntary prepayments of principal.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Non-cancelable operating leases include various office leases, including our office headquarters.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not a party to any material off-balance sheet arrangements, such as guarantee contracts, retained or contingent interests, certain derivative instruments and variable interest entities that either have, or are reasonably likely to have, a current or future material effect on our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Our Critical Accounting Policies and Estimates disclosed in “</w:t>
      </w:r>
      <w:r>
        <w:rPr>
          <w:rFonts w:ascii="Arial" w:cs="Arial" w:eastAsia="Arial" w:hAnsi="Arial"/>
          <w:sz w:val="16"/>
          <w:szCs w:val="16"/>
          <w:i w:val="1"/>
          <w:iCs w:val="1"/>
          <w:color w:val="auto"/>
        </w:rPr>
        <w:t>Management’s Discussion and Analysis of Financial Condition and Results of Operations - Critical Accounting Policies and</w:t>
      </w:r>
      <w:r>
        <w:rPr>
          <w:rFonts w:ascii="Arial" w:cs="Arial" w:eastAsia="Arial" w:hAnsi="Arial"/>
          <w:sz w:val="16"/>
          <w:szCs w:val="16"/>
          <w:color w:val="auto"/>
        </w:rPr>
        <w:t xml:space="preserve"> </w:t>
      </w:r>
      <w:r>
        <w:rPr>
          <w:rFonts w:ascii="Arial" w:cs="Arial" w:eastAsia="Arial" w:hAnsi="Arial"/>
          <w:sz w:val="16"/>
          <w:szCs w:val="16"/>
          <w:i w:val="1"/>
          <w:iCs w:val="1"/>
          <w:color w:val="auto"/>
        </w:rPr>
        <w:t>Estimates</w:t>
      </w:r>
      <w:r>
        <w:rPr>
          <w:rFonts w:ascii="Arial" w:cs="Arial" w:eastAsia="Arial" w:hAnsi="Arial"/>
          <w:sz w:val="16"/>
          <w:szCs w:val="16"/>
          <w:color w:val="auto"/>
        </w:rPr>
        <w:t>” in our Annual Report on Form 10-K for the year ended December 31, 2019, for which there were no material changes, included the following:</w:t>
      </w:r>
    </w:p>
    <w:p>
      <w:pPr>
        <w:spacing w:after="0" w:line="157" w:lineRule="exact"/>
        <w:rPr>
          <w:sz w:val="20"/>
          <w:szCs w:val="20"/>
          <w:color w:val="auto"/>
        </w:rPr>
      </w:pPr>
    </w:p>
    <w:p>
      <w:pPr>
        <w:ind w:left="480" w:hanging="310"/>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480" w:hanging="310"/>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Accounts Receivable and Allowance for Credit Losses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Refer to Note 1 of our unaudited condensed consolidated financial statements included in this filing for further information on recent accounting pronouncements.</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Foreign currency fluctuations, however, may negatively affect our average exchange gain per transaction.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included in wire transfer and money orders payable in our condensed consolidated balance sheets as of September 30, 2020 and December 31, 2019, there are $7.6 million and $9.9 million, respectively, of wires payable denominated primarily in Mexican pesos and Guatemalan quetzales.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1% of our consolidated revenues for the three and nine months ended September 30, 2020 and 2019, respectively. Therefore, a 10% increase or decrease in these currency rates against the U.S. Dollar would result in a minimal change to our overall operating results.</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spot exchange rates as of September 30, 2020 and December 31, 2019 were 22.16 and 18.86 for the U.S. dollar/Mexican peso, respectively, 7.77 and 7.69 for the U.S. dollar/Guatemalan quetzal, respectively, and 1.34 and 1.31 for the U.S. dollar/Canadian dollar, respectively. The average exchange rates for the nine months ended September 30, 2020 and 2019 were 21.79 and 19.24 for the U.S. dollar/Mexican peso, respectively, and 7.69 for both periods for the U.S. dollar/Guatemalan quetzal. The average exchange rates for the U.S. dollar/Canadian dollar for the nine months ended September 30, 2020 was 1.35 and the average rate for the 3 months ended September 30, 2019 was 1.32. We commenced operations in Canada during the third quarter of 2019, therefore, information prior to this period has not been presented. Long-term sustained appreciation of the Mexican peso or Guatemalan quetzal as compared to the U.S. dollar could negatively affect our margins.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Beginning in March 2020, we have experienced increased volatility in the U.S. dollar/Mexican peso rates related to economic effects of the COVID-19 pandemic, as well as actions taken by governments and central banks in response to the pandemic. We continue to expect an increase in volatility in foreign exchange rates and depreciation against the U.S. dollar, especially for the Mexican peso, during 2020. We cannot, however, reasonably estimate the duration or extent of that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on the term loan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 Due to the economic effects of the COVID-19 pandemic, market interest rates have declined significantly, with the 10-year Treasury bond yield falling below 1.00% on March 3, 2020 and averaging 0.65% for the three months ended September 30, 2020, and the 30-day LIBOR rate decreasing to 0.15% as of September 30, 2020, favorably affecting interest expense on the variable-rate portion of our debt during the three months ended September 30, 2020. We cannot predict, however, whether or for how long interest rates will remain at these low levels.</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2020, we had $91.3 million in outstanding borrowings under the term loan. A hypothetical 1% increase or decrease in the interest rate on our indebtedness as of September 30, 2020 would have increased or decreased cash interest expense on our term loan by approximately $0.9 million per annum.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maintain certain cash balances in various U.S. banks, which at times, may exceed federally insured limits. We have not incurred any losses on these accounts. In addition, we maintain various bank accounts in Mexico, Guatemala and Canada, which are not insured. Other than an isolated instance in the three months ended September 30, 2020, we have not incurred any losses on these uninsured accounts. To manage our exposures to credit risk with respect to cash balances and other credit risk exposures resulting from our relationships with banks and financial institutions, we regularly review cash concentrations, and we attempt to diversify our cash balances among global financial institutions.</w:t>
      </w: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September 30, 2020, we also had $1.3 million outstanding of notes receivable from sending agents. Most of the notes are collateralized by personal guarantees from the sending agents and by assets from their businesses. Due to the COVID-19 pandemic, it is possible we could be adversely affected by credit losses, such as those related to our outstanding notes receivables from sending agents. At the date of this report, however, we are not aware of any significant exposure and are continuing to monitor our credit risk.</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provision for bad debt was approximately $1.4 million for the nine months ended September 30, 2020 (0.6% of total revenues) and $1.2 million for the nine months ended September 30, 2019 (0.5% of total revenues) as write-offs were higher in the nine months ended September 30, 2020, resulting primarily from the deterioration of the creditworthiness of a small number of sending agents during the first quarter that were adversely affected by events other than the COVID-19 pandemic.</w:t>
      </w: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required by Rules 13a-15(b) and 15d-15(b) under the Exchange Act, our Chief Executive Officer and Chief Financial Officer carried out an evaluation of the effectiveness of our disclosure controls and procedures as of September 30, 2020.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Chief Financial Officer, as appropriate to allow timely decisions regarding required disclosure, as of September 30,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operational changes in response to the COVID-19 pandemic, 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made to Note 13 – Commitments and Contingencies in the Unaudited Condensed Consolidated Financial Statements of International Money Express, Inc. contained elsewhere in this Quarterly Report on Form 10–Q for information regarding certain legal proceedings to which we are a party, which information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Except as set forth below, there have been no material changes to our principal risks that we believe are material to our business, results of operations and financial condition, from the risk factors previously disclosed in the Annual Report on Form 10-K for the year ended December 31, 2019 (the “2019 Form 10-K”). Prospective investors are encouraged to consider the risks described in our 2019 Form 10-K, our Management’s Discussion and Analysis of Financial Condition and Results of Operations contained in this Quarterly Report on Form 10-Q and in our 2019 Form 10-K, and other information publicly disclosed or contained in documents we file with the Securities and Exchange Commission before purchasing our securities.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condition, results of operations, business and cash flow may be negatively affected by a public health crises such as the recent coronavirus (COVID-19) pandemic.</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face risks related to health epidemics and pandemics or other outbreaks of communicable diseases. During March 2020, a global pandemic was declared by the World Health Organization related to the rapidly growing outbreak of a novel strain of coronavirus (“COVID-19”). The global spread of COVID-19 has created significant volatility, uncertainty and economic disruption, including significant volatility in the capital markets. The extent to which the COVID-19 pandemic affects our business, operations, financial results and the trading price of our common stock will depend on numerous evolving factors that we may not be able to accurately predict, including: the duration and scope and possible resurgence of the pandemic; governmental and business actions that have been and continue to be taken in response to the pandemic (including mitigation efforts such as stay at home and other social distancing orders) and the impact of the pandemic on economic activity and actions taken in response (including stimulus efforts such as the Families First Coronavirus Act and the CARES Act).</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public health epidemic or pandemic, such as the COVID-19 pandemic, can have a material adverse effect on the demand for our money remittance services to the extent it impacts the markets in which we operate, and poses the risk that we or our employees, network of agents and consumers and their beneficiaries may be prevented from conducting business activities for an indefinite period of time, including due to shutdowns requested or mandated by governmental authorities, or that such epidemic may otherwise interrupt or impair business activities. In the first nine months of 2020 we have been subject, on a limited basis, to such shutdowns. We have adjusted standard operating procedures within our business operations to ensure the continued safety of our workers, continue to take further actions to mitigate the impact of the pandemic on our business, and are continually monitoring evolving health guidelines, as well as market conditions, and responding to changes as appropriate. Despite these efforts, the COVID-19 pandemic continues to pose the risk that we or our employees, sending and paying agents, as well as consumers and their beneficiaries, may be prevented from conducting business activities, partially or completely, for an indefinite period of time, including due to shutdowns requested or mandated by governmental authorities or imposed by our management, or that the pandemic may otherwise interrupt or impair business activities.</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Adjustments to our operating procedures as a result of the COVID-19 pandemic only had a limited effect on the Company’s financial condition, results of operations and cash flows for the three and nine months ended September 30, 2020, however, we will continue to monitor this evolving pandemic and its potential effects on the Company’s operations. The Company and our sending agents are considered essential businesses under current federal guidance, however,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in the first nine months of 2020 despite store closures, social distancing and other measures taken in response to the pandemic, the ultimate impact of the COVID-19 pandemic on our results of operations and financial condition is dependent on future developments, including the duration of the pandemic and the related extent of its severity, as well as its impact on the economic conditions, particularly the level of unemployment of our customers, which remain uncertain and cannot be predicted at this time. If the global response to contain the COVID-19 pandemic escalates further or is unsuccessful, or if governmental decisions to ease pandemic related restrictions are ineffective, premature or counterproductive, the Company could experience a material adverse effect on the Company's financial condition, results of operations and cash flows.</w:t>
      </w:r>
    </w:p>
    <w:p>
      <w:pPr>
        <w:spacing w:after="0" w:line="22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protect our workers, we are utilizing work from home measures. Despite our implementation of security measures, there is no guarantee that the data security and privacy safeguards we have put in place will be completely effective or that we will not encounter some of the common risks associated with employees accessing Company data and systems remotely.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0139"/>
          </w:cols>
          <w:pgMar w:left="320" w:top="125" w:right="1440"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w:anchor="page43">
        <w:r>
          <w:rPr>
            <w:rFonts w:ascii="Arial" w:cs="Arial" w:eastAsia="Arial" w:hAnsi="Arial"/>
            <w:sz w:val="18"/>
            <w:szCs w:val="18"/>
            <w:u w:val="single" w:color="auto"/>
            <w:color w:val="0000FF"/>
          </w:rPr>
          <w:t>4.1</w:t>
        </w:r>
      </w:hyperlink>
      <w:r>
        <w:rPr>
          <w:rFonts w:ascii="Arial" w:cs="Arial" w:eastAsia="Arial" w:hAnsi="Arial"/>
          <w:sz w:val="18"/>
          <w:szCs w:val="18"/>
          <w:color w:val="000000"/>
        </w:rPr>
        <w:t>*</w:t>
      </w:r>
    </w:p>
    <w:p>
      <w:pPr>
        <w:spacing w:after="0" w:line="200" w:lineRule="exact"/>
        <w:rPr>
          <w:sz w:val="20"/>
          <w:szCs w:val="20"/>
          <w:color w:val="auto"/>
        </w:rPr>
      </w:pPr>
    </w:p>
    <w:p>
      <w:pPr>
        <w:spacing w:after="0" w:line="309" w:lineRule="exact"/>
        <w:rPr>
          <w:sz w:val="20"/>
          <w:szCs w:val="20"/>
          <w:color w:val="auto"/>
        </w:rPr>
      </w:pPr>
    </w:p>
    <w:p>
      <w:pPr>
        <w:ind w:left="20"/>
        <w:spacing w:after="0"/>
        <w:rPr>
          <w:rFonts w:ascii="Arial" w:cs="Arial" w:eastAsia="Arial" w:hAnsi="Arial"/>
          <w:sz w:val="18"/>
          <w:szCs w:val="18"/>
          <w:color w:val="0000FF"/>
        </w:rPr>
      </w:pPr>
      <w:hyperlink w:anchor="page45">
        <w:r>
          <w:rPr>
            <w:rFonts w:ascii="Arial" w:cs="Arial" w:eastAsia="Arial" w:hAnsi="Arial"/>
            <w:sz w:val="18"/>
            <w:szCs w:val="18"/>
            <w:u w:val="single" w:color="auto"/>
            <w:color w:val="0000FF"/>
          </w:rPr>
          <w:t>10.1</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w:anchor="page48">
        <w:r>
          <w:rPr>
            <w:rFonts w:ascii="Arial" w:cs="Arial" w:eastAsia="Arial" w:hAnsi="Arial"/>
            <w:sz w:val="18"/>
            <w:szCs w:val="18"/>
            <w:u w:val="single" w:color="auto"/>
            <w:color w:val="0000FF"/>
          </w:rPr>
          <w:t>31.1</w:t>
        </w:r>
      </w:hyperlink>
      <w:r>
        <w:rPr>
          <w:rFonts w:ascii="Arial" w:cs="Arial" w:eastAsia="Arial" w:hAnsi="Arial"/>
          <w:sz w:val="18"/>
          <w:szCs w:val="18"/>
          <w:color w:val="000000"/>
        </w:rPr>
        <w:t>*</w:t>
      </w:r>
    </w:p>
    <w:p>
      <w:pPr>
        <w:spacing w:after="0" w:line="279" w:lineRule="exact"/>
        <w:rPr>
          <w:sz w:val="20"/>
          <w:szCs w:val="20"/>
          <w:color w:val="auto"/>
        </w:rPr>
      </w:pPr>
    </w:p>
    <w:p>
      <w:pPr>
        <w:ind w:left="20"/>
        <w:spacing w:after="0"/>
        <w:rPr>
          <w:rFonts w:ascii="Arial" w:cs="Arial" w:eastAsia="Arial" w:hAnsi="Arial"/>
          <w:sz w:val="18"/>
          <w:szCs w:val="18"/>
          <w:color w:val="0000FF"/>
        </w:rPr>
      </w:pPr>
      <w:hyperlink w:anchor="page49">
        <w:r>
          <w:rPr>
            <w:rFonts w:ascii="Arial" w:cs="Arial" w:eastAsia="Arial" w:hAnsi="Arial"/>
            <w:sz w:val="18"/>
            <w:szCs w:val="18"/>
            <w:u w:val="single" w:color="auto"/>
            <w:color w:val="0000FF"/>
          </w:rPr>
          <w:t>31.2</w:t>
        </w:r>
      </w:hyperlink>
      <w:r>
        <w:rPr>
          <w:rFonts w:ascii="Arial" w:cs="Arial" w:eastAsia="Arial" w:hAnsi="Arial"/>
          <w:sz w:val="18"/>
          <w:szCs w:val="18"/>
          <w:color w:val="000000"/>
        </w:rPr>
        <w:t>*</w:t>
      </w:r>
    </w:p>
    <w:p>
      <w:pPr>
        <w:spacing w:after="0" w:line="279" w:lineRule="exact"/>
        <w:rPr>
          <w:sz w:val="20"/>
          <w:szCs w:val="20"/>
          <w:color w:val="auto"/>
        </w:rPr>
      </w:pPr>
    </w:p>
    <w:p>
      <w:pPr>
        <w:ind w:left="20"/>
        <w:spacing w:after="0"/>
        <w:rPr>
          <w:rFonts w:ascii="Arial" w:cs="Arial" w:eastAsia="Arial" w:hAnsi="Arial"/>
          <w:sz w:val="18"/>
          <w:szCs w:val="18"/>
          <w:color w:val="0000FF"/>
        </w:rPr>
      </w:pPr>
      <w:hyperlink w:anchor="page50">
        <w:r>
          <w:rPr>
            <w:rFonts w:ascii="Arial" w:cs="Arial" w:eastAsia="Arial" w:hAnsi="Arial"/>
            <w:sz w:val="18"/>
            <w:szCs w:val="18"/>
            <w:u w:val="single" w:color="auto"/>
            <w:color w:val="0000FF"/>
          </w:rPr>
          <w:t>32.1</w:t>
        </w:r>
      </w:hyperlink>
      <w:r>
        <w:rPr>
          <w:rFonts w:ascii="Arial" w:cs="Arial" w:eastAsia="Arial" w:hAnsi="Arial"/>
          <w:sz w:val="18"/>
          <w:szCs w:val="18"/>
          <w:color w:val="000000"/>
        </w:rPr>
        <w:t>*</w:t>
      </w:r>
    </w:p>
    <w:p>
      <w:pPr>
        <w:spacing w:after="0" w:line="279" w:lineRule="exact"/>
        <w:rPr>
          <w:sz w:val="20"/>
          <w:szCs w:val="20"/>
          <w:color w:val="auto"/>
        </w:rPr>
      </w:pPr>
    </w:p>
    <w:p>
      <w:pPr>
        <w:ind w:left="20"/>
        <w:spacing w:after="0"/>
        <w:rPr>
          <w:rFonts w:ascii="Arial" w:cs="Arial" w:eastAsia="Arial" w:hAnsi="Arial"/>
          <w:sz w:val="18"/>
          <w:szCs w:val="18"/>
          <w:color w:val="0000FF"/>
        </w:rPr>
      </w:pPr>
      <w:hyperlink w:anchor="page51">
        <w:r>
          <w:rPr>
            <w:rFonts w:ascii="Arial" w:cs="Arial" w:eastAsia="Arial" w:hAnsi="Arial"/>
            <w:sz w:val="18"/>
            <w:szCs w:val="18"/>
            <w:u w:val="single" w:color="auto"/>
            <w:color w:val="0000FF"/>
          </w:rPr>
          <w:t>32.2</w:t>
        </w:r>
      </w:hyperlink>
      <w:r>
        <w:rPr>
          <w:rFonts w:ascii="Arial" w:cs="Arial" w:eastAsia="Arial" w:hAnsi="Arial"/>
          <w:sz w:val="18"/>
          <w:szCs w:val="18"/>
          <w:color w:val="000000"/>
        </w:rPr>
        <w:t>*</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180340</wp:posOffset>
            </wp:positionV>
            <wp:extent cx="5974715"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77" w:lineRule="exact"/>
        <w:rPr>
          <w:sz w:val="20"/>
          <w:szCs w:val="20"/>
          <w:color w:val="auto"/>
        </w:rPr>
      </w:pPr>
    </w:p>
    <w:p>
      <w:pPr>
        <w:ind w:right="1019"/>
        <w:spacing w:after="0" w:line="261" w:lineRule="auto"/>
        <w:rPr>
          <w:sz w:val="20"/>
          <w:szCs w:val="20"/>
          <w:color w:val="auto"/>
        </w:rPr>
      </w:pPr>
      <w:r>
        <w:rPr>
          <w:rFonts w:ascii="Arial" w:cs="Arial" w:eastAsia="Arial" w:hAnsi="Arial"/>
          <w:sz w:val="18"/>
          <w:szCs w:val="18"/>
          <w:color w:val="auto"/>
        </w:rPr>
        <w:t>Shareholders Agreement Waiver, dated October 5, 2020, among the Company, FinTech Investor Holdings II and SPC Intermex Representative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160655</wp:posOffset>
            </wp:positionV>
            <wp:extent cx="5974715"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45" w:lineRule="exact"/>
        <w:rPr>
          <w:sz w:val="20"/>
          <w:szCs w:val="20"/>
          <w:color w:val="auto"/>
        </w:rPr>
      </w:pPr>
    </w:p>
    <w:p>
      <w:pPr>
        <w:ind w:right="759"/>
        <w:spacing w:after="0" w:line="261" w:lineRule="auto"/>
        <w:rPr>
          <w:sz w:val="20"/>
          <w:szCs w:val="20"/>
          <w:color w:val="auto"/>
        </w:rPr>
      </w:pPr>
      <w:r>
        <w:rPr>
          <w:rFonts w:ascii="Arial" w:cs="Arial" w:eastAsia="Arial" w:hAnsi="Arial"/>
          <w:sz w:val="18"/>
          <w:szCs w:val="18"/>
          <w:color w:val="auto"/>
        </w:rPr>
        <w:t>Form of RSU Agreement (Employees) pursuant to the International Money Express, Inc. 2020 Omnibus Equity Compensation Plan.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597471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5974715"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597471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597471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273" w:lineRule="exact"/>
        <w:rPr>
          <w:sz w:val="20"/>
          <w:szCs w:val="20"/>
          <w:color w:val="auto"/>
        </w:rPr>
      </w:pPr>
    </w:p>
    <w:p>
      <w:pPr>
        <w:ind w:right="939"/>
        <w:spacing w:after="0" w:line="235"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-256540</wp:posOffset>
            </wp:positionV>
            <wp:extent cx="5974715"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74715" cy="25717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597471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5974715"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597471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597471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-130175</wp:posOffset>
            </wp:positionV>
            <wp:extent cx="597471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186055</wp:posOffset>
            </wp:positionV>
            <wp:extent cx="5974715" cy="29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86" w:lineRule="exact"/>
        <w:rPr>
          <w:sz w:val="20"/>
          <w:szCs w:val="20"/>
          <w:color w:val="auto"/>
        </w:rPr>
      </w:pPr>
    </w:p>
    <w:p>
      <w:pPr>
        <w:ind w:right="739"/>
        <w:spacing w:after="0" w:line="261" w:lineRule="auto"/>
        <w:rPr>
          <w:sz w:val="20"/>
          <w:szCs w:val="20"/>
          <w:color w:val="auto"/>
        </w:rPr>
      </w:pPr>
      <w:r>
        <w:rPr>
          <w:rFonts w:ascii="Arial" w:cs="Arial" w:eastAsia="Arial" w:hAnsi="Arial"/>
          <w:sz w:val="18"/>
          <w:szCs w:val="18"/>
          <w:color w:val="auto"/>
        </w:rPr>
        <w:t>The cover page from the Company’s Quarterly Report on Form 10-Q for the quarter ended September 30, 2020, formatted in Inline XBRL (included with the Exhibit 101 attachments).</w:t>
      </w:r>
    </w:p>
    <w:p>
      <w:pPr>
        <w:spacing w:after="0" w:line="200" w:lineRule="exact"/>
        <w:rPr>
          <w:sz w:val="20"/>
          <w:szCs w:val="20"/>
          <w:color w:val="auto"/>
        </w:rPr>
      </w:pPr>
    </w:p>
    <w:p>
      <w:pPr>
        <w:sectPr>
          <w:pgSz w:w="11900" w:h="16838" w:orient="portrait"/>
          <w:cols w:equalWidth="0" w:num="2">
            <w:col w:w="900" w:space="440"/>
            <w:col w:w="8799"/>
          </w:cols>
          <w:pgMar w:left="320" w:top="125" w:right="1440" w:bottom="1440" w:gutter="0" w:footer="0" w:header="0"/>
          <w:type w:val="continuous"/>
        </w:sectPr>
      </w:pPr>
    </w:p>
    <w:p>
      <w:pPr>
        <w:spacing w:after="0" w:line="133" w:lineRule="exact"/>
        <w:rPr>
          <w:sz w:val="20"/>
          <w:szCs w:val="20"/>
          <w:color w:val="auto"/>
        </w:rPr>
      </w:pPr>
    </w:p>
    <w:p>
      <w:pPr>
        <w:ind w:right="5459" w:firstLine="8"/>
        <w:spacing w:after="0" w:line="277" w:lineRule="auto"/>
        <w:tabs>
          <w:tab w:leader="none" w:pos="3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8"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41" w:name="page42"/>
    <w:bookmarkEnd w:id="4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International Money Express, Inc.</w:t>
      </w:r>
    </w:p>
    <w:p>
      <w:pPr>
        <w:spacing w:after="0" w:line="28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14605</wp:posOffset>
            </wp:positionV>
            <wp:extent cx="23488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Robert Lisy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 and President</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International Money Express, Inc.</w:t>
      </w:r>
    </w:p>
    <w:p>
      <w:pPr>
        <w:spacing w:after="0" w:line="28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14605</wp:posOffset>
            </wp:positionV>
            <wp:extent cx="23488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Tony Lauro II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125"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SHAREHOLDERS AGREEMENT WAIVER</w:t>
      </w:r>
    </w:p>
    <w:p>
      <w:pPr>
        <w:spacing w:after="0" w:line="343"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0"/>
          <w:szCs w:val="20"/>
          <w:color w:val="auto"/>
        </w:rPr>
        <w:t>This Shareholders Agreement Waiver (this “</w:t>
      </w:r>
      <w:r>
        <w:rPr>
          <w:rFonts w:ascii="Arial" w:cs="Arial" w:eastAsia="Arial" w:hAnsi="Arial"/>
          <w:sz w:val="20"/>
          <w:szCs w:val="20"/>
          <w:u w:val="single" w:color="auto"/>
          <w:color w:val="auto"/>
        </w:rPr>
        <w:t>Waiver</w:t>
      </w:r>
      <w:r>
        <w:rPr>
          <w:rFonts w:ascii="Arial" w:cs="Arial" w:eastAsia="Arial" w:hAnsi="Arial"/>
          <w:sz w:val="20"/>
          <w:szCs w:val="20"/>
          <w:color w:val="auto"/>
        </w:rPr>
        <w:t>”) is entered into as of October 5, 2020 (the “</w:t>
      </w:r>
      <w:r>
        <w:rPr>
          <w:rFonts w:ascii="Arial" w:cs="Arial" w:eastAsia="Arial" w:hAnsi="Arial"/>
          <w:sz w:val="20"/>
          <w:szCs w:val="20"/>
          <w:u w:val="single" w:color="auto"/>
          <w:color w:val="auto"/>
        </w:rPr>
        <w:t>Waiver Effective Date</w:t>
      </w:r>
      <w:r>
        <w:rPr>
          <w:rFonts w:ascii="Arial" w:cs="Arial" w:eastAsia="Arial" w:hAnsi="Arial"/>
          <w:sz w:val="20"/>
          <w:szCs w:val="20"/>
          <w:color w:val="auto"/>
        </w:rPr>
        <w:t>”) by and among International Money Express, Inc. (the “</w:t>
      </w:r>
      <w:r>
        <w:rPr>
          <w:rFonts w:ascii="Arial" w:cs="Arial" w:eastAsia="Arial" w:hAnsi="Arial"/>
          <w:sz w:val="20"/>
          <w:szCs w:val="20"/>
          <w:u w:val="single" w:color="auto"/>
          <w:color w:val="auto"/>
        </w:rPr>
        <w:t>Company</w:t>
      </w:r>
      <w:r>
        <w:rPr>
          <w:rFonts w:ascii="Arial" w:cs="Arial" w:eastAsia="Arial" w:hAnsi="Arial"/>
          <w:sz w:val="20"/>
          <w:szCs w:val="20"/>
          <w:color w:val="auto"/>
        </w:rPr>
        <w:t>”), FinTech Investor Holdings II, LLC (the “</w:t>
      </w:r>
      <w:r>
        <w:rPr>
          <w:rFonts w:ascii="Arial" w:cs="Arial" w:eastAsia="Arial" w:hAnsi="Arial"/>
          <w:sz w:val="20"/>
          <w:szCs w:val="20"/>
          <w:u w:val="single" w:color="auto"/>
          <w:color w:val="auto"/>
        </w:rPr>
        <w:t>Sponsor</w:t>
      </w:r>
      <w:r>
        <w:rPr>
          <w:rFonts w:ascii="Arial" w:cs="Arial" w:eastAsia="Arial" w:hAnsi="Arial"/>
          <w:sz w:val="20"/>
          <w:szCs w:val="20"/>
          <w:color w:val="auto"/>
        </w:rPr>
        <w:t>”), and SPC Intermex Representative LLC (“</w:t>
      </w:r>
      <w:r>
        <w:rPr>
          <w:rFonts w:ascii="Arial" w:cs="Arial" w:eastAsia="Arial" w:hAnsi="Arial"/>
          <w:sz w:val="20"/>
          <w:szCs w:val="20"/>
          <w:u w:val="single" w:color="auto"/>
          <w:color w:val="auto"/>
        </w:rPr>
        <w:t>Intermex Representative</w:t>
      </w:r>
      <w:r>
        <w:rPr>
          <w:rFonts w:ascii="Arial" w:cs="Arial" w:eastAsia="Arial" w:hAnsi="Arial"/>
          <w:sz w:val="20"/>
          <w:szCs w:val="20"/>
          <w:color w:val="auto"/>
        </w:rPr>
        <w:t>”).</w:t>
      </w:r>
    </w:p>
    <w:p>
      <w:pPr>
        <w:spacing w:after="0" w:line="288" w:lineRule="exact"/>
        <w:rPr>
          <w:sz w:val="20"/>
          <w:szCs w:val="20"/>
          <w:color w:val="auto"/>
        </w:rPr>
      </w:pPr>
    </w:p>
    <w:p>
      <w:pPr>
        <w:jc w:val="both"/>
        <w:ind w:right="100"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reference is hereby made to that certain Shareholders Agreement, dated as of July 26, 2018 (as amended,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Shareholders Agreement</w:t>
      </w:r>
      <w:r>
        <w:rPr>
          <w:rFonts w:ascii="Arial" w:cs="Arial" w:eastAsia="Arial" w:hAnsi="Arial"/>
          <w:sz w:val="20"/>
          <w:szCs w:val="20"/>
          <w:color w:val="auto"/>
        </w:rPr>
        <w:t>”), by and among the Company, Intermex Representative, and the Intermex Holders and Founding Shareholders party thereto. Capitalized terms used in this Waiver but not otherwise defined herein shall have the meanings set forth in the Shareholders Agreement.</w:t>
      </w:r>
    </w:p>
    <w:p>
      <w:pPr>
        <w:spacing w:after="0" w:line="224" w:lineRule="exact"/>
        <w:rPr>
          <w:sz w:val="20"/>
          <w:szCs w:val="20"/>
          <w:color w:val="auto"/>
        </w:rPr>
      </w:pPr>
    </w:p>
    <w:p>
      <w:pPr>
        <w:jc w:val="both"/>
        <w:ind w:right="100" w:firstLine="648"/>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Section 3 of the Shareholders Agreement, each Voting Party is required to vote all Voting Shares held by</w:t>
      </w:r>
      <w:r>
        <w:rPr>
          <w:rFonts w:ascii="Arial" w:cs="Arial" w:eastAsia="Arial" w:hAnsi="Arial"/>
          <w:sz w:val="19"/>
          <w:szCs w:val="19"/>
          <w:b w:val="1"/>
          <w:bCs w:val="1"/>
          <w:color w:val="auto"/>
        </w:rPr>
        <w:t xml:space="preserve"> </w:t>
      </w:r>
      <w:r>
        <w:rPr>
          <w:rFonts w:ascii="Arial" w:cs="Arial" w:eastAsia="Arial" w:hAnsi="Arial"/>
          <w:sz w:val="19"/>
          <w:szCs w:val="19"/>
          <w:color w:val="auto"/>
        </w:rPr>
        <w:t>such Voting Party to elect and/or maintain in office as members of the Board eight (8) Designees (or one (1) Designee after such time as the Intermex Holders collectively Beneficially Own Voting Shares that represent less than 10% (and at least 5%) of the outstanding shares of Common Stock) nominated by Intermex Representative (the “</w:t>
      </w:r>
      <w:r>
        <w:rPr>
          <w:rFonts w:ascii="Arial" w:cs="Arial" w:eastAsia="Arial" w:hAnsi="Arial"/>
          <w:sz w:val="19"/>
          <w:szCs w:val="19"/>
          <w:u w:val="single" w:color="auto"/>
          <w:color w:val="auto"/>
        </w:rPr>
        <w:t>Voting Obligation</w:t>
      </w:r>
      <w:r>
        <w:rPr>
          <w:rFonts w:ascii="Arial" w:cs="Arial" w:eastAsia="Arial" w:hAnsi="Arial"/>
          <w:sz w:val="19"/>
          <w:szCs w:val="19"/>
          <w:color w:val="auto"/>
        </w:rPr>
        <w:t>”).</w:t>
      </w:r>
    </w:p>
    <w:p>
      <w:pPr>
        <w:spacing w:after="0" w:line="277" w:lineRule="exact"/>
        <w:rPr>
          <w:sz w:val="20"/>
          <w:szCs w:val="20"/>
          <w:color w:val="auto"/>
        </w:rPr>
      </w:pPr>
    </w:p>
    <w:p>
      <w:pPr>
        <w:jc w:val="both"/>
        <w:ind w:right="100" w:firstLine="647"/>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Sponsor and Intermex Representative, in accordance with Section 16 of the Shareholders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desire to waive the Voting Obligation with respect certain Voting Parties, and certain other provisions of the Shareholders Agreement related thereto.</w:t>
      </w:r>
    </w:p>
    <w:p>
      <w:pPr>
        <w:spacing w:after="0" w:line="204" w:lineRule="exact"/>
        <w:rPr>
          <w:sz w:val="20"/>
          <w:szCs w:val="20"/>
          <w:color w:val="auto"/>
        </w:rPr>
      </w:pPr>
    </w:p>
    <w:p>
      <w:pPr>
        <w:jc w:val="both"/>
        <w:ind w:right="100" w:firstLine="648"/>
        <w:spacing w:after="0" w:line="293"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foregoing and the mutual agreements contained in this Waiver, and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the parties hereto agree as follows:</w:t>
      </w:r>
    </w:p>
    <w:p>
      <w:pPr>
        <w:spacing w:after="0" w:line="188" w:lineRule="exact"/>
        <w:rPr>
          <w:sz w:val="20"/>
          <w:szCs w:val="20"/>
          <w:color w:val="auto"/>
        </w:rPr>
      </w:pPr>
    </w:p>
    <w:p>
      <w:pPr>
        <w:jc w:val="both"/>
        <w:ind w:right="120" w:firstLine="737"/>
        <w:spacing w:after="0" w:line="244" w:lineRule="auto"/>
        <w:tabs>
          <w:tab w:leader="none" w:pos="1296"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Voting Obligation of each of the Voting Parties other than SPC Intermex LP, the obligations of each of the Voting Parties under Section 5 of the Shareholders Agreement, and any obligation after the date hereof to file a Schedule 13D jointly with any other Voting Party, are hereby irrevocably and permanently waived. Such waivers shall be deemed to be effective and in full force as of the Waiver Effective Date and to continue in effect with respect to each Voting Party (as applicable) for so long as the Shareholders Agreement remains in effect.</w:t>
      </w:r>
    </w:p>
    <w:p>
      <w:pPr>
        <w:spacing w:after="0" w:line="221" w:lineRule="exact"/>
        <w:rPr>
          <w:rFonts w:ascii="Arial" w:cs="Arial" w:eastAsia="Arial" w:hAnsi="Arial"/>
          <w:sz w:val="20"/>
          <w:szCs w:val="20"/>
          <w:color w:val="auto"/>
        </w:rPr>
      </w:pPr>
    </w:p>
    <w:p>
      <w:pPr>
        <w:jc w:val="both"/>
        <w:ind w:right="100" w:firstLine="737"/>
        <w:spacing w:after="0" w:line="250" w:lineRule="auto"/>
        <w:tabs>
          <w:tab w:leader="none" w:pos="1296"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Continued Effectiveness</w:t>
      </w:r>
      <w:r>
        <w:rPr>
          <w:rFonts w:ascii="Arial" w:cs="Arial" w:eastAsia="Arial" w:hAnsi="Arial"/>
          <w:sz w:val="20"/>
          <w:szCs w:val="20"/>
          <w:color w:val="auto"/>
        </w:rPr>
        <w:t>. Except as specifically set forth herein, the execution and delivery of this Waiver shall not constitute a waiver of any provision of the Shareholders Agreement, or operate as a waiver of any rights or obligations the Voting Parties may have under the Shareholders Agreement.</w:t>
      </w:r>
    </w:p>
    <w:p>
      <w:pPr>
        <w:spacing w:after="0" w:line="212" w:lineRule="exact"/>
        <w:rPr>
          <w:rFonts w:ascii="Arial" w:cs="Arial" w:eastAsia="Arial" w:hAnsi="Arial"/>
          <w:sz w:val="20"/>
          <w:szCs w:val="20"/>
          <w:color w:val="auto"/>
        </w:rPr>
      </w:pPr>
    </w:p>
    <w:p>
      <w:pPr>
        <w:ind w:right="100" w:firstLine="737"/>
        <w:spacing w:after="0" w:line="260" w:lineRule="auto"/>
        <w:tabs>
          <w:tab w:leader="none" w:pos="1296"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Waiver shall be construed and enforced in accordance with the laws of the State of Delaware, without giving effect to the principles of conflict of laws thereof.</w:t>
      </w:r>
    </w:p>
    <w:p>
      <w:pPr>
        <w:spacing w:after="0" w:line="203" w:lineRule="exact"/>
        <w:rPr>
          <w:rFonts w:ascii="Arial" w:cs="Arial" w:eastAsia="Arial" w:hAnsi="Arial"/>
          <w:sz w:val="20"/>
          <w:szCs w:val="20"/>
          <w:color w:val="auto"/>
        </w:rPr>
      </w:pPr>
    </w:p>
    <w:p>
      <w:pPr>
        <w:ind w:right="120" w:firstLine="737"/>
        <w:spacing w:after="0" w:line="260" w:lineRule="auto"/>
        <w:tabs>
          <w:tab w:leader="none" w:pos="1296"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Waiver may be executed in multiple counterparts each of which may be delivered by electronic means including .pdf file.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executed this Waiver as of the Waiver Effective Date first above written.</w:t>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INTERNATIONAL MONEY EXPRESS, INC.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Tony Lauro</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Tony Lauro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FINTECH INVESTOR HOLDINGS II, LLC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Amanda Abrams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Amanda Abrams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SPC INTERMEX REPRESENTATIVE LLC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Adam Godfrey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Adam Godfrey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0139"/>
          </w:cols>
          <w:pgMar w:left="320" w:top="1372"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EQUITY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RSU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VERSION</w:t>
      </w:r>
      <w:r>
        <w:rPr>
          <w:rFonts w:ascii="Arial" w:cs="Arial" w:eastAsia="Arial" w:hAnsi="Arial"/>
          <w:sz w:val="18"/>
          <w:szCs w:val="18"/>
          <w:b w:val="1"/>
          <w:bCs w:val="1"/>
          <w:u w:val="single" w:color="auto"/>
          <w:color w:val="auto"/>
        </w:rPr>
        <w:t>]</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dated </w:t>
      </w:r>
      <w:r>
        <w:rPr>
          <w:rFonts w:ascii="Arial" w:cs="Arial" w:eastAsia="Arial" w:hAnsi="Arial"/>
          <w:sz w:val="19"/>
          <w:szCs w:val="19"/>
          <w:color w:val="auto"/>
        </w:rPr>
        <w:t>____________________</w:t>
      </w:r>
      <w:r>
        <w:rPr>
          <w:rFonts w:ascii="Arial" w:cs="Arial" w:eastAsia="Arial" w:hAnsi="Arial"/>
          <w:sz w:val="16"/>
          <w:szCs w:val="16"/>
          <w:color w:val="auto"/>
        </w:rPr>
        <w:t>, 2020 (the “</w:t>
      </w:r>
      <w:r>
        <w:rPr>
          <w:rFonts w:ascii="Arial" w:cs="Arial" w:eastAsia="Arial" w:hAnsi="Arial"/>
          <w:sz w:val="16"/>
          <w:szCs w:val="16"/>
          <w:u w:val="single" w:color="auto"/>
          <w:color w:val="auto"/>
        </w:rPr>
        <w:t>Date of Grant</w:t>
      </w:r>
      <w:r>
        <w:rPr>
          <w:rFonts w:ascii="Arial" w:cs="Arial" w:eastAsia="Arial" w:hAnsi="Arial"/>
          <w:sz w:val="16"/>
          <w:szCs w:val="16"/>
          <w:color w:val="auto"/>
        </w:rPr>
        <w:t>”), between International Money Express,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w:t>
      </w:r>
      <w:r>
        <w:rPr>
          <w:rFonts w:ascii="Arial" w:cs="Arial" w:eastAsia="Arial" w:hAnsi="Arial"/>
          <w:sz w:val="19"/>
          <w:szCs w:val="19"/>
          <w:color w:val="auto"/>
        </w:rPr>
        <w:t>____________</w:t>
      </w:r>
      <w:r>
        <w:rPr>
          <w:rFonts w:ascii="Arial" w:cs="Arial" w:eastAsia="Arial" w:hAnsi="Arial"/>
          <w:sz w:val="16"/>
          <w:szCs w:val="16"/>
          <w:color w:val="auto"/>
        </w:rPr>
        <w:t xml:space="preserve"> (“</w:t>
      </w:r>
      <w:r>
        <w:rPr>
          <w:rFonts w:ascii="Arial" w:cs="Arial" w:eastAsia="Arial" w:hAnsi="Arial"/>
          <w:sz w:val="16"/>
          <w:szCs w:val="16"/>
          <w:u w:val="single" w:color="auto"/>
          <w:color w:val="auto"/>
        </w:rPr>
        <w:t>Grantee</w:t>
      </w:r>
      <w:r>
        <w:rPr>
          <w:rFonts w:ascii="Arial" w:cs="Arial" w:eastAsia="Arial" w:hAnsi="Arial"/>
          <w:sz w:val="16"/>
          <w:szCs w:val="16"/>
          <w:color w:val="auto"/>
        </w:rPr>
        <w:t>”), is made pursuant and subject to the provisions of the Company’s 2020</w:t>
      </w:r>
    </w:p>
    <w:p>
      <w:pPr>
        <w:spacing w:after="0" w:line="3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Omnibus Equity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a copy of which has been made available to the Grantee. All terms used herein that are defined in the Plan have the same meaning given them in the Plan.</w:t>
      </w:r>
    </w:p>
    <w:p>
      <w:pPr>
        <w:spacing w:after="0" w:line="250" w:lineRule="exact"/>
        <w:rPr>
          <w:sz w:val="20"/>
          <w:szCs w:val="20"/>
          <w:color w:val="auto"/>
        </w:rPr>
      </w:pPr>
    </w:p>
    <w:p>
      <w:pPr>
        <w:jc w:val="both"/>
        <w:ind w:left="420" w:hanging="250"/>
        <w:spacing w:after="0" w:line="261"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Subject to the terms and conditions of the Plan and subject further to the terms and conditions herein set forth, the Company hereby grants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[______]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subject to the vesting terms set forth in Section 2 below. Subject to the provisions of this Agreement and the Plan, each vested RSU represents the right to receive one (1) share of Stock. The RSUs shall apply only with respect to a whole number of shares of Stock.</w:t>
      </w:r>
    </w:p>
    <w:p>
      <w:pPr>
        <w:spacing w:after="0" w:line="247" w:lineRule="exact"/>
        <w:rPr>
          <w:rFonts w:ascii="Arial" w:cs="Arial" w:eastAsia="Arial" w:hAnsi="Arial"/>
          <w:sz w:val="18"/>
          <w:szCs w:val="18"/>
          <w:color w:val="auto"/>
        </w:rPr>
      </w:pPr>
    </w:p>
    <w:p>
      <w:pPr>
        <w:ind w:left="420" w:hanging="250"/>
        <w:spacing w:after="0" w:line="282"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Except to the extent determined otherwise by the Administrator and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which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shall</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 the subparagraphs of this Section 2 as applicable:</w:t>
      </w:r>
    </w:p>
    <w:p>
      <w:pPr>
        <w:spacing w:after="0" w:line="233" w:lineRule="exact"/>
        <w:rPr>
          <w:rFonts w:ascii="Arial" w:cs="Arial" w:eastAsia="Arial" w:hAnsi="Arial"/>
          <w:sz w:val="18"/>
          <w:szCs w:val="18"/>
          <w:color w:val="auto"/>
        </w:rPr>
      </w:pPr>
    </w:p>
    <w:p>
      <w:pPr>
        <w:jc w:val="both"/>
        <w:ind w:left="820" w:hanging="407"/>
        <w:spacing w:after="0" w:line="257" w:lineRule="auto"/>
        <w:tabs>
          <w:tab w:leader="none" w:pos="8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shares of Stock subject to the RSUs granted under this Agreement shall vest with respect to 25% of the shares on the first anniversary of the Date of Grant and thereafter shall vest with respect to an additional 25% on an annual basis through the fourth anniversary of the Date of Grant until the RSUs are 100% vested, subject to Sections 2(c) and 3 hereof. If the Grantee ceases to be employed by or provide services to the Company or any of its subsidiaries due to death or disability, the unvested portion of the RSUs shall become immediately vested upon such Grantee’s termination or employment or service.</w:t>
      </w:r>
    </w:p>
    <w:p>
      <w:pPr>
        <w:spacing w:after="0" w:line="255" w:lineRule="exact"/>
        <w:rPr>
          <w:rFonts w:ascii="Arial" w:cs="Arial" w:eastAsia="Arial" w:hAnsi="Arial"/>
          <w:sz w:val="18"/>
          <w:szCs w:val="18"/>
          <w:color w:val="auto"/>
        </w:rPr>
      </w:pPr>
    </w:p>
    <w:p>
      <w:pPr>
        <w:ind w:left="820" w:hanging="407"/>
        <w:spacing w:after="0" w:line="277" w:lineRule="auto"/>
        <w:tabs>
          <w:tab w:leader="none" w:pos="9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From and after the Date of Grant through the date on which the RSUs become fully vested pursuant to subsection (a) above, the unvested portion of the RSUs remain subject to forfeiture in accordance with the terms of Sections 2(d) and 3 hereof.</w:t>
      </w:r>
    </w:p>
    <w:p>
      <w:pPr>
        <w:spacing w:after="0" w:line="237" w:lineRule="exact"/>
        <w:rPr>
          <w:rFonts w:ascii="Arial" w:cs="Arial" w:eastAsia="Arial" w:hAnsi="Arial"/>
          <w:sz w:val="18"/>
          <w:szCs w:val="18"/>
          <w:color w:val="auto"/>
        </w:rPr>
      </w:pPr>
    </w:p>
    <w:p>
      <w:pPr>
        <w:jc w:val="both"/>
        <w:ind w:left="820" w:hanging="407"/>
        <w:spacing w:after="0" w:line="257" w:lineRule="auto"/>
        <w:tabs>
          <w:tab w:leader="none" w:pos="8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a Change of Control occurs, and, at any time prior to the second (2nd) anniversary of the Change of Control, the Company terminates the Grantee’s employment with or service to the Company, as applicable, without Cause (as such term is defined in Section 3 below), the unvested portion of the RSUs shall become immediately vested upon such Grantee’s termination of employment or service; provided, however, that if the RSUs are not continued following the Change of Control, then the RSUs shall become fully vested and exercisable immediately prior to the Change of Control.</w:t>
      </w:r>
    </w:p>
    <w:p>
      <w:pPr>
        <w:spacing w:after="0" w:line="255" w:lineRule="exact"/>
        <w:rPr>
          <w:rFonts w:ascii="Arial" w:cs="Arial" w:eastAsia="Arial" w:hAnsi="Arial"/>
          <w:sz w:val="18"/>
          <w:szCs w:val="18"/>
          <w:color w:val="auto"/>
        </w:rPr>
      </w:pPr>
    </w:p>
    <w:p>
      <w:pPr>
        <w:ind w:left="820" w:hanging="407"/>
        <w:spacing w:after="0" w:line="277" w:lineRule="auto"/>
        <w:tabs>
          <w:tab w:leader="none" w:pos="787"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Shares of Stock subject to the RSUs that do not vest in accordance with this Section shall be forfeited as of the date on which the Grantee ceases to be employed by or provide services to the Company or any of its subsidiaries.</w:t>
      </w:r>
    </w:p>
    <w:p>
      <w:pPr>
        <w:spacing w:after="0" w:line="233" w:lineRule="exact"/>
        <w:rPr>
          <w:rFonts w:ascii="Arial" w:cs="Arial" w:eastAsia="Arial" w:hAnsi="Arial"/>
          <w:sz w:val="18"/>
          <w:szCs w:val="18"/>
          <w:color w:val="auto"/>
        </w:rPr>
      </w:pPr>
    </w:p>
    <w:p>
      <w:pPr>
        <w:jc w:val="both"/>
        <w:ind w:left="420" w:hanging="250"/>
        <w:spacing w:after="0" w:line="267" w:lineRule="auto"/>
        <w:tabs>
          <w:tab w:leader="none" w:pos="433"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Forfeiture and Termination of Service. </w:t>
      </w:r>
      <w:r>
        <w:rPr>
          <w:rFonts w:ascii="Arial" w:cs="Arial" w:eastAsia="Arial" w:hAnsi="Arial"/>
          <w:sz w:val="17"/>
          <w:szCs w:val="17"/>
          <w:color w:val="auto"/>
        </w:rPr>
        <w:t>No portion of the RSUs underlying this Agreement shall vest after, and any unvested portion of the RSUs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forfeited on, the date on which the Grantee ceases to provide any services to the Company or any of its subsidiaries (whether as an employee, director, or consultant), unless the Grantee ceases to provide services to the Company or any of its subsidiaries due to death or disability. If the Grantee ceases to be employed by or provide services to the Company or any of its subsidiaries due to death or disability, the unvested portion of the RSUs shall become immediately vested upon such Grantee’s termination of employment or service.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means, with respect to the Grantee (i) if the Grantee is a party to an employment agreement with the Company or its Affiliates and such agreement provides for a definition of Cause, the definition contained therein; or (ii) if no such agreement exists, or if such agreement does not define Cause: (A) the commission of, or plea of guilty or no contest to, a felony or a crime involving moral turpitude or the commission of any other act involving willful malfeasance or material fiduciary breach with respect to the Company or an Affiliate; (B) conduct that results in or is reasonably likely to result in harm to the reputation or business of the Company or any of its Affiliates; (C) gross negligence or willful misconduct with respect to the Company or an Affiliate; (D) material violation of any of the Company’s written policies; or (E) material violation of state or federal securities laws. The Administrator, in its</w:t>
      </w:r>
    </w:p>
    <w:p>
      <w:pPr>
        <w:ind w:left="420"/>
        <w:spacing w:after="0"/>
        <w:rPr>
          <w:rFonts w:ascii="Arial" w:cs="Arial" w:eastAsia="Arial" w:hAnsi="Arial"/>
          <w:sz w:val="17"/>
          <w:szCs w:val="17"/>
          <w:color w:val="auto"/>
        </w:rPr>
      </w:pPr>
      <w:r>
        <w:rPr>
          <w:rFonts w:ascii="Arial" w:cs="Arial" w:eastAsia="Arial" w:hAnsi="Arial"/>
          <w:sz w:val="17"/>
          <w:szCs w:val="17"/>
          <w:color w:val="auto"/>
        </w:rPr>
        <w:t>absolute discretion, shall determine the effect of all matters and questions relating to whether the Grantee has been discharged for Cause.</w:t>
      </w:r>
    </w:p>
    <w:p>
      <w:pPr>
        <w:spacing w:after="0" w:line="285" w:lineRule="exact"/>
        <w:rPr>
          <w:rFonts w:ascii="Arial" w:cs="Arial" w:eastAsia="Arial" w:hAnsi="Arial"/>
          <w:sz w:val="17"/>
          <w:szCs w:val="17"/>
          <w:color w:val="auto"/>
        </w:rPr>
      </w:pPr>
    </w:p>
    <w:p>
      <w:pPr>
        <w:jc w:val="both"/>
        <w:ind w:left="420" w:hanging="250"/>
        <w:spacing w:after="0" w:line="25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Within thirty (30) days following the date on which any portion of the RSUs vest pursuant to Section 2 of this Agreement,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deliver to the Grantee one (1) share of Stock in settlement of each RSU that becomes vested on such vesting date. Notwithstanding the foregoing or anything herein to the contrary, if the RSUs constitute nonqualified deferred compensation within the meaning of Section 409A of the Code and if the Grantee is deemed a “specified employee” within the meaning of Section 409A of the Code (“</w:t>
      </w:r>
      <w:r>
        <w:rPr>
          <w:rFonts w:ascii="Arial" w:cs="Arial" w:eastAsia="Arial" w:hAnsi="Arial"/>
          <w:sz w:val="18"/>
          <w:szCs w:val="18"/>
          <w:u w:val="single" w:color="auto"/>
          <w:color w:val="auto"/>
        </w:rPr>
        <w:t>Section 409A</w:t>
      </w:r>
      <w:r>
        <w:rPr>
          <w:rFonts w:ascii="Arial" w:cs="Arial" w:eastAsia="Arial" w:hAnsi="Arial"/>
          <w:sz w:val="18"/>
          <w:szCs w:val="18"/>
          <w:color w:val="auto"/>
        </w:rPr>
        <w:t>”), each as determined by the Administrator, at a time when the Grantee becomes eligible for settlement of the RSUs upon his or her “separation from service” within the meaning of Section 409A, then to the extent necessary to prevent any accelerated or additional tax under Section 409A, such settlement will be delayed until the earlier of: (a) the first day of the month following the date that is six months following the Grantee’s separation from service and (b) the Grantee’s death.</w:t>
      </w:r>
    </w:p>
    <w:p>
      <w:pPr>
        <w:spacing w:after="0" w:line="259" w:lineRule="exact"/>
        <w:rPr>
          <w:rFonts w:ascii="Arial" w:cs="Arial" w:eastAsia="Arial" w:hAnsi="Arial"/>
          <w:sz w:val="18"/>
          <w:szCs w:val="18"/>
          <w:color w:val="auto"/>
        </w:rPr>
      </w:pPr>
    </w:p>
    <w:p>
      <w:pPr>
        <w:jc w:val="both"/>
        <w:ind w:left="420" w:hanging="250"/>
        <w:spacing w:after="0" w:line="258"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Delivery of Stock. </w:t>
      </w:r>
      <w:r>
        <w:rPr>
          <w:rFonts w:ascii="Arial" w:cs="Arial" w:eastAsia="Arial" w:hAnsi="Arial"/>
          <w:sz w:val="18"/>
          <w:szCs w:val="18"/>
          <w:color w:val="auto"/>
        </w:rPr>
        <w:t>Certificates or evidence of book-entry shares representing the Stock issued upon settlement of RSUs pursuant to Section 4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will be delivered to or otherwise made available to the Grantee (or, at the discretion of the Grantee, joint in the names of the Grantee and the Grantee’s spouse) or to the Grantee’s nominee at such person’s request. Delivery of shares of Stock under this Agreement will comply with all applicable laws (including, the requirements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the applicable requirements of any securities exchange or similar entity.</w:t>
      </w:r>
    </w:p>
    <w:p>
      <w:pPr>
        <w:spacing w:after="0" w:line="250" w:lineRule="exact"/>
        <w:rPr>
          <w:rFonts w:ascii="Arial" w:cs="Arial" w:eastAsia="Arial" w:hAnsi="Arial"/>
          <w:sz w:val="18"/>
          <w:szCs w:val="18"/>
          <w:color w:val="auto"/>
        </w:rPr>
      </w:pPr>
    </w:p>
    <w:p>
      <w:pPr>
        <w:jc w:val="both"/>
        <w:ind w:left="420" w:hanging="250"/>
        <w:spacing w:after="0" w:line="266" w:lineRule="auto"/>
        <w:tabs>
          <w:tab w:leader="none" w:pos="433"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hareholder Rights. </w:t>
      </w:r>
      <w:r>
        <w:rPr>
          <w:rFonts w:ascii="Arial" w:cs="Arial" w:eastAsia="Arial" w:hAnsi="Arial"/>
          <w:sz w:val="18"/>
          <w:szCs w:val="18"/>
          <w:color w:val="auto"/>
        </w:rPr>
        <w:t>An RSU is not a share of Stock, and thus, the Grantee will have no rights as a stockholder with respect to the RSUs.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shall accrue on the RSUs awarded hereunder and such Dividend Equivalents will be subject to vesting on the same schedule as the RSUs and will be paid to Grantee at the same time as the settlement of such RSUs.</w:t>
      </w:r>
    </w:p>
    <w:p>
      <w:pPr>
        <w:sectPr>
          <w:pgSz w:w="11900" w:h="16838" w:orient="portrait"/>
          <w:cols w:equalWidth="0" w:num="1">
            <w:col w:w="11240"/>
          </w:cols>
          <w:pgMar w:left="320" w:top="126" w:right="339" w:bottom="0" w:gutter="0" w:footer="0" w:header="0"/>
        </w:sectPr>
      </w:pPr>
    </w:p>
    <w:bookmarkStart w:id="45" w:name="page46"/>
    <w:bookmarkEnd w:id="45"/>
    <w:p>
      <w:pPr>
        <w:jc w:val="both"/>
        <w:ind w:left="250" w:hanging="250"/>
        <w:spacing w:after="0" w:line="256" w:lineRule="auto"/>
        <w:tabs>
          <w:tab w:leader="none" w:pos="277"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The RSUs subject to this Award may not be assigned, alienated, pledged, attached, sold or otherwise transferred or encumbered</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they vest and are settled in accordance with Sections 2 and 4. After such RSUs vest and are settled in accordance with Sections 2 and 4, no sale or disposition of such shares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 or an exemption from such registration pursuant to Rule 144 under the Securities Act or otherwise is available.</w:t>
      </w:r>
    </w:p>
    <w:p>
      <w:pPr>
        <w:spacing w:after="0" w:line="254" w:lineRule="exact"/>
        <w:rPr>
          <w:rFonts w:ascii="Arial" w:cs="Arial" w:eastAsia="Arial" w:hAnsi="Arial"/>
          <w:sz w:val="18"/>
          <w:szCs w:val="18"/>
          <w:color w:val="auto"/>
        </w:rPr>
      </w:pPr>
    </w:p>
    <w:p>
      <w:pPr>
        <w:jc w:val="both"/>
        <w:ind w:left="250" w:hanging="250"/>
        <w:spacing w:after="0" w:line="266" w:lineRule="auto"/>
        <w:tabs>
          <w:tab w:leader="none" w:pos="263"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Change in Capital Structure. </w:t>
      </w:r>
      <w:r>
        <w:rPr>
          <w:rFonts w:ascii="Arial" w:cs="Arial" w:eastAsia="Arial" w:hAnsi="Arial"/>
          <w:sz w:val="18"/>
          <w:szCs w:val="18"/>
          <w:color w:val="auto"/>
        </w:rPr>
        <w:t>In accordance with Section 5(d) of the Plan, the terms of this Agreement, including the number of shares of Stock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RSUs shall be adjusted as the Administrator determines is equitably required in the event the Company effects one or more stock dividends, stock splits, subdivisions or consolidations of shares or other similar changes in capitalization.</w:t>
      </w:r>
    </w:p>
    <w:p>
      <w:pPr>
        <w:spacing w:after="0" w:line="243" w:lineRule="exact"/>
        <w:rPr>
          <w:rFonts w:ascii="Arial" w:cs="Arial" w:eastAsia="Arial" w:hAnsi="Arial"/>
          <w:sz w:val="18"/>
          <w:szCs w:val="18"/>
          <w:color w:val="auto"/>
        </w:rPr>
      </w:pPr>
    </w:p>
    <w:p>
      <w:pPr>
        <w:ind w:left="250" w:hanging="250"/>
        <w:spacing w:after="0"/>
        <w:tabs>
          <w:tab w:leader="none" w:pos="25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Tax Liability and Withholding.</w:t>
      </w:r>
    </w:p>
    <w:p>
      <w:pPr>
        <w:spacing w:after="0" w:line="296" w:lineRule="exact"/>
        <w:rPr>
          <w:rFonts w:ascii="Arial" w:cs="Arial" w:eastAsia="Arial" w:hAnsi="Arial"/>
          <w:sz w:val="18"/>
          <w:szCs w:val="18"/>
          <w:color w:val="auto"/>
        </w:rPr>
      </w:pPr>
    </w:p>
    <w:p>
      <w:pPr>
        <w:jc w:val="both"/>
        <w:ind w:left="650" w:hanging="407"/>
        <w:spacing w:after="0" w:line="271" w:lineRule="auto"/>
        <w:tabs>
          <w:tab w:leader="none" w:pos="688"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Grantee understands that when the RSUs are settled in accordance with Section 4, the Grantee will be obligated to recognize income, for Federal, state and local income tax purposes, as applicable, in an amount equal to the Fair Market Value of the share of Stock as of such date, and the Grantee is responsible for all tax obligations that arise in connection with the RSUs. Notwithstanding any action the Company takes with respect to any or all income tax, social insurance, payroll tax, or other tax-related withholding (“Tax-Related Items”), the ultimate liability for all Tax-Related Items is and remains the Grantee’s responsibility and the Company (i) makes no representation or undertakings regarding the treatment of any Tax-Related Items in connection with the grant or vesting of the RSUs, the delivery of Stock underlying the RSUs, or the subsequent sale of any shares of the Stock underlying the RSUs; and (ii) does not commit to structure the RSUs or the delivery of Stock underlying the RSUs to reduce or eliminate the Grantee’s liability for Tax-Related Items.</w:t>
      </w:r>
    </w:p>
    <w:p>
      <w:pPr>
        <w:spacing w:after="0" w:line="245" w:lineRule="exact"/>
        <w:rPr>
          <w:rFonts w:ascii="Arial" w:cs="Arial" w:eastAsia="Arial" w:hAnsi="Arial"/>
          <w:sz w:val="17"/>
          <w:szCs w:val="17"/>
          <w:color w:val="auto"/>
        </w:rPr>
      </w:pPr>
    </w:p>
    <w:p>
      <w:pPr>
        <w:jc w:val="both"/>
        <w:ind w:left="650" w:hanging="407"/>
        <w:spacing w:after="0" w:line="254" w:lineRule="auto"/>
        <w:tabs>
          <w:tab w:leader="none" w:pos="6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Notwithstanding anything in the Plan or this Agreement to the contrary, unless the Grantee has delivered an amount necessary to satisfy the Tax Related Items as of the settlement date for the RSUs, the Grantee agrees to the following methods of satisfying the Tax-Related Items on behalf of the Grantee in connection with the RSUs and the delivery of Stock underlying the RSUs, in the discretion of the Company: (i) through the automatic</w:t>
      </w:r>
    </w:p>
    <w:p>
      <w:pPr>
        <w:spacing w:after="0" w:line="2" w:lineRule="exact"/>
        <w:rPr>
          <w:rFonts w:ascii="Arial" w:cs="Arial" w:eastAsia="Arial" w:hAnsi="Arial"/>
          <w:sz w:val="18"/>
          <w:szCs w:val="18"/>
          <w:color w:val="auto"/>
        </w:rPr>
      </w:pPr>
    </w:p>
    <w:p>
      <w:pPr>
        <w:jc w:val="both"/>
        <w:ind w:left="650"/>
        <w:spacing w:after="0" w:line="252" w:lineRule="auto"/>
        <w:rPr>
          <w:rFonts w:ascii="Arial" w:cs="Arial" w:eastAsia="Arial" w:hAnsi="Arial"/>
          <w:sz w:val="18"/>
          <w:szCs w:val="18"/>
          <w:color w:val="auto"/>
        </w:rPr>
      </w:pPr>
      <w:r>
        <w:rPr>
          <w:rFonts w:ascii="Arial" w:cs="Arial" w:eastAsia="Arial" w:hAnsi="Arial"/>
          <w:sz w:val="18"/>
          <w:szCs w:val="18"/>
          <w:color w:val="auto"/>
        </w:rPr>
        <w:t>withholding of a sufficient number of shares of Stock that would otherwise be delivered to Grantee, applying procedures approved by the Administrator, such withheld shares having an aggregate Fair Market Value on the date of settlement that shall not exceed the minimum amount of the Tax-Related Items, rounded up for any partial share of Stock that would be withheld to satisfy such obligation (or such other amount as the Administrator determines will not result in additional compensation expense for financial accounting purposes under applicable financial accounting principles); (ii) through the deduction from any other payment otherwise due to the Grantee at the time of exercise; or (iii) a combination of any or all of the foregoing.</w:t>
      </w:r>
    </w:p>
    <w:p>
      <w:pPr>
        <w:spacing w:after="0" w:line="261" w:lineRule="exact"/>
        <w:rPr>
          <w:rFonts w:ascii="Arial" w:cs="Arial" w:eastAsia="Arial" w:hAnsi="Arial"/>
          <w:sz w:val="18"/>
          <w:szCs w:val="18"/>
          <w:color w:val="auto"/>
        </w:rPr>
      </w:pPr>
    </w:p>
    <w:p>
      <w:pPr>
        <w:jc w:val="both"/>
        <w:ind w:left="650" w:hanging="407"/>
        <w:spacing w:after="0" w:line="263" w:lineRule="auto"/>
        <w:tabs>
          <w:tab w:leader="none" w:pos="823" w:val="left"/>
        </w:tabs>
        <w:numPr>
          <w:ilvl w:val="1"/>
          <w:numId w:val="23"/>
        </w:numPr>
        <w:rPr>
          <w:rFonts w:ascii="Arial" w:cs="Arial" w:eastAsia="Arial" w:hAnsi="Arial"/>
          <w:sz w:val="18"/>
          <w:szCs w:val="18"/>
          <w:color w:val="auto"/>
        </w:rPr>
      </w:pPr>
      <w:r>
        <w:rPr>
          <w:rFonts w:ascii="Arial" w:cs="Arial" w:eastAsia="Arial" w:hAnsi="Arial"/>
          <w:sz w:val="18"/>
          <w:szCs w:val="18"/>
          <w:color w:val="auto"/>
        </w:rPr>
        <w:t>Unless otherwise determined by the Administrator, the Grantee may satisfy the tax withholding obligation by delivery of cash or by surrendering shares deliverable in settlement of the RSU or by delivering shares of Stock owned by the Grantee (having in any case, an aggregate Fair Market Value on the date of exercise equal to the amount of the Tax Related Items).</w:t>
      </w:r>
    </w:p>
    <w:p>
      <w:pPr>
        <w:spacing w:after="0" w:line="206" w:lineRule="exact"/>
        <w:rPr>
          <w:rFonts w:ascii="Arial" w:cs="Arial" w:eastAsia="Arial" w:hAnsi="Arial"/>
          <w:sz w:val="18"/>
          <w:szCs w:val="18"/>
          <w:color w:val="auto"/>
        </w:rPr>
      </w:pPr>
    </w:p>
    <w:p>
      <w:pPr>
        <w:ind w:left="330" w:hanging="330"/>
        <w:spacing w:after="0" w:line="282" w:lineRule="auto"/>
        <w:tabs>
          <w:tab w:leader="none" w:pos="276"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In the event of any conflict between the provisions of the Plan as in effect on the Date of Grant and the provisions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Plan shall govern. All references herein to the Plan mean the Plan as in effect on the date hereof.</w:t>
      </w:r>
    </w:p>
    <w:p>
      <w:pPr>
        <w:spacing w:after="0" w:line="188" w:lineRule="exact"/>
        <w:rPr>
          <w:rFonts w:ascii="Arial" w:cs="Arial" w:eastAsia="Arial" w:hAnsi="Arial"/>
          <w:sz w:val="18"/>
          <w:szCs w:val="18"/>
          <w:color w:val="auto"/>
        </w:rPr>
      </w:pPr>
    </w:p>
    <w:p>
      <w:pPr>
        <w:ind w:left="330" w:hanging="330"/>
        <w:spacing w:after="0" w:line="289" w:lineRule="auto"/>
        <w:tabs>
          <w:tab w:leader="none" w:pos="269"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No Right to Continued Service. </w:t>
      </w:r>
      <w:r>
        <w:rPr>
          <w:rFonts w:ascii="Arial" w:cs="Arial" w:eastAsia="Arial" w:hAnsi="Arial"/>
          <w:sz w:val="17"/>
          <w:szCs w:val="17"/>
          <w:color w:val="auto"/>
        </w:rPr>
        <w:t>Neither the Plan nor this Agreement shall confer upon the Grantee any right to be retained in any position, as an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consultant or director of the Company or any of its subsidiaries. Further, nothing in the Plan or this Agreement shall be construed to limit the discretion of the Company to terminate the Grantee’s employment at any time, with or without Cause.</w:t>
      </w:r>
    </w:p>
    <w:p>
      <w:pPr>
        <w:spacing w:after="0" w:line="184" w:lineRule="exact"/>
        <w:rPr>
          <w:rFonts w:ascii="Arial" w:cs="Arial" w:eastAsia="Arial" w:hAnsi="Arial"/>
          <w:sz w:val="17"/>
          <w:szCs w:val="17"/>
          <w:color w:val="auto"/>
        </w:rPr>
      </w:pPr>
    </w:p>
    <w:p>
      <w:pPr>
        <w:jc w:val="both"/>
        <w:ind w:left="330" w:hanging="330"/>
        <w:spacing w:after="0" w:line="281" w:lineRule="auto"/>
        <w:tabs>
          <w:tab w:leader="none" w:pos="276"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Law. </w:t>
      </w:r>
      <w:r>
        <w:rPr>
          <w:rFonts w:ascii="Arial" w:cs="Arial" w:eastAsia="Arial" w:hAnsi="Arial"/>
          <w:sz w:val="17"/>
          <w:szCs w:val="17"/>
          <w:color w:val="auto"/>
        </w:rPr>
        <w:t>The grant and settlement of the RSUs shall be subject to compliance by the Company and the Grantee with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federal and state securities laws and with all applicable requirements of any stock exchange on which the Company’s shares of Stock may be listed. No shares of Stock shall be issued in settlement of the RSUs unless and until any then applicable requirements of state or federal laws and regulatory agencies have been fully complied with to the satisfaction of the Company and its counsel.</w:t>
      </w:r>
    </w:p>
    <w:p>
      <w:pPr>
        <w:spacing w:after="0" w:line="191" w:lineRule="exact"/>
        <w:rPr>
          <w:rFonts w:ascii="Arial" w:cs="Arial" w:eastAsia="Arial" w:hAnsi="Arial"/>
          <w:sz w:val="17"/>
          <w:szCs w:val="17"/>
          <w:color w:val="auto"/>
        </w:rPr>
      </w:pPr>
    </w:p>
    <w:p>
      <w:pPr>
        <w:jc w:val="both"/>
        <w:ind w:left="330" w:hanging="330"/>
        <w:spacing w:after="0" w:line="261" w:lineRule="auto"/>
        <w:tabs>
          <w:tab w:leader="none" w:pos="276"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required to be delivered to the Company under this Agreement shall be in writing and addressed to the Secretary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spacing w:after="0" w:line="206" w:lineRule="exact"/>
        <w:rPr>
          <w:rFonts w:ascii="Arial" w:cs="Arial" w:eastAsia="Arial" w:hAnsi="Arial"/>
          <w:sz w:val="18"/>
          <w:szCs w:val="18"/>
          <w:color w:val="auto"/>
        </w:rPr>
      </w:pPr>
    </w:p>
    <w:p>
      <w:pPr>
        <w:ind w:left="330" w:right="20" w:hanging="330"/>
        <w:spacing w:after="0" w:line="312" w:lineRule="auto"/>
        <w:tabs>
          <w:tab w:leader="none" w:pos="276"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Interpretation. </w:t>
      </w:r>
      <w:r>
        <w:rPr>
          <w:rFonts w:ascii="Arial" w:cs="Arial" w:eastAsia="Arial" w:hAnsi="Arial"/>
          <w:sz w:val="17"/>
          <w:szCs w:val="17"/>
          <w:color w:val="auto"/>
        </w:rPr>
        <w:t>Any dispute regarding the interpretation of this Agreement shall be submitted by the Grantee or the Company to the Administrator</w:t>
      </w:r>
      <w:r>
        <w:rPr>
          <w:rFonts w:ascii="Arial" w:cs="Arial" w:eastAsia="Arial" w:hAnsi="Arial"/>
          <w:sz w:val="17"/>
          <w:szCs w:val="17"/>
          <w:b w:val="1"/>
          <w:bCs w:val="1"/>
          <w:color w:val="auto"/>
        </w:rPr>
        <w:t xml:space="preserve"> </w:t>
      </w:r>
      <w:r>
        <w:rPr>
          <w:rFonts w:ascii="Arial" w:cs="Arial" w:eastAsia="Arial" w:hAnsi="Arial"/>
          <w:sz w:val="17"/>
          <w:szCs w:val="17"/>
          <w:color w:val="auto"/>
        </w:rPr>
        <w:t>for review. The resolution of such dispute by the Administrator shall be final and binding on the Grantee and the Company.</w:t>
      </w:r>
    </w:p>
    <w:p>
      <w:pPr>
        <w:spacing w:after="0" w:line="166" w:lineRule="exact"/>
        <w:rPr>
          <w:rFonts w:ascii="Arial" w:cs="Arial" w:eastAsia="Arial" w:hAnsi="Arial"/>
          <w:sz w:val="17"/>
          <w:szCs w:val="17"/>
          <w:color w:val="auto"/>
        </w:rPr>
      </w:pPr>
    </w:p>
    <w:p>
      <w:pPr>
        <w:jc w:val="both"/>
        <w:ind w:left="330" w:hanging="330"/>
        <w:spacing w:after="0" w:line="261" w:lineRule="auto"/>
        <w:tabs>
          <w:tab w:leader="none" w:pos="276"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Company may assign any of its rights under this Agreement. This Agreement will be binding upon and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successors and assigns of the Company. Subject to the restrictions on transfer set forth herein, this Agreement will be binding upon the Grantee and the Grantee’s beneficiaries, executors, administrators and the person(s) to whom this Agreement may be transferred by will or the laws of descent or distribution.</w:t>
      </w:r>
    </w:p>
    <w:p>
      <w:pPr>
        <w:spacing w:after="0" w:line="206" w:lineRule="exact"/>
        <w:rPr>
          <w:rFonts w:ascii="Arial" w:cs="Arial" w:eastAsia="Arial" w:hAnsi="Arial"/>
          <w:sz w:val="18"/>
          <w:szCs w:val="18"/>
          <w:color w:val="auto"/>
        </w:rPr>
      </w:pPr>
    </w:p>
    <w:p>
      <w:pPr>
        <w:jc w:val="both"/>
        <w:ind w:left="330" w:hanging="330"/>
        <w:spacing w:after="0" w:line="266" w:lineRule="auto"/>
        <w:tabs>
          <w:tab w:leader="none" w:pos="276"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of the Plan or this Agreement shall not affect the validity or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of the Plan or this Agreement, and each provision of the Plan and this Agreement shall be severable and enforceable to the extent permitted by law.</w:t>
      </w:r>
    </w:p>
    <w:p>
      <w:pPr>
        <w:spacing w:after="0" w:line="202" w:lineRule="exact"/>
        <w:rPr>
          <w:rFonts w:ascii="Arial" w:cs="Arial" w:eastAsia="Arial" w:hAnsi="Arial"/>
          <w:sz w:val="18"/>
          <w:szCs w:val="18"/>
          <w:color w:val="auto"/>
        </w:rPr>
      </w:pPr>
    </w:p>
    <w:p>
      <w:pPr>
        <w:jc w:val="both"/>
        <w:ind w:left="330" w:hanging="330"/>
        <w:spacing w:after="0" w:line="261" w:lineRule="auto"/>
        <w:tabs>
          <w:tab w:leader="none" w:pos="276"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Nature of Plan. </w:t>
      </w:r>
      <w:r>
        <w:rPr>
          <w:rFonts w:ascii="Arial" w:cs="Arial" w:eastAsia="Arial" w:hAnsi="Arial"/>
          <w:sz w:val="18"/>
          <w:szCs w:val="18"/>
          <w:color w:val="auto"/>
        </w:rPr>
        <w:t>The Plan is discretionary and may be amended, cancelled or terminated by the Company at any time, in its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of the RSUs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the Grantee’s service to the Company.</w:t>
      </w:r>
    </w:p>
    <w:p>
      <w:pPr>
        <w:spacing w:after="0" w:line="206" w:lineRule="exact"/>
        <w:rPr>
          <w:rFonts w:ascii="Arial" w:cs="Arial" w:eastAsia="Arial" w:hAnsi="Arial"/>
          <w:sz w:val="18"/>
          <w:szCs w:val="18"/>
          <w:color w:val="auto"/>
        </w:rPr>
      </w:pPr>
    </w:p>
    <w:p>
      <w:pPr>
        <w:ind w:left="330" w:hanging="330"/>
        <w:spacing w:after="0" w:line="312" w:lineRule="auto"/>
        <w:tabs>
          <w:tab w:leader="none" w:pos="276"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The Administrator has the right to amend, alter, suspend, discontinue or cancel the RSUs, prospectively or retroactively; provided, that,</w:t>
      </w:r>
      <w:r>
        <w:rPr>
          <w:rFonts w:ascii="Arial" w:cs="Arial" w:eastAsia="Arial" w:hAnsi="Arial"/>
          <w:sz w:val="17"/>
          <w:szCs w:val="17"/>
          <w:b w:val="1"/>
          <w:bCs w:val="1"/>
          <w:color w:val="auto"/>
        </w:rPr>
        <w:t xml:space="preserve"> </w:t>
      </w:r>
      <w:r>
        <w:rPr>
          <w:rFonts w:ascii="Arial" w:cs="Arial" w:eastAsia="Arial" w:hAnsi="Arial"/>
          <w:sz w:val="17"/>
          <w:szCs w:val="17"/>
          <w:color w:val="auto"/>
        </w:rPr>
        <w:t>no such amendment shall adversely affect the Grantee’s material rights under this Agreement without the Grantee’s consent.</w:t>
      </w:r>
    </w:p>
    <w:p>
      <w:pPr>
        <w:sectPr>
          <w:pgSz w:w="11900" w:h="16838" w:orient="portrait"/>
          <w:cols w:equalWidth="0" w:num="1">
            <w:col w:w="11070"/>
          </w:cols>
          <w:pgMar w:left="490" w:top="162" w:right="339" w:bottom="0" w:gutter="0" w:footer="0" w:header="0"/>
        </w:sectPr>
      </w:pPr>
    </w:p>
    <w:bookmarkStart w:id="46" w:name="page47"/>
    <w:bookmarkEnd w:id="46"/>
    <w:p>
      <w:pPr>
        <w:ind w:left="500" w:hanging="330"/>
        <w:spacing w:after="0" w:line="282" w:lineRule="auto"/>
        <w:tabs>
          <w:tab w:leader="none" w:pos="459"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No Impact on Other Benefits. </w:t>
      </w:r>
      <w:r>
        <w:rPr>
          <w:rFonts w:ascii="Arial" w:cs="Arial" w:eastAsia="Arial" w:hAnsi="Arial"/>
          <w:sz w:val="18"/>
          <w:szCs w:val="18"/>
          <w:color w:val="auto"/>
        </w:rPr>
        <w:t>The value of the Grantee’s RSUs or the Stock underlying the RSUs is not part of his or her normal or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purposes of calculating any severance, retirement, welfare, insurance or similar employee benefit.</w:t>
      </w:r>
    </w:p>
    <w:p>
      <w:pPr>
        <w:spacing w:after="0" w:line="188" w:lineRule="exact"/>
        <w:rPr>
          <w:rFonts w:ascii="Arial" w:cs="Arial" w:eastAsia="Arial" w:hAnsi="Arial"/>
          <w:sz w:val="18"/>
          <w:szCs w:val="18"/>
          <w:color w:val="auto"/>
        </w:rPr>
      </w:pPr>
    </w:p>
    <w:p>
      <w:pPr>
        <w:jc w:val="both"/>
        <w:ind w:left="500" w:hanging="330"/>
        <w:spacing w:after="0" w:line="258" w:lineRule="auto"/>
        <w:tabs>
          <w:tab w:leader="none" w:pos="459"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This Agreement is intended to comply with Section 409A or an exemption thereunder and shall be construed and interpreted in a</w:t>
      </w:r>
      <w:r>
        <w:rPr>
          <w:rFonts w:ascii="Arial" w:cs="Arial" w:eastAsia="Arial" w:hAnsi="Arial"/>
          <w:sz w:val="18"/>
          <w:szCs w:val="18"/>
          <w:b w:val="1"/>
          <w:bCs w:val="1"/>
          <w:color w:val="auto"/>
        </w:rPr>
        <w:t xml:space="preserve"> </w:t>
      </w:r>
      <w:r>
        <w:rPr>
          <w:rFonts w:ascii="Arial" w:cs="Arial" w:eastAsia="Arial" w:hAnsi="Arial"/>
          <w:sz w:val="18"/>
          <w:szCs w:val="18"/>
          <w:color w:val="auto"/>
        </w:rPr>
        <w:t>manner that is consistent with the requirements for avoiding additional taxes or penalties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Grantee on account of non-compliance with Section 409A.</w:t>
      </w:r>
    </w:p>
    <w:p>
      <w:pPr>
        <w:spacing w:after="0" w:line="210" w:lineRule="exact"/>
        <w:rPr>
          <w:rFonts w:ascii="Arial" w:cs="Arial" w:eastAsia="Arial" w:hAnsi="Arial"/>
          <w:sz w:val="18"/>
          <w:szCs w:val="18"/>
          <w:color w:val="auto"/>
        </w:rPr>
      </w:pPr>
    </w:p>
    <w:p>
      <w:pPr>
        <w:jc w:val="both"/>
        <w:ind w:left="500" w:hanging="330"/>
        <w:spacing w:after="0" w:line="261"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but all of which together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06" w:lineRule="exact"/>
        <w:rPr>
          <w:rFonts w:ascii="Arial" w:cs="Arial" w:eastAsia="Arial" w:hAnsi="Arial"/>
          <w:sz w:val="18"/>
          <w:szCs w:val="18"/>
          <w:color w:val="auto"/>
        </w:rPr>
      </w:pPr>
    </w:p>
    <w:p>
      <w:pPr>
        <w:ind w:left="500" w:hanging="330"/>
        <w:spacing w:after="0" w:line="312" w:lineRule="auto"/>
        <w:tabs>
          <w:tab w:leader="none" w:pos="504"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The Grantee hereby acknowledges that a copy of the Plan has been made available to him or her and agrees to be bound</w:t>
      </w:r>
      <w:r>
        <w:rPr>
          <w:rFonts w:ascii="Arial" w:cs="Arial" w:eastAsia="Arial" w:hAnsi="Arial"/>
          <w:sz w:val="17"/>
          <w:szCs w:val="17"/>
          <w:b w:val="1"/>
          <w:bCs w:val="1"/>
          <w:color w:val="auto"/>
        </w:rPr>
        <w:t xml:space="preserve"> </w:t>
      </w:r>
      <w:r>
        <w:rPr>
          <w:rFonts w:ascii="Arial" w:cs="Arial" w:eastAsia="Arial" w:hAnsi="Arial"/>
          <w:sz w:val="17"/>
          <w:szCs w:val="17"/>
          <w:color w:val="auto"/>
        </w:rPr>
        <w:t>by all the terms and provisions thereof. The terms and conditions of the Plan are incorporated into this Agreement by reference.</w:t>
      </w:r>
    </w:p>
    <w:p>
      <w:pPr>
        <w:spacing w:after="0" w:line="166" w:lineRule="exact"/>
        <w:rPr>
          <w:rFonts w:ascii="Arial" w:cs="Arial" w:eastAsia="Arial" w:hAnsi="Arial"/>
          <w:sz w:val="17"/>
          <w:szCs w:val="17"/>
          <w:color w:val="auto"/>
        </w:rPr>
      </w:pPr>
    </w:p>
    <w:p>
      <w:pPr>
        <w:ind w:left="480" w:hanging="310"/>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the laws of the State of Delaware without regard to conflict of law principles.</w:t>
      </w:r>
    </w:p>
    <w:p>
      <w:pPr>
        <w:spacing w:after="0" w:line="252" w:lineRule="exact"/>
        <w:rPr>
          <w:rFonts w:ascii="Arial" w:cs="Arial" w:eastAsia="Arial" w:hAnsi="Arial"/>
          <w:sz w:val="18"/>
          <w:szCs w:val="18"/>
          <w:color w:val="auto"/>
        </w:rPr>
      </w:pPr>
    </w:p>
    <w:p>
      <w:pPr>
        <w:jc w:val="both"/>
        <w:ind w:left="500" w:hanging="330"/>
        <w:spacing w:after="0" w:line="261"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Acceptance. </w:t>
      </w:r>
      <w:r>
        <w:rPr>
          <w:rFonts w:ascii="Arial" w:cs="Arial" w:eastAsia="Arial" w:hAnsi="Arial"/>
          <w:sz w:val="18"/>
          <w:szCs w:val="18"/>
          <w:color w:val="auto"/>
        </w:rPr>
        <w:t>The Grantee hereby acknowledges receipt of a copy of the Plan and this Agreement. The Grantee has read and understands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provisions thereof, and accepts the RSUs subject to all of the terms and conditions of the Plan and this Agreement. The Grantee acknowledges that there may be adverse tax consequences upon grant or vesting of or settlement of the RSUs and that the Grantee should consult a tax advisor prior to such vesting or settlement.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appear on following page]</w:t>
      </w:r>
    </w:p>
    <w:p>
      <w:pPr>
        <w:spacing w:after="0" w:line="200" w:lineRule="exact"/>
        <w:rPr>
          <w:sz w:val="20"/>
          <w:szCs w:val="20"/>
          <w:color w:val="auto"/>
        </w:rPr>
      </w:pP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its duly authorized officer to execute this Agreement, and the Grantee has placed his or her 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hereon, effective as of the Date of Grant.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MONEY EXPRESS, INC.</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31750</wp:posOffset>
            </wp:positionV>
            <wp:extent cx="2785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hereby accept this Grant and I agree to be bound by the terms of the Plan and this Grant. I further agree that all of the decisions and interpretations of the Company with respect thereto shall be final and binding.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31750</wp:posOffset>
            </wp:positionV>
            <wp:extent cx="2785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31750</wp:posOffset>
            </wp:positionV>
            <wp:extent cx="2785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36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29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p>
      <w:pPr>
        <w:spacing w:after="0" w:line="63"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Tony Lauro II,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29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p>
      <w:pPr>
        <w:spacing w:after="0" w:line="6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23831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Name:</w:t>
        <w:tab/>
        <w:t>Tony Lauro II</w:t>
      </w:r>
    </w:p>
    <w:p>
      <w:pPr>
        <w:spacing w:after="0" w:line="77"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Robert Lisy, Chief Executive Officer and President of International Money Express, Inc. (the “Company”), certify, pursuant to 18 U.S.C. Section 1350, that, to my knowledge:</w:t>
      </w:r>
    </w:p>
    <w:p>
      <w:pPr>
        <w:spacing w:after="0" w:line="170" w:lineRule="exact"/>
        <w:rPr>
          <w:sz w:val="20"/>
          <w:szCs w:val="20"/>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p>
      <w:pPr>
        <w:spacing w:after="0" w:line="27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Tony Lauro II, Chief Financial Officer of International Money Express, Inc. (the “Company”), certify, pursuant to 18 U.S.C. Section 1350, that, to my knowledge:</w:t>
      </w:r>
    </w:p>
    <w:p>
      <w:pPr>
        <w:spacing w:after="0" w:line="170" w:lineRule="exact"/>
        <w:rPr>
          <w:sz w:val="20"/>
          <w:szCs w:val="20"/>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p>
      <w:pPr>
        <w:spacing w:after="0" w:line="320"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23831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Name:</w:t>
        <w:tab/>
        <w:t>Tony Lauro II</w:t>
      </w:r>
    </w:p>
    <w:p>
      <w:pPr>
        <w:spacing w:after="0" w:line="77"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lvl w:ilvl="1">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3"/>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decimal"/>
      <w:start w:val="7"/>
    </w:lvl>
    <w:lvl w:ilvl="1">
      <w:lvlJc w:val="left"/>
      <w:lvlText w:val="(%2)"/>
      <w:numFmt w:val="lowerLetter"/>
      <w:start w:val="1"/>
    </w:lvl>
  </w:abstractNum>
  <w:abstractNum w:abstractNumId="23">
    <w:nsid w:val="B03E0C6"/>
    <w:multiLevelType w:val="hybridMultilevel"/>
    <w:lvl w:ilvl="0">
      <w:lvlJc w:val="left"/>
      <w:lvlText w:val="%1."/>
      <w:numFmt w:val="decimal"/>
      <w:start w:val="19"/>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2020-11-06T15:36:03Z</dcterms:created>
  <dcterms:modified xsi:type="dcterms:W3CDTF">2020-11-06T15:36:03Z</dcterms:modified>
</cp:coreProperties>
</file>