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 2026</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INTERNATIONAL MONEY EXPRESS,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60"/>
          </w:cols>
          <w:pgMar w:left="320" w:top="394" w:right="319" w:bottom="1440" w:gutter="0" w:footer="0" w:header="0"/>
        </w:sectPr>
      </w:pPr>
    </w:p>
    <w:p>
      <w:pPr>
        <w:spacing w:after="0" w:line="2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001-37986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47-4219082</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80"/>
          </w:cols>
          <w:pgMar w:left="320" w:top="394" w:right="31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9100 South Dadeland Blvd., Suite 1100, Miami, Florida</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33156</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60"/>
          </w:cols>
          <w:pgMar w:left="320" w:top="394" w:right="31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671-8000</w:t>
      </w:r>
    </w:p>
    <w:p>
      <w:pPr>
        <w:spacing w:after="0" w:line="229"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IMXI</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94" w:right="31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10, 2025, International Money Express, Inc., a Delaware corporation (the “Company”), entered into an Agreement and Plan of Merger (the “Merger Agreement”), by and among the Company, The Western Union Company, a Delaware corporation (“Western Union”), and Ivey Merger Sub, Inc., a Delaware corporation and wholly owned subsidiary of Western Union (“Merger Sub”). Pursuant to the Merger Agreement, on the terms and subject to the conditions set forth therein, Merger Sub will merge with and into the Company (the “Merger”), with the Company continuing as the surviving corporation in the Merger and becoming a wholly owned subsidiary of Western Union.</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Among other things, the consummation of the Merger is conditioned upon the expiration or termination of the applicable waiting period under the Hart-Scott-Rodino Antitrust Improvements Act of 1976, as amended (the “HSR Act”). As previously disclosed, due to the passage of time, on October 2, 2026, the Company and Western Union each filed their new respective Premerger Notification and Report Forms under the HSR Act with the Federal Trade Commission and the Antitrust Division of the U.S. Department of Justice with respect to the Merger. At 11:59 p.m. Eastern Time on November 2, 2026, the waiting period under the HSR Act with respect to the Merger expired. The Merger remains subject to the reinstatement of the suspended approval of the California Department of Financial Protection and Innovation (the “DFPI”), and the satisfaction or waiver of the other closing conditions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Certain statements in this communication may constitute forward-looking statements within the meaning of the Private Securities Litigation Reform Act of 1995. All statements, other than statements of historical fact, included or incorporated in this communication are forward-looking statements. Words such as “expect,” “anticipates,” “should,” “believes,” “target,” “continues,” “projects,” “plans,” “opportunity,” “estimate,” “potential,” “predicts,” “demonstrates,” “may,” “will,” “could,” “intend,” “shall,” “possible,” “forecast,” “trends,” “contemplate,” “would,” “approximately,” “likely,” “outlook,” “schedule,” “pipeline,” “expects,” “intends,” “might,”, “assumes,” “estimates,” “approximately,” “shall,” “planning assumptions,” “future outlook,” “currently,” “target,” “guidance,” and similar and variations of these terms or the negative of these terms and similar expressions are intended to identify these forward-looking statements, but the absence of these words does not mean that a statement is not forward looking. These forward-looking statements are not guarantees of future performance, conditions or results. Forward-looking statements are subject to a number of risks and uncertainties, many of which involve factors or circumstances that are beyond the Company’s control. These factors and circumstances include, but are not limited to, factors relating to the contemplated pending acquisition of the Company by Western Union, including: (i) the completion of the pending transaction on anticipated terms and timing or at all, including obtaining regulatory approvals (such as the pending approval from the DFPI) and the satisfaction or waiver of conditions to the completion of the transaction; (ii) the ability of Western Union to integrate and implement its plans, forecasts and other expectations with respect to the Company’s business after the completion of the pending transaction; (iii) the occurrence of any event, change or other circumstance or condition that could give rise to the termination of the Merger Agreement, which may require us to pay a termination fee or other expenses; (iv) potential significant transaction costs associated with the pending transaction, and the possibility that the pending transaction may be more expensive to complete than anticipated, including as a result of unexpected factors or events; (v) continued availability of capital and other changes in capital markets; (vi) potential litigation or regulatory actions relating to the pending transaction, which could result in significant costs of defense, indemnification, and liability;</w:t>
      </w:r>
    </w:p>
    <w:p>
      <w:pPr>
        <w:spacing w:after="0" w:line="7" w:lineRule="exact"/>
        <w:rPr>
          <w:sz w:val="20"/>
          <w:szCs w:val="20"/>
          <w:color w:val="auto"/>
        </w:rPr>
      </w:pPr>
    </w:p>
    <w:p>
      <w:pPr>
        <w:ind w:firstLine="8"/>
        <w:spacing w:after="0" w:line="251" w:lineRule="auto"/>
        <w:tabs>
          <w:tab w:leader="none" w:pos="3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disruptions from the pending transaction, such as diverting management’s attention from the Company’s ongoing business operations and relationships, may harm the Company’s business, including current plans and operations; (viii) the effect of the announcement, pendency or completion of the pending transaction on the Company’s ability to retain and hire key personnel; (ix) the Company’s ability to maintain relationships with customers, suppliers, governments, regulators and others with whom we do business, or the Company’s operating results or business generally; (x) potential adverse business uncertainty resulting from restrictions imposed by the Merger Agreement during the pendency of the pending transaction that may impact the Company’s ability to pursue certain business opportunities or strategic transactions; (xi) the impact of regulatory actions, investigations or inquiries, including the suspension of previously granted approvals, on the timing or completion of the pending transaction; and (xii) the other risks and uncertainties pertaining to the Company’s business, including those set forth in the Company’s most recent Annual Report on Form 10-K and its subsequent Quarterly Reports on Form 10-Q, as such risk factors may be amended, supplemented or superseded from time to time by other reports filed or furnished by the Company with the Securities and Exchange Commission. The forward-looking statements contained in this communication are based on the Company’s current expectations and beliefs concerning future developments and their potential effects on us. If underlying assumptions to forward-looking statements prove inaccurate, or if known or unknown risks or uncertainties materialize, actual results could vary materially from those anticipated, estimated, or projected. The forward-looking statements contained in this communication are made as of the date of this communication, and the Company disclaims any obligation to update or revise any forward-looking statements, whether as a result of new information, future events, or otherwise. Persons reading this communication are cautioned not to place undue reliance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INTERNATIONAL MONEY EXPRESS, INC.</w:t>
      </w:r>
    </w:p>
    <w:p>
      <w:pPr>
        <w:spacing w:after="0" w:line="225" w:lineRule="exact"/>
        <w:rPr>
          <w:sz w:val="20"/>
          <w:szCs w:val="20"/>
          <w:color w:val="auto"/>
        </w:rPr>
      </w:pPr>
    </w:p>
    <w:p>
      <w:pPr>
        <w:spacing w:after="0"/>
        <w:tabs>
          <w:tab w:leader="none" w:pos="5060" w:val="left"/>
          <w:tab w:leader="none" w:pos="5600" w:val="left"/>
        </w:tabs>
        <w:rPr>
          <w:sz w:val="20"/>
          <w:szCs w:val="20"/>
          <w:color w:val="auto"/>
        </w:rPr>
      </w:pPr>
      <w:r>
        <w:rPr>
          <w:rFonts w:ascii="Times New Roman" w:cs="Times New Roman" w:eastAsia="Times New Roman" w:hAnsi="Times New Roman"/>
          <w:sz w:val="18"/>
          <w:szCs w:val="18"/>
          <w:color w:val="auto"/>
        </w:rPr>
        <w:t>Dated: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Andras Bende</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2026-11-03T07:27:07Z</dcterms:created>
  <dcterms:modified xsi:type="dcterms:W3CDTF">2026-11-03T07:27:07Z</dcterms:modified>
</cp:coreProperties>
</file>