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Commission File No. 001-37986</w:t>
            </w:r>
          </w:p>
        </w:tc>
        <w:tc>
          <w:tcPr>
            <w:tcW w:w="0" w:type="dxa"/>
            <w:vAlign w:val="bottom"/>
          </w:tcPr>
          <w:p>
            <w:pPr>
              <w:spacing w:after="0"/>
              <w:rPr>
                <w:sz w:val="1"/>
                <w:szCs w:val="1"/>
                <w:color w:val="auto"/>
              </w:rPr>
            </w:pPr>
          </w:p>
        </w:tc>
      </w:tr>
      <w:tr>
        <w:trPr>
          <w:trHeight w:val="398"/>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29"/>
                <w:szCs w:val="29"/>
                <w:b w:val="1"/>
                <w:bCs w:val="1"/>
                <w:color w:val="auto"/>
                <w:w w:val="98"/>
              </w:rPr>
              <w:t>INTERNATIONAL MONEY EXPRESS, INC.</w:t>
            </w:r>
          </w:p>
        </w:tc>
        <w:tc>
          <w:tcPr>
            <w:tcW w:w="0" w:type="dxa"/>
            <w:vAlign w:val="bottom"/>
          </w:tcPr>
          <w:p>
            <w:pPr>
              <w:spacing w:after="0"/>
              <w:rPr>
                <w:sz w:val="1"/>
                <w:szCs w:val="1"/>
                <w:color w:val="auto"/>
              </w:rPr>
            </w:pPr>
          </w:p>
        </w:tc>
      </w:tr>
      <w:tr>
        <w:trPr>
          <w:trHeight w:val="41"/>
        </w:trPr>
        <w:tc>
          <w:tcPr>
            <w:tcW w:w="33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7"/>
          </w:tcPr>
          <w:p>
            <w:pPr>
              <w:jc w:val="center"/>
              <w:ind w:right="32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500"/>
        </w:trPr>
        <w:tc>
          <w:tcPr>
            <w:tcW w:w="3380" w:type="dxa"/>
            <w:vAlign w:val="bottom"/>
          </w:tcPr>
          <w:p>
            <w:pPr>
              <w:jc w:val="center"/>
              <w:ind w:left="194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60" w:type="dxa"/>
            <w:vAlign w:val="bottom"/>
            <w:gridSpan w:val="3"/>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47-4219082</w:t>
            </w:r>
          </w:p>
        </w:tc>
        <w:tc>
          <w:tcPr>
            <w:tcW w:w="0" w:type="dxa"/>
            <w:vAlign w:val="bottom"/>
          </w:tcPr>
          <w:p>
            <w:pPr>
              <w:spacing w:after="0"/>
              <w:rPr>
                <w:sz w:val="1"/>
                <w:szCs w:val="1"/>
                <w:color w:val="auto"/>
              </w:rPr>
            </w:pPr>
          </w:p>
        </w:tc>
      </w:tr>
      <w:tr>
        <w:trPr>
          <w:trHeight w:val="34"/>
        </w:trPr>
        <w:tc>
          <w:tcPr>
            <w:tcW w:w="54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8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40" w:type="dxa"/>
            <w:vAlign w:val="bottom"/>
          </w:tcPr>
          <w:p>
            <w:pPr>
              <w:spacing w:after="0"/>
              <w:rPr>
                <w:sz w:val="21"/>
                <w:szCs w:val="21"/>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57"/>
        </w:trPr>
        <w:tc>
          <w:tcPr>
            <w:tcW w:w="668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9480 South Dixie Highway</w:t>
            </w:r>
          </w:p>
        </w:tc>
        <w:tc>
          <w:tcPr>
            <w:tcW w:w="4560" w:type="dxa"/>
            <w:vAlign w:val="bottom"/>
            <w:gridSpan w:val="3"/>
            <w:vMerge w:val="restart"/>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33156</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auto"/>
            </w:tcBorders>
          </w:tcPr>
          <w:p>
            <w:pPr>
              <w:jc w:val="center"/>
              <w:ind w:left="1943"/>
              <w:spacing w:after="0"/>
              <w:rPr>
                <w:sz w:val="20"/>
                <w:szCs w:val="20"/>
                <w:color w:val="auto"/>
              </w:rPr>
            </w:pPr>
            <w:r>
              <w:rPr>
                <w:rFonts w:ascii="Times New Roman" w:cs="Times New Roman" w:eastAsia="Times New Roman" w:hAnsi="Times New Roman"/>
                <w:sz w:val="18"/>
                <w:szCs w:val="18"/>
                <w:b w:val="1"/>
                <w:bCs w:val="1"/>
                <w:color w:val="auto"/>
              </w:rPr>
              <w:t>Miami, Florida</w:t>
            </w:r>
          </w:p>
        </w:tc>
        <w:tc>
          <w:tcPr>
            <w:tcW w:w="202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56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360"/>
        </w:trPr>
        <w:tc>
          <w:tcPr>
            <w:tcW w:w="3380" w:type="dxa"/>
            <w:vAlign w:val="bottom"/>
          </w:tcPr>
          <w:p>
            <w:pPr>
              <w:spacing w:after="0"/>
              <w:rPr>
                <w:sz w:val="24"/>
                <w:szCs w:val="24"/>
                <w:color w:val="auto"/>
              </w:rPr>
            </w:pPr>
          </w:p>
        </w:tc>
        <w:tc>
          <w:tcPr>
            <w:tcW w:w="3300" w:type="dxa"/>
            <w:vAlign w:val="bottom"/>
            <w:gridSpan w:val="4"/>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(305) 671-8000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gridSpan w:val="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7860" w:type="dxa"/>
            <w:vAlign w:val="bottom"/>
            <w:gridSpan w:val="7"/>
          </w:tcPr>
          <w:p>
            <w:pPr>
              <w:jc w:val="center"/>
              <w:ind w:right="32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621"/>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70"/>
        </w:trPr>
        <w:tc>
          <w:tcPr>
            <w:tcW w:w="3380" w:type="dxa"/>
            <w:vAlign w:val="bottom"/>
          </w:tcPr>
          <w:p>
            <w:pPr>
              <w:jc w:val="center"/>
              <w:ind w:left="463"/>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3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40" w:type="dxa"/>
            <w:vAlign w:val="bottom"/>
          </w:tcPr>
          <w:p>
            <w:pPr>
              <w:spacing w:after="0"/>
              <w:rPr>
                <w:sz w:val="23"/>
                <w:szCs w:val="23"/>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70"/>
        </w:trPr>
        <w:tc>
          <w:tcPr>
            <w:tcW w:w="3380" w:type="dxa"/>
            <w:vAlign w:val="bottom"/>
          </w:tcPr>
          <w:p>
            <w:pPr>
              <w:jc w:val="center"/>
              <w:ind w:left="443"/>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3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7"/>
              </w:rPr>
              <w:t>IMXI</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Nasdaq Capital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1059" w:gutter="0" w:footer="0" w:header="0"/>
        </w:sectPr>
      </w:pPr>
    </w:p>
    <w:p>
      <w:pPr>
        <w:spacing w:after="0" w:line="228" w:lineRule="exact"/>
        <w:rPr>
          <w:sz w:val="24"/>
          <w:szCs w:val="24"/>
          <w:color w:val="auto"/>
        </w:rPr>
      </w:pPr>
    </w:p>
    <w:p>
      <w:pPr>
        <w:ind w:left="8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37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w:t>
      </w:r>
    </w:p>
    <w:p>
      <w:pPr>
        <w:spacing w:after="0" w:line="183" w:lineRule="exact"/>
        <w:rPr>
          <w:sz w:val="24"/>
          <w:szCs w:val="24"/>
          <w:color w:val="auto"/>
        </w:rPr>
      </w:pPr>
    </w:p>
    <w:p>
      <w:pPr>
        <w:sectPr>
          <w:pgSz w:w="11900" w:h="16838" w:orient="portrait"/>
          <w:cols w:equalWidth="0" w:num="2">
            <w:col w:w="5420" w:space="720"/>
            <w:col w:w="5100"/>
          </w:cols>
          <w:pgMar w:left="320" w:top="227" w:right="339" w:bottom="1059" w:gutter="0" w:footer="0" w:header="0"/>
          <w:type w:val="continuous"/>
        </w:sectPr>
      </w:pPr>
    </w:p>
    <w:p>
      <w:pPr>
        <w:ind w:left="8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w:t>
      </w:r>
    </w:p>
    <w:p>
      <w:pPr>
        <w:spacing w:after="0" w:line="183" w:lineRule="exact"/>
        <w:rPr>
          <w:sz w:val="24"/>
          <w:szCs w:val="24"/>
          <w:color w:val="auto"/>
        </w:rPr>
      </w:pPr>
    </w:p>
    <w:p>
      <w:pPr>
        <w:sectPr>
          <w:pgSz w:w="11900" w:h="16838" w:orient="portrait"/>
          <w:cols w:equalWidth="0" w:num="2">
            <w:col w:w="5420" w:space="720"/>
            <w:col w:w="5100"/>
          </w:cols>
          <w:pgMar w:left="320" w:top="227" w:right="339" w:bottom="1059" w:gutter="0" w:footer="0" w:header="0"/>
          <w:type w:val="continuous"/>
        </w:sectPr>
      </w:pPr>
    </w:p>
    <w:p>
      <w:pPr>
        <w:ind w:left="61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w:t>
      </w:r>
    </w:p>
    <w:p>
      <w:pPr>
        <w:sectPr>
          <w:pgSz w:w="11900" w:h="16838" w:orient="portrait"/>
          <w:cols w:equalWidth="0" w:num="1">
            <w:col w:w="11240"/>
          </w:cols>
          <w:pgMar w:left="320" w:top="227" w:right="339" w:bottom="1059"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August 4, 2022, there were 37,875,372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059"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5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tcBorders>
              <w:top w:val="single" w:sz="8" w:color="0000FF"/>
            </w:tcBorders>
            <w:gridSpan w:val="2"/>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85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June 30, 2022 and December 31, 2021</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and Six Months</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640" w:type="dxa"/>
            <w:vAlign w:val="bottom"/>
            <w:tcBorders>
              <w:top w:val="single" w:sz="8" w:color="0000FF"/>
            </w:tcBorders>
            <w:gridSpan w:val="1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Ended June 30, 2022 and 2021</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2200" w:type="dxa"/>
            <w:vAlign w:val="bottom"/>
            <w:tcBorders>
              <w:top w:val="single" w:sz="8" w:color="0000FF"/>
              <w:bottom w:val="single" w:sz="8" w:color="0000FF"/>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Ended June 30, 2022 and 2021</w:t>
            </w: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16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9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2022 and 2021</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5980" w:type="dxa"/>
            <w:vAlign w:val="bottom"/>
            <w:tcBorders>
              <w:bottom w:val="single" w:sz="8" w:color="CCEEFF"/>
            </w:tcBorders>
            <w:gridSpan w:val="13"/>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 w:type="dxa"/>
            <w:vAlign w:val="bottom"/>
            <w:tcBorders>
              <w:right w:val="single" w:sz="8" w:color="CCEEFF"/>
            </w:tcBorders>
          </w:tcPr>
          <w:p>
            <w:pPr>
              <w:spacing w:after="0"/>
              <w:rPr>
                <w:sz w:val="19"/>
                <w:szCs w:val="19"/>
                <w:color w:val="auto"/>
              </w:rPr>
            </w:pPr>
          </w:p>
        </w:tc>
        <w:tc>
          <w:tcPr>
            <w:tcW w:w="85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7140" w:type="dxa"/>
            <w:vAlign w:val="bottom"/>
            <w:tcBorders>
              <w:bottom w:val="single" w:sz="8" w:color="CCEEFF"/>
            </w:tcBorders>
            <w:gridSpan w:val="17"/>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5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9"/>
        </w:trPr>
        <w:tc>
          <w:tcPr>
            <w:tcW w:w="68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8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3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9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for the business of the Company.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expected or implied by such forward-looking statements and could materially adversely affect our business, financial condition, results of operation, cash flows and liquidity. Factors that could cause or contribute to such differences include, but are not limited to, the following:</w:t>
      </w:r>
    </w:p>
    <w:p>
      <w:pPr>
        <w:spacing w:after="0" w:line="18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w:t>
      </w:r>
    </w:p>
    <w:p>
      <w:pPr>
        <w:spacing w:after="0" w:line="9" w:lineRule="exact"/>
        <w:rPr>
          <w:rFonts w:ascii="Times New Roman" w:cs="Times New Roman" w:eastAsia="Times New Roman" w:hAnsi="Times New Roman"/>
          <w:sz w:val="18"/>
          <w:szCs w:val="18"/>
          <w:color w:val="auto"/>
        </w:rPr>
      </w:pPr>
    </w:p>
    <w:p>
      <w:pPr>
        <w:ind w:left="980" w:right="160" w:hanging="324"/>
        <w:spacing w:after="0" w:line="250" w:lineRule="auto"/>
        <w:tabs>
          <w:tab w:leader="none" w:pos="9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manage, integrate and obtain the anticipated financial benefits of key acquisitions and mergers, including the acquisition of Envios de Valores La Nacional Corp. and LAN Holdings, Corp.;</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conditions, responses thereto and the economic and market effects thereof;</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in which we operate;</w:t>
      </w:r>
    </w:p>
    <w:p>
      <w:pPr>
        <w:spacing w:after="0" w:line="9" w:lineRule="exact"/>
        <w:rPr>
          <w:rFonts w:ascii="Times New Roman" w:cs="Times New Roman" w:eastAsia="Times New Roman" w:hAnsi="Times New Roman"/>
          <w:sz w:val="18"/>
          <w:szCs w:val="18"/>
          <w:color w:val="auto"/>
        </w:rPr>
      </w:pPr>
    </w:p>
    <w:p>
      <w:pPr>
        <w:ind w:left="980" w:right="300" w:hanging="324"/>
        <w:spacing w:after="0" w:line="250" w:lineRule="auto"/>
        <w:tabs>
          <w:tab w:leader="none" w:pos="9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exchange rates that could affect the volume of consumer remittance activity and/or affect our foreign exchange related gains and losses;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agent relationships;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from our agents and the financial institutions with which we do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sustained financial illiquidity, or financial institution illiquidity;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or competitors, such as digital platforms;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or disruptions to our information technology, computer network systems, data centers and phone apps;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debt obligations and remain in compliance with our credit facility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developing and introducing new products, services and infrastructure;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our brand and in consumer money transfers generally;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regulatory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factors, political stability, tariffs, border taxes or restrictions on remittances or transfers;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restrictions and volatility in countries in which we operate or plan to operate;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fraud and other risks relating to the authenticity of customers’ orders;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and their enforcement;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rights;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 and</w:t>
      </w:r>
    </w:p>
    <w:p>
      <w:pPr>
        <w:spacing w:after="0" w:line="9" w:lineRule="exact"/>
        <w:rPr>
          <w:rFonts w:ascii="Times New Roman" w:cs="Times New Roman" w:eastAsia="Times New Roman" w:hAnsi="Times New Roman"/>
          <w:sz w:val="18"/>
          <w:szCs w:val="18"/>
          <w:color w:val="auto"/>
        </w:rPr>
      </w:pPr>
    </w:p>
    <w:p>
      <w:pPr>
        <w:ind w:left="660" w:right="16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business and/or competitive factors,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sections in our Annual Report on Form 10-K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30"/>
        </w:trPr>
        <w:tc>
          <w:tcPr>
            <w:tcW w:w="64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132,474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67,317</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wires, net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56,766</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263,545</w:t>
            </w:r>
          </w:p>
        </w:tc>
        <w:tc>
          <w:tcPr>
            <w:tcW w:w="0" w:type="dxa"/>
            <w:vAlign w:val="bottom"/>
          </w:tcPr>
          <w:p>
            <w:pPr>
              <w:spacing w:after="0"/>
              <w:rPr>
                <w:sz w:val="1"/>
                <w:szCs w:val="1"/>
                <w:color w:val="auto"/>
              </w:rPr>
            </w:pPr>
          </w:p>
        </w:tc>
      </w:tr>
      <w:tr>
        <w:trPr>
          <w:trHeight w:val="270"/>
        </w:trPr>
        <w:tc>
          <w:tcPr>
            <w:tcW w:w="6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17,905</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0" w:type="dxa"/>
            <w:vAlign w:val="bottom"/>
          </w:tcPr>
          <w:p>
            <w:pPr>
              <w:spacing w:after="0"/>
              <w:rPr>
                <w:sz w:val="1"/>
                <w:szCs w:val="1"/>
                <w:color w:val="auto"/>
              </w:rPr>
            </w:pPr>
          </w:p>
        </w:tc>
      </w:tr>
      <w:tr>
        <w:trPr>
          <w:trHeight w:val="230"/>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358,621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340,536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23,151</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transfers and money orders payable, net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56,066</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33,760</w:t>
            </w: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net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80,637</w:t>
            </w: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15</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$0.0001 par value; 230,000,000 shares authorized, 39,011,042 and</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38,820,222 shares issued and 37,941,619 and 38,478,700 shares outstanding as of</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June 30, 2022 and December 31, 2021, respectively.</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66,875</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75"/>
        </w:trPr>
        <w:tc>
          <w:tcPr>
            <w:tcW w:w="64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1,069,423 and 341,522 shares as of June 30, 2022 and</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143,040</w:t>
            </w:r>
          </w:p>
        </w:tc>
        <w:tc>
          <w:tcPr>
            <w:tcW w:w="0" w:type="dxa"/>
            <w:vAlign w:val="bottom"/>
          </w:tcPr>
          <w:p>
            <w:pPr>
              <w:spacing w:after="0"/>
              <w:rPr>
                <w:sz w:val="1"/>
                <w:szCs w:val="1"/>
                <w:color w:val="auto"/>
              </w:rPr>
            </w:pPr>
          </w:p>
        </w:tc>
      </w:tr>
      <w:tr>
        <w:trPr>
          <w:trHeight w:val="230"/>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358,621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340,536</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0800"/>
          </w:cols>
          <w:pgMar w:left="320" w:top="119" w:right="779" w:bottom="1440" w:gutter="0" w:footer="0" w:header="0"/>
        </w:sectPr>
      </w:pP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9" w:right="7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 unaudited)</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80" w:type="dxa"/>
            <w:vAlign w:val="bottom"/>
          </w:tcPr>
          <w:p>
            <w:pPr>
              <w:spacing w:after="0"/>
              <w:rPr>
                <w:sz w:val="20"/>
                <w:szCs w:val="20"/>
                <w:color w:val="auto"/>
              </w:rPr>
            </w:pPr>
          </w:p>
        </w:tc>
        <w:tc>
          <w:tcPr>
            <w:tcW w:w="26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4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180,218</w:t>
            </w: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29,703</w:t>
            </w:r>
          </w:p>
        </w:tc>
      </w:tr>
      <w:tr>
        <w:trPr>
          <w:trHeight w:val="236"/>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37"/>
        </w:trPr>
        <w:tc>
          <w:tcPr>
            <w:tcW w:w="4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136,935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116,747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251,600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211,323</w:t>
            </w:r>
          </w:p>
        </w:tc>
      </w:tr>
      <w:tr>
        <w:trPr>
          <w:trHeight w:val="243"/>
        </w:trPr>
        <w:tc>
          <w:tcPr>
            <w:tcW w:w="4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141,237</w:t>
            </w: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20,050</w:t>
            </w: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w:t>
            </w:r>
          </w:p>
        </w:tc>
      </w:tr>
      <w:tr>
        <w:trPr>
          <w:trHeight w:val="237"/>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w:t>
            </w:r>
          </w:p>
        </w:tc>
      </w:tr>
      <w:tr>
        <w:trPr>
          <w:trHeight w:val="237"/>
        </w:trPr>
        <w:tc>
          <w:tcPr>
            <w:tcW w:w="4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211,282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178,548</w:t>
            </w:r>
          </w:p>
        </w:tc>
      </w:tr>
      <w:tr>
        <w:trPr>
          <w:trHeight w:val="243"/>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32,775</w:t>
            </w:r>
          </w:p>
        </w:tc>
      </w:tr>
      <w:tr>
        <w:trPr>
          <w:trHeight w:val="257"/>
        </w:trPr>
        <w:tc>
          <w:tcPr>
            <w:tcW w:w="4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6"/>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r>
      <w:tr>
        <w:trPr>
          <w:trHeight w:val="243"/>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30,181</w:t>
            </w:r>
          </w:p>
        </w:tc>
      </w:tr>
      <w:tr>
        <w:trPr>
          <w:trHeight w:val="257"/>
        </w:trPr>
        <w:tc>
          <w:tcPr>
            <w:tcW w:w="4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r>
      <w:tr>
        <w:trPr>
          <w:trHeight w:val="243"/>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22,204</w:t>
            </w:r>
          </w:p>
        </w:tc>
      </w:tr>
      <w:tr>
        <w:trPr>
          <w:trHeight w:val="257"/>
        </w:trPr>
        <w:tc>
          <w:tcPr>
            <w:tcW w:w="4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5"/>
        </w:trPr>
        <w:tc>
          <w:tcPr>
            <w:tcW w:w="4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30"/>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57"/>
        </w:trPr>
        <w:tc>
          <w:tcPr>
            <w:tcW w:w="4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38,257,156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38,433,748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38,309,295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38,336,977</w:t>
            </w:r>
          </w:p>
        </w:tc>
      </w:tr>
      <w:tr>
        <w:trPr>
          <w:trHeight w:val="230"/>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39,228,991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39,027,414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39,153,039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38,937,699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9" w:right="7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thousands, except for share data, unaudited)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11"/>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gridSpan w:val="6"/>
          </w:tcPr>
          <w:p>
            <w:pPr>
              <w:jc w:val="right"/>
              <w:ind w:right="352"/>
              <w:spacing w:after="0" w:line="13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5"/>
          </w:tcPr>
          <w:p>
            <w:pPr>
              <w:ind w:left="380"/>
              <w:spacing w:after="0" w:line="137"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98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6"/>
                <w:szCs w:val="6"/>
                <w:color w:val="auto"/>
              </w:rPr>
            </w:pPr>
          </w:p>
        </w:tc>
        <w:tc>
          <w:tcPr>
            <w:tcW w:w="740" w:type="dxa"/>
            <w:vAlign w:val="bottom"/>
            <w:vMerge w:val="restart"/>
          </w:tcPr>
          <w:p>
            <w:pPr>
              <w:jc w:val="right"/>
              <w:ind w:right="213"/>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19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38,885,736</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93,457</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152,734</w:t>
            </w:r>
          </w:p>
        </w:tc>
        <w:tc>
          <w:tcPr>
            <w:tcW w:w="0" w:type="dxa"/>
            <w:vAlign w:val="bottom"/>
          </w:tcPr>
          <w:p>
            <w:pPr>
              <w:spacing w:after="0"/>
              <w:rPr>
                <w:sz w:val="1"/>
                <w:szCs w:val="1"/>
                <w:color w:val="auto"/>
              </w:rPr>
            </w:pPr>
          </w:p>
        </w:tc>
      </w:tr>
      <w:tr>
        <w:trPr>
          <w:trHeight w:val="229"/>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0" w:type="dxa"/>
            <w:vAlign w:val="bottom"/>
          </w:tcPr>
          <w:p>
            <w:pPr>
              <w:spacing w:after="0"/>
              <w:rPr>
                <w:sz w:val="1"/>
                <w:szCs w:val="1"/>
                <w:color w:val="auto"/>
              </w:rPr>
            </w:pPr>
          </w:p>
        </w:tc>
      </w:tr>
      <w:tr>
        <w:trPr>
          <w:trHeight w:val="229"/>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2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20" w:type="dxa"/>
            <w:vAlign w:val="bottom"/>
            <w:gridSpan w:val="2"/>
          </w:tcPr>
          <w:p>
            <w:pPr>
              <w:ind w:left="280"/>
              <w:spacing w:after="0" w:line="184" w:lineRule="exact"/>
              <w:rPr>
                <w:sz w:val="20"/>
                <w:szCs w:val="20"/>
                <w:color w:val="auto"/>
              </w:rPr>
            </w:pPr>
            <w:r>
              <w:rPr>
                <w:rFonts w:ascii="Times New Roman" w:cs="Times New Roman" w:eastAsia="Times New Roman" w:hAnsi="Times New Roman"/>
                <w:sz w:val="18"/>
                <w:szCs w:val="18"/>
                <w:color w:val="auto"/>
              </w:rPr>
              <w:t>net of shares withheld</w:t>
            </w: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 taxes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29,990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76"/>
        </w:trPr>
        <w:tc>
          <w:tcPr>
            <w:tcW w:w="202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Restricted stock units and</w:t>
            </w: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20" w:type="dxa"/>
            <w:vAlign w:val="bottom"/>
            <w:gridSpan w:val="2"/>
            <w:shd w:val="clear" w:color="auto" w:fill="CCEEFF"/>
          </w:tcPr>
          <w:p>
            <w:pPr>
              <w:ind w:left="280"/>
              <w:spacing w:after="0" w:line="184" w:lineRule="exact"/>
              <w:rPr>
                <w:sz w:val="20"/>
                <w:szCs w:val="20"/>
                <w:color w:val="auto"/>
              </w:rPr>
            </w:pPr>
            <w:r>
              <w:rPr>
                <w:rFonts w:ascii="Times New Roman" w:cs="Times New Roman" w:eastAsia="Times New Roman" w:hAnsi="Times New Roman"/>
                <w:sz w:val="18"/>
                <w:szCs w:val="18"/>
                <w:color w:val="auto"/>
              </w:rPr>
              <w:t>awards, net of shares</w:t>
            </w: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withheld for taxes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94,540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Fully vested shares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175"/>
        </w:trPr>
        <w:tc>
          <w:tcPr>
            <w:tcW w:w="2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75"/>
        </w:trPr>
        <w:tc>
          <w:tcPr>
            <w:tcW w:w="2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 of treasury</w:t>
            </w:r>
          </w:p>
        </w:tc>
        <w:tc>
          <w:tcPr>
            <w:tcW w:w="10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50"/>
        </w:trPr>
        <w:tc>
          <w:tcPr>
            <w:tcW w:w="2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at cost</w:t>
            </w:r>
          </w:p>
        </w:tc>
        <w:tc>
          <w:tcPr>
            <w:tcW w:w="102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39,011,042</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(1,069,423)</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(19,194)</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70,012</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109,441</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160,198</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9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gridSpan w:val="6"/>
          </w:tcPr>
          <w:p>
            <w:pPr>
              <w:jc w:val="right"/>
              <w:ind w:right="392"/>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9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6"/>
                <w:szCs w:val="6"/>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6"/>
                <w:szCs w:val="6"/>
                <w:color w:val="auto"/>
              </w:rPr>
            </w:pPr>
          </w:p>
        </w:tc>
        <w:tc>
          <w:tcPr>
            <w:tcW w:w="86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9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8"/>
                <w:szCs w:val="18"/>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38,362,788</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105,564</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w:t>
            </w: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2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Exercise of stock</w:t>
            </w: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awards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Fully vested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w w:val="88"/>
              </w:rPr>
              <w:t>16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3"/>
            <w:vMerge w:val="continue"/>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38,585,724</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21"/>
                <w:szCs w:val="21"/>
                <w:color w:val="auto"/>
              </w:rPr>
            </w:pPr>
          </w:p>
        </w:tc>
        <w:tc>
          <w:tcPr>
            <w:tcW w:w="80" w:type="dxa"/>
            <w:vAlign w:val="bottom"/>
            <w:gridSpan w:val="2"/>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121,176</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thousands, except for share data, unaudited)</w:t>
      </w:r>
    </w:p>
    <w:p>
      <w:pPr>
        <w:spacing w:after="0" w:line="268"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4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gridSpan w:val="7"/>
          </w:tcPr>
          <w:p>
            <w:pPr>
              <w:ind w:left="500"/>
              <w:spacing w:after="0" w:line="13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7"/>
          </w:tcPr>
          <w:p>
            <w:pPr>
              <w:ind w:left="380"/>
              <w:spacing w:after="0" w:line="137"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98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6"/>
                <w:szCs w:val="6"/>
                <w:color w:val="auto"/>
              </w:rPr>
            </w:pPr>
          </w:p>
        </w:tc>
        <w:tc>
          <w:tcPr>
            <w:tcW w:w="740" w:type="dxa"/>
            <w:vAlign w:val="bottom"/>
            <w:vMerge w:val="restart"/>
          </w:tcPr>
          <w:p>
            <w:pPr>
              <w:jc w:val="right"/>
              <w:ind w:right="213"/>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19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8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20" w:type="dxa"/>
            <w:vAlign w:val="bottom"/>
            <w:tcBorders>
              <w:top w:val="single" w:sz="8" w:color="CCEEFF"/>
            </w:tcBorders>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Balance, December 31,</w:t>
            </w: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38,820,222</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(341,522)</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9"/>
              </w:rPr>
              <w:t>(76)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143,040</w:t>
            </w:r>
          </w:p>
        </w:tc>
        <w:tc>
          <w:tcPr>
            <w:tcW w:w="0" w:type="dxa"/>
            <w:vAlign w:val="bottom"/>
          </w:tcPr>
          <w:p>
            <w:pPr>
              <w:spacing w:after="0"/>
              <w:rPr>
                <w:sz w:val="1"/>
                <w:szCs w:val="1"/>
                <w:color w:val="auto"/>
              </w:rPr>
            </w:pPr>
          </w:p>
        </w:tc>
      </w:tr>
      <w:tr>
        <w:trPr>
          <w:trHeight w:val="229"/>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left="393"/>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0" w:type="dxa"/>
            <w:vAlign w:val="bottom"/>
          </w:tcPr>
          <w:p>
            <w:pPr>
              <w:spacing w:after="0"/>
              <w:rPr>
                <w:sz w:val="1"/>
                <w:szCs w:val="1"/>
                <w:color w:val="auto"/>
              </w:rPr>
            </w:pPr>
          </w:p>
        </w:tc>
      </w:tr>
      <w:tr>
        <w:trPr>
          <w:trHeight w:val="230"/>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73,715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left="393"/>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176"/>
        </w:trPr>
        <w:tc>
          <w:tcPr>
            <w:tcW w:w="20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Restricted stock units and</w:t>
            </w: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2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awards, net of shares</w:t>
            </w: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withheld for taxes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115,327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Fully vested shares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left="393"/>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176"/>
        </w:trPr>
        <w:tc>
          <w:tcPr>
            <w:tcW w:w="2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88"/>
              </w:rPr>
              <w:t>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5"/>
        </w:trPr>
        <w:tc>
          <w:tcPr>
            <w:tcW w:w="2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 of treasury</w:t>
            </w:r>
          </w:p>
        </w:tc>
        <w:tc>
          <w:tcPr>
            <w:tcW w:w="10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(727,901)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0" w:type="dxa"/>
            <w:vAlign w:val="bottom"/>
          </w:tcPr>
          <w:p>
            <w:pPr>
              <w:spacing w:after="0"/>
              <w:rPr>
                <w:sz w:val="1"/>
                <w:szCs w:val="1"/>
                <w:color w:val="auto"/>
              </w:rPr>
            </w:pPr>
          </w:p>
        </w:tc>
      </w:tr>
      <w:tr>
        <w:trPr>
          <w:trHeight w:val="250"/>
        </w:trPr>
        <w:tc>
          <w:tcPr>
            <w:tcW w:w="2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at cost</w:t>
            </w:r>
          </w:p>
        </w:tc>
        <w:tc>
          <w:tcPr>
            <w:tcW w:w="102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39,011,042</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(1,069,423)</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(19,194)</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70,012</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109,441</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160,198</w:t>
            </w: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9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7"/>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gridSpan w:val="7"/>
          </w:tcPr>
          <w:p>
            <w:pPr>
              <w:ind w:left="48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9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restart"/>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6"/>
                <w:szCs w:val="6"/>
                <w:color w:val="auto"/>
              </w:rPr>
            </w:pPr>
          </w:p>
        </w:tc>
        <w:tc>
          <w:tcPr>
            <w:tcW w:w="86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9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8"/>
                <w:szCs w:val="18"/>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Balance, December 31,</w:t>
            </w:r>
          </w:p>
        </w:tc>
        <w:tc>
          <w:tcPr>
            <w:tcW w:w="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38,217,125</w:t>
            </w:r>
          </w:p>
        </w:tc>
        <w:tc>
          <w:tcPr>
            <w:tcW w:w="4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59,310</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94,261</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22,204</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w:t>
            </w: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2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Exercise of stock</w:t>
            </w: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244,907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awards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Fully vested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w w:val="88"/>
              </w:rPr>
              <w:t>12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3"/>
            <w:vMerge w:val="continue"/>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38,585,724</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64,009</w:t>
            </w: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121,176</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left="1000" w:right="2240"/>
        <w:spacing w:after="0" w:line="268" w:lineRule="auto"/>
        <w:rPr>
          <w:sz w:val="20"/>
          <w:szCs w:val="20"/>
          <w:color w:val="auto"/>
        </w:rPr>
      </w:pPr>
      <w:r>
        <w:rPr>
          <w:rFonts w:ascii="Times New Roman" w:cs="Times New Roman" w:eastAsia="Times New Roman" w:hAnsi="Times New Roman"/>
          <w:sz w:val="18"/>
          <w:szCs w:val="18"/>
          <w:b w:val="1"/>
          <w:bCs w:val="1"/>
          <w:color w:val="auto"/>
        </w:rPr>
        <w:t>INTERNATIONAL MONEY EXPRESS, INC. CONDENSED CONSOLIDATED STATEMENTS OF CASH FLOWS (in thousands, unaudited)</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9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Six Months Ended June 30,</w:t>
            </w:r>
          </w:p>
        </w:tc>
        <w:tc>
          <w:tcPr>
            <w:tcW w:w="680" w:type="dxa"/>
            <w:vAlign w:val="bottom"/>
            <w:tcBorders>
              <w:bottom w:val="single" w:sz="8" w:color="auto"/>
            </w:tcBorders>
          </w:tcPr>
          <w:p>
            <w:pPr>
              <w:spacing w:after="0"/>
              <w:rPr>
                <w:sz w:val="20"/>
                <w:szCs w:val="20"/>
                <w:color w:val="auto"/>
              </w:rPr>
            </w:pPr>
          </w:p>
        </w:tc>
      </w:tr>
      <w:tr>
        <w:trPr>
          <w:trHeight w:val="237"/>
        </w:trPr>
        <w:tc>
          <w:tcPr>
            <w:tcW w:w="62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tcBorders>
              <w:bottom w:val="single" w:sz="8" w:color="auto"/>
            </w:tcBorders>
          </w:tcPr>
          <w:p>
            <w:pPr>
              <w:spacing w:after="0"/>
              <w:rPr>
                <w:sz w:val="20"/>
                <w:szCs w:val="20"/>
                <w:color w:val="auto"/>
              </w:rPr>
            </w:pP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22,204</w:t>
            </w: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30"/>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origination costs amortization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(benefit) provision,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7"/>
        </w:trPr>
        <w:tc>
          <w:tcPr>
            <w:tcW w:w="6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adjustments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w:t>
            </w: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w:t>
            </w:r>
          </w:p>
        </w:tc>
      </w:tr>
      <w:tr>
        <w:trPr>
          <w:trHeight w:val="229"/>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wires,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38,825</w:t>
            </w:r>
          </w:p>
        </w:tc>
      </w:tr>
      <w:tr>
        <w:trPr>
          <w:trHeight w:val="230"/>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29"/>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Wire transfers and money orders payable,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w:t>
            </w:r>
          </w:p>
        </w:tc>
      </w:tr>
      <w:tr>
        <w:trPr>
          <w:trHeight w:val="229"/>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70,290</w:t>
            </w:r>
          </w:p>
        </w:tc>
      </w:tr>
      <w:tr>
        <w:trPr>
          <w:trHeight w:val="148"/>
        </w:trPr>
        <w:tc>
          <w:tcPr>
            <w:tcW w:w="6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r>
      <w:tr>
        <w:trPr>
          <w:trHeight w:val="236"/>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 of agent locations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r>
      <w:tr>
        <w:trPr>
          <w:trHeight w:val="162"/>
        </w:trPr>
        <w:tc>
          <w:tcPr>
            <w:tcW w:w="6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term loan facility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(42,041)</w:t>
            </w: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under term loan facility</w:t>
            </w:r>
          </w:p>
        </w:tc>
        <w:tc>
          <w:tcPr>
            <w:tcW w:w="10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40,158</w:t>
            </w: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origination costs</w:t>
            </w:r>
          </w:p>
        </w:tc>
        <w:tc>
          <w:tcPr>
            <w:tcW w:w="10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for stock awards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(15,612)</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r>
      <w:tr>
        <w:trPr>
          <w:trHeight w:val="149"/>
        </w:trPr>
        <w:tc>
          <w:tcPr>
            <w:tcW w:w="6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23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49"/>
        </w:trPr>
        <w:tc>
          <w:tcPr>
            <w:tcW w:w="6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bl>
    <w:p>
      <w:pPr>
        <w:spacing w:after="0" w:line="1" w:lineRule="exact"/>
        <w:rPr>
          <w:sz w:val="20"/>
          <w:szCs w:val="20"/>
          <w:color w:val="auto"/>
        </w:rPr>
      </w:pPr>
    </w:p>
    <w:p>
      <w:pPr>
        <w:sectPr>
          <w:pgSz w:w="11900" w:h="16838" w:orient="portrait"/>
          <w:cols w:equalWidth="0" w:num="1">
            <w:col w:w="10560"/>
          </w:cols>
          <w:pgMar w:left="320" w:top="119" w:right="1019" w:bottom="1440" w:gutter="0" w:footer="0" w:header="0"/>
        </w:sectPr>
      </w:pPr>
    </w:p>
    <w:p>
      <w:pPr>
        <w:ind w:left="680"/>
        <w:spacing w:after="0"/>
        <w:rPr>
          <w:sz w:val="20"/>
          <w:szCs w:val="20"/>
          <w:color w:val="auto"/>
        </w:rPr>
      </w:pPr>
      <w:r>
        <w:rPr>
          <w:rFonts w:ascii="Times New Roman" w:cs="Times New Roman" w:eastAsia="Times New Roman" w:hAnsi="Times New Roman"/>
          <w:sz w:val="17"/>
          <w:szCs w:val="17"/>
          <w:color w:val="auto"/>
        </w:rPr>
        <w:t>Net (decrease) increase in cash</w:t>
      </w:r>
    </w:p>
    <w:p>
      <w:pPr>
        <w:spacing w:after="0" w:line="2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Cash, beginning of period</w:t>
      </w:r>
    </w:p>
    <w:p>
      <w:pPr>
        <w:spacing w:after="0" w:line="2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Cash,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(17,874)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64,809</w:t>
            </w:r>
          </w:p>
        </w:tc>
      </w:tr>
      <w:tr>
        <w:trPr>
          <w:trHeight w:val="394"/>
        </w:trPr>
        <w:tc>
          <w:tcPr>
            <w:tcW w:w="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132,474</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74,907</w:t>
            </w:r>
          </w:p>
        </w:tc>
      </w:tr>
      <w:tr>
        <w:trPr>
          <w:trHeight w:val="378"/>
        </w:trPr>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114,600</w:t>
            </w:r>
          </w:p>
        </w:tc>
        <w:tc>
          <w:tcPr>
            <w:tcW w:w="100" w:type="dxa"/>
            <w:vAlign w:val="bottom"/>
          </w:tcPr>
          <w:p>
            <w:pPr>
              <w:spacing w:after="0"/>
              <w:rPr>
                <w:sz w:val="24"/>
                <w:szCs w:val="24"/>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139,716</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-539115</wp:posOffset>
            </wp:positionV>
            <wp:extent cx="6283325"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83325" cy="102870"/>
                    </a:xfrm>
                    <a:prstGeom prst="rect">
                      <a:avLst/>
                    </a:prstGeom>
                    <a:noFill/>
                  </pic:spPr>
                </pic:pic>
              </a:graphicData>
            </a:graphic>
          </wp:anchor>
        </w:drawing>
        <w:drawing>
          <wp:anchor simplePos="0" relativeHeight="251657728" behindDoc="1" locked="0" layoutInCell="0" allowOverlap="1">
            <wp:simplePos x="0" y="0"/>
            <wp:positionH relativeFrom="column">
              <wp:posOffset>-3977005</wp:posOffset>
            </wp:positionH>
            <wp:positionV relativeFrom="paragraph">
              <wp:posOffset>-282575</wp:posOffset>
            </wp:positionV>
            <wp:extent cx="628332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8332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0" w:space="720"/>
            <w:col w:w="3640"/>
          </w:cols>
          <w:pgMar w:left="320" w:top="119"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19" w:right="10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left="1140" w:right="1460"/>
        <w:spacing w:after="0" w:line="278" w:lineRule="auto"/>
        <w:rPr>
          <w:sz w:val="20"/>
          <w:szCs w:val="20"/>
          <w:color w:val="auto"/>
        </w:rPr>
      </w:pPr>
      <w:r>
        <w:rPr>
          <w:rFonts w:ascii="Times New Roman" w:cs="Times New Roman" w:eastAsia="Times New Roman" w:hAnsi="Times New Roman"/>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6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r>
      <w:tr>
        <w:trPr>
          <w:trHeight w:val="237"/>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w:t>
            </w:r>
          </w:p>
        </w:tc>
      </w:tr>
      <w:tr>
        <w:trPr>
          <w:trHeight w:val="236"/>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cashless exercise of options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liabilities arising from obtaining right-of-use assets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19" w:right="11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ind w:left="5520" w:right="2680" w:hanging="2834"/>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BUSINESS AND ACCOUNTING POLICIES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Money Express, Inc. (the “Company” or “us” or “we”) operates as a money transmitter between the United States of America (“United States” or “U.S.”) and Canada to Mexico, Guatemala and other countries in Latin America, Africa and Asia through a network of authorized agents located in various unaffiliated retail establishments and 37 Company-operated stores throughout the United States and Canada.</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March 2020, a global pandemic was declared by the World Health Organization related to the rapidly growing outbreak of a novel strain of coronavirus (“COVID-19”). Although the worst effects of the pandemic appear to have subsided in the United States, the pandemic has had and continues to have a significant effect on economic conditions in the United States, and continues to cause significant uncertainties in the U.S. and global economies, particularly as a result of new variants and sub-variants of COVID-19, which appear to be causing an increase in COVID-19 cases in certain places around the world. Public health officials and medical professionals have warned that COVID-19 resurgences may continue to occur due to a variety of factors, including the extent of economic activity, social interaction, vaccination rates and the emergence of potent variants. It is unclear if and when resurgences will occur or how long any resurgence will last, how severe it will be, and what safety measures governments and businesses will impose in response.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extent to which the COVID-19 pandemic affects our business, operations and financial results depends, and will continue to depend, on numerous evolving factors that we may not be able to accurately predict. Although the Company’s operations continued effectively despite social distancing and other measures taken in response to the pandemic, the ultimate impact of the COVID-19 pandemic on our financial condition, results of operations and cash flows is dependent on future developments, including the duration or resurgence of the pandemic and the related extent of its severity, as well as its impact on the economic conditions, particularly the level of unemployment of our consumers, inflation (including changes in wages) and governmental efforts to restrain inflation, interest rate levels and foreign exchange volatility, all of which remain uncertain and cannot be predicted at this time. If the global response to contain and remedy the COVID-19 pandemic escalates further or is unsuccessful, or if governmental decisions to ease pandemic related restrictions are ineffective, premature or counterproductive, or if an escalation in the global response to contain the COVID-19 pandemic is required or is unsuccessful, the Company could experience a material adverse effect on its financial condition, results of operations and cash flows.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include International Money Express, Inc. and its majority-owned subsidiaries. The condensed consolidated financial statements are prepared in accordance with accounting principles generally accepted in the United States (“GAAP”). All significant inter-company balances and transactions have been eliminated from the condensed consolidated financial statements.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2021.</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16, 2022, the Company entered into a definitive purchase agreement to acquire Envios de Valores La Nacional Corp. and LAN Holdings, Corp., which either directly or indirectly operate as money remittance companies in the United States, Canada and certain countries in Europe. The transaction is subject to customary regulatory approvals and is expected to close late in the third quarter or early fourth quarter of 2022. Intermex expects to pay cash of approximately $50.0 million (subject to customary purchase price adjustments) on closing and up to an additional $3.0 million in contingent consideration in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Pronouncements</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2022, the Company adopted the new accounting guidance,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(“ASC 842”), which required the Company to record assets and liabilities on the balance sheet for lease-related rights and obligations and disclose key information about its leasing arrangements. The guidance requires that a lessee recognizes a liability to make lease payments (the lease liability) and a right-of-use (“ROU”) asset representing its right to use the underlying asset for the lease term on the balance sheet. Leases are classified as financing or operating, with classification affecting the pattern of expense recognition in the condensed consolidated statements of income and comprehensive income. Refer to Note 6 for additional information on the adoption of this standard and related disclosures.</w:t>
      </w:r>
    </w:p>
    <w:p>
      <w:pPr>
        <w:spacing w:after="0" w:line="2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FASB issued guidance,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The Company is required to adopt the new guidance on December 31, 2022. The Company is currently evaluating the impact this guidance will have on the condensed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revenues from contracts with customers for the three and six months ended June 30, 2022 and 2021,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40" w:type="dxa"/>
            <w:vAlign w:val="bottom"/>
          </w:tcPr>
          <w:p>
            <w:pPr>
              <w:spacing w:after="0"/>
              <w:rPr>
                <w:sz w:val="20"/>
                <w:szCs w:val="20"/>
                <w:color w:val="auto"/>
              </w:rPr>
            </w:pPr>
          </w:p>
        </w:tc>
        <w:tc>
          <w:tcPr>
            <w:tcW w:w="27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6"/>
        </w:trPr>
        <w:tc>
          <w:tcPr>
            <w:tcW w:w="424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 and money order fees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180,887</w:t>
            </w:r>
          </w:p>
        </w:tc>
      </w:tr>
      <w:tr>
        <w:trPr>
          <w:trHeight w:val="237"/>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Discounts and promotions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180,218</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29,703</w:t>
            </w: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116,747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251,600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211,323</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8) and a corresponding loyalty program expense is recorded as contra revenue. Revenue from this performance obligation is recognized upon customers redeeming points or upon expiration of any points outstanding.</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Except for the loyalty program discussed above, our revenues include only one performance obligation, which is to collect the consumer’s money and make funds available for payment, generally on the same day, to a designated recipient in the currency requested.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offers several other services, including money orders and check cashing through its sending agents, for which revenue is derived from a fee per transaction. For substantially all of the Company’s revenues, the Company acts as principal in the transaction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ACCOUNTS RECEIVABLE AND AGENT ADVANCES RECEIVABLE, NET OF ALLOWANCE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represents outstanding balances from sending agents for pending wire transfers or money orders from consumers. The outstanding balance of accounts receivable, net of allowance for credit losses, consists of the following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Pr>
          <w:p>
            <w:pPr>
              <w:spacing w:after="0"/>
              <w:rPr>
                <w:sz w:val="20"/>
                <w:szCs w:val="20"/>
                <w:color w:val="auto"/>
              </w:rPr>
            </w:pP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3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99,534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69,498</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(2,181)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97,154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67,317</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9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Agent Advances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agent advances receivable, net of allowance for credit losses, from sending agents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Pr>
          <w:p>
            <w:pPr>
              <w:spacing w:after="0"/>
              <w:rPr>
                <w:sz w:val="20"/>
                <w:szCs w:val="20"/>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30"/>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current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791</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(55)</w:t>
            </w: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736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long-term</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656</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(13)</w:t>
            </w: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long-term</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643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current portion of agent advances receivable is included in prepaid expenses and other current assets (see Note 4), and the net long-term portion is included in other assets in the condensed consolidated balance sheets. Agent advances receivable have interest rates ranging from 0% to 15.0% per annum. At June 30, 2022 and December 31, 2021, there were $2.6 million and $1.4 million, respectively, of agent advances receivable collateralized by personal guarantees from sending agents and assets from their businesses in case of a default by the agent.</w:t>
      </w:r>
    </w:p>
    <w:p>
      <w:pPr>
        <w:sectPr>
          <w:pgSz w:w="11900" w:h="16838" w:orient="portrait"/>
          <w:cols w:equalWidth="0" w:num="1">
            <w:col w:w="11240"/>
          </w:cols>
          <w:pgMar w:left="320" w:top="119"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agent advances receivable at June 30, 2022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62661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66180" cy="1631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Under 1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6618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66180" cy="16256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Between 2 and 3 years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jc w:val="center"/>
        <w:ind w:right="1379"/>
        <w:spacing w:after="0"/>
        <w:rPr>
          <w:sz w:val="20"/>
          <w:szCs w:val="20"/>
          <w:color w:val="auto"/>
        </w:rPr>
      </w:pPr>
      <w:r>
        <w:rPr>
          <w:rFonts w:ascii="Times New Roman" w:cs="Times New Roman" w:eastAsia="Times New Roman" w:hAnsi="Times New Roman"/>
          <w:sz w:val="18"/>
          <w:szCs w:val="18"/>
          <w:color w:val="auto"/>
        </w:rPr>
        <w:t>Unpaid Advance</w:t>
      </w:r>
    </w:p>
    <w:p>
      <w:pPr>
        <w:jc w:val="center"/>
        <w:ind w:right="1379"/>
        <w:spacing w:after="0"/>
        <w:rPr>
          <w:sz w:val="20"/>
          <w:szCs w:val="20"/>
          <w:color w:val="auto"/>
        </w:rPr>
      </w:pPr>
      <w:r>
        <w:rPr>
          <w:rFonts w:ascii="Times New Roman" w:cs="Times New Roman" w:eastAsia="Times New Roman" w:hAnsi="Times New Roman"/>
          <w:sz w:val="18"/>
          <w:szCs w:val="18"/>
          <w:color w:val="auto"/>
        </w:rPr>
        <w:t>Balance</w:t>
      </w:r>
    </w:p>
    <w:p>
      <w:pPr>
        <w:spacing w:after="0" w:line="43" w:lineRule="exact"/>
        <w:rPr>
          <w:sz w:val="20"/>
          <w:szCs w:val="20"/>
          <w:color w:val="auto"/>
        </w:rPr>
      </w:pPr>
    </w:p>
    <w:p>
      <w:pPr>
        <w:ind w:left="1261" w:hanging="1261"/>
        <w:spacing w:after="0"/>
        <w:tabs>
          <w:tab w:leader="none" w:pos="126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1,228</w:t>
      </w:r>
    </w:p>
    <w:p>
      <w:pPr>
        <w:spacing w:after="0" w:line="38" w:lineRule="exact"/>
        <w:rPr>
          <w:rFonts w:ascii="Times New Roman" w:cs="Times New Roman" w:eastAsia="Times New Roman" w:hAnsi="Times New Roman"/>
          <w:sz w:val="17"/>
          <w:szCs w:val="17"/>
          <w:color w:val="auto"/>
        </w:rPr>
      </w:pPr>
    </w:p>
    <w:p>
      <w:pPr>
        <w:ind w:left="126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1,218</w:t>
      </w:r>
    </w:p>
    <w:p>
      <w:pPr>
        <w:spacing w:after="0" w:line="34" w:lineRule="exact"/>
        <w:rPr>
          <w:rFonts w:ascii="Times New Roman" w:cs="Times New Roman" w:eastAsia="Times New Roman" w:hAnsi="Times New Roman"/>
          <w:sz w:val="17"/>
          <w:szCs w:val="17"/>
          <w:color w:val="auto"/>
        </w:rPr>
      </w:pPr>
    </w:p>
    <w:p>
      <w:pPr>
        <w:ind w:left="140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w:t>
      </w:r>
    </w:p>
    <w:p>
      <w:pPr>
        <w:spacing w:after="0" w:line="56" w:lineRule="exact"/>
        <w:rPr>
          <w:sz w:val="20"/>
          <w:szCs w:val="20"/>
          <w:color w:val="auto"/>
        </w:rPr>
      </w:pPr>
    </w:p>
    <w:p>
      <w:pPr>
        <w:ind w:left="1261" w:hanging="1261"/>
        <w:spacing w:after="0"/>
        <w:tabs>
          <w:tab w:leader="none" w:pos="126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144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1144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805" w:lineRule="exact"/>
        <w:rPr>
          <w:sz w:val="20"/>
          <w:szCs w:val="20"/>
          <w:color w:val="auto"/>
        </w:rPr>
      </w:pPr>
    </w:p>
    <w:p>
      <w:pPr>
        <w:sectPr>
          <w:pgSz w:w="11900" w:h="16838" w:orient="portrait"/>
          <w:cols w:equalWidth="0" w:num="2">
            <w:col w:w="7419" w:space="720"/>
            <w:col w:w="3101"/>
          </w:cols>
          <w:pgMar w:left="320" w:top="119"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allowance for credit losses related to accounts receivable and agent advances receivable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Borders>
              <w:bottom w:val="single" w:sz="8" w:color="CCEEFF"/>
            </w:tcBorders>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50"/>
        </w:trPr>
        <w:tc>
          <w:tcPr>
            <w:tcW w:w="4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18"/>
                <w:szCs w:val="18"/>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2,058</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36"/>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0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2,028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0"/>
        </w:trPr>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credit losses allocated by financial instrument category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Pr>
          <w:p>
            <w:pPr>
              <w:spacing w:after="0"/>
              <w:rPr>
                <w:sz w:val="20"/>
                <w:szCs w:val="20"/>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9"/>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Agent advances receivable</w:t>
            </w:r>
          </w:p>
        </w:tc>
        <w:tc>
          <w:tcPr>
            <w:tcW w:w="2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9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4 – PREPAID EXPENSES AND OTHER ASSETS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30"/>
        </w:trPr>
        <w:tc>
          <w:tcPr>
            <w:tcW w:w="6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fees and services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net of allowance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 pending settlement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current assets - other</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54"/>
        </w:trPr>
        <w:tc>
          <w:tcPr>
            <w:tcW w:w="40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30"/>
        </w:trPr>
        <w:tc>
          <w:tcPr>
            <w:tcW w:w="6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origination fees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Agent incentives advances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net of allowance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3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by seized banking entities, net of allowance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54"/>
        </w:trPr>
        <w:tc>
          <w:tcPr>
            <w:tcW w:w="40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September 2021, local banking regulators in Mexico resolved to close and liquidate a local financial institution, citing a lack of compliance with minimum capital requirements. The Company has approximately $5.1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 portion or all of its funds on deposit. Consequently, the Company maintains a valuation allowance of approximately $2.0 million in connection with the balance of deposits held by the financial institution as a result of its closure.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GOODWILL AND INTANGIBLE ASSETS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and the majority of intangible assets on the condensed consolidated balance sheets of the Company were recognized from a prior acquisition. Intangible assets on the condensed consolidated balance sheets of the Company consist of agent relationships, trade name, developed technology and other intangible assets. Agent relationships, trade name and developed technology are all amortized over 15 years using an accelerated method that correlates with the projected realization of the benefit. The agent relationships intangible represents the network of independent sending agents; trade name refers to the Intermex name, branded on all agent locations and well recognized in the market; and developed technology includes the state-of-the-art system that the Company has continued to develop and improve over the past 20 years. Other intangible assets relate to the acquisition of Company-operated stores, which are amortized on a straight line basis over 10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and six months ended June 30,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and intangible assets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0"/>
                <w:szCs w:val="20"/>
                <w:color w:val="auto"/>
              </w:rPr>
            </w:pPr>
          </w:p>
        </w:tc>
        <w:tc>
          <w:tcPr>
            <w:tcW w:w="2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Intangibles</w:t>
            </w:r>
          </w:p>
        </w:tc>
        <w:tc>
          <w:tcPr>
            <w:tcW w:w="0" w:type="dxa"/>
            <w:vAlign w:val="bottom"/>
          </w:tcPr>
          <w:p>
            <w:pPr>
              <w:spacing w:after="0"/>
              <w:rPr>
                <w:sz w:val="1"/>
                <w:szCs w:val="1"/>
                <w:color w:val="auto"/>
              </w:rPr>
            </w:pP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agent locations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2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0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for the remainder of 2022 and thereafter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3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w:t>
            </w:r>
          </w:p>
        </w:tc>
      </w:tr>
      <w:tr>
        <w:trPr>
          <w:trHeight w:val="254"/>
        </w:trPr>
        <w:tc>
          <w:tcPr>
            <w:tcW w:w="8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LEASES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conduct certain of our operations, the Company is a party to leases for office space, warehouses and Company-operated store locations. Our leases have remaining terms of up to 9.2 years, some of which include options to renew and extend the lease. We presently intend to exercise certain of the extension options available to us and for purposes of computing the right-of-use assets and lease liabilities required by ASC 842, we have incorporated the options to renew that are reasonably certain of exercise by us.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ASC 842, including related amendments, effective January 1, 2022, using the modified retrospective approach and used the effective date as the date of initial application; therefore comparative periods were not adjusted. The Company determined that all of its leasing arrangements are classified as operating leases. The Company elected to apply the practical expedients to (i) not reassess its prior conclusions about lease identification, lease classification and initial direct costs and (ii) use hindsight in determining the lease term. In addition, the Company elected not to separate lease and non-lease components for all arrangements where the Company is a lessee. Adoption of the new standard resulted in the recording of additional right-of-use assets and lease liabilities of approximately $5.6 million as of January 1, 2022. The adoption of ASC 842 did not materially impact the Company’s consolidated net income and had no impact on cash flows. Additionally, there was no cumulative effect of adoption recognized on retained earnings in the condensed consolidated statement of changes in stockholders’ equity.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of right-of-use assets and lease liabilities in the condensed consolidated balance sheet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16"/>
        </w:trPr>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30"/>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4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r>
      <w:tr>
        <w:trPr>
          <w:trHeight w:val="22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r>
      <w:tr>
        <w:trPr>
          <w:trHeight w:val="270"/>
        </w:trPr>
        <w:tc>
          <w:tcPr>
            <w:tcW w:w="3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3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9"/>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3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33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4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r>
      <w:tr>
        <w:trPr>
          <w:trHeight w:val="248"/>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right of-use assets are recorded net of accumulated amortization of $1.0 million as of June 30, 2022.</w:t>
      </w:r>
    </w:p>
    <w:p>
      <w:pPr>
        <w:spacing w:after="0" w:line="200" w:lineRule="exact"/>
        <w:rPr>
          <w:rFonts w:ascii="Times New Roman" w:cs="Times New Roman" w:eastAsia="Times New Roman" w:hAnsi="Times New Roman"/>
          <w:sz w:val="16"/>
          <w:szCs w:val="16"/>
          <w:color w:val="auto"/>
        </w:rPr>
      </w:pPr>
    </w:p>
    <w:p>
      <w:pPr>
        <w:spacing w:after="0" w:line="327" w:lineRule="exact"/>
        <w:rPr>
          <w:rFonts w:ascii="Times New Roman" w:cs="Times New Roman" w:eastAsia="Times New Roman" w:hAnsi="Times New Roman"/>
          <w:sz w:val="16"/>
          <w:szCs w:val="16"/>
          <w:color w:val="auto"/>
        </w:rPr>
      </w:pPr>
    </w:p>
    <w:p>
      <w:pPr>
        <w:ind w:left="5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for the three and six months ended June 30, 2022, was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9"/>
                <w:szCs w:val="19"/>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18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3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1"/>
                <w:szCs w:val="21"/>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1"/>
                <w:szCs w:val="21"/>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29"/>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4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the three and six months ended June 30, 2021 was $0.6 million and $1.2 million, respectively.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Company’s weighted average remaining lease terms on its operating leases is 3.9 years, and the Company’s weighted average discount rate is 2.59%, which is the Company’s incremental borrowing rate. The Company used its incremental borrowing rate for all leases, as none of the Company’s lease agreements provide a readily determinable implicit 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Payments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Future minimum lease payments for assets under non-cancelable operating lease agreements with original terms of more than one year for the remainder of 2022 and thereafter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NOTE 7 – WIRE TRANSFERS AND MONEY ORDERS PAYABLE, NET</w:t>
            </w:r>
          </w:p>
        </w:tc>
        <w:tc>
          <w:tcPr>
            <w:tcW w:w="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Wire transfers and money orders payable, net consisted of the following (in thousands):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Pr>
          <w:p>
            <w:pPr>
              <w:spacing w:after="0"/>
              <w:rPr>
                <w:sz w:val="24"/>
                <w:szCs w:val="24"/>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transfers payable,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voided wires payable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orders payable</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50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8 – ACCRUED AND OTHER LIABILITIES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2"/>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and other liabilities consisted of the following (in thousands):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07"/>
        </w:trPr>
        <w:tc>
          <w:tcPr>
            <w:tcW w:w="4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9"/>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 payable to sending agents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16,303</w:t>
            </w: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bank charges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legal fees</w:t>
            </w:r>
          </w:p>
        </w:tc>
        <w:tc>
          <w:tcPr>
            <w:tcW w:w="2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 professional fees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loyalty program</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r>
      <w:tr>
        <w:trPr>
          <w:trHeight w:val="237"/>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29"/>
        </w:trPr>
        <w:tc>
          <w:tcPr>
            <w:tcW w:w="40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33,760</w:t>
            </w:r>
          </w:p>
        </w:tc>
      </w:tr>
      <w:tr>
        <w:trPr>
          <w:trHeight w:val="21"/>
        </w:trPr>
        <w:tc>
          <w:tcPr>
            <w:tcW w:w="4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the deferred revenue loyalty program liability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3,391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 during the period</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2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8"/>
              </w:rPr>
              <w:t>(1,013)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3,760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9 – DEBT</w:t>
            </w: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Debt consisted of the following (in thousands):</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83,125</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6"/>
              </w:rPr>
              <w:t>85,313</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83,125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6"/>
              </w:rPr>
              <w:t>85,313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portion of long-term debt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(3,882)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(3,882)</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origination costs</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(1,973)</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55"/>
        </w:trPr>
        <w:tc>
          <w:tcPr>
            <w:tcW w:w="6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77,270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2"/>
              </w:rPr>
              <w:t>79,211</w:t>
            </w:r>
          </w:p>
        </w:tc>
        <w:tc>
          <w:tcPr>
            <w:tcW w:w="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Current portion of long-term debt is net of debt origination costs of approximately $0.5 million both at June 30, 2022 and December 31, 2021.</w:t>
      </w: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2021, the Company and certain of its domestic subsidiaries as borrowers and the other guarantors from time to time party thereto (collectively, the “Loan Parties”) entered into an Amended and Restated Credit Agreement (the “A&amp;R Credit Agreement”) with a group of banking institutions. The A&amp;R Credit Agreement amended and restated in its entirety the Company’s previous credit agreement. The A&amp;R Credit Agreement provides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facility under the Company’s previous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refinancing was accounted for as a debt modification. The balance of the unamortized debt origination costs of $1.8 million under the Company’s previous credit agreement, the origination costs paid to the Loan Parties of $1.0 million in connection with the term loan facility of the A&amp;R Credit Agreement and debt origination costs paid to the Loan Parties and third-party costs of $1.8 million incurred in connection with the revolving credit facility of the A&amp;R Credit Agreement will be associated with the new arrangement, and therefore, they will be amortized over the remaining life of the A&amp;R Credit Agreement using the straight-line method, as it is not significantly different than the effective interest method. Debt origination costs paid to third parties related to a portion of the term loan facility in connection with the A&amp;R Credit Agreement were expensed as incurred during the second quarter of 2021.</w:t>
      </w: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unamortized portion of debt origination costs totaled approximately $3.7 million and $4.5 million at June 30, 2022 and December 31, 2021, respectively. Amortization of debt origination costs is included as a component of interest expense in the condensed consolidated statements of income and comprehensive income and amounted to approximately $0.3 million and $0.2 million for the three months ended June 30, 2022 and 2021, respectively, and $0.5 million and $0.4 million for the six months ended June 30, 2022 and 2021, respectively.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election of the Company, 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 The effective interest rates for the six months ended June 30, 2022 for the term loan facility and revolving credit facility were 3.59% and 0.75%, respectively.</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is payable (x)(i) generally on the last day of each interest period selected for LIBOR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commencing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A&amp;R Credit Agreement contains financial covenants that require the Company to maintain a quarterly minimum fixed charge coverage ratio of 1.25:1.00 and a quarterly maximum consolidated leverage ratio of 3.25:1.00.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A&amp;R Credit Agreement generally restricts the payment of dividends or cash distributions by the Company with certain exceptions, including the following: i) to repurchase the Company’s common stock from current or former employees in an aggregate amount of up to $10.0 million per calendar year, and ii) other restricted payments in an aggregate amount not to exceed $40.0 million plus the Available Amount (as defined in the A&amp;R Credit Agreement).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FAIR VALUE MEASUREMENTS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determines fair value in accordance with the provisions of FASB guidance,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measured at fair value on a nonrecurring basis include goodwill and intangible assets. All other financial assets and liabilities are carried at amortized cost.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balances are representative of their fair values as these balances are comprised of deposits available on demand. The carrying amounts of accounts receivable, prepaid wires, accounts payable and wire transfers and money orders payable are representative of their fair values because of the short turnover of these instruments.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liabilities include its revolving credit facility and term loan facility. The fair value of the term loan facility,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ectPr>
          <w:pgSz w:w="11900" w:h="16838" w:orient="portrait"/>
          <w:cols w:equalWidth="0" w:num="1">
            <w:col w:w="11240"/>
          </w:cols>
          <w:pgMar w:left="320" w:top="119" w:right="339" w:bottom="1440" w:gutter="0" w:footer="0" w:header="0"/>
        </w:sectPr>
      </w:pP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 Money Express, Inc. Omnibus Equity Compensation Plans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International Money Express, Inc. 2020 Omnibus Equity Compensation Plan (the “2020 Plan”) provides for the granting of stock-based incentive awards, including stock options, restricted stock units (“RSUs”), restricted stock awards (“RSAs”) and performance stock units (“PSUs”) to employees and independent directors of the Company. There are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Although awards remain outstanding under the 2018 Plan, which was terminated effective June 26, 2020, no additional awards may be granted under the 2018 Plan. As of June 30, 2022, 2.5 million shares remained available for future awards under the 2020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value of each option grant is estimated on the grant date using the Black-Scholes option pricing model (“BSM”). The option pricing model requires the input of subjective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$0.5 million and $0.6 million for the three months ended June 30, 2022 and 2021, respectively, and $1.1 million and $1.3 million for the six months ended June 30, 2022 and 2021, respectively, which are included in salaries and benefits in the condensed consolidated statements of income and comprehensive income. As of June 30, 2022, unrecognized compensation expense related to stock options of approximately $1.5 million is expected to be recognized over a weighted-average period of 1.3 years.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Plans during the six months ended June 30, 2022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Remaining</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Contractual</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8"/>
              </w:rPr>
              <w:t>Grant Date</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Exercise Price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Term (Years)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1,898,687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1,706,462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952,736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RSUs granted under the Plans to the Company’s employees generally vest in four equal annual installments beginning one year after the date of the grant, while RSUs issued to the Company’s independent directors vest on the one-year anniversary from the grant date. The Company recognized compensation expense for RSUs of approximately $0.5 million and $0.3 million for the three months ended June 30, 2022 and 2021, respectively, and $0.8 million and $0.5 million for the six months ended June 30, 2022 and 2021, respectively, which are included in salaries and benefits in the condensed consolidated statements of income and comprehensive income. As of June 30, 2022,</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RSUs of approximately $4.9 million is expected to be recognized over a weighted-average period of 2.0 years.</w:t>
      </w:r>
    </w:p>
    <w:p>
      <w:pPr>
        <w:sectPr>
          <w:pgSz w:w="11900" w:h="16838" w:orient="portrait"/>
          <w:cols w:equalWidth="0" w:num="1">
            <w:col w:w="11240"/>
          </w:cols>
          <w:pgMar w:left="320" w:top="119"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during the six months ended June 30, 2022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597471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97471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at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184"/>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41"/>
        </w:trPr>
        <w:tc>
          <w:tcPr>
            <w:tcW w:w="1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RSUs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25"/>
        </w:trPr>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231,934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29"/>
        </w:trPr>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194,790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29"/>
        </w:trPr>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(65,261)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41"/>
        </w:trPr>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(19,592)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29"/>
        </w:trPr>
        <w:tc>
          <w:tcPr>
            <w:tcW w:w="13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341,871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1"/>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60"/>
            <w:col w:w="4580"/>
          </w:cols>
          <w:pgMar w:left="320" w:top="119"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Awards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Lead Independent Director and Chairs of the Committees of the Board of Directors are granted, in aggregate, $64.0 thousand in awards of fully vested shares of the Company’s common stock, payable on a quarterly basis at the end of each quarter in payment of fees earned in such capacities. During the three and six months ended June 30, 2022, 776 and 1,778 fully vested shares, respectively, were granted to the Lead Independent Director and Chairs of the Committees of the Board of Directors resulting in compensation expense of $16.0 thousand and $32.0 thousand, respectively, recorded in the condensed consolidated statements of income and comprehensive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RSAs issued under the Plans to the Company’s employees generally vest in four equal annual installments beginning one year after the date of grant. The Company recognized compensation expense for RSAs granted of $0.2 million and $0.1 million for the three months ended June 30, 2022 and 2021, respectively, and $0.3 million and $0.1 million for the six months ended June 30, 2022 and 2021, respectively, which are included in salaries and benefits in the condensed consolidated statements of income and comprehensive income. As of June 30, 2022, there was $2.2 million of unrecognized compensation expense related to RSAs, which is expected to be recognized over a weighted-average period of 2.1 years.</w:t>
      </w:r>
    </w:p>
    <w:p>
      <w:pPr>
        <w:sectPr>
          <w:pgSz w:w="11900" w:h="16838" w:orient="portrait"/>
          <w:cols w:equalWidth="0" w:num="1">
            <w:col w:w="11240"/>
          </w:cols>
          <w:pgMar w:left="320" w:top="119" w:right="33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RSA activity during the six months ended June 30, 2022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597471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97471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at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175"/>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50"/>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RSAs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25"/>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3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29"/>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41"/>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60"/>
            <w:col w:w="4580"/>
          </w:cols>
          <w:pgMar w:left="320" w:top="119"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Stock Units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PSUs granted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revenue or adjusted earnings per share parameters for a period of two years combined with a service period of three years. Compensation cost is recognized over the requisite service period when it is probable that the performance condition will be satisfied. The Company recognized compensation expense for PSUs of $0.5 million and $0.2 million for the three months ended June 30, 2022 and 2021, respectively, and $0.7 million and $0.3 million for the six months ended June 30, 2022 and 2021, respectively, which are included in salaries and benefits in the condensed consolidated statements of income and comprehensive income. As of June 30, 2022,</w:t>
      </w:r>
    </w:p>
    <w:p>
      <w:pPr>
        <w:spacing w:after="0" w:line="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was $3.8 million of unrecognized compensation expense related to PSUs, which is expected to be recognized over a weighted-average period of 2.2 years.</w:t>
      </w:r>
    </w:p>
    <w:p>
      <w:pPr>
        <w:sectPr>
          <w:pgSz w:w="11900" w:h="16838" w:orient="portrait"/>
          <w:cols w:equalWidth="0" w:num="1">
            <w:col w:w="11240"/>
          </w:cols>
          <w:pgMar w:left="320" w:top="119"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 activity during the six months ended June 30, 2022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PSUs</w:t>
            </w:r>
          </w:p>
        </w:tc>
        <w:tc>
          <w:tcPr>
            <w:tcW w:w="0" w:type="dxa"/>
            <w:vAlign w:val="bottom"/>
          </w:tcPr>
          <w:p>
            <w:pPr>
              <w:spacing w:after="0"/>
              <w:rPr>
                <w:sz w:val="1"/>
                <w:szCs w:val="1"/>
                <w:color w:val="auto"/>
              </w:rPr>
            </w:pPr>
          </w:p>
        </w:tc>
      </w:tr>
      <w:tr>
        <w:trPr>
          <w:trHeight w:val="225"/>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(nonvested) at June 30, 2022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302,724</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12 – EQUITY</w:t>
            </w: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2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-1139825</wp:posOffset>
            </wp:positionV>
            <wp:extent cx="597471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7471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597471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597471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color w:val="auto"/>
        </w:rPr>
        <w:t>Weighted-</w:t>
      </w:r>
    </w:p>
    <w:p>
      <w:pPr>
        <w:jc w:val="center"/>
        <w:ind w:right="3260"/>
        <w:spacing w:after="0" w:line="219" w:lineRule="auto"/>
        <w:rPr>
          <w:sz w:val="20"/>
          <w:szCs w:val="20"/>
          <w:color w:val="auto"/>
        </w:rPr>
      </w:pPr>
      <w:r>
        <w:rPr>
          <w:rFonts w:ascii="Times New Roman" w:cs="Times New Roman" w:eastAsia="Times New Roman" w:hAnsi="Times New Roman"/>
          <w:sz w:val="18"/>
          <w:szCs w:val="18"/>
          <w:color w:val="auto"/>
        </w:rPr>
        <w:t>Average</w:t>
      </w:r>
    </w:p>
    <w:tbl>
      <w:tblPr>
        <w:tblLayout w:type="fixed"/>
        <w:tblInd w:w="0" w:type="dxa"/>
        <w:tblCellMar>
          <w:top w:w="0" w:type="dxa"/>
          <w:left w:w="0" w:type="dxa"/>
          <w:bottom w:w="0" w:type="dxa"/>
          <w:right w:w="0" w:type="dxa"/>
        </w:tblCellMar>
      </w:tblPr>
      <w:tr>
        <w:trPr>
          <w:trHeight w:val="160"/>
        </w:trPr>
        <w:tc>
          <w:tcPr>
            <w:tcW w:w="142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8"/>
                <w:szCs w:val="18"/>
                <w:color w:val="auto"/>
              </w:rPr>
              <w:t>Remaining</w:t>
            </w:r>
          </w:p>
        </w:tc>
        <w:tc>
          <w:tcPr>
            <w:tcW w:w="180" w:type="dxa"/>
            <w:vAlign w:val="bottom"/>
          </w:tcPr>
          <w:p>
            <w:pPr>
              <w:spacing w:after="0"/>
              <w:rPr>
                <w:sz w:val="13"/>
                <w:szCs w:val="13"/>
                <w:color w:val="auto"/>
              </w:rPr>
            </w:pPr>
          </w:p>
        </w:tc>
        <w:tc>
          <w:tcPr>
            <w:tcW w:w="1160" w:type="dxa"/>
            <w:vAlign w:val="bottom"/>
          </w:tcPr>
          <w:p>
            <w:pPr>
              <w:jc w:val="center"/>
              <w:ind w:right="90"/>
              <w:spacing w:after="0" w:line="161" w:lineRule="exact"/>
              <w:rPr>
                <w:sz w:val="20"/>
                <w:szCs w:val="20"/>
                <w:color w:val="auto"/>
              </w:rPr>
            </w:pPr>
            <w:r>
              <w:rPr>
                <w:rFonts w:ascii="Times New Roman" w:cs="Times New Roman" w:eastAsia="Times New Roman" w:hAnsi="Times New Roman"/>
                <w:sz w:val="18"/>
                <w:szCs w:val="18"/>
                <w:color w:val="auto"/>
                <w:w w:val="97"/>
              </w:rPr>
              <w:t>Weighted-</w:t>
            </w:r>
          </w:p>
        </w:tc>
      </w:tr>
      <w:tr>
        <w:trPr>
          <w:trHeight w:val="175"/>
        </w:trPr>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Contractual</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50"/>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Term (Years)</w:t>
            </w:r>
          </w:p>
        </w:tc>
        <w:tc>
          <w:tcPr>
            <w:tcW w:w="180" w:type="dxa"/>
            <w:vAlign w:val="bottom"/>
          </w:tcPr>
          <w:p>
            <w:pPr>
              <w:spacing w:after="0"/>
              <w:rPr>
                <w:sz w:val="21"/>
                <w:szCs w:val="21"/>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25"/>
        </w:trPr>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29"/>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34"/>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r>
    </w:tbl>
    <w:p>
      <w:pPr>
        <w:spacing w:after="0" w:line="778" w:lineRule="exact"/>
        <w:rPr>
          <w:sz w:val="20"/>
          <w:szCs w:val="20"/>
          <w:color w:val="auto"/>
        </w:rPr>
      </w:pPr>
    </w:p>
    <w:p>
      <w:pPr>
        <w:sectPr>
          <w:pgSz w:w="11900" w:h="16838" w:orient="portrait"/>
          <w:cols w:equalWidth="0" w:num="2">
            <w:col w:w="6580" w:space="80"/>
            <w:col w:w="4580"/>
          </w:cols>
          <w:pgMar w:left="320" w:top="119" w:right="339" w:bottom="1440" w:gutter="0" w:footer="0" w:header="0"/>
          <w:type w:val="continuous"/>
        </w:sect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2021, the Company’s Board of Directors approved a stock repurchase program (the “Repurchase Program”) that authorizes the Company to purchase up to $40.0 million of outstanding shares of the Company’s common stock.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Under the terms of the A&amp;R Credit Agreement, the Company has restrictions that limit the maximum amount of repurchases to (i) $40.0 million in the aggregate (plus the Available Amount as defined in the A&amp;R Credit Agreement) and (ii) $10.0 million annually for shares held by any current or former officer, director, employee or consultant (or any spouses, ex-spouses or estates of the foregoing) of the Company or its subsidiaries.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purchases of treasury stock under the cost method. Any direct costs incurred to acquire treasury stock are considered stock issue costs and added to the cost of the treasury stock. During the three and six months ended June 30, 2022, the Company purchased 503,513 shares and 727,901 shares, respectively, for an aggregate purchase price of $10.0 million and $13.6 million, respectively. As of June 30, 2022, the remaining amount available for future share repurchases under the Repurchase Program was $20.8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EARNINGS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for the period by the weighted average number of common shares outstanding for the period. In computing dilutive earnings per share, basic earnings per share is adjusted for the assumed issuance of all applicable potentially dilutive share-based awards, including common stock options, RSUs, RSAs and PSUs.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earnings per share for the periods indicated (in thousands, except for share data):</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797"/>
        </w:trPr>
        <w:tc>
          <w:tcPr>
            <w:tcW w:w="400" w:type="dxa"/>
            <w:vAlign w:val="bottom"/>
            <w:tcBorders>
              <w:top w:val="single" w:sz="8" w:color="0000FF"/>
            </w:tcBorders>
          </w:tcPr>
          <w:p>
            <w:pPr>
              <w:spacing w:after="0"/>
              <w:rPr>
                <w:sz w:val="24"/>
                <w:szCs w:val="24"/>
                <w:color w:val="auto"/>
              </w:rPr>
            </w:pPr>
          </w:p>
        </w:tc>
        <w:tc>
          <w:tcPr>
            <w:tcW w:w="4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4"/>
                <w:szCs w:val="24"/>
                <w:color w:val="auto"/>
              </w:rPr>
            </w:pPr>
          </w:p>
        </w:tc>
        <w:tc>
          <w:tcPr>
            <w:tcW w:w="27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6"/>
        </w:trPr>
        <w:tc>
          <w:tcPr>
            <w:tcW w:w="4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57"/>
        </w:trPr>
        <w:tc>
          <w:tcPr>
            <w:tcW w:w="40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7"/>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for basic and diluted earnings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22,204</w:t>
            </w:r>
          </w:p>
        </w:tc>
      </w:tr>
      <w:tr>
        <w:trPr>
          <w:trHeight w:val="257"/>
        </w:trPr>
        <w:tc>
          <w:tcPr>
            <w:tcW w:w="40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38,257,156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38,433,748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38,309,295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38,336,977</w:t>
            </w:r>
          </w:p>
        </w:tc>
      </w:tr>
      <w:tr>
        <w:trPr>
          <w:trHeight w:val="23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33,783</w:t>
            </w:r>
          </w:p>
        </w:tc>
      </w:tr>
      <w:tr>
        <w:trPr>
          <w:trHeight w:val="230"/>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553,001</w:t>
            </w:r>
          </w:p>
        </w:tc>
      </w:tr>
      <w:tr>
        <w:trPr>
          <w:trHeight w:val="22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RSAs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r>
      <w:tr>
        <w:trPr>
          <w:trHeight w:val="249"/>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w:t>
            </w:r>
          </w:p>
        </w:tc>
      </w:tr>
      <w:tr>
        <w:trPr>
          <w:trHeight w:val="217"/>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39,228,991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39,027,414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39,153,039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38,937,699</w:t>
            </w:r>
          </w:p>
        </w:tc>
      </w:tr>
      <w:tr>
        <w:trPr>
          <w:trHeight w:val="257"/>
        </w:trPr>
        <w:tc>
          <w:tcPr>
            <w:tcW w:w="4940" w:type="dxa"/>
            <w:vAlign w:val="bottom"/>
            <w:gridSpan w:val="2"/>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3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2022, there were 76.3 thousand stock options, 5.9 thousand RSUs and 131.2 thousand PSUs excluded from the diluted earnings per share calculation because, under the treasury stock method, the inclusion of these would be anti-dilutive.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2021, there were 600.0 thousand stock options and 53.9 thousand RSUs excluded from the diluted earnings per share calculation because, under the treasury stock method, the inclusion of these would be anti-dilutive.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12, during the third quarter of 2022, the Company’s Board of Directors authorized the Repurchase Program, under which the Company repurchased 503,513 shares and 727,901 shares of treasury stock for $10.0 million and $13.6 million in the three and six months ended June 30, 2022, respectively. The effect of these repurchases on the Company’s weighted average shares outstanding for the three and six months ended June 30, 2022 was a reduction of 152,000 shares and 142,436 shares, respectively, due to the timing of the repurchases.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INCOME TAXES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reconciliation between the income tax provision at the U.S. statutory tax rate and the Company’s income tax provision on the condensed consolidated statements of income and comprehensive income is below (in thousands, except for tax rates):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8"/>
                <w:szCs w:val="18"/>
                <w:color w:val="auto"/>
              </w:rPr>
            </w:pPr>
          </w:p>
        </w:tc>
        <w:tc>
          <w:tcPr>
            <w:tcW w:w="290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50"/>
        </w:trPr>
        <w:tc>
          <w:tcPr>
            <w:tcW w:w="46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June 30,</w:t>
            </w:r>
          </w:p>
        </w:tc>
        <w:tc>
          <w:tcPr>
            <w:tcW w:w="11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June 30,</w:t>
            </w:r>
          </w:p>
        </w:tc>
        <w:tc>
          <w:tcPr>
            <w:tcW w:w="1160" w:type="dxa"/>
            <w:vAlign w:val="bottom"/>
            <w:tcBorders>
              <w:bottom w:val="single" w:sz="8" w:color="auto"/>
            </w:tcBorders>
          </w:tcPr>
          <w:p>
            <w:pPr>
              <w:spacing w:after="0"/>
              <w:rPr>
                <w:sz w:val="21"/>
                <w:szCs w:val="21"/>
                <w:color w:val="auto"/>
              </w:rPr>
            </w:pPr>
          </w:p>
        </w:tc>
      </w:tr>
      <w:tr>
        <w:trPr>
          <w:trHeight w:val="237"/>
        </w:trPr>
        <w:tc>
          <w:tcPr>
            <w:tcW w:w="46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38,254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30,181</w:t>
            </w:r>
          </w:p>
        </w:tc>
      </w:tr>
      <w:tr>
        <w:trPr>
          <w:trHeight w:val="237"/>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statutory tax rate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8,033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6,338</w:t>
            </w:r>
          </w:p>
        </w:tc>
      </w:tr>
      <w:tr>
        <w:trPr>
          <w:trHeight w:val="256"/>
        </w:trPr>
        <w:tc>
          <w:tcPr>
            <w:tcW w:w="4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expense, net of federal benefit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2,353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1,673</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rates different from U.S. statutory rate</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r>
      <w:tr>
        <w:trPr>
          <w:trHeight w:val="23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(211)</w:t>
            </w:r>
          </w:p>
        </w:tc>
      </w:tr>
      <w:tr>
        <w:trPr>
          <w:trHeight w:val="255"/>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4,803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10,616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7,977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2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provision includes the expected benefit of all deferred tax assets, including our net operating loss carryforwards. With few exceptions, our net operating loss carryforwards will expire from 2029 through 2038. After consideration of all evidence, both positive and negative, management has determined that no valuation allowance is required at June 30, 2022 on the Company’s U.S. federal or state deferred tax assets; however, a valuation allowance has been recorded as of June 30, 2022 on deferred tax assets associated with Canadian net operating loss carryforwards.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presented in the income tax reconciliation above, the tax provision recognized on the condensed consolidated statements of income and comprehensive income was impacted by state taxes, foreign tax rates applicable to the Company’s foreign subsidiaries that are higher or lower than the U.S. statutory rate, non-deductible officer compensation and share-based compensation tax benefits.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 and Legal Proceedings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all 50 states in the United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Requirements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applicable licensing laws, certain domestic subsidiaries of the Company are required to maintain minimum tangible net worth and liquid assets (eligible securities) to cover the amount outstanding of wire transfers and money orders payable. As of June 30, 2022, the Company’s subsidiaries were in compliance with these two requirements.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2021.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leading omnichannel money remittance service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from Canada to Latin America and Africa.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consumers can send money to beneficiaries in 16 LAC countries, eight countries in Africa and two countries in Asia. Our services are accessible in person through over 100,000 independent sending and paying agents and 37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w:t>
      </w:r>
    </w:p>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Money remittance services to LAC countries, mainly Mexico and Guatemala,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 also generate revenue if we are successful in our daily management of currency exchange spreads.</w:t>
      </w:r>
    </w:p>
    <w:p>
      <w:pPr>
        <w:spacing w:after="0" w:line="21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money remittance services enable consumers to send funds through our broad network of locations in the United States and Canada that are primarily operated by third-party businesses, as well as through our Company-operated stores.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For the six months ended June 30, 2022, we have grown our agent network by approximately 6.4%. For the six months ended June 30, 2022, principal amount sent increased by approximately 25.4% to $9.7 billion, as compared to the same period in 2021 and total remittances processed were approximately 21.9 million, representing an increase of approximately 18.8%, as compared to the same period in 2021.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March 2020, a global pandemic was declared by the World Health Organization related to the rapidly growing outbreak of a novel strain of coronavirus (“COVID-19”). The pandemic has had and continues to have a significant effect on economic conditions in the United States of America (“United States” or “U.S.”), as the efforts of federal, state, local and foreign governments to react to the public health crisis with mitigation measures have created and continue to cause significant uncertainties in the U.S. and global economy, particularly as new variants and sub-variants of COVID-19 appear to be causing an increase in COVID-19 cases in certain places around the world. The extent to which the COVID-19 pandemic affects our business, operations and financial results depends, and will continue to depend, on numerous evolving factors that we may not be able to accurately predict such as the reduction or reimposition by government and health authorities of restrictions and progress in and effectiveness of vaccination efforts in the United States or in the countries in which we operate and conduct business.</w:t>
      </w: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response to the pandemic, our top priority continues being to take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 These procedures include reconfiguring facilities to reduce employee density, expanded and more frequent cleaning within facilities, implementation of appropriate and mandated distancing programs, employee temperature monitoring, frequent testing and requiring use of certain personal protective equipment at our call centers in Mexico and Guatemala. As of June 30, 2022, all of our facilities are open and operating with adjustments to ensure compliance with social distancing and facial covering recommendations and requirements established by state and local regulations.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operational challenges created by the pandemic, our business continues to function and, to date, our customer service has not been adversely affected in any material respect. Nevertheless, the COVID-19 pandemic continues to pose the risk that we or our employees, sending and paying agents, as well as consumers and their beneficiaries, are or may become further restricted from conducting business activities, partially or completely, for an indefinite period of time, including due to shutdowns requested or mandated by governmental authorities or imposed by our management, or that the pandemic may otherwise interrupt or impair business activities.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certain measures that restrict the normal course of operations of businesses and consumers were still in place for the three and six months ended June 30, 2022, such measures did not have a material adverse effect on the Company’s financial condition, results of operations and cash flows for the three and six months ended June 30, 2022. Notwithstanding the foregoing, the Company’s business is dependent upon the willingness and ability of its</w:t>
      </w:r>
    </w:p>
    <w:p>
      <w:pPr>
        <w:sectPr>
          <w:pgSz w:w="11900" w:h="16838" w:orient="portrait"/>
          <w:cols w:equalWidth="0" w:num="1">
            <w:col w:w="11240"/>
          </w:cols>
          <w:pgMar w:left="320" w:top="119" w:right="339" w:bottom="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financial condition, results of operations and cash flows is subject to future developments, including the duration of the pandemic and the related extent of its severity, as well as its impact on the economic conditions, particularly the level of unemployment of our customers, inflation (including changes in wages) and governmental efforts to restrain inflation, interest rate levels and foreign exchange volatility, all of which remain uncertain and cannot be predicted at this time. If the global response to contain and remedy the COVID-19 pandemic escalates further or is unsuccessful, or if governmental decisions to ease pandemic related restrictions are ineffective, premature or counterproductive, the Company could experience a material adverse effect on its financial condition, results of operations and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La Nacional and LAN Holdings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16, 2022, the Company entered into a definitive purchase agreement to acquire Envios de Valores La Nacional Corp. (“La Nacional”) and LAN Holdings, Corp. (“LAN Holdings”), which either directly or indirectly operate as money remittance companies in the United States, Canada and certain countries in Europe. The transaction is subject to customary regulatory approvals and is expected to close late in the third quarter or early fourth quarter of 2022. Intermex expects to pay cash of approximately $50.0 million (subject to customary purchase price adjustments) on closing and up to an additional $3.0 million in contingent consideration in 2023. The Company expects the integration of La Nacional and LAN Holdings to be completed in the four quarters following the closing of the transaction. Once La Nacional and LAN Holdings are fully integrated, the Company expects the combined entities to contribute approximately $70.0 million to $80.0 million a year in revenues with an Adjusted EBITDA margin in the range of 9% to 11%. A quantitative reconciliation of projected Adjusted EBITDA margin to the most comparable GAAP measure is not available without unreasonable efforts because of the inherent difficulty in forecasting and quantifying the amounts necessary under GAAP guidance for operating or other adjusted items including, without limitation, integration costs and expenses, amortization of intangible assets and depreciation, which may be significant and difficult to project with a reasonable degree of accuracy, as the allocation of the purchase price to intangible assets and to property and equipment has not yet been performed, tax effects of certain adjustments and other items related to the acquisition.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Business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Various trends and other factors have affected and may continue to affect our business, financial condition and operating results, including, but not limited to:</w:t>
      </w:r>
    </w:p>
    <w:p>
      <w:pPr>
        <w:spacing w:after="0" w:line="189" w:lineRule="exact"/>
        <w:rPr>
          <w:sz w:val="20"/>
          <w:szCs w:val="20"/>
          <w:color w:val="auto"/>
        </w:rPr>
      </w:pPr>
    </w:p>
    <w:p>
      <w:pPr>
        <w:ind w:left="900" w:right="120" w:hanging="244"/>
        <w:spacing w:after="0" w:line="282"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execute, manage, integrate and obtain the anticipated financial benefits of key acquisitions and mergers, including the acquisition of La Nacional and LAN Holdings;</w:t>
      </w:r>
    </w:p>
    <w:p>
      <w:pPr>
        <w:spacing w:after="0" w:line="18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conditions, including the COVID-19 pandemic, responses thereto and the economic and market effects thereof;</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in which we operate;</w:t>
      </w:r>
    </w:p>
    <w:p>
      <w:pPr>
        <w:spacing w:after="0" w:line="252" w:lineRule="exact"/>
        <w:rPr>
          <w:rFonts w:ascii="Times New Roman" w:cs="Times New Roman" w:eastAsia="Times New Roman" w:hAnsi="Times New Roman"/>
          <w:sz w:val="18"/>
          <w:szCs w:val="18"/>
          <w:color w:val="auto"/>
        </w:rPr>
      </w:pPr>
    </w:p>
    <w:p>
      <w:pPr>
        <w:ind w:left="900" w:right="380" w:hanging="244"/>
        <w:spacing w:after="0" w:line="282"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exchange rates that could affect the volume of consumer remittance activity and/or affect our foreign exchange related gains and losses;</w:t>
      </w:r>
    </w:p>
    <w:p>
      <w:pPr>
        <w:spacing w:after="0" w:line="18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banking and agent relationships necessary to conduct our business;</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from our agents and the financial institutions with which we do business;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sustained financial illiquidity, or illiquidity at our clearing, cash management or custodial financial institutions;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or competitors that disrupt the current ecosystem, including by introducing digital platforms;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or disruptions to our information technology, computer network systems, data centers and phone apps;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debt obligations and remain in compliance with our credit facility requirements;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developing and introducing new products, services and infrastructure;</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our brand and in consumer money transfers generally;</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regulatory requirements;</w:t>
      </w:r>
    </w:p>
    <w:p>
      <w:pPr>
        <w:spacing w:after="0" w:line="252" w:lineRule="exact"/>
        <w:rPr>
          <w:rFonts w:ascii="Times New Roman" w:cs="Times New Roman" w:eastAsia="Times New Roman" w:hAnsi="Times New Roman"/>
          <w:sz w:val="18"/>
          <w:szCs w:val="18"/>
          <w:color w:val="auto"/>
        </w:rPr>
      </w:pPr>
    </w:p>
    <w:p>
      <w:pPr>
        <w:ind w:left="900" w:right="20" w:hanging="244"/>
        <w:spacing w:after="0" w:line="282"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factors, political stability, tariffs, border taxes or restrictions on remittances or transfers of money out of the United States and Canada;</w:t>
      </w:r>
    </w:p>
    <w:p>
      <w:pPr>
        <w:spacing w:after="0" w:line="18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restrictions and volatility in countries in which we operate or plan to operate;</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fraud and other risks relating to the authenticity of customers’ orders;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and their enforcement;</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brand and intellectual property rights;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U.S. or international economic conditions;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Latin American political and economic conditions continue to exhibit instability, as evidenced by high unemployment rates in key markets, currency reserves, currency controls, restricted lending activity, higher inflation, weak currencies and low consumer confidence, some of which reflect the impact of the COVID-19 pandemic, among other factors. Specifically, continued political and economic unrest in Mexico, Guatemala and some countries in South America contributed to volatility.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Wall Street Reform and Consumer Protection Act and similar regulations outside the United States. In coming periods, we expect these and future regulatory requirements will continue to result in changes to certain of our business practices and may result in increased costs.</w:t>
      </w:r>
    </w:p>
    <w:p>
      <w:pPr>
        <w:spacing w:after="0" w:line="21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and licensing department, under the direction of our Chief Operating Officer, whose responsibility is to manage regulatory affairs and licensing.</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w:t>
      </w:r>
    </w:p>
    <w:p>
      <w:pPr>
        <w:sectPr>
          <w:pgSz w:w="11900" w:h="16838" w:orient="portrait"/>
          <w:cols w:equalWidth="0" w:num="1">
            <w:col w:w="11240"/>
          </w:cols>
          <w:pgMar w:left="320" w:top="119" w:right="339" w:bottom="1440" w:gutter="0" w:footer="0" w:header="0"/>
        </w:sectPr>
      </w:pP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 typical for the industry. We compete for money remittance customers on the basis of trust, convenience, service, efficiency of outlets, value, technology and brand recognition.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encountered and continue to expect to encounter increasing competition as new electronic platforms emerge that enable consumers to send and receive money through a variety of channels, but we do not expect adoption rates to be as significant in the near 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consumer adoption.</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203" w:lineRule="exact"/>
        <w:rPr>
          <w:sz w:val="20"/>
          <w:szCs w:val="20"/>
          <w:color w:val="auto"/>
        </w:rPr>
      </w:pPr>
    </w:p>
    <w:p>
      <w:pPr>
        <w:ind w:left="500" w:right="20" w:hanging="249"/>
        <w:spacing w:after="0" w:line="282"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of Section 404 of the Sarbanes-Oxley Act in the assessment of the emerging growth company’s internal control over financial reporting;</w:t>
      </w:r>
    </w:p>
    <w:p>
      <w:pPr>
        <w:spacing w:after="0" w:line="188" w:lineRule="exact"/>
        <w:rPr>
          <w:rFonts w:ascii="Times New Roman" w:cs="Times New Roman" w:eastAsia="Times New Roman" w:hAnsi="Times New Roman"/>
          <w:sz w:val="18"/>
          <w:szCs w:val="18"/>
          <w:color w:val="auto"/>
        </w:rPr>
      </w:pPr>
    </w:p>
    <w:p>
      <w:pPr>
        <w:ind w:left="480" w:hanging="229"/>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adoption of new or revised financial accounting standards until they would apply to private companies; and</w:t>
      </w:r>
    </w:p>
    <w:p>
      <w:pPr>
        <w:spacing w:after="0" w:line="252" w:lineRule="exact"/>
        <w:rPr>
          <w:rFonts w:ascii="Times New Roman" w:cs="Times New Roman" w:eastAsia="Times New Roman" w:hAnsi="Times New Roman"/>
          <w:sz w:val="18"/>
          <w:szCs w:val="18"/>
          <w:color w:val="auto"/>
        </w:rPr>
      </w:pPr>
    </w:p>
    <w:p>
      <w:pPr>
        <w:jc w:val="both"/>
        <w:ind w:left="500" w:hanging="249"/>
        <w:spacing w:after="0" w:line="261"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any new requirements adopted by the Public Company Accounting Oversight Board requiring mandatory audit firm rotation or communication of Critical Audit Matters (“CAMs”) in the auditor’s report. A CAM is defined as any matter arising from the audit of the financial statements that was communicated or required to be communicated to the audit committee and that (1) relates to accounts or disclosures that are material to the financial statements; and (2) involves especially challenging, subjective, or complex auditor judgment.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earliest of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 As of June 30, 2022, the market value of our common stock that is held by non-affiliates approximated $674.0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 Charges from Agents and Banks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Service charges primarily consist of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ectPr>
          <w:pgSz w:w="11900" w:h="16838" w:orient="portrait"/>
          <w:cols w:equalWidth="0" w:num="1">
            <w:col w:w="11240"/>
          </w:cols>
          <w:pgMar w:left="320" w:top="119" w:right="339" w:bottom="1440" w:gutter="0" w:footer="0" w:header="0"/>
        </w:sectPr>
      </w:pPr>
    </w:p>
    <w:p>
      <w:pPr>
        <w:spacing w:after="0" w:line="30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and Canada, is focused on supporting and growing our sending agent network. Share-based compensation is primarily recognized as an expense on a straight-line basis over the requisite service period; unrecognized compensation expense related to stock options, restricted stock units (“RSUs”), restricted stock awards (“RSAs”) and performance stock units (“PSUs”) of approximately $12.4 million is expected to be recognized over a weighted-average period of 1.98 years.</w:t>
      </w: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Selling, General and Administrative</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primarily consist of fixed overhead expenses associated with our operations, such as information technology, telecommunications, rent, insurance, professional services, non-income or indirect taxes, facilities maintenance and other similar types of operating expenses. A portion of these expenses relate to our Company-operated stores; however, the majority relate to the overall business and compliance requirements of a regulated publicly traded financial services company. Selling expenses include expenses such as advertising and promotion, provision for credit losses and expenses associated with increasing our network of agents.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largely consists of depreciation of computer equipment and amortization of software that supports our technology platform. In addition, it includes amortization of intangible assets primarily related to our agent relationships, trade name and developed technology.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associated with our debt, which consists of a term loan facility and a revolving credit facility. The effective interest rates for the six months ended June 30, 2022 for the term loan facility and revolving credit facility, were 3.59% and 0.75%, respectively.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income tax provision includes the expected benefit of all deferred tax assets, including our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is determined by subtracting operating and non-operating expenses from revenues.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 average number of common shares outstanding calculation.</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organized around one reportable segment that provides money transmittal services between the United States and Canada to Mexico, Guatemala and other countries in Latin America, Africa and Asia through a network of authorized agents located in various unaffiliated retail establishments and 37 Company-operated stores throughout the United States and Canada. This is based on the objectives of the business and how our chief operating decision maker, the CEO and President, monitors operating performance and allocates resources.</w:t>
      </w: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40" w:type="dxa"/>
            <w:vAlign w:val="bottom"/>
          </w:tcPr>
          <w:p>
            <w:pPr>
              <w:spacing w:after="0"/>
              <w:rPr>
                <w:sz w:val="20"/>
                <w:szCs w:val="20"/>
                <w:color w:val="auto"/>
              </w:rPr>
            </w:pPr>
          </w:p>
        </w:tc>
        <w:tc>
          <w:tcPr>
            <w:tcW w:w="27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share data)</w:t>
            </w:r>
          </w:p>
        </w:tc>
        <w:tc>
          <w:tcPr>
            <w:tcW w:w="3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99,306</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215,621</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180,218</w:t>
            </w: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29,703</w:t>
            </w:r>
          </w:p>
        </w:tc>
      </w:tr>
      <w:tr>
        <w:trPr>
          <w:trHeight w:val="237"/>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29"/>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211,323</w:t>
            </w:r>
          </w:p>
        </w:tc>
      </w:tr>
      <w:tr>
        <w:trPr>
          <w:trHeight w:val="270"/>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141,237</w:t>
            </w: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20,050</w:t>
            </w: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w:t>
            </w:r>
          </w:p>
        </w:tc>
      </w:tr>
      <w:tr>
        <w:trPr>
          <w:trHeight w:val="237"/>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r>
      <w:tr>
        <w:trPr>
          <w:trHeight w:val="236"/>
        </w:trPr>
        <w:tc>
          <w:tcPr>
            <w:tcW w:w="4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211,282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178,548</w:t>
            </w:r>
          </w:p>
        </w:tc>
      </w:tr>
      <w:tr>
        <w:trPr>
          <w:trHeight w:val="257"/>
        </w:trPr>
        <w:tc>
          <w:tcPr>
            <w:tcW w:w="4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w:t>
            </w:r>
          </w:p>
        </w:tc>
      </w:tr>
      <w:tr>
        <w:trPr>
          <w:trHeight w:val="270"/>
        </w:trPr>
        <w:tc>
          <w:tcPr>
            <w:tcW w:w="4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7"/>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r>
      <w:tr>
        <w:trPr>
          <w:trHeight w:val="257"/>
        </w:trPr>
        <w:tc>
          <w:tcPr>
            <w:tcW w:w="4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30,181</w:t>
            </w:r>
          </w:p>
        </w:tc>
      </w:tr>
      <w:tr>
        <w:trPr>
          <w:trHeight w:val="270"/>
        </w:trPr>
        <w:tc>
          <w:tcPr>
            <w:tcW w:w="4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6"/>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w:t>
            </w:r>
          </w:p>
        </w:tc>
      </w:tr>
      <w:tr>
        <w:trPr>
          <w:trHeight w:val="257"/>
        </w:trPr>
        <w:tc>
          <w:tcPr>
            <w:tcW w:w="4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22,204</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34"/>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2022</w:t>
            </w:r>
          </w:p>
        </w:tc>
        <w:tc>
          <w:tcPr>
            <w:tcW w:w="1360" w:type="dxa"/>
            <w:vAlign w:val="bottom"/>
            <w:tcBorders>
              <w:bottom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2021</w:t>
            </w:r>
          </w:p>
        </w:tc>
        <w:tc>
          <w:tcPr>
            <w:tcW w:w="12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117,622</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18,195</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13 %</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3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136,935</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7" w:lineRule="auto"/>
        <w:rPr>
          <w:sz w:val="20"/>
          <w:szCs w:val="20"/>
          <w:color w:val="auto"/>
        </w:rPr>
      </w:pPr>
      <w:r>
        <w:rPr>
          <w:rFonts w:ascii="Times New Roman" w:cs="Times New Roman" w:eastAsia="Times New Roman" w:hAnsi="Times New Roman"/>
          <w:sz w:val="17"/>
          <w:szCs w:val="17"/>
          <w:color w:val="auto"/>
        </w:rPr>
        <w:t>Wire transfer and money order fees, net of $117.6 million for the three months ended June 30, 2022 increased by $18.3 million, or 18.4%, from $99.3 million for the three months ended June 30, 2021. The increase was primarily due to a 18.1% increase in transaction volume in the second quarter of 2022 compared to the second quarter of 2021, largely due to the continued growth in our agent network, which increased by 10.8% from June 2021 to June 2022.</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from foreign exchange gain, net of $18.2 million for the three months ended June 30, 2022 increased by $1.5 million, or 9.2%, from $16.7 million for the three months ended June 30, 2021. This increase was primarily due to higher transaction volume achieved by growth in our agent network and a higher average amount sent by consumers, as well as, increased foreign exchange volatility in the Mexican peso and Guatemalan quetzal during the quarter ended June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expenses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2022</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2021</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92,066</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67 %</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36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5"/>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113,728</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84 %</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charges from agents and banks </w:t>
      </w:r>
      <w:r>
        <w:rPr>
          <w:rFonts w:ascii="Times New Roman" w:cs="Times New Roman" w:eastAsia="Times New Roman" w:hAnsi="Times New Roman"/>
          <w:sz w:val="18"/>
          <w:szCs w:val="18"/>
          <w:color w:val="auto"/>
        </w:rPr>
        <w:t>— Service charges from agents and banks were $92.1 million for the three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$77.9 million for the three months ended June 30, 2021. The increase of $14.2 million, or 18.2%, was primarily due to the increase in transaction volume described above.</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Salaries and benefits </w:t>
      </w:r>
      <w:r>
        <w:rPr>
          <w:rFonts w:ascii="Times New Roman" w:cs="Times New Roman" w:eastAsia="Times New Roman" w:hAnsi="Times New Roman"/>
          <w:sz w:val="18"/>
          <w:szCs w:val="18"/>
          <w:color w:val="auto"/>
        </w:rPr>
        <w:t>— Salaries and benefits of $11.7 million for the three months ended June 30, 2022 increased by $1.5 million, or 15.5%,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$10.2 million for the three months ended June 30, 2021. The increase is primarily due to $1.1 million spent in talent acquisition and retention, as well as, increased wages and bonuses to recognize performance and to support the continued growth of our business, a $0.3 million increase in share-based compensation as a result of new awards granted in the three months ended June 30, 2022, and a $0.1 million increase in commission expense for our sales representatives.</w:t>
      </w:r>
    </w:p>
    <w:p>
      <w:pPr>
        <w:spacing w:after="0" w:line="21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selling, general and administrative expenses </w:t>
      </w:r>
      <w:r>
        <w:rPr>
          <w:rFonts w:ascii="Times New Roman" w:cs="Times New Roman" w:eastAsia="Times New Roman" w:hAnsi="Times New Roman"/>
          <w:sz w:val="18"/>
          <w:szCs w:val="18"/>
          <w:color w:val="auto"/>
        </w:rPr>
        <w:t>— Other selling, general and administrative expenses of $7.7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increased by $0.6 million, or 8.2%, from $7.1 million for the three months ended June 30, 2021.</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was primarily the result of:</w:t>
      </w:r>
    </w:p>
    <w:p>
      <w:pPr>
        <w:spacing w:after="0" w:line="252" w:lineRule="exact"/>
        <w:rPr>
          <w:sz w:val="20"/>
          <w:szCs w:val="20"/>
          <w:color w:val="auto"/>
        </w:rPr>
      </w:pPr>
    </w:p>
    <w:p>
      <w:pPr>
        <w:jc w:val="both"/>
        <w:ind w:left="740" w:hanging="246"/>
        <w:spacing w:after="0" w:line="257"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 increase in provision for credit losses due to higher net write-offs of accounts receivable during the three months ended June 30, 2022 compared to the same period in 2021, primarily as a result of sending agents that were not able to pay in accordance with the original terms and are, accordingly, subject to our normal collection procedures;</w:t>
      </w:r>
    </w:p>
    <w:p>
      <w:pPr>
        <w:spacing w:after="0" w:line="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 higher facilities and rent expenses for scheduled maintenance and contracted lease rate increases to support our business growth;</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 higher IT related expenses incurred to sustain our business expansion and to improve our technology environment;</w:t>
      </w:r>
    </w:p>
    <w:p>
      <w:pPr>
        <w:spacing w:after="0" w:line="9" w:lineRule="exact"/>
        <w:rPr>
          <w:rFonts w:ascii="Times New Roman" w:cs="Times New Roman" w:eastAsia="Times New Roman" w:hAnsi="Times New Roman"/>
          <w:sz w:val="18"/>
          <w:szCs w:val="18"/>
          <w:color w:val="auto"/>
        </w:rPr>
      </w:pPr>
    </w:p>
    <w:p>
      <w:pPr>
        <w:ind w:left="740" w:right="20" w:hanging="246"/>
        <w:spacing w:after="0" w:line="250"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 higher loss on disposal of fixed assets due to termination of agent relationships and upgrade of equipment for our agent network; and</w:t>
      </w: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 transaction costs associated with La Nacional acquisition, which is expected to close in the third quarter of 2022.</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52" w:lineRule="exact"/>
        <w:rPr>
          <w:sz w:val="20"/>
          <w:szCs w:val="20"/>
          <w:color w:val="auto"/>
        </w:rPr>
      </w:pPr>
    </w:p>
    <w:p>
      <w:pPr>
        <w:ind w:left="740" w:hanging="246"/>
        <w:spacing w:after="0"/>
        <w:tabs>
          <w:tab w:leader="none" w:pos="7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$0.8 million - refund of state business and occupancy (“B&amp;O”) tax for the state of Washington; and</w:t>
      </w:r>
    </w:p>
    <w:p>
      <w:pPr>
        <w:spacing w:after="0" w:line="27" w:lineRule="exact"/>
        <w:rPr>
          <w:rFonts w:ascii="Times New Roman" w:cs="Times New Roman" w:eastAsia="Times New Roman" w:hAnsi="Times New Roman"/>
          <w:sz w:val="18"/>
          <w:szCs w:val="18"/>
          <w:i w:val="1"/>
          <w:iCs w:val="1"/>
          <w:color w:val="auto"/>
        </w:rPr>
      </w:pPr>
    </w:p>
    <w:p>
      <w:pPr>
        <w:ind w:left="740" w:hanging="246"/>
        <w:spacing w:after="0" w:line="260"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 in lower advertising and promotion expenses, primarily as a result of higher co-branding investment by our paying partners in the second quarter of 2022.</w:t>
      </w:r>
    </w:p>
    <w:p>
      <w:pPr>
        <w:spacing w:after="0" w:line="2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 Depreciation and amortization of $2.3 million for the three months ended June 30, 2022 remained consistent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June 30, 2021. A decrease of approximately $0.3 million less amortization related to our trade name, developed technology and agent relationships during the second quarter of 2022, as these intangibles are being amortized on an accelerated basis, which declines over time was partially offset by an increase in depreciation associated primarily with additional computer equipment acquired to support our growing business and sending agent network.</w:t>
      </w:r>
    </w:p>
    <w:p>
      <w:pPr>
        <w:spacing w:after="0" w:line="2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Interest expense of $1.1 million for the three months ended June 30, 2022 decreased by $0.2 million, or 11.3%, from $1.3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June 30, 2021. The decrease was primarily due to lower interest rates paid under the amended credit agreement (as described below) and lower drawings under our revolving credit facility.</w:t>
      </w:r>
    </w:p>
    <w:p>
      <w:pPr>
        <w:spacing w:after="0" w:line="200"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 Income tax provision was $6.1 million for the three months ended June 30, 2022, which represents an increase of $1.3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 income tax provision of $4.8 million for the three months ended June 30, 2021. The increase in the income tax provision was mainly attributable to higher taxable income resulting from higher revenues from our growth.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Net Income of $16.0 million for the three months ended June 30, 2022 compared to Net Income of $13.2 million for the three months ended June 30, 2021, which resulted in an increase of $2.8 million, or 20.8%, due to the same factors discussed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share-based compensation costs can be subject to volatility from changes in the market price per share of our common stock or variations in the value and number of shares granted, and amortization of intangible assets is subject to business acquisition activities, which vary from period to period.</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particular, Adjusted EBITDA is subject to certain limitations, including the following:</w:t>
      </w:r>
    </w:p>
    <w:p>
      <w:pPr>
        <w:spacing w:after="0" w:line="252" w:lineRule="exact"/>
        <w:rPr>
          <w:sz w:val="20"/>
          <w:szCs w:val="20"/>
          <w:color w:val="auto"/>
        </w:rPr>
      </w:pPr>
    </w:p>
    <w:p>
      <w:pPr>
        <w:ind w:left="740" w:hanging="24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amounts necessary to service interest or principal payments on our debt;</w:t>
      </w:r>
    </w:p>
    <w:p>
      <w:pPr>
        <w:spacing w:after="0" w:line="252" w:lineRule="exact"/>
        <w:rPr>
          <w:rFonts w:ascii="Times New Roman" w:cs="Times New Roman" w:eastAsia="Times New Roman" w:hAnsi="Times New Roman"/>
          <w:sz w:val="18"/>
          <w:szCs w:val="18"/>
          <w:color w:val="auto"/>
        </w:rPr>
      </w:pPr>
    </w:p>
    <w:p>
      <w:pPr>
        <w:ind w:left="740" w:hanging="246"/>
        <w:spacing w:after="0" w:line="282"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88" w:lineRule="exact"/>
        <w:rPr>
          <w:rFonts w:ascii="Times New Roman" w:cs="Times New Roman" w:eastAsia="Times New Roman" w:hAnsi="Times New Roman"/>
          <w:sz w:val="18"/>
          <w:szCs w:val="18"/>
          <w:color w:val="auto"/>
        </w:rPr>
      </w:pPr>
    </w:p>
    <w:p>
      <w:pPr>
        <w:ind w:left="740" w:right="20" w:hanging="246"/>
        <w:spacing w:after="0" w:line="282"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88"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non-cash component of share-based compensation;</w:t>
      </w:r>
    </w:p>
    <w:p>
      <w:pPr>
        <w:spacing w:after="0" w:line="252" w:lineRule="exact"/>
        <w:rPr>
          <w:rFonts w:ascii="Times New Roman" w:cs="Times New Roman" w:eastAsia="Times New Roman" w:hAnsi="Times New Roman"/>
          <w:sz w:val="18"/>
          <w:szCs w:val="18"/>
          <w:color w:val="auto"/>
        </w:rPr>
      </w:pPr>
    </w:p>
    <w:p>
      <w:pPr>
        <w:ind w:left="740" w:hanging="246"/>
        <w:spacing w:after="0" w:line="282"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earnings or charges resulting from matters we consider not to be reflective, on a recurring basis, of our ongoing operations; and</w:t>
      </w:r>
    </w:p>
    <w:p>
      <w:pPr>
        <w:spacing w:after="0" w:line="188" w:lineRule="exact"/>
        <w:rPr>
          <w:rFonts w:ascii="Times New Roman" w:cs="Times New Roman" w:eastAsia="Times New Roman" w:hAnsi="Times New Roman"/>
          <w:sz w:val="18"/>
          <w:szCs w:val="18"/>
          <w:color w:val="auto"/>
        </w:rPr>
      </w:pPr>
    </w:p>
    <w:p>
      <w:pPr>
        <w:ind w:left="740" w:right="20" w:hanging="246"/>
        <w:spacing w:after="0" w:line="282"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or similarly titled measures differently than we do, limiting its usefulness as a comparative measure.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adjust for these limitations by relying primarily on our GAAP results and using Adjusted EBITDA, as well as our other non-GAAP financial measures, only as supplemental information.</w:t>
      </w:r>
    </w:p>
    <w:p>
      <w:pPr>
        <w:spacing w:after="0" w:line="2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Net Income and Adjusted Earnings per Share</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Net Income is defined as net income adjusted to add back certain charges and expenses, such as non-cash amortization of intangible assets resulting from business acquisition transactions, which will recur in future periods until these assets have been fully amortized, non-cash share-based compensation costs, litigation settlements and other items set forth in the table below, as these charges and expenses are not considered a part of our core business operations and are not an indicator of ongoing, future company performance.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Earnings per Share - Basic and Diluted is calculated by dividing Adjusted Net Income by GAAP weighted-average common shares outstanding (basic and diluted).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Net Income for the three months ended June 30, 2022 was $18.3 million, representing an increase of $3.0 million, or 19.5%, from Adjusted Net Income of $15.3 million for the three months ended June 30, 2021. The increase in Adjusted Net Income was primarily due to the increase in Net Income discussed above.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13,227</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 (b)</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 (c)</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 (d)</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 (e)</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15,277</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70"/>
        </w:trPr>
        <w:tc>
          <w:tcPr>
            <w:tcW w:w="6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38,257,156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38,433,748</w:t>
            </w:r>
          </w:p>
        </w:tc>
      </w:tr>
      <w:tr>
        <w:trPr>
          <w:trHeight w:val="234"/>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39,228,991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39,027,414</w:t>
            </w:r>
          </w:p>
        </w:tc>
      </w:tr>
    </w:tbl>
    <w:p>
      <w:pPr>
        <w:spacing w:after="0" w:line="314" w:lineRule="exact"/>
        <w:rPr>
          <w:sz w:val="20"/>
          <w:szCs w:val="20"/>
          <w:color w:val="auto"/>
        </w:rPr>
      </w:pPr>
    </w:p>
    <w:p>
      <w:pPr>
        <w:ind w:left="420" w:hanging="331"/>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 and foreign currency (gains) losses.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amortization of certain intangible assets that resulted from business acquisition transactions.</w:t>
      </w:r>
    </w:p>
    <w:p>
      <w:pPr>
        <w:spacing w:after="0" w:line="9" w:lineRule="exact"/>
        <w:rPr>
          <w:rFonts w:ascii="Times New Roman" w:cs="Times New Roman" w:eastAsia="Times New Roman" w:hAnsi="Times New Roman"/>
          <w:sz w:val="18"/>
          <w:szCs w:val="18"/>
          <w:color w:val="auto"/>
        </w:rPr>
      </w:pPr>
    </w:p>
    <w:p>
      <w:pPr>
        <w:ind w:left="420" w:hanging="331"/>
        <w:spacing w:after="0" w:line="260" w:lineRule="auto"/>
        <w:tabs>
          <w:tab w:leader="none" w:pos="41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Earnings per Share - Basic for the three months ended June 30, 2022 was $0.48, representing an increase of $0.08, or 20.0%, compared to $0.40 for the three months ended June 30, 2021.</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Earnings per Share - Diluted for the three months ended June 30, 2022 was $0.47, representing an increase of $0.08, or 20.5%, compared to $0.39 for the three months ended June 30,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6"/>
        </w:trPr>
        <w:tc>
          <w:tcPr>
            <w:tcW w:w="46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Borders>
              <w:bottom w:val="single" w:sz="8" w:color="auto"/>
            </w:tcBorders>
          </w:tcPr>
          <w:p>
            <w:pPr>
              <w:spacing w:after="0"/>
              <w:rPr>
                <w:sz w:val="20"/>
                <w:szCs w:val="20"/>
                <w:color w:val="auto"/>
              </w:rPr>
            </w:pPr>
          </w:p>
        </w:tc>
      </w:tr>
      <w:tr>
        <w:trPr>
          <w:trHeight w:val="230"/>
        </w:trPr>
        <w:tc>
          <w:tcPr>
            <w:tcW w:w="46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Earnings per Share</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0.42</w:t>
            </w:r>
          </w:p>
        </w:tc>
        <w:tc>
          <w:tcPr>
            <w:tcW w:w="10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0.41</w:t>
            </w:r>
          </w:p>
        </w:tc>
        <w:tc>
          <w:tcPr>
            <w:tcW w:w="100" w:type="dxa"/>
            <w:vAlign w:val="bottom"/>
          </w:tcPr>
          <w:p>
            <w:pPr>
              <w:spacing w:after="0"/>
              <w:rPr>
                <w:sz w:val="19"/>
                <w:szCs w:val="19"/>
                <w:color w:val="auto"/>
              </w:rPr>
            </w:pPr>
          </w:p>
        </w:tc>
        <w:tc>
          <w:tcPr>
            <w:tcW w:w="11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charges and expenses</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7"/>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w:t>
            </w: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5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Per share amounts are not meaningful.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above may contain slight summation differences due to rounding.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defined as net income before depreciation and amortization, interest expense, income taxes, and also adjusted to add back certain charges and expenses, such as non-cash share-based compensation costs and other items set forth in the table below, as these charges and expenses are not considered a part of our core business operations and are not an indicator of ongoing, future company performance.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June 30, 2022 was $27.7 million, representing an increase of $4.5 million, or 19.3%, from $23.2 million for the three months ended June 30, 2021. The increase in Adjusted EBITDA was primarily due to the increase in Net Income discussed above and the higher net effect of the adjusting items detailed in the table below.</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13,227</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21,629</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 (b)</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 (c)</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27,656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23,179</w:t>
            </w:r>
          </w:p>
        </w:tc>
      </w:tr>
      <w:tr>
        <w:trPr>
          <w:trHeight w:val="20"/>
        </w:trPr>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20" w:hanging="331"/>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 and foreign currency (gains) losses.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Six Months Ended June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7"/>
                <w:szCs w:val="17"/>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Six Months Ended</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7"/>
                <w:szCs w:val="17"/>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Six Months Ended</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2022</w:t>
            </w:r>
          </w:p>
        </w:tc>
        <w:tc>
          <w:tcPr>
            <w:tcW w:w="1360" w:type="dxa"/>
            <w:vAlign w:val="bottom"/>
            <w:tcBorders>
              <w:bottom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2021</w:t>
            </w:r>
          </w:p>
        </w:tc>
        <w:tc>
          <w:tcPr>
            <w:tcW w:w="12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215,621</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33,868</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3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251,600</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211,323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Wire transfer and money order fees, net of $215.6 million for the six months ended June 30, 2022 increased by $35.4 million, or 19.6%, from $180.2 million for the six months ended June 30, 2021. The increase was primarily due to a 18.8% increase in transaction volume in the six months ended June 30, 2022 compared to the six months ended June 30, 2021, largely due to the continued growth in our agent network, which increased by 10.8% from June 2021 to June 2022.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from foreign exchange gain, net of $33.9 million for the six months ended June 30, 2022 increased by $4.2 million, or 14.0%, from $29.7 million for the six months ended June 30, 2021. This increase was primarily due to higher transaction volume achieved by growth in our agent network and a higher average amount sent by consumers, as well as, increased foreign exchange volatility in the Mexican peso and Guatemalan quetzal during the six months ended June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expenses for the above periods are presented below:</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3" w:lineRule="exact"/>
        <w:rPr>
          <w:sz w:val="20"/>
          <w:szCs w:val="20"/>
          <w:color w:val="auto"/>
        </w:rPr>
      </w:pPr>
    </w:p>
    <w:p>
      <w:pPr>
        <w:ind w:left="140" w:right="840"/>
        <w:spacing w:after="0" w:line="266" w:lineRule="auto"/>
        <w:rPr>
          <w:sz w:val="20"/>
          <w:szCs w:val="20"/>
          <w:color w:val="auto"/>
        </w:rPr>
      </w:pPr>
      <w:r>
        <w:rPr>
          <w:rFonts w:ascii="Times New Roman" w:cs="Times New Roman" w:eastAsia="Times New Roman" w:hAnsi="Times New Roman"/>
          <w:sz w:val="18"/>
          <w:szCs w:val="18"/>
          <w:color w:val="auto"/>
        </w:rPr>
        <w:t>Service charges from agents and banks Salaries and benefits</w:t>
      </w:r>
    </w:p>
    <w:p>
      <w:pPr>
        <w:ind w:left="140"/>
        <w:spacing w:after="0" w:line="294" w:lineRule="auto"/>
        <w:rPr>
          <w:sz w:val="20"/>
          <w:szCs w:val="20"/>
          <w:color w:val="auto"/>
        </w:rPr>
      </w:pPr>
      <w:r>
        <w:rPr>
          <w:rFonts w:ascii="Times New Roman" w:cs="Times New Roman" w:eastAsia="Times New Roman" w:hAnsi="Times New Roman"/>
          <w:sz w:val="18"/>
          <w:szCs w:val="18"/>
          <w:color w:val="auto"/>
        </w:rPr>
        <w:t>Other selling, general and administrative expenses Depreciation and amortization</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left="-56"/>
        <w:spacing w:after="0"/>
        <w:rPr>
          <w:sz w:val="20"/>
          <w:szCs w:val="20"/>
          <w:color w:val="auto"/>
        </w:rPr>
      </w:pPr>
      <w:r>
        <w:rPr>
          <w:rFonts w:ascii="Times New Roman" w:cs="Times New Roman" w:eastAsia="Times New Roman" w:hAnsi="Times New Roman"/>
          <w:sz w:val="18"/>
          <w:szCs w:val="18"/>
          <w:color w:val="auto"/>
        </w:rPr>
        <w:t>Six Months Ended</w:t>
      </w:r>
    </w:p>
    <w:p>
      <w:pPr>
        <w:jc w:val="center"/>
        <w:ind w:left="-56"/>
        <w:spacing w:after="0"/>
        <w:rPr>
          <w:sz w:val="20"/>
          <w:szCs w:val="20"/>
          <w:color w:val="auto"/>
        </w:rPr>
      </w:pPr>
      <w:r>
        <w:rPr>
          <w:rFonts w:ascii="Times New Roman" w:cs="Times New Roman" w:eastAsia="Times New Roman" w:hAnsi="Times New Roman"/>
          <w:sz w:val="18"/>
          <w:szCs w:val="18"/>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9441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94410" cy="17145"/>
                    </a:xfrm>
                    <a:prstGeom prst="rect">
                      <a:avLst/>
                    </a:prstGeom>
                    <a:noFill/>
                  </pic:spPr>
                </pic:pic>
              </a:graphicData>
            </a:graphic>
          </wp:anchor>
        </w:drawing>
      </w:r>
    </w:p>
    <w:p>
      <w:pPr>
        <w:spacing w:after="0" w:line="239" w:lineRule="exact"/>
        <w:rPr>
          <w:sz w:val="20"/>
          <w:szCs w:val="20"/>
          <w:color w:val="auto"/>
        </w:rPr>
      </w:pPr>
    </w:p>
    <w:p>
      <w:pPr>
        <w:ind w:left="897" w:hanging="897"/>
        <w:spacing w:after="0"/>
        <w:tabs>
          <w:tab w:leader="none" w:pos="89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169,060</w:t>
      </w:r>
    </w:p>
    <w:p>
      <w:pPr>
        <w:spacing w:after="0" w:line="38" w:lineRule="exact"/>
        <w:rPr>
          <w:rFonts w:ascii="Times New Roman" w:cs="Times New Roman" w:eastAsia="Times New Roman" w:hAnsi="Times New Roman"/>
          <w:sz w:val="17"/>
          <w:szCs w:val="17"/>
          <w:color w:val="auto"/>
        </w:rPr>
      </w:pPr>
    </w:p>
    <w:p>
      <w:pPr>
        <w:ind w:left="97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23,058</w:t>
      </w:r>
    </w:p>
    <w:p>
      <w:pPr>
        <w:spacing w:after="0" w:line="22" w:lineRule="exact"/>
        <w:rPr>
          <w:rFonts w:ascii="Times New Roman" w:cs="Times New Roman" w:eastAsia="Times New Roman" w:hAnsi="Times New Roman"/>
          <w:sz w:val="17"/>
          <w:szCs w:val="17"/>
          <w:color w:val="auto"/>
        </w:rPr>
      </w:pPr>
    </w:p>
    <w:p>
      <w:pPr>
        <w:ind w:left="97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14,730</w:t>
      </w:r>
    </w:p>
    <w:p>
      <w:pPr>
        <w:spacing w:after="0" w:line="22" w:lineRule="exact"/>
        <w:rPr>
          <w:rFonts w:ascii="Times New Roman" w:cs="Times New Roman" w:eastAsia="Times New Roman" w:hAnsi="Times New Roman"/>
          <w:sz w:val="17"/>
          <w:szCs w:val="17"/>
          <w:color w:val="auto"/>
        </w:rPr>
      </w:pPr>
    </w:p>
    <w:p>
      <w:pPr>
        <w:ind w:left="107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-560705</wp:posOffset>
            </wp:positionV>
            <wp:extent cx="624078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40780" cy="145415"/>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-269240</wp:posOffset>
            </wp:positionV>
            <wp:extent cx="624078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40780" cy="1460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21590</wp:posOffset>
            </wp:positionV>
            <wp:extent cx="624078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40780" cy="179705"/>
                    </a:xfrm>
                    <a:prstGeom prst="rect">
                      <a:avLst/>
                    </a:prstGeom>
                    <a:noFill/>
                  </pic:spPr>
                </pic:pic>
              </a:graphicData>
            </a:graphic>
          </wp:anchor>
        </w:drawing>
      </w:r>
    </w:p>
    <w:p>
      <w:pPr>
        <w:spacing w:after="0" w:line="36" w:lineRule="exact"/>
        <w:rPr>
          <w:sz w:val="20"/>
          <w:szCs w:val="20"/>
          <w:color w:val="auto"/>
        </w:rPr>
      </w:pPr>
    </w:p>
    <w:p>
      <w:pPr>
        <w:ind w:left="897" w:hanging="897"/>
        <w:spacing w:after="0"/>
        <w:tabs>
          <w:tab w:leader="none" w:pos="89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211,282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9944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c>
          <w:tcPr>
            <w:tcW w:w="1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Six Months Ended</w:t>
            </w: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w:t>
            </w:r>
          </w:p>
        </w:tc>
      </w:tr>
      <w:tr>
        <w:trPr>
          <w:trHeight w:val="236"/>
        </w:trPr>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7"/>
              </w:rPr>
              <w:t>Revenues</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2021</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Revenues</w:t>
            </w:r>
          </w:p>
        </w:tc>
      </w:tr>
      <w:tr>
        <w:trPr>
          <w:trHeight w:val="441"/>
        </w:trPr>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141,237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0"/>
        </w:trPr>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1"/>
        </w:trPr>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178,548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1"/>
        </w:trPr>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780" w:space="323"/>
            <w:col w:w="1477" w:space="400"/>
            <w:col w:w="5260"/>
          </w:cols>
          <w:pgMar w:left="320" w:top="119" w:right="339" w:bottom="1440" w:gutter="0" w:footer="0" w:header="0"/>
          <w:type w:val="continuous"/>
        </w:sectPr>
      </w:pPr>
    </w:p>
    <w:p>
      <w:pPr>
        <w:spacing w:after="0" w:line="10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charges from agents and banks </w:t>
      </w:r>
      <w:r>
        <w:rPr>
          <w:rFonts w:ascii="Times New Roman" w:cs="Times New Roman" w:eastAsia="Times New Roman" w:hAnsi="Times New Roman"/>
          <w:sz w:val="18"/>
          <w:szCs w:val="18"/>
          <w:color w:val="auto"/>
        </w:rPr>
        <w:t>— Service charges from agents and banks were $169.1 million for the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$141.2 million for the six months ended June 30, 2021. The increase of $27.9 million, or 19.7%, was primarily due to the increase in transaction volume described above.</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Salaries and benefits </w:t>
      </w:r>
      <w:r>
        <w:rPr>
          <w:rFonts w:ascii="Times New Roman" w:cs="Times New Roman" w:eastAsia="Times New Roman" w:hAnsi="Times New Roman"/>
          <w:sz w:val="18"/>
          <w:szCs w:val="18"/>
          <w:color w:val="auto"/>
        </w:rPr>
        <w:t>— Salaries and benefits of $23.1 million for the six months ended June 30, 2022 increased by $3.0 million, or 15.0%, from $20.1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2021. The increase is primarily due to $2.7 million spent in talent acquisition and retention, as well as, increased wages and bonuses to recognize performance and to support the continued growth of our business and a $0.7 million increase in share-based compensation as a result of new awards granted throughout 2022, offset by a $0.4 million decrease in commission expense for our sales representatives.</w:t>
      </w:r>
    </w:p>
    <w:p>
      <w:pPr>
        <w:spacing w:after="0" w:line="20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selling, general and administrative expenses </w:t>
      </w:r>
      <w:r>
        <w:rPr>
          <w:rFonts w:ascii="Times New Roman" w:cs="Times New Roman" w:eastAsia="Times New Roman" w:hAnsi="Times New Roman"/>
          <w:sz w:val="18"/>
          <w:szCs w:val="18"/>
          <w:color w:val="auto"/>
        </w:rPr>
        <w:t>— Other selling, general and administrative expenses of $14.7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increased by $2.1 million, or 17.1%, from $12.6 million for the six months ended June 30, 2021.</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was primarily the result of:</w:t>
      </w:r>
    </w:p>
    <w:p>
      <w:pPr>
        <w:spacing w:after="0" w:line="252" w:lineRule="exact"/>
        <w:rPr>
          <w:sz w:val="20"/>
          <w:szCs w:val="20"/>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 higher IT related expenses incurred to sustain our business expansion and to improve our technology environment;</w:t>
      </w:r>
    </w:p>
    <w:p>
      <w:pPr>
        <w:spacing w:after="0" w:line="27" w:lineRule="exact"/>
        <w:rPr>
          <w:rFonts w:ascii="Times New Roman" w:cs="Times New Roman" w:eastAsia="Times New Roman" w:hAnsi="Times New Roman"/>
          <w:sz w:val="18"/>
          <w:szCs w:val="18"/>
          <w:color w:val="auto"/>
        </w:rPr>
      </w:pPr>
    </w:p>
    <w:p>
      <w:pPr>
        <w:jc w:val="both"/>
        <w:ind w:left="740" w:hanging="246"/>
        <w:spacing w:after="0" w:line="255"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 increase in provision for credit losses due to higher net write-offs of accounts receivable in the six months ended June 30, 2022 compared to the same period in 2021, primarily as a result of sending agents that were not able to pay in accordance with the original terms and are, accordingly, subject to our normal collection procedures;</w:t>
      </w:r>
    </w:p>
    <w:p>
      <w:pPr>
        <w:sectPr>
          <w:pgSz w:w="11900" w:h="16838" w:orient="portrait"/>
          <w:cols w:equalWidth="0" w:num="1">
            <w:col w:w="11240"/>
          </w:cols>
          <w:pgMar w:left="320" w:top="119" w:right="339" w:bottom="1440" w:gutter="0" w:footer="0" w:header="0"/>
          <w:type w:val="continuous"/>
        </w:sectPr>
      </w:pPr>
    </w:p>
    <w:p>
      <w:pPr>
        <w:spacing w:after="0" w:line="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 higher loss on disposal of fixed assets as we continue to make improvements to our equipment;</w:t>
      </w:r>
    </w:p>
    <w:p>
      <w:pPr>
        <w:spacing w:after="0" w:line="2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 higher facilities and rent expenses for scheduled maintenance and contracted lease rate increases to support our business growth;</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 higher shipping costs due to deployment of equipment for new and existing agents; and</w:t>
      </w:r>
    </w:p>
    <w:p>
      <w:pPr>
        <w:spacing w:after="0" w:line="9"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 transaction costs associated with La Nacional acquisition, which is expected to close in the third quarter of 2022.</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52" w:lineRule="exact"/>
        <w:rPr>
          <w:sz w:val="20"/>
          <w:szCs w:val="20"/>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$0.8 million - refund of state B&amp;O tax for the state of Washington; and</w:t>
      </w:r>
    </w:p>
    <w:p>
      <w:pPr>
        <w:spacing w:after="0" w:line="27" w:lineRule="exact"/>
        <w:rPr>
          <w:rFonts w:ascii="Times New Roman" w:cs="Times New Roman" w:eastAsia="Times New Roman" w:hAnsi="Times New Roman"/>
          <w:sz w:val="18"/>
          <w:szCs w:val="18"/>
          <w:i w:val="1"/>
          <w:iCs w:val="1"/>
          <w:color w:val="auto"/>
        </w:rPr>
      </w:pPr>
    </w:p>
    <w:p>
      <w:pPr>
        <w:ind w:left="740" w:hanging="246"/>
        <w:spacing w:after="0" w:line="260" w:lineRule="auto"/>
        <w:tabs>
          <w:tab w:leader="none" w:pos="7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 in lower advertising and promotion expenses, primarily as a result of higher co-branding investment by our paying partners in the first half of 2022.</w:t>
      </w:r>
    </w:p>
    <w:p>
      <w:pPr>
        <w:spacing w:after="0" w:line="2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 Depreciation and amortization of $4.4 million for the six months ended June 30, 2022 decreased by $0.3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$4.7 million for the six months ended June 30, 2021. This decrease is mainly due to approximately $0.6 million less amortization related to our trade name, developed technology and agent relationships during the six months ended June 30, 2022, as these intangibles are being amortized on an accelerated basis, which declines over time. This decrease was partially offset by an increase in depreciation associated primarily with additional computer equipment acquired to support our growing business and sending agent network.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Interest expense of $2.1 million for the six months ended June 30, 2022 decreased by $0.5 million, or 20.4%, from $2.6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2021. The decrease was primarily due to lower interest rates paid under the amended credit agreement (as described below) and lower drawings under our revolving credit facility.</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 Income tax provision was $10.6 million for the six months ended June 30, 2022, which represents an increase of $2.6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 income tax provision of $8.0 million for the six months ended June 30, 2021. The increase in the income tax provision was mainly attributable to higher taxable income resulting from higher revenues from our growth.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Net Income of $27.6 million for the six months ended June 30, 2022 compared to Net Income of $22.2 million for the six months ended June 30, 2021, which resulted in an increase of $5.4 million, or 24.5%, due to the same factors discussed above.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Net Income and Adjusted Earnings per Share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Net Income (previously defined and used as described above) for the six months ended June 30, 2022 was $31.6 million, representing an increase of $5.7 million, or 22.0%, from Adjusted Net Income of $25.9 million for the six months ended June 30, 2021. The increase in Adjusted Net Income was primarily due to the increase in Net Income discussed above.</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22,204</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 (b)</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 (c)</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 (d)</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 (e)</w:t>
            </w: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25,910</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70"/>
        </w:trPr>
        <w:tc>
          <w:tcPr>
            <w:tcW w:w="6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38,309,295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38,336,977</w:t>
            </w:r>
          </w:p>
        </w:tc>
      </w:tr>
      <w:tr>
        <w:trPr>
          <w:trHeight w:val="234"/>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39,153,039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38,937,699</w:t>
            </w:r>
          </w:p>
        </w:tc>
      </w:tr>
    </w:tbl>
    <w:p>
      <w:pPr>
        <w:spacing w:after="0" w:line="314" w:lineRule="exact"/>
        <w:rPr>
          <w:sz w:val="20"/>
          <w:szCs w:val="20"/>
          <w:color w:val="auto"/>
        </w:rPr>
      </w:pPr>
    </w:p>
    <w:p>
      <w:pPr>
        <w:ind w:left="420" w:hanging="331"/>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 and foreign currency (gains) losses.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amortization of certain intangible assets that resulted from business acquisition transactions.</w:t>
      </w:r>
    </w:p>
    <w:p>
      <w:pPr>
        <w:spacing w:after="0" w:line="9" w:lineRule="exact"/>
        <w:rPr>
          <w:rFonts w:ascii="Times New Roman" w:cs="Times New Roman" w:eastAsia="Times New Roman" w:hAnsi="Times New Roman"/>
          <w:sz w:val="18"/>
          <w:szCs w:val="18"/>
          <w:color w:val="auto"/>
        </w:rPr>
      </w:pPr>
    </w:p>
    <w:p>
      <w:pPr>
        <w:ind w:left="420" w:right="240" w:hanging="331"/>
        <w:spacing w:after="0" w:line="260" w:lineRule="auto"/>
        <w:tabs>
          <w:tab w:leader="none" w:pos="4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Adjusted Earnings per Share - Basic for the six months ended June 30, 2022 was $0.83, representing an increase of $0.15, or 22.1%, compared to $0.68 for the six months ended June 30, 2021.</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Adjusted Earnings per Share - Diluted for the six months ended June 30, 2022 was $0.81, representing an increase of $0.14, or 20.9%, compared to $0.67 for the six months ended June 30,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7"/>
        </w:trPr>
        <w:tc>
          <w:tcPr>
            <w:tcW w:w="46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Borders>
              <w:bottom w:val="single" w:sz="8" w:color="auto"/>
            </w:tcBorders>
          </w:tcPr>
          <w:p>
            <w:pPr>
              <w:spacing w:after="0"/>
              <w:rPr>
                <w:sz w:val="20"/>
                <w:szCs w:val="20"/>
                <w:color w:val="auto"/>
              </w:rPr>
            </w:pPr>
          </w:p>
        </w:tc>
      </w:tr>
      <w:tr>
        <w:trPr>
          <w:trHeight w:val="229"/>
        </w:trPr>
        <w:tc>
          <w:tcPr>
            <w:tcW w:w="46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Earnings per Share</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0.72</w:t>
            </w:r>
          </w:p>
        </w:tc>
        <w:tc>
          <w:tcPr>
            <w:tcW w:w="10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0.71</w:t>
            </w:r>
          </w:p>
        </w:tc>
        <w:tc>
          <w:tcPr>
            <w:tcW w:w="100" w:type="dxa"/>
            <w:vAlign w:val="bottom"/>
          </w:tcPr>
          <w:p>
            <w:pPr>
              <w:spacing w:after="0"/>
              <w:rPr>
                <w:sz w:val="19"/>
                <w:szCs w:val="19"/>
                <w:color w:val="auto"/>
              </w:rPr>
            </w:pPr>
          </w:p>
        </w:tc>
        <w:tc>
          <w:tcPr>
            <w:tcW w:w="114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0.57</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charges and expenses</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7"/>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w:t>
            </w: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5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0.67</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above may contain slight summation differences due to rounding.</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(previously defined and used as described above) for the six months ended June 30, 2022 was $48.4 million, representing an increase of $8.4 million, or 20.8%, from $40.0 million for the six months ended June 30, 2021. The increase in Adjusted EBITDA was primarily due to the increase in Net Income discussed above and the higher net effect of the adjusting items detailed in the table below.</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22,204</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37,454</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 (b)</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 (c)</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40,017</w:t>
            </w:r>
          </w:p>
        </w:tc>
      </w:tr>
      <w:tr>
        <w:trPr>
          <w:trHeight w:val="21"/>
        </w:trPr>
        <w:tc>
          <w:tcPr>
            <w:tcW w:w="6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 and foreign currency (gains) losses.</w:t>
      </w:r>
    </w:p>
    <w:p>
      <w:pPr>
        <w:spacing w:after="0" w:line="200" w:lineRule="exact"/>
        <w:rPr>
          <w:sz w:val="20"/>
          <w:szCs w:val="20"/>
          <w:color w:val="auto"/>
        </w:rPr>
      </w:pPr>
    </w:p>
    <w:p>
      <w:pPr>
        <w:spacing w:after="0" w:line="30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liquidity in terms of our cash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funded and still expect to continue funding our liquidity requirements through internally generated funds, supplemented in the ordinary course, with borrowings under our revolving credit facility. We maintain a strong cash balance position and have access to committed funding sources, which we have used only on a limited and ordinary course basis during the six months ended June 30, 2022. Therefore, we believe that our current cash position, as well as projected cash flows generated from operations, together with borrowings under our revolving credit facility are sufficient to fund our principal and interest payments, lease expenses, our working capital needs, business acquisitions and our expected capital expenditures for at least the next twelve months.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Amended and Restated Credit Agreement</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24, 2021, the Company and certain of its domestic subsidiaries as borrowers and the other guarantors from time to time party thereto (collectively, the “Loan Parties”) entered into an Amended and Restated Credit Agreement (the “A&amp;R Credit Agreement”) with a group of banking institutions. The A&amp;R Credit Agreement amended and restated in its entirety the Company’s previous credit agreement. The A&amp;R Credit Agreement provides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under the Company’s previous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we had total indebtedness of $83.1 million, consisting of borrowings under the term loan facility, excluding debt origination costs of $2.0 million. As of June 30, 2022 and December 31, 2021, there were no outstanding amounts drawn on the revolving credit facility. There were $220.0 million of additional borrowings available under these facilities as of June 30, 2022.</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the election of the Company, interest on the term loan facility and revolving credit facility under the A&amp;R Credit Agreement is determined by reference to either LIBOR (subject to replacement) or a “base rate”, in each case plus an applicable margin ranging between 2.50% and 3.00% per annum for LIBOR loans or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 The effective interest rates for the six months ended June 30, 2022 for the term loan facility and revolving credit facility were 3.59% and 0.75%, respectively. Interest is payable (x)(i) generally on the last day of each interest period selected for LIBOR loans, but in any event, not less frequently than every three months, and (ii) on the last business day of each quarter for base rate loans and (y) at final maturity. The A&amp;R Credit Agreement contains provisions for the replacement of the benchmark for interest rates in light of the cessation of the publication of LIBOR rates.</w:t>
      </w:r>
    </w:p>
    <w:p>
      <w:pPr>
        <w:spacing w:after="0" w:line="2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principal amount of the term loan facility under the A&amp;R Credit Agreement must be repaid in consecutive quarterly installments of 5.0% in years 1 and 2, 7.5% in year 3, and 10.0% in years 4 and 5, in each case on the last day of each quarter, commencing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A&amp;R Credit Agreement contains financial covenants that require the Company to maintain a quarterly minimum fixed charge coverage ratio of 1.25:1.00 and a quarterly maximum consolidated leverage ratio of 3.25:1.00. As of June 30, 2022, we were in compliance with the covenants of the A&amp;R Credit Agreement.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26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A&amp;R Credit Agreement generally restricts the payment of dividends or cash distributions by the Company with certain exceptions, including the following: i) to repurchase the Company’s common stock from current or former employees in an aggregate amount of up to $10.0 million per calendar year, and ii) other restricted payments in an aggregate amount not to exceed $40.0 million plus the Available Amount (as defined in the A&amp;R Credit Agreement).</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Times New Roman" w:cs="Times New Roman" w:eastAsia="Times New Roman" w:hAnsi="Times New Roman"/>
          <w:sz w:val="18"/>
          <w:szCs w:val="18"/>
          <w:i w:val="1"/>
          <w:iCs w:val="1"/>
          <w:color w:val="auto"/>
        </w:rPr>
        <w:t>Risk Factors—Risks Relating to Our Indebtedness—We have a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amount of indebtedness, which may limit our operating flexibility and could adversely affect our business, financial condition and results of operations.” </w:t>
      </w:r>
      <w:r>
        <w:rPr>
          <w:rFonts w:ascii="Times New Roman" w:cs="Times New Roman" w:eastAsia="Times New Roman" w:hAnsi="Times New Roman"/>
          <w:sz w:val="18"/>
          <w:szCs w:val="18"/>
          <w:color w:val="auto"/>
        </w:rPr>
        <w:t>included in our Annual Report on Form 10-K for the year ended December 31, 2021.</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Repurchase Program</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the Company’s Board of Directors approved a stock repurchase program (the “Repurchase Program”) that authorizes the Company to purchase up to $40.0 million of outstanding shares of the Company’s common stock.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Under the terms of the A&amp;R Credit Agreement, the Company has restrictions that limit the maximum amount of repurchases to (i) $40.0 million in the aggregate (plus the Available Amount as defined in the A&amp;R Credit Agreement) and (ii) $10.0 million annually for shares held by any current or former officer, director, employee or consultant (or any spouses, ex-spouses or estates of the foregoing) of the Company or its subsidiaries.</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 Company purchased 727,901 shares for an aggregate purchase price of $13.6 million. As of June 30, 2022, the remaining amount available for future share repurchases under the Repurchase Program was $20.8 million.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party to operating leases for office space, warehouses and Company-operated store locations, which we use as part of our day-to-day operations. Operating lease expenses were $0.5 million and $1.0 million for the three and six months ended June 30, 2022, which we expect to be consistent throughout the year. We have not entered into finance lease commitments. For additional information on operating lease obligations,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to our cash flows for the periods presented: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Statement of Cash Flows Data: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beginning of period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end of period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441"/>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70,290</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r>
      <w:tr>
        <w:trPr>
          <w:trHeight w:val="241"/>
        </w:trPr>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64,809</w:t>
            </w:r>
          </w:p>
        </w:tc>
      </w:tr>
      <w:tr>
        <w:trPr>
          <w:trHeight w:val="488"/>
        </w:trPr>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74,907</w:t>
            </w:r>
          </w:p>
        </w:tc>
      </w:tr>
      <w:tr>
        <w:trPr>
          <w:trHeight w:val="230"/>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139,716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-1396365</wp:posOffset>
            </wp:positionV>
            <wp:extent cx="597471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74715" cy="1454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-1104900</wp:posOffset>
            </wp:positionV>
            <wp:extent cx="597471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-813435</wp:posOffset>
            </wp:positionV>
            <wp:extent cx="597471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74715" cy="15430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-504825</wp:posOffset>
            </wp:positionV>
            <wp:extent cx="5974715"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74715" cy="16256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-187960</wp:posOffset>
            </wp:positionV>
            <wp:extent cx="597471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722" w:lineRule="exact"/>
        <w:rPr>
          <w:sz w:val="20"/>
          <w:szCs w:val="20"/>
          <w:color w:val="auto"/>
        </w:rPr>
      </w:pPr>
    </w:p>
    <w:p>
      <w:pPr>
        <w:sectPr>
          <w:pgSz w:w="11900" w:h="16838" w:orient="portrait"/>
          <w:cols w:equalWidth="0" w:num="2">
            <w:col w:w="5520" w:space="720"/>
            <w:col w:w="5000"/>
          </w:cols>
          <w:pgMar w:left="320" w:top="119" w:right="339" w:bottom="1440" w:gutter="0" w:footer="0" w:header="0"/>
          <w:type w:val="continuous"/>
        </w:sectPr>
      </w:pPr>
    </w:p>
    <w:p>
      <w:pPr>
        <w:spacing w:after="0" w:line="2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8"/>
          <w:szCs w:val="18"/>
          <w:color w:val="auto"/>
        </w:rPr>
        <w:t>Net cash provided by operating activities was $4.6 million for the six months ended June 30, 2022, a decrease of $65.7 million from net cash provided by operating activities of $70.3 million for the six months ended June 30, 2021. The decrease is primarily a result of a</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$72.8 million change in working capital, which varies due to timing of transmittal orders and payments, as well as prefunding of payers. As of June 30, 2022, the Company had significant prefunding activity due to national holidays in the United States and Guatemala in early July 2022. The changes in working capital were offset by additional cash generated by our operating results for the six months ended June 30, 2022, resulting from the further growth of the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$6.9 million for the six months ended June 30, 2022, representing an increase of $3.7 million from net cash used in investing activities of $3.2 million for the six months ended June 30, 2021. This increase was primarily due to higher purchases of computer equipment during the six months ended June 30, 2022 as a result of the continued expansion of our business, as well as upgrades of equipment used by our sending agent network. In addition, the Company acquired an agent location during the six months ended June 30, 2022 (none in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$15.6 million for the six months ended June 30, 2022, which primarily consisted of $2.2 million in scheduled quarterly payments due on the term loan facility, $13.6 million used for repurchases of common stock and $0.3 million of payments for stock-based awards for shares withheld in connection with share-based compensation arrangements, offset by $0.5 million in proceeds from issuance of stock as a result of the exercise of stock options.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$2.3 million for the six months ended June 30, 2021, which primarily consisted of a $40.1 million repayment and $2.9 million of debt origination costs in connection with the refinancing of the Company’s previous credit agreement, and a $1.9 million scheduled quarterly payment due on the term loan facility, offset by $40.2 million borrowings in connection with the refinancing of the Company’s previous credit agreement and $2.4 million in proceeds from issuance of stock as a result of the exercise of stock options.</w:t>
      </w: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 that are reasonably likely to occur, could materially impact the consolidated financial statements. Our Critical Accounting Policies and Estimates disclosed in “</w:t>
      </w:r>
      <w:r>
        <w:rPr>
          <w:rFonts w:ascii="Times New Roman" w:cs="Times New Roman" w:eastAsia="Times New Roman" w:hAnsi="Times New Roman"/>
          <w:sz w:val="18"/>
          <w:szCs w:val="18"/>
          <w:i w:val="1"/>
          <w:iCs w:val="1"/>
          <w:color w:val="auto"/>
        </w:rPr>
        <w:t>Management’s Discussion and Analysis of Financial Condition and Results of Operations - Critical Accounting Policies and Estimates</w:t>
      </w:r>
      <w:r>
        <w:rPr>
          <w:rFonts w:ascii="Times New Roman" w:cs="Times New Roman" w:eastAsia="Times New Roman" w:hAnsi="Times New Roman"/>
          <w:sz w:val="18"/>
          <w:szCs w:val="18"/>
          <w:color w:val="auto"/>
        </w:rPr>
        <w:t>” in our Annual Report on Form 10-K for the year ended December 31, 2021, for which there were no material changes during the three and six months ended June 30, 2022, included the following:</w:t>
      </w:r>
    </w:p>
    <w:p>
      <w:pPr>
        <w:spacing w:after="0" w:line="214" w:lineRule="exact"/>
        <w:rPr>
          <w:sz w:val="20"/>
          <w:szCs w:val="20"/>
          <w:color w:val="auto"/>
        </w:rPr>
      </w:pPr>
    </w:p>
    <w:p>
      <w:pPr>
        <w:ind w:left="660" w:hanging="16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and Allowance for Credit Losses</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Note 1, </w:t>
      </w:r>
      <w:r>
        <w:rPr>
          <w:rFonts w:ascii="Times New Roman" w:cs="Times New Roman" w:eastAsia="Times New Roman" w:hAnsi="Times New Roman"/>
          <w:sz w:val="18"/>
          <w:szCs w:val="18"/>
          <w:i w:val="1"/>
          <w:iCs w:val="1"/>
          <w:color w:val="auto"/>
        </w:rPr>
        <w:t>Business and Accounting Policies</w:t>
      </w:r>
      <w:r>
        <w:rPr>
          <w:rFonts w:ascii="Times New Roman" w:cs="Times New Roman" w:eastAsia="Times New Roman" w:hAnsi="Times New Roman"/>
          <w:sz w:val="18"/>
          <w:szCs w:val="18"/>
          <w:color w:val="auto"/>
        </w:rPr>
        <w:t>, of the Condensed Consolidated Financial Statements for information on recent accounting pronouncements.</w:t>
      </w:r>
    </w:p>
    <w:p>
      <w:pPr>
        <w:spacing w:after="0" w:line="2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$39.5 million and $48.6 million at June 30, 2022 and December 31, 2021, respectively.</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included in wire transfers and money orders payable, net in our condensed consolidated balance sheets as of June 30, 2022 and December 31, 2021, there are $16.9 million and $17.8 million, respectively, of wires payable denominated in foreign currencies, primarily Mexican pesos and Guatemalan quetzales.</w:t>
      </w:r>
    </w:p>
    <w:p>
      <w:pPr>
        <w:spacing w:after="0" w:line="20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Also, included in prepaid wires, net in our condensed consolidated balance sheets as of June 30, 2022 and December 31, 2021, there are $34.9 million and $39.7 million, respectively, of prepaid wires denominated in foreign currencies, primarily Mexican pesos and Guatemalan quetzales.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1% of our consolidated revenues for the six months ended June 30, 2022. Therefore, a 10% increase or decrease in these currency rates against the U.S. Dollar would result in a de minimis change to our overall operating results.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spot and average exchange rates for Mexico, Guatemala and Canada currencies to U.S. dollar are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94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20" w:type="dxa"/>
            <w:vAlign w:val="bottom"/>
          </w:tcPr>
          <w:p>
            <w:pPr>
              <w:spacing w:after="0"/>
              <w:rPr>
                <w:sz w:val="19"/>
                <w:szCs w:val="19"/>
                <w:color w:val="auto"/>
              </w:rPr>
            </w:pPr>
          </w:p>
        </w:tc>
      </w:tr>
      <w:tr>
        <w:trPr>
          <w:trHeight w:val="247"/>
        </w:trPr>
        <w:tc>
          <w:tcPr>
            <w:tcW w:w="3940" w:type="dxa"/>
            <w:vAlign w:val="bottom"/>
          </w:tcPr>
          <w:p>
            <w:pPr>
              <w:spacing w:after="0"/>
              <w:rPr>
                <w:sz w:val="21"/>
                <w:szCs w:val="21"/>
                <w:color w:val="auto"/>
              </w:rPr>
            </w:pPr>
          </w:p>
        </w:tc>
        <w:tc>
          <w:tcPr>
            <w:tcW w:w="1480" w:type="dxa"/>
            <w:vAlign w:val="bottom"/>
            <w:gridSpan w:val="3"/>
          </w:tcPr>
          <w:p>
            <w:pPr>
              <w:jc w:val="right"/>
              <w:ind w:right="620"/>
              <w:spacing w:after="0" w:line="240" w:lineRule="exact"/>
              <w:rPr>
                <w:sz w:val="20"/>
                <w:szCs w:val="20"/>
                <w:color w:val="auto"/>
              </w:rPr>
            </w:pPr>
            <w:r>
              <w:rPr>
                <w:rFonts w:ascii="Times New Roman" w:cs="Times New Roman" w:eastAsia="Times New Roman" w:hAnsi="Times New Roman"/>
                <w:sz w:val="18"/>
                <w:szCs w:val="18"/>
                <w:b w:val="1"/>
                <w:bCs w:val="1"/>
                <w:color w:val="auto"/>
              </w:rPr>
              <w:t>Spot</w:t>
            </w:r>
            <w:r>
              <w:rPr>
                <w:rFonts w:ascii="Times New Roman" w:cs="Times New Roman" w:eastAsia="Times New Roman" w:hAnsi="Times New Roman"/>
                <w:sz w:val="23"/>
                <w:szCs w:val="23"/>
                <w:b w:val="1"/>
                <w:bCs w:val="1"/>
                <w:color w:val="auto"/>
                <w:vertAlign w:val="superscript"/>
              </w:rPr>
              <w:t>(1)</w:t>
            </w:r>
          </w:p>
        </w:tc>
        <w:tc>
          <w:tcPr>
            <w:tcW w:w="1300" w:type="dxa"/>
            <w:vAlign w:val="bottom"/>
            <w:gridSpan w:val="2"/>
          </w:tcPr>
          <w:p>
            <w:pPr>
              <w:ind w:left="60"/>
              <w:spacing w:after="0" w:line="240"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(2)</w:t>
            </w:r>
          </w:p>
        </w:tc>
        <w:tc>
          <w:tcPr>
            <w:tcW w:w="1480" w:type="dxa"/>
            <w:vAlign w:val="bottom"/>
            <w:gridSpan w:val="3"/>
          </w:tcPr>
          <w:p>
            <w:pPr>
              <w:jc w:val="right"/>
              <w:ind w:right="640"/>
              <w:spacing w:after="0" w:line="240" w:lineRule="exact"/>
              <w:rPr>
                <w:sz w:val="20"/>
                <w:szCs w:val="20"/>
                <w:color w:val="auto"/>
              </w:rPr>
            </w:pPr>
            <w:r>
              <w:rPr>
                <w:rFonts w:ascii="Times New Roman" w:cs="Times New Roman" w:eastAsia="Times New Roman" w:hAnsi="Times New Roman"/>
                <w:sz w:val="18"/>
                <w:szCs w:val="18"/>
                <w:b w:val="1"/>
                <w:bCs w:val="1"/>
                <w:color w:val="auto"/>
              </w:rPr>
              <w:t>Spot</w:t>
            </w:r>
            <w:r>
              <w:rPr>
                <w:rFonts w:ascii="Times New Roman" w:cs="Times New Roman" w:eastAsia="Times New Roman" w:hAnsi="Times New Roman"/>
                <w:sz w:val="23"/>
                <w:szCs w:val="23"/>
                <w:b w:val="1"/>
                <w:bCs w:val="1"/>
                <w:color w:val="auto"/>
                <w:vertAlign w:val="superscript"/>
              </w:rPr>
              <w:t>(1)</w:t>
            </w:r>
          </w:p>
        </w:tc>
        <w:tc>
          <w:tcPr>
            <w:tcW w:w="1020" w:type="dxa"/>
            <w:vAlign w:val="bottom"/>
          </w:tcPr>
          <w:p>
            <w:pPr>
              <w:jc w:val="right"/>
              <w:ind w:right="130"/>
              <w:spacing w:after="0" w:line="240" w:lineRule="exact"/>
              <w:rPr>
                <w:sz w:val="20"/>
                <w:szCs w:val="20"/>
                <w:color w:val="auto"/>
              </w:rPr>
            </w:pPr>
            <w:r>
              <w:rPr>
                <w:rFonts w:ascii="Times New Roman" w:cs="Times New Roman" w:eastAsia="Times New Roman" w:hAnsi="Times New Roman"/>
                <w:sz w:val="18"/>
                <w:szCs w:val="18"/>
                <w:b w:val="1"/>
                <w:bCs w:val="1"/>
                <w:color w:val="auto"/>
                <w:w w:val="95"/>
              </w:rPr>
              <w:t>Average</w:t>
            </w:r>
            <w:r>
              <w:rPr>
                <w:rFonts w:ascii="Times New Roman" w:cs="Times New Roman" w:eastAsia="Times New Roman" w:hAnsi="Times New Roman"/>
                <w:sz w:val="23"/>
                <w:szCs w:val="23"/>
                <w:b w:val="1"/>
                <w:bCs w:val="1"/>
                <w:color w:val="auto"/>
                <w:w w:val="95"/>
                <w:vertAlign w:val="superscript"/>
              </w:rPr>
              <w:t>(2)</w:t>
            </w:r>
          </w:p>
        </w:tc>
      </w:tr>
      <w:tr>
        <w:trPr>
          <w:trHeight w:val="230"/>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dollar/Mexico Peso</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dollar/Guatemala Quetzal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dollar/Canadian Dollar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bl>
    <w:p>
      <w:pPr>
        <w:spacing w:after="0" w:line="46"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Spot exchange rates are as of June 30, 2022 and December 31, 2021.</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exchange rates are for the six months ended June 30, 2022 and 2021.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sustained appreciation of the Mexican peso or Guatemalan quetzal as compared to the U.S. dollar could affect our profit margins.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The Company is also required to pay a fee on the unused portion of the revolving credit facility equal to 0.35% per annum.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 The A&amp;R Credit Agreement contains provisions for the replacement of the benchmark for interest rates in light of the cessation of the publication of LIBOR rates.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we had $83.1 million in outstanding borrowings under the term loan and revolving credit facility. A hypothetical 1% increase or decrease in the interest rate on our indebtedness as of June 30, 2022 would have increased or decreased cash interest expense on our term loan facility by approximately $0.8 million per annum.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certain cash balances in various U.S. banks, which at times, may exceed federally insured limits. We have not incurred any losses on these accounts. In addition, we maintain various bank accounts in Mexico, Guatemala and Canada, which are not fully insured. During the six months ended June 30, 2022, we have not incurred any losses on these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June 30, 2022, we also had $2.6 million outstanding of agent advances receivable from sending agents. Most of the agent advances receivable are collateralized by personal guarantees from the sending agents and by assets from their businesses. Due to the COVID-19 pandemic as well as other factors, it is possible we could be adversely affected by credit losses, such as those related to our outstanding agent advances receivable from sending agents. At the date of this report, however, we are not aware of any significant exposure and we continue monitoring our credit risk.</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provision for credit losses was approximately $1.5 million for the six months ended June 30, 2022 (0.6% of total revenues) and $0.7 million for the six months ended June 30, 2021 (0.3% of total revenues). The increase in our provision for credit losses in the six months ended June 30, 2022 is due to higher write-offs of accounts receivable in 2022 compared to 2021 primarily as a result of sending agents that were not able to pay in accordance with the original terms and are, accordingly, subject to our normal collection procedures.</w:t>
      </w: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required by Rules 13a-15(b) and 15d-15(b) under the Exchange Act, our Chief Executive Officer and President, and Chief Financial Officer, carried out an evaluation of the effectiveness of our disclosure controls and procedures as of June 30, 2022.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June 30,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Reference is made to Note 15 – Commitments and Contingencies in the Unaudited Condensed Consolidated Financial Statements of the Company contained elsewhere in this Quarterly Report on Form 10–Q for information regarding certain legal proceedings to which we are a party, which information is incorporated by reference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2021 (the “2021 Form 10-K”). Prospective investors are encouraged to consider the risks described in our 2021 Form 10-K, our Management’s Discussion and Analysis of Financial Condition and Results of Operations contained in this Quarterly Report on Form 10-Q and in our 2021 Form 10-K, and other information publicly disclosed or contained in documents we file with the Securities and Exchange Commission before purchasing our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repurchases of our common stock during the quarter ended June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8"/>
                <w:szCs w:val="18"/>
                <w:color w:val="auto"/>
              </w:rPr>
            </w:pPr>
          </w:p>
        </w:tc>
        <w:tc>
          <w:tcPr>
            <w:tcW w:w="2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Approximate Dollar Value of</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0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 Price Paid</w:t>
            </w:r>
          </w:p>
        </w:tc>
        <w:tc>
          <w:tcPr>
            <w:tcW w:w="1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89"/>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Program</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36"/>
        </w:trPr>
        <w:tc>
          <w:tcPr>
            <w:tcW w:w="3020" w:type="dxa"/>
            <w:vAlign w:val="bottom"/>
            <w:gridSpan w:val="2"/>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30"/>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through April 30</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30,805,733</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through May 31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288,864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218,604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26,497,541</w:t>
            </w:r>
          </w:p>
        </w:tc>
        <w:tc>
          <w:tcPr>
            <w:tcW w:w="0" w:type="dxa"/>
            <w:vAlign w:val="bottom"/>
          </w:tcPr>
          <w:p>
            <w:pPr>
              <w:spacing w:after="0"/>
              <w:rPr>
                <w:sz w:val="1"/>
                <w:szCs w:val="1"/>
                <w:color w:val="auto"/>
              </w:rPr>
            </w:pPr>
          </w:p>
        </w:tc>
      </w:tr>
      <w:tr>
        <w:trPr>
          <w:trHeight w:val="236"/>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through June 30</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284,909</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284,909</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20,805,743</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hanging="328"/>
        <w:spacing w:after="0" w:line="257" w:lineRule="auto"/>
        <w:tabs>
          <w:tab w:leader="none" w:pos="6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218,604 and 284,909 shares purchased in May and June 2022, respectively, under the Repurchase Program, and 446 and 70,260 shares withheld for income tax purposes, in April and May 2022, respectively, in connection with shares issued under compensation and benefit programs.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2021, the Company’s Board of Directors approved a stock repurchase program (the “Repurchase Program”) that authorizes the Company to purchase up to $40.0 million of outstanding shares of the Company’s common stock. The Repurchase Program does not have an expiration 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780" w:type="dxa"/>
            <w:vAlign w:val="bottom"/>
          </w:tcPr>
          <w:p>
            <w:pPr>
              <w:spacing w:after="0"/>
              <w:rPr>
                <w:sz w:val="22"/>
                <w:szCs w:val="22"/>
                <w:color w:val="auto"/>
              </w:rPr>
            </w:pPr>
          </w:p>
        </w:tc>
        <w:tc>
          <w:tcPr>
            <w:tcW w:w="8760" w:type="dxa"/>
            <w:vAlign w:val="bottom"/>
          </w:tcPr>
          <w:p>
            <w:pPr>
              <w:spacing w:after="0"/>
              <w:rPr>
                <w:sz w:val="22"/>
                <w:szCs w:val="22"/>
                <w:color w:val="auto"/>
              </w:rPr>
            </w:pPr>
          </w:p>
        </w:tc>
        <w:tc>
          <w:tcPr>
            <w:tcW w:w="13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Certification pursuant to Section 302 of the Sarbanes-Oxley Act - Chief Executive Officer</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gridSpan w:val="2"/>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13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Certification pursuant to Section 302 of the Sarbanes-Oxley Act - Chief Financial Officer</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gridSpan w:val="2"/>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13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 1350.</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gridSpan w:val="2"/>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13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 1350.</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87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w:t>
            </w: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100" w:type="dxa"/>
            <w:vAlign w:val="bottom"/>
            <w:gridSpan w:val="3"/>
            <w:vMerge w:val="continue"/>
            <w:shd w:val="clear" w:color="auto" w:fill="CCEEFF"/>
          </w:tcPr>
          <w:p>
            <w:pPr>
              <w:spacing w:after="0"/>
              <w:rPr>
                <w:sz w:val="12"/>
                <w:szCs w:val="12"/>
                <w:color w:val="auto"/>
              </w:rPr>
            </w:pPr>
          </w:p>
        </w:tc>
        <w:tc>
          <w:tcPr>
            <w:tcW w:w="87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760" w:type="dxa"/>
            <w:vAlign w:val="bottom"/>
            <w:vMerge w:val="continue"/>
            <w:shd w:val="clear" w:color="auto" w:fill="CCEEFF"/>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112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June 30, 2022, formatted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120" w:type="dxa"/>
            <w:vAlign w:val="bottom"/>
            <w:gridSpan w:val="4"/>
            <w:vMerge w:val="continue"/>
            <w:shd w:val="clear" w:color="auto" w:fill="CCEEFF"/>
          </w:tcPr>
          <w:p>
            <w:pPr>
              <w:spacing w:after="0"/>
              <w:rPr>
                <w:sz w:val="12"/>
                <w:szCs w:val="12"/>
                <w:color w:val="auto"/>
              </w:rPr>
            </w:pPr>
          </w:p>
        </w:tc>
        <w:tc>
          <w:tcPr>
            <w:tcW w:w="87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 Inline XBRL (included with the Exhibit 101 attachments).</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8760" w:type="dxa"/>
            <w:vAlign w:val="bottom"/>
            <w:tcBorders>
              <w:bottom w:val="single" w:sz="8" w:color="CCEEFF"/>
            </w:tcBorders>
            <w:vMerge w:val="continue"/>
            <w:shd w:val="clear" w:color="auto" w:fill="CCEEFF"/>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8"/>
        </w:trPr>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9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44</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International Money Express, Inc. (Registrant)</w:t>
      </w:r>
    </w:p>
    <w:p>
      <w:pPr>
        <w:spacing w:after="0" w:line="283" w:lineRule="exact"/>
        <w:rPr>
          <w:sz w:val="20"/>
          <w:szCs w:val="20"/>
          <w:color w:val="auto"/>
        </w:rPr>
      </w:pPr>
    </w:p>
    <w:p>
      <w:pPr>
        <w:ind w:left="20"/>
        <w:spacing w:after="0"/>
        <w:tabs>
          <w:tab w:leader="none" w:pos="2360" w:val="left"/>
          <w:tab w:leader="none" w:pos="278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6314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Robert Lisy</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2360" w:val="left"/>
          <w:tab w:leader="none" w:pos="278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6314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Andras Bende</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00"/>
          </w:cols>
          <w:pgMar w:left="320" w:top="119" w:right="3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Lisy, certify that:</w:t>
      </w:r>
    </w:p>
    <w:p>
      <w:pPr>
        <w:spacing w:after="0" w:line="239"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International Money Express,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34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652"/>
        <w:spacing w:after="0" w:line="3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35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8"/>
          <w:szCs w:val="18"/>
          <w:color w:val="auto"/>
        </w:rPr>
      </w:pPr>
    </w:p>
    <w:p>
      <w:pPr>
        <w:jc w:val="both"/>
        <w:ind w:left="1300" w:hanging="644"/>
        <w:spacing w:after="0" w:line="352"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8"/>
          <w:szCs w:val="18"/>
          <w:color w:val="auto"/>
        </w:rPr>
      </w:pPr>
    </w:p>
    <w:p>
      <w:pPr>
        <w:jc w:val="both"/>
        <w:ind w:left="1300" w:hanging="644"/>
        <w:spacing w:after="0" w:line="344"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644"/>
        <w:spacing w:after="0" w:line="360"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35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8"/>
          <w:szCs w:val="18"/>
          <w:color w:val="auto"/>
        </w:rPr>
      </w:pPr>
    </w:p>
    <w:p>
      <w:pPr>
        <w:ind w:left="660" w:hanging="652"/>
        <w:spacing w:after="0" w:line="37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18"/>
          <w:szCs w:val="18"/>
          <w:color w:val="auto"/>
        </w:rPr>
      </w:pPr>
    </w:p>
    <w:p>
      <w:pPr>
        <w:ind w:left="1300" w:hanging="644"/>
        <w:spacing w:after="0" w:line="376"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8"/>
          <w:szCs w:val="18"/>
          <w:color w:val="auto"/>
        </w:rPr>
      </w:pPr>
    </w:p>
    <w:p>
      <w:pPr>
        <w:ind w:left="1300" w:hanging="644"/>
        <w:spacing w:after="0" w:line="360"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23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7" w:lineRule="exact"/>
        <w:rPr>
          <w:sz w:val="20"/>
          <w:szCs w:val="20"/>
          <w:color w:val="auto"/>
        </w:rPr>
      </w:pPr>
    </w:p>
    <w:tbl>
      <w:tblPr>
        <w:tblLayout w:type="fixed"/>
        <w:tblInd w:w="5600" w:type="dxa"/>
        <w:tblCellMar>
          <w:top w:w="0" w:type="dxa"/>
          <w:left w:w="0" w:type="dxa"/>
          <w:bottom w:w="0" w:type="dxa"/>
          <w:right w:w="0" w:type="dxa"/>
        </w:tblCellMar>
      </w:tblPr>
      <w:tr>
        <w:trPr>
          <w:trHeight w:val="23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Lisy</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Lisy</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20"/>
          </w:cols>
          <w:pgMar w:left="340" w:top="239"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Andras Bende, certify that:</w:t>
      </w:r>
    </w:p>
    <w:p>
      <w:pPr>
        <w:spacing w:after="0" w:line="239"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International Money Express,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34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652"/>
        <w:spacing w:after="0" w:line="3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35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8"/>
          <w:szCs w:val="18"/>
          <w:color w:val="auto"/>
        </w:rPr>
      </w:pPr>
    </w:p>
    <w:p>
      <w:pPr>
        <w:jc w:val="both"/>
        <w:ind w:left="1300" w:hanging="644"/>
        <w:spacing w:after="0" w:line="352"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8"/>
          <w:szCs w:val="18"/>
          <w:color w:val="auto"/>
        </w:rPr>
      </w:pPr>
    </w:p>
    <w:p>
      <w:pPr>
        <w:jc w:val="both"/>
        <w:ind w:left="1300" w:hanging="644"/>
        <w:spacing w:after="0" w:line="344"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644"/>
        <w:spacing w:after="0" w:line="360"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35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8"/>
          <w:szCs w:val="18"/>
          <w:color w:val="auto"/>
        </w:rPr>
      </w:pPr>
    </w:p>
    <w:p>
      <w:pPr>
        <w:ind w:left="660" w:hanging="652"/>
        <w:spacing w:after="0" w:line="37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18"/>
          <w:szCs w:val="18"/>
          <w:color w:val="auto"/>
        </w:rPr>
      </w:pPr>
    </w:p>
    <w:p>
      <w:pPr>
        <w:ind w:left="1300" w:hanging="644"/>
        <w:spacing w:after="0" w:line="376"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8"/>
          <w:szCs w:val="18"/>
          <w:color w:val="auto"/>
        </w:rPr>
      </w:pPr>
    </w:p>
    <w:p>
      <w:pPr>
        <w:ind w:left="1300" w:hanging="644"/>
        <w:spacing w:after="0" w:line="360"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239"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7" w:lineRule="exact"/>
        <w:rPr>
          <w:sz w:val="20"/>
          <w:szCs w:val="20"/>
          <w:color w:val="auto"/>
        </w:rPr>
      </w:pPr>
    </w:p>
    <w:tbl>
      <w:tblPr>
        <w:tblLayout w:type="fixed"/>
        <w:tblInd w:w="5600" w:type="dxa"/>
        <w:tblCellMar>
          <w:top w:w="0" w:type="dxa"/>
          <w:left w:w="0" w:type="dxa"/>
          <w:bottom w:w="0" w:type="dxa"/>
          <w:right w:w="0" w:type="dxa"/>
        </w:tblCellMar>
      </w:tblPr>
      <w:tr>
        <w:trPr>
          <w:trHeight w:val="23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Andras Bende</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Andras Bende</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20"/>
          </w:cols>
          <w:pgMar w:left="340" w:top="239"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8"/>
          <w:szCs w:val="18"/>
          <w:color w:val="auto"/>
        </w:rPr>
        <w:t>I, Robert Lisy, Chief Executive Officer and President of International Money Express, Inc. (the “Company”), certify, pursuant to 18 U.S.C. Section 1350, that, to my knowledge:</w:t>
      </w:r>
    </w:p>
    <w:p>
      <w:pPr>
        <w:spacing w:after="0" w:line="148" w:lineRule="exact"/>
        <w:rPr>
          <w:sz w:val="20"/>
          <w:szCs w:val="20"/>
          <w:color w:val="auto"/>
        </w:rPr>
      </w:pPr>
    </w:p>
    <w:p>
      <w:pPr>
        <w:ind w:left="660" w:hanging="652"/>
        <w:spacing w:after="0" w:line="37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2022 (the “Report”) fully complies with the requirements of Section 13(a) or 15(d) of the Securities Exchange Act of 1934, as amended; and</w:t>
      </w:r>
    </w:p>
    <w:p>
      <w:pPr>
        <w:spacing w:after="0" w:line="14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3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Lisy</w:t>
            </w:r>
          </w:p>
        </w:tc>
      </w:tr>
      <w:tr>
        <w:trPr>
          <w:trHeight w:val="22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Lisy</w:t>
            </w:r>
          </w:p>
        </w:tc>
      </w:tr>
      <w:tr>
        <w:trPr>
          <w:trHeight w:val="22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23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8"/>
          <w:szCs w:val="18"/>
          <w:color w:val="auto"/>
        </w:rPr>
        <w:t>I, Andras Bende, Chief Financial Officer of International Money Express, Inc. (the “Company”), certify, pursuant to 18 U.S.C. Section 1350, that, to my knowledge:</w:t>
      </w:r>
    </w:p>
    <w:p>
      <w:pPr>
        <w:spacing w:after="0" w:line="148" w:lineRule="exact"/>
        <w:rPr>
          <w:sz w:val="20"/>
          <w:szCs w:val="20"/>
          <w:color w:val="auto"/>
        </w:rPr>
      </w:pPr>
    </w:p>
    <w:p>
      <w:pPr>
        <w:ind w:left="660" w:hanging="652"/>
        <w:spacing w:after="0" w:line="37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2022 (the “Report”) fully complies with the requirements of Section 13(a) or 15(d) of the Securities Exchange Act of 1934, as amended; and</w:t>
      </w:r>
    </w:p>
    <w:p>
      <w:pPr>
        <w:spacing w:after="0" w:line="14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79" w:lineRule="exact"/>
        <w:rPr>
          <w:sz w:val="20"/>
          <w:szCs w:val="20"/>
          <w:color w:val="auto"/>
        </w:rPr>
      </w:pPr>
    </w:p>
    <w:tbl>
      <w:tblPr>
        <w:tblLayout w:type="fixed"/>
        <w:tblInd w:w="558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Andras Bende</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Andras Bende</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2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lvl w:ilvl="1">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2022-08-09T02:04:57Z</dcterms:created>
  <dcterms:modified xsi:type="dcterms:W3CDTF">2022-08-09T02:04:57Z</dcterms:modified>
</cp:coreProperties>
</file>