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2020 OR</w:t>
      </w:r>
    </w:p>
    <w:p>
      <w:pPr>
        <w:spacing w:after="0" w:line="113"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50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45"/>
        </w:trPr>
        <w:tc>
          <w:tcPr>
            <w:tcW w:w="3760" w:type="dxa"/>
            <w:vAlign w:val="bottom"/>
          </w:tcPr>
          <w:p>
            <w:pPr>
              <w:spacing w:after="0"/>
              <w:rPr>
                <w:sz w:val="24"/>
                <w:szCs w:val="24"/>
                <w:color w:val="auto"/>
              </w:rPr>
            </w:pPr>
          </w:p>
        </w:tc>
        <w:tc>
          <w:tcPr>
            <w:tcW w:w="3360" w:type="dxa"/>
            <w:vAlign w:val="bottom"/>
            <w:gridSpan w:val="4"/>
          </w:tcPr>
          <w:p>
            <w:pPr>
              <w:jc w:val="center"/>
              <w:ind w:left="293"/>
              <w:spacing w:after="0"/>
              <w:rPr>
                <w:sz w:val="20"/>
                <w:szCs w:val="20"/>
                <w:color w:val="auto"/>
              </w:rPr>
            </w:pPr>
            <w:r>
              <w:rPr>
                <w:rFonts w:ascii="Arial" w:cs="Arial" w:eastAsia="Arial" w:hAnsi="Arial"/>
                <w:sz w:val="18"/>
                <w:szCs w:val="18"/>
                <w:b w:val="1"/>
                <w:bCs w:val="1"/>
                <w:color w:val="auto"/>
                <w:w w:val="89"/>
              </w:rPr>
              <w:t>Commission File No. 001-37986</w:t>
            </w:r>
          </w:p>
        </w:tc>
        <w:tc>
          <w:tcPr>
            <w:tcW w:w="4120" w:type="dxa"/>
            <w:vAlign w:val="bottom"/>
          </w:tcPr>
          <w:p>
            <w:pPr>
              <w:spacing w:after="0"/>
              <w:rPr>
                <w:sz w:val="24"/>
                <w:szCs w:val="24"/>
                <w:color w:val="auto"/>
              </w:rPr>
            </w:pPr>
          </w:p>
        </w:tc>
      </w:tr>
      <w:tr>
        <w:trPr>
          <w:trHeight w:val="504"/>
        </w:trPr>
        <w:tc>
          <w:tcPr>
            <w:tcW w:w="11240" w:type="dxa"/>
            <w:vAlign w:val="bottom"/>
            <w:gridSpan w:val="6"/>
          </w:tcPr>
          <w:p>
            <w:pPr>
              <w:jc w:val="center"/>
              <w:spacing w:after="0"/>
              <w:rPr>
                <w:sz w:val="20"/>
                <w:szCs w:val="20"/>
                <w:color w:val="auto"/>
              </w:rPr>
            </w:pPr>
            <w:r>
              <w:rPr>
                <w:rFonts w:ascii="Arial" w:cs="Arial" w:eastAsia="Arial" w:hAnsi="Arial"/>
                <w:sz w:val="29"/>
                <w:szCs w:val="29"/>
                <w:b w:val="1"/>
                <w:bCs w:val="1"/>
                <w:color w:val="auto"/>
              </w:rPr>
              <w:t>INTERNATIONAL MONEY EXPRESS, INC.</w:t>
            </w:r>
          </w:p>
        </w:tc>
      </w:tr>
      <w:tr>
        <w:trPr>
          <w:trHeight w:val="29"/>
        </w:trPr>
        <w:tc>
          <w:tcPr>
            <w:tcW w:w="3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gridSpan w:val="3"/>
          </w:tcPr>
          <w:p>
            <w:pPr>
              <w:spacing w:after="0"/>
              <w:rPr>
                <w:sz w:val="2"/>
                <w:szCs w:val="2"/>
                <w:color w:val="auto"/>
              </w:rPr>
            </w:pPr>
          </w:p>
        </w:tc>
      </w:tr>
      <w:tr>
        <w:trPr>
          <w:trHeight w:val="243"/>
        </w:trPr>
        <w:tc>
          <w:tcPr>
            <w:tcW w:w="3760" w:type="dxa"/>
            <w:vAlign w:val="bottom"/>
          </w:tcPr>
          <w:p>
            <w:pPr>
              <w:spacing w:after="0"/>
              <w:rPr>
                <w:sz w:val="21"/>
                <w:szCs w:val="21"/>
                <w:color w:val="auto"/>
              </w:rPr>
            </w:pPr>
          </w:p>
        </w:tc>
        <w:tc>
          <w:tcPr>
            <w:tcW w:w="7480" w:type="dxa"/>
            <w:vAlign w:val="bottom"/>
            <w:gridSpan w:val="5"/>
          </w:tcPr>
          <w:p>
            <w:pPr>
              <w:jc w:val="center"/>
              <w:ind w:right="3674"/>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648"/>
        </w:trPr>
        <w:tc>
          <w:tcPr>
            <w:tcW w:w="3760" w:type="dxa"/>
            <w:vAlign w:val="bottom"/>
          </w:tcPr>
          <w:p>
            <w:pPr>
              <w:jc w:val="center"/>
              <w:ind w:left="1607"/>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jc w:val="right"/>
              <w:ind w:right="2174"/>
              <w:spacing w:after="0"/>
              <w:rPr>
                <w:sz w:val="20"/>
                <w:szCs w:val="20"/>
                <w:color w:val="auto"/>
              </w:rPr>
            </w:pPr>
            <w:r>
              <w:rPr>
                <w:rFonts w:ascii="Arial" w:cs="Arial" w:eastAsia="Arial" w:hAnsi="Arial"/>
                <w:sz w:val="18"/>
                <w:szCs w:val="18"/>
                <w:b w:val="1"/>
                <w:bCs w:val="1"/>
                <w:color w:val="auto"/>
              </w:rPr>
              <w:t>47-4219082</w:t>
            </w:r>
          </w:p>
        </w:tc>
      </w:tr>
      <w:tr>
        <w:trPr>
          <w:trHeight w:val="34"/>
        </w:trPr>
        <w:tc>
          <w:tcPr>
            <w:tcW w:w="544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3"/>
        </w:trPr>
        <w:tc>
          <w:tcPr>
            <w:tcW w:w="7120" w:type="dxa"/>
            <w:vAlign w:val="bottom"/>
            <w:gridSpan w:val="5"/>
          </w:tcPr>
          <w:p>
            <w:pPr>
              <w:jc w:val="center"/>
              <w:ind w:right="166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120" w:type="dxa"/>
            <w:vAlign w:val="bottom"/>
          </w:tcPr>
          <w:p>
            <w:pPr>
              <w:jc w:val="center"/>
              <w:ind w:right="1194"/>
              <w:spacing w:after="0"/>
              <w:rPr>
                <w:sz w:val="20"/>
                <w:szCs w:val="20"/>
                <w:color w:val="auto"/>
              </w:rPr>
            </w:pPr>
            <w:r>
              <w:rPr>
                <w:rFonts w:ascii="Arial" w:cs="Arial" w:eastAsia="Arial" w:hAnsi="Arial"/>
                <w:sz w:val="16"/>
                <w:szCs w:val="16"/>
                <w:color w:val="auto"/>
                <w:w w:val="95"/>
              </w:rPr>
              <w:t>(I.R.S. Employer Identification No.)</w:t>
            </w:r>
          </w:p>
        </w:tc>
      </w:tr>
      <w:tr>
        <w:trPr>
          <w:trHeight w:val="312"/>
        </w:trPr>
        <w:tc>
          <w:tcPr>
            <w:tcW w:w="3760" w:type="dxa"/>
            <w:vAlign w:val="bottom"/>
          </w:tcPr>
          <w:p>
            <w:pPr>
              <w:jc w:val="center"/>
              <w:ind w:left="1607"/>
              <w:spacing w:after="0"/>
              <w:rPr>
                <w:sz w:val="20"/>
                <w:szCs w:val="20"/>
                <w:color w:val="auto"/>
              </w:rPr>
            </w:pPr>
            <w:r>
              <w:rPr>
                <w:rFonts w:ascii="Arial" w:cs="Arial" w:eastAsia="Arial" w:hAnsi="Arial"/>
                <w:sz w:val="18"/>
                <w:szCs w:val="18"/>
                <w:b w:val="1"/>
                <w:bCs w:val="1"/>
                <w:color w:val="auto"/>
                <w:w w:val="90"/>
              </w:rPr>
              <w:t>9480 South Dixie Highway</w:t>
            </w: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4"/>
        </w:trPr>
        <w:tc>
          <w:tcPr>
            <w:tcW w:w="3760" w:type="dxa"/>
            <w:vAlign w:val="bottom"/>
          </w:tcPr>
          <w:p>
            <w:pPr>
              <w:jc w:val="center"/>
              <w:ind w:left="1607"/>
              <w:spacing w:after="0"/>
              <w:rPr>
                <w:sz w:val="20"/>
                <w:szCs w:val="20"/>
                <w:color w:val="auto"/>
              </w:rPr>
            </w:pPr>
            <w:r>
              <w:rPr>
                <w:rFonts w:ascii="Arial" w:cs="Arial" w:eastAsia="Arial" w:hAnsi="Arial"/>
                <w:sz w:val="18"/>
                <w:szCs w:val="18"/>
                <w:b w:val="1"/>
                <w:bCs w:val="1"/>
                <w:color w:val="auto"/>
                <w:w w:val="97"/>
              </w:rPr>
              <w:t>Miami, Florida</w:t>
            </w: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120" w:type="dxa"/>
            <w:vAlign w:val="bottom"/>
          </w:tcPr>
          <w:p>
            <w:pPr>
              <w:jc w:val="right"/>
              <w:ind w:right="2394"/>
              <w:spacing w:after="0"/>
              <w:rPr>
                <w:sz w:val="20"/>
                <w:szCs w:val="20"/>
                <w:color w:val="auto"/>
              </w:rPr>
            </w:pPr>
            <w:r>
              <w:rPr>
                <w:rFonts w:ascii="Arial" w:cs="Arial" w:eastAsia="Arial" w:hAnsi="Arial"/>
                <w:sz w:val="18"/>
                <w:szCs w:val="18"/>
                <w:b w:val="1"/>
                <w:bCs w:val="1"/>
                <w:color w:val="auto"/>
              </w:rPr>
              <w:t>33156</w:t>
            </w:r>
          </w:p>
        </w:tc>
      </w:tr>
      <w:tr>
        <w:trPr>
          <w:trHeight w:val="34"/>
        </w:trPr>
        <w:tc>
          <w:tcPr>
            <w:tcW w:w="544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3"/>
        </w:trPr>
        <w:tc>
          <w:tcPr>
            <w:tcW w:w="7120" w:type="dxa"/>
            <w:vAlign w:val="bottom"/>
            <w:gridSpan w:val="5"/>
          </w:tcPr>
          <w:p>
            <w:pPr>
              <w:jc w:val="center"/>
              <w:ind w:right="1680"/>
              <w:spacing w:after="0"/>
              <w:rPr>
                <w:sz w:val="20"/>
                <w:szCs w:val="20"/>
                <w:color w:val="auto"/>
              </w:rPr>
            </w:pPr>
            <w:r>
              <w:rPr>
                <w:rFonts w:ascii="Arial" w:cs="Arial" w:eastAsia="Arial" w:hAnsi="Arial"/>
                <w:sz w:val="16"/>
                <w:szCs w:val="16"/>
                <w:color w:val="auto"/>
                <w:w w:val="93"/>
              </w:rPr>
              <w:t>(Address of Principal Executive Offices)</w:t>
            </w:r>
          </w:p>
        </w:tc>
        <w:tc>
          <w:tcPr>
            <w:tcW w:w="4120" w:type="dxa"/>
            <w:vAlign w:val="bottom"/>
          </w:tcPr>
          <w:p>
            <w:pPr>
              <w:jc w:val="center"/>
              <w:ind w:right="1194"/>
              <w:spacing w:after="0"/>
              <w:rPr>
                <w:sz w:val="20"/>
                <w:szCs w:val="20"/>
                <w:color w:val="auto"/>
              </w:rPr>
            </w:pPr>
            <w:r>
              <w:rPr>
                <w:rFonts w:ascii="Arial" w:cs="Arial" w:eastAsia="Arial" w:hAnsi="Arial"/>
                <w:sz w:val="16"/>
                <w:szCs w:val="16"/>
                <w:color w:val="auto"/>
                <w:w w:val="95"/>
              </w:rPr>
              <w:t>(Zip Code)</w:t>
            </w:r>
          </w:p>
        </w:tc>
      </w:tr>
      <w:tr>
        <w:trPr>
          <w:trHeight w:val="654"/>
        </w:trPr>
        <w:tc>
          <w:tcPr>
            <w:tcW w:w="3760" w:type="dxa"/>
            <w:vAlign w:val="bottom"/>
          </w:tcPr>
          <w:p>
            <w:pPr>
              <w:spacing w:after="0"/>
              <w:rPr>
                <w:sz w:val="24"/>
                <w:szCs w:val="24"/>
                <w:color w:val="auto"/>
              </w:rPr>
            </w:pPr>
          </w:p>
        </w:tc>
        <w:tc>
          <w:tcPr>
            <w:tcW w:w="2500" w:type="dxa"/>
            <w:vAlign w:val="bottom"/>
            <w:gridSpan w:val="3"/>
          </w:tcPr>
          <w:p>
            <w:pPr>
              <w:jc w:val="center"/>
              <w:ind w:left="1133"/>
              <w:spacing w:after="0"/>
              <w:rPr>
                <w:sz w:val="20"/>
                <w:szCs w:val="20"/>
                <w:color w:val="auto"/>
              </w:rPr>
            </w:pPr>
            <w:r>
              <w:rPr>
                <w:rFonts w:ascii="Arial" w:cs="Arial" w:eastAsia="Arial" w:hAnsi="Arial"/>
                <w:sz w:val="18"/>
                <w:szCs w:val="18"/>
                <w:b w:val="1"/>
                <w:bCs w:val="1"/>
                <w:color w:val="auto"/>
                <w:w w:val="90"/>
              </w:rPr>
              <w:t>(305) 671-8000</w:t>
            </w: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7"/>
        </w:trPr>
        <w:tc>
          <w:tcPr>
            <w:tcW w:w="376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gridSpan w:val="5"/>
          </w:tcPr>
          <w:p>
            <w:pPr>
              <w:spacing w:after="0"/>
              <w:rPr>
                <w:sz w:val="2"/>
                <w:szCs w:val="2"/>
                <w:color w:val="auto"/>
              </w:rPr>
            </w:pPr>
          </w:p>
        </w:tc>
      </w:tr>
      <w:tr>
        <w:trPr>
          <w:trHeight w:val="217"/>
        </w:trPr>
        <w:tc>
          <w:tcPr>
            <w:tcW w:w="3760" w:type="dxa"/>
            <w:vAlign w:val="bottom"/>
          </w:tcPr>
          <w:p>
            <w:pPr>
              <w:spacing w:after="0"/>
              <w:rPr>
                <w:sz w:val="18"/>
                <w:szCs w:val="18"/>
                <w:color w:val="auto"/>
              </w:rPr>
            </w:pPr>
          </w:p>
        </w:tc>
        <w:tc>
          <w:tcPr>
            <w:tcW w:w="7480" w:type="dxa"/>
            <w:vAlign w:val="bottom"/>
            <w:gridSpan w:val="5"/>
          </w:tcPr>
          <w:p>
            <w:pPr>
              <w:jc w:val="center"/>
              <w:ind w:right="3674"/>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57"/>
        </w:trPr>
        <w:tc>
          <w:tcPr>
            <w:tcW w:w="7120" w:type="dxa"/>
            <w:vAlign w:val="bottom"/>
            <w:gridSpan w:val="5"/>
          </w:tcPr>
          <w:p>
            <w:pPr>
              <w:jc w:val="center"/>
              <w:ind w:right="16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120" w:type="dxa"/>
            <w:vAlign w:val="bottom"/>
          </w:tcPr>
          <w:p>
            <w:pPr>
              <w:spacing w:after="0"/>
              <w:rPr>
                <w:sz w:val="24"/>
                <w:szCs w:val="24"/>
                <w:color w:val="auto"/>
              </w:rPr>
            </w:pPr>
          </w:p>
        </w:tc>
      </w:tr>
      <w:tr>
        <w:trPr>
          <w:trHeight w:val="324"/>
        </w:trPr>
        <w:tc>
          <w:tcPr>
            <w:tcW w:w="3760" w:type="dxa"/>
            <w:vAlign w:val="bottom"/>
          </w:tcPr>
          <w:p>
            <w:pPr>
              <w:jc w:val="center"/>
              <w:ind w:left="107"/>
              <w:spacing w:after="0"/>
              <w:rPr>
                <w:sz w:val="20"/>
                <w:szCs w:val="20"/>
                <w:color w:val="auto"/>
              </w:rPr>
            </w:pPr>
            <w:r>
              <w:rPr>
                <w:rFonts w:ascii="Arial" w:cs="Arial" w:eastAsia="Arial" w:hAnsi="Arial"/>
                <w:sz w:val="18"/>
                <w:szCs w:val="18"/>
                <w:b w:val="1"/>
                <w:bCs w:val="1"/>
                <w:color w:val="auto"/>
                <w:w w:val="87"/>
              </w:rPr>
              <w:t>Title of each class</w:t>
            </w:r>
          </w:p>
        </w:tc>
        <w:tc>
          <w:tcPr>
            <w:tcW w:w="33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Trading Symbol(s)</w:t>
            </w:r>
          </w:p>
        </w:tc>
        <w:tc>
          <w:tcPr>
            <w:tcW w:w="4120" w:type="dxa"/>
            <w:vAlign w:val="bottom"/>
          </w:tcPr>
          <w:p>
            <w:pPr>
              <w:jc w:val="center"/>
              <w:ind w:right="454"/>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50"/>
        </w:trPr>
        <w:tc>
          <w:tcPr>
            <w:tcW w:w="3760" w:type="dxa"/>
            <w:vAlign w:val="bottom"/>
          </w:tcPr>
          <w:p>
            <w:pPr>
              <w:jc w:val="center"/>
              <w:ind w:left="87"/>
              <w:spacing w:after="0"/>
              <w:rPr>
                <w:sz w:val="20"/>
                <w:szCs w:val="20"/>
                <w:color w:val="auto"/>
              </w:rPr>
            </w:pPr>
            <w:r>
              <w:rPr>
                <w:rFonts w:ascii="Arial" w:cs="Arial" w:eastAsia="Arial" w:hAnsi="Arial"/>
                <w:sz w:val="16"/>
                <w:szCs w:val="16"/>
                <w:color w:val="auto"/>
                <w:w w:val="92"/>
              </w:rPr>
              <w:t>Common stock ($0.0001 par value)</w:t>
            </w:r>
          </w:p>
        </w:tc>
        <w:tc>
          <w:tcPr>
            <w:tcW w:w="3360" w:type="dxa"/>
            <w:vAlign w:val="bottom"/>
            <w:gridSpan w:val="4"/>
          </w:tcPr>
          <w:p>
            <w:pPr>
              <w:jc w:val="center"/>
              <w:ind w:right="360"/>
              <w:spacing w:after="0"/>
              <w:rPr>
                <w:sz w:val="20"/>
                <w:szCs w:val="20"/>
                <w:color w:val="auto"/>
              </w:rPr>
            </w:pPr>
            <w:r>
              <w:rPr>
                <w:rFonts w:ascii="Arial" w:cs="Arial" w:eastAsia="Arial" w:hAnsi="Arial"/>
                <w:sz w:val="16"/>
                <w:szCs w:val="16"/>
                <w:color w:val="auto"/>
              </w:rPr>
              <w:t>IMXI</w:t>
            </w:r>
          </w:p>
        </w:tc>
        <w:tc>
          <w:tcPr>
            <w:tcW w:w="4120" w:type="dxa"/>
            <w:vAlign w:val="bottom"/>
          </w:tcPr>
          <w:p>
            <w:pPr>
              <w:jc w:val="center"/>
              <w:ind w:right="454"/>
              <w:spacing w:after="0"/>
              <w:rPr>
                <w:sz w:val="20"/>
                <w:szCs w:val="20"/>
                <w:color w:val="auto"/>
              </w:rPr>
            </w:pPr>
            <w:r>
              <w:rPr>
                <w:rFonts w:ascii="Arial" w:cs="Arial" w:eastAsia="Arial" w:hAnsi="Arial"/>
                <w:sz w:val="16"/>
                <w:szCs w:val="16"/>
                <w:color w:val="auto"/>
                <w:w w:val="92"/>
              </w:rPr>
              <w:t>Nasdaq Capital Market</w:t>
            </w:r>
          </w:p>
        </w:tc>
      </w:tr>
    </w:tbl>
    <w:p>
      <w:pPr>
        <w:spacing w:after="0" w:line="131" w:lineRule="exact"/>
        <w:rPr>
          <w:sz w:val="24"/>
          <w:szCs w:val="24"/>
          <w:color w:val="auto"/>
        </w:rPr>
      </w:pPr>
    </w:p>
    <w:p>
      <w:pPr>
        <w:ind w:right="40"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4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32" w:right="339" w:bottom="1440" w:gutter="0" w:footer="0" w:header="0"/>
        </w:sectPr>
      </w:pPr>
    </w:p>
    <w:p>
      <w:pPr>
        <w:spacing w:after="0" w:line="45" w:lineRule="exact"/>
        <w:rPr>
          <w:sz w:val="24"/>
          <w:szCs w:val="24"/>
          <w:color w:val="auto"/>
        </w:rPr>
      </w:pPr>
    </w:p>
    <w:p>
      <w:pPr>
        <w:ind w:left="8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p>
      <w:pPr>
        <w:spacing w:after="0" w:line="190" w:lineRule="exact"/>
        <w:rPr>
          <w:sz w:val="24"/>
          <w:szCs w:val="24"/>
          <w:color w:val="auto"/>
        </w:rPr>
      </w:pPr>
    </w:p>
    <w:p>
      <w:pPr>
        <w:sectPr>
          <w:pgSz w:w="11900" w:h="16838" w:orient="portrait"/>
          <w:cols w:equalWidth="0" w:num="2">
            <w:col w:w="5120" w:space="720"/>
            <w:col w:w="5400"/>
          </w:cols>
          <w:pgMar w:left="320" w:top="832" w:right="339" w:bottom="1440" w:gutter="0" w:footer="0" w:header="0"/>
          <w:type w:val="continuous"/>
        </w:sectPr>
      </w:pPr>
    </w:p>
    <w:p>
      <w:pPr>
        <w:ind w:left="8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jc w:val="center"/>
        <w:ind w:right="3440"/>
        <w:spacing w:after="0" w:line="14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w:t>
      </w:r>
    </w:p>
    <w:p>
      <w:pPr>
        <w:spacing w:after="0" w:line="190" w:lineRule="exact"/>
        <w:rPr>
          <w:sz w:val="24"/>
          <w:szCs w:val="24"/>
          <w:color w:val="auto"/>
        </w:rPr>
      </w:pPr>
    </w:p>
    <w:p>
      <w:pPr>
        <w:sectPr>
          <w:pgSz w:w="11900" w:h="16838" w:orient="portrait"/>
          <w:cols w:equalWidth="0" w:num="2">
            <w:col w:w="5120" w:space="720"/>
            <w:col w:w="5400"/>
          </w:cols>
          <w:pgMar w:left="320" w:top="832" w:right="339" w:bottom="1440" w:gutter="0" w:footer="0" w:header="0"/>
          <w:type w:val="continuous"/>
        </w:sectPr>
      </w:pPr>
    </w:p>
    <w:p>
      <w:pPr>
        <w:ind w:left="58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w:t>
      </w:r>
    </w:p>
    <w:p>
      <w:pPr>
        <w:sectPr>
          <w:pgSz w:w="11900" w:h="16838" w:orient="portrait"/>
          <w:cols w:equalWidth="0" w:num="1">
            <w:col w:w="11240"/>
          </w:cols>
          <w:pgMar w:left="320" w:top="832" w:right="339" w:bottom="1440" w:gutter="0" w:footer="0" w:header="0"/>
          <w:type w:val="continuous"/>
        </w:sectPr>
      </w:pPr>
    </w:p>
    <w:p>
      <w:pPr>
        <w:spacing w:after="0" w:line="207" w:lineRule="exact"/>
        <w:rPr>
          <w:sz w:val="24"/>
          <w:szCs w:val="24"/>
          <w:color w:val="auto"/>
        </w:rPr>
      </w:pPr>
    </w:p>
    <w:p>
      <w:pPr>
        <w:ind w:right="4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60" w:firstLine="648"/>
        <w:spacing w:after="0" w:line="275" w:lineRule="auto"/>
        <w:rPr>
          <w:sz w:val="20"/>
          <w:szCs w:val="20"/>
          <w:color w:val="auto"/>
        </w:rPr>
      </w:pPr>
      <w:r>
        <w:rPr>
          <w:rFonts w:ascii="Arial" w:cs="Arial" w:eastAsia="Arial" w:hAnsi="Arial"/>
          <w:sz w:val="16"/>
          <w:szCs w:val="16"/>
          <w:color w:val="auto"/>
        </w:rPr>
        <w:t>As of May 1, 2020, there were 38,034,711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type w:val="continuous"/>
        </w:sectPr>
      </w:pPr>
    </w:p>
    <w:bookmarkStart w:id="1" w:name="page2"/>
    <w:bookmarkEnd w:id="1"/>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INDEX TO FINANCIAL STATEMENTS</w:t>
      </w:r>
    </w:p>
    <w:p>
      <w:pPr>
        <w:spacing w:after="0" w:line="261" w:lineRule="exact"/>
        <w:rPr>
          <w:sz w:val="20"/>
          <w:szCs w:val="20"/>
          <w:color w:val="auto"/>
        </w:rPr>
      </w:pPr>
    </w:p>
    <w:p>
      <w:pPr>
        <w:jc w:val="right"/>
        <w:ind w:right="919"/>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5469890</wp:posOffset>
            </wp:positionH>
            <wp:positionV relativeFrom="paragraph">
              <wp:posOffset>34290</wp:posOffset>
            </wp:positionV>
            <wp:extent cx="4972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17145"/>
                    </a:xfrm>
                    <a:prstGeom prst="rect">
                      <a:avLst/>
                    </a:prstGeom>
                    <a:noFill/>
                  </pic:spPr>
                </pic:pic>
              </a:graphicData>
            </a:graphic>
          </wp:anchor>
        </w:drawing>
      </w:r>
    </w:p>
    <w:p>
      <w:pPr>
        <w:sectPr>
          <w:pgSz w:w="11900" w:h="16838" w:orient="portrait"/>
          <w:cols w:equalWidth="0" w:num="1">
            <w:col w:w="10119"/>
          </w:cols>
          <w:pgMar w:left="340" w:top="445" w:right="1440" w:bottom="1440" w:gutter="0" w:footer="0" w:header="0"/>
        </w:sect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SPECIAL NOTE REGARDING FORWARD-LOOKING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597471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59747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0" w:lineRule="exact"/>
        <w:rPr>
          <w:sz w:val="20"/>
          <w:szCs w:val="20"/>
          <w:color w:val="auto"/>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4">
        <w:r>
          <w:rPr>
            <w:rFonts w:ascii="Arial" w:cs="Arial" w:eastAsia="Arial" w:hAnsi="Arial"/>
            <w:sz w:val="16"/>
            <w:szCs w:val="16"/>
            <w:u w:val="single" w:color="auto"/>
            <w:color w:val="0000FF"/>
          </w:rPr>
          <w:t>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sz w:val="20"/>
          <w:szCs w:val="20"/>
          <w:color w:val="auto"/>
        </w:rPr>
      </w:pPr>
    </w:p>
    <w:p>
      <w:pPr>
        <w:ind w:left="86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Balance Sheets as of March 31</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December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219" w:lineRule="exact"/>
        <w:rPr>
          <w:sz w:val="20"/>
          <w:szCs w:val="20"/>
          <w:color w:val="auto"/>
        </w:rPr>
      </w:pPr>
    </w:p>
    <w:p>
      <w:pPr>
        <w:ind w:left="860" w:right="400"/>
        <w:spacing w:after="0" w:line="235" w:lineRule="auto"/>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Statements of Operations and Comprehensive Income</w:t>
        </w:r>
        <w:r>
          <w:rPr>
            <w:rFonts w:ascii="Arial" w:cs="Arial" w:eastAsia="Arial" w:hAnsi="Arial"/>
            <w:sz w:val="18"/>
            <w:szCs w:val="18"/>
            <w:color w:val="0000FF"/>
          </w:rPr>
          <w:t xml:space="preserve"> for the Three Months</w:t>
        </w:r>
      </w:hyperlink>
      <w:r>
        <w:rPr>
          <w:rFonts w:ascii="Arial" w:cs="Arial" w:eastAsia="Arial" w:hAnsi="Arial"/>
          <w:sz w:val="18"/>
          <w:szCs w:val="18"/>
          <w:color w:val="0000FF"/>
        </w:rPr>
        <w:t xml:space="preserve"> </w:t>
      </w:r>
      <w:hyperlink w:anchor="page4">
        <w:r>
          <w:rPr>
            <w:rFonts w:ascii="Arial" w:cs="Arial" w:eastAsia="Arial" w:hAnsi="Arial"/>
            <w:sz w:val="18"/>
            <w:szCs w:val="18"/>
            <w:u w:val="single" w:color="auto"/>
            <w:color w:val="0000FF"/>
          </w:rPr>
          <w:t>Ended March 31</w:t>
        </w:r>
        <w:r>
          <w:rPr>
            <w:rFonts w:ascii="Arial" w:cs="Arial" w:eastAsia="Arial" w:hAnsi="Arial"/>
            <w:sz w:val="18"/>
            <w:szCs w:val="18"/>
            <w:color w:val="0000FF"/>
          </w:rPr>
          <w:t>, 20</w:t>
        </w:r>
        <w:r>
          <w:rPr>
            <w:rFonts w:ascii="Arial" w:cs="Arial" w:eastAsia="Arial" w:hAnsi="Arial"/>
            <w:sz w:val="18"/>
            <w:szCs w:val="18"/>
            <w:u w:val="single" w:color="auto"/>
            <w:color w:val="0000FF"/>
          </w:rPr>
          <w:t>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597471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74715" cy="257175"/>
                    </a:xfrm>
                    <a:prstGeom prst="rect">
                      <a:avLst/>
                    </a:prstGeom>
                    <a:noFill/>
                  </pic:spPr>
                </pic:pic>
              </a:graphicData>
            </a:graphic>
          </wp:anchor>
        </w:drawing>
      </w:r>
    </w:p>
    <w:p>
      <w:pPr>
        <w:spacing w:after="0" w:line="196" w:lineRule="exact"/>
        <w:rPr>
          <w:sz w:val="20"/>
          <w:szCs w:val="20"/>
          <w:color w:val="auto"/>
        </w:rPr>
      </w:pPr>
    </w:p>
    <w:p>
      <w:pPr>
        <w:ind w:left="860" w:right="380"/>
        <w:spacing w:after="0" w:line="235"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Changes in Stockholders’ Equity for the Three Months Ended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March 31,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-256540</wp:posOffset>
            </wp:positionV>
            <wp:extent cx="597471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74715" cy="257175"/>
                    </a:xfrm>
                    <a:prstGeom prst="rect">
                      <a:avLst/>
                    </a:prstGeom>
                    <a:noFill/>
                  </pic:spPr>
                </pic:pic>
              </a:graphicData>
            </a:graphic>
          </wp:anchor>
        </w:drawing>
      </w:r>
    </w:p>
    <w:p>
      <w:pPr>
        <w:spacing w:after="0" w:line="196" w:lineRule="exact"/>
        <w:rPr>
          <w:sz w:val="20"/>
          <w:szCs w:val="20"/>
          <w:color w:val="auto"/>
        </w:rPr>
      </w:pPr>
    </w:p>
    <w:p>
      <w:pPr>
        <w:ind w:left="860"/>
        <w:spacing w:after="0" w:line="516"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 xml:space="preserve">Condensed Consolidated Statements of Cash Flows for the </w:t>
        </w:r>
      </w:hyperlink>
      <w:hyperlink w:anchor="page4">
        <w:r>
          <w:rPr>
            <w:rFonts w:ascii="Arial" w:cs="Arial" w:eastAsia="Arial" w:hAnsi="Arial"/>
            <w:sz w:val="18"/>
            <w:szCs w:val="18"/>
            <w:u w:val="single" w:color="auto"/>
            <w:color w:val="0000FF"/>
          </w:rPr>
          <w:t>Three Months Ended March 31, 2020 and 2019</w:t>
        </w:r>
      </w:hyperlink>
      <w:r>
        <w:rPr>
          <w:rFonts w:ascii="Arial" w:cs="Arial" w:eastAsia="Arial" w:hAnsi="Arial"/>
          <w:sz w:val="18"/>
          <w:szCs w:val="18"/>
          <w:u w:val="single" w:color="auto"/>
          <w:color w:val="0000FF"/>
        </w:rPr>
        <w:t xml:space="preserve"> </w:t>
      </w:r>
      <w:hyperlink w:anchor="page8">
        <w:r>
          <w:rPr>
            <w:rFonts w:ascii="Arial" w:cs="Arial" w:eastAsia="Arial" w:hAnsi="Arial"/>
            <w:sz w:val="18"/>
            <w:szCs w:val="18"/>
            <w:u w:val="single" w:color="auto"/>
            <w:color w:val="0000FF"/>
          </w:rPr>
          <w:t>Notes to Condensed Consolidated Financial Statements (unaudited)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597471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-281305</wp:posOffset>
            </wp:positionV>
            <wp:extent cx="597471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16">
        <w:r>
          <w:rPr>
            <w:rFonts w:ascii="Arial" w:cs="Arial" w:eastAsia="Arial" w:hAnsi="Arial"/>
            <w:sz w:val="16"/>
            <w:szCs w:val="16"/>
            <w:u w:val="single" w:color="auto"/>
            <w:color w:val="0000FF"/>
          </w:rPr>
          <w:t>Management’s Discussion and Analysis of Financial Condition and Results of Operations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28">
        <w:r>
          <w:rPr>
            <w:rFonts w:ascii="Arial" w:cs="Arial" w:eastAsia="Arial" w:hAnsi="Arial"/>
            <w:sz w:val="16"/>
            <w:szCs w:val="16"/>
            <w:u w:val="single" w:color="auto"/>
            <w:color w:val="0000FF"/>
          </w:rPr>
          <w:t>Quantitative and Qualitative Disclosures about Market Risk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5"/>
          <w:szCs w:val="15"/>
          <w:u w:val="single" w:color="auto"/>
          <w:color w:val="0000FF"/>
        </w:rPr>
      </w:pPr>
      <w:r>
        <w:rPr>
          <w:rFonts w:ascii="Arial" w:cs="Arial" w:eastAsia="Arial" w:hAnsi="Arial"/>
          <w:sz w:val="18"/>
          <w:szCs w:val="18"/>
          <w:color w:val="auto"/>
        </w:rPr>
        <w:t>Item 4.</w:t>
      </w:r>
      <w:r>
        <w:rPr>
          <w:sz w:val="20"/>
          <w:szCs w:val="20"/>
          <w:color w:val="auto"/>
        </w:rPr>
        <w:tab/>
      </w:r>
      <w:hyperlink w:anchor="page30">
        <w:r>
          <w:rPr>
            <w:rFonts w:ascii="Arial" w:cs="Arial" w:eastAsia="Arial" w:hAnsi="Arial"/>
            <w:sz w:val="15"/>
            <w:szCs w:val="15"/>
            <w:u w:val="single" w:color="auto"/>
            <w:color w:val="0000FF"/>
          </w:rPr>
          <w:t>Controls and Procedures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177800</wp:posOffset>
            </wp:positionV>
            <wp:extent cx="59747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70"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31">
        <w:r>
          <w:rPr>
            <w:rFonts w:ascii="Arial" w:cs="Arial" w:eastAsia="Arial" w:hAnsi="Arial"/>
            <w:sz w:val="16"/>
            <w:szCs w:val="16"/>
            <w:u w:val="single" w:color="auto"/>
            <w:color w:val="0000FF"/>
          </w:rPr>
          <w:t>Legal Proceedings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1A.</w:t>
      </w:r>
      <w:r>
        <w:rPr>
          <w:sz w:val="20"/>
          <w:szCs w:val="20"/>
          <w:color w:val="auto"/>
        </w:rPr>
        <w:tab/>
      </w:r>
      <w:hyperlink w:anchor="page31">
        <w:r>
          <w:rPr>
            <w:rFonts w:ascii="Arial" w:cs="Arial" w:eastAsia="Arial" w:hAnsi="Arial"/>
            <w:sz w:val="16"/>
            <w:szCs w:val="16"/>
            <w:u w:val="single" w:color="auto"/>
            <w:color w:val="0000FF"/>
          </w:rPr>
          <w:t>Risk Factors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32">
        <w:r>
          <w:rPr>
            <w:rFonts w:ascii="Arial" w:cs="Arial" w:eastAsia="Arial" w:hAnsi="Arial"/>
            <w:sz w:val="16"/>
            <w:szCs w:val="16"/>
            <w:u w:val="single" w:color="auto"/>
            <w:color w:val="0000FF"/>
          </w:rPr>
          <w:t>Unregistered Sales of Equity Securities and Use of Proceeds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3.</w:t>
      </w:r>
      <w:r>
        <w:rPr>
          <w:sz w:val="20"/>
          <w:szCs w:val="20"/>
          <w:color w:val="auto"/>
        </w:rPr>
        <w:tab/>
      </w:r>
      <w:hyperlink w:anchor="page32">
        <w:r>
          <w:rPr>
            <w:rFonts w:ascii="Arial" w:cs="Arial" w:eastAsia="Arial" w:hAnsi="Arial"/>
            <w:sz w:val="16"/>
            <w:szCs w:val="16"/>
            <w:u w:val="single" w:color="auto"/>
            <w:color w:val="0000FF"/>
          </w:rPr>
          <w:t>Defaults Upon Senior Securities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4.</w:t>
      </w:r>
      <w:r>
        <w:rPr>
          <w:sz w:val="20"/>
          <w:szCs w:val="20"/>
          <w:color w:val="auto"/>
        </w:rPr>
        <w:tab/>
      </w:r>
      <w:hyperlink w:anchor="page32">
        <w:r>
          <w:rPr>
            <w:rFonts w:ascii="Arial" w:cs="Arial" w:eastAsia="Arial" w:hAnsi="Arial"/>
            <w:sz w:val="16"/>
            <w:szCs w:val="16"/>
            <w:u w:val="single" w:color="auto"/>
            <w:color w:val="0000FF"/>
          </w:rPr>
          <w:t>Mine Safety Disclosures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Item 5.</w:t>
      </w:r>
      <w:r>
        <w:rPr>
          <w:sz w:val="20"/>
          <w:szCs w:val="20"/>
          <w:color w:val="auto"/>
        </w:rPr>
        <w:tab/>
      </w:r>
      <w:hyperlink w:anchor="page32">
        <w:r>
          <w:rPr>
            <w:rFonts w:ascii="Arial" w:cs="Arial" w:eastAsia="Arial" w:hAnsi="Arial"/>
            <w:sz w:val="16"/>
            <w:szCs w:val="16"/>
            <w:u w:val="single" w:color="auto"/>
            <w:color w:val="0000FF"/>
          </w:rPr>
          <w:t>Other Information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tabs>
          <w:tab w:leader="none" w:pos="840" w:val="left"/>
        </w:tabs>
        <w:rPr>
          <w:rFonts w:ascii="Arial" w:cs="Arial" w:eastAsia="Arial" w:hAnsi="Arial"/>
          <w:sz w:val="17"/>
          <w:szCs w:val="17"/>
          <w:u w:val="single" w:color="auto"/>
          <w:color w:val="0000FF"/>
        </w:rPr>
      </w:pPr>
      <w:r>
        <w:rPr>
          <w:rFonts w:ascii="Arial" w:cs="Arial" w:eastAsia="Arial" w:hAnsi="Arial"/>
          <w:sz w:val="18"/>
          <w:szCs w:val="18"/>
          <w:color w:val="auto"/>
        </w:rPr>
        <w:t>Item 6.</w:t>
      </w:r>
      <w:r>
        <w:rPr>
          <w:sz w:val="20"/>
          <w:szCs w:val="20"/>
          <w:color w:val="auto"/>
        </w:rPr>
        <w:tab/>
      </w:r>
      <w:hyperlink w:anchor="page32">
        <w:r>
          <w:rPr>
            <w:rFonts w:ascii="Arial" w:cs="Arial" w:eastAsia="Arial" w:hAnsi="Arial"/>
            <w:sz w:val="17"/>
            <w:szCs w:val="17"/>
            <w:u w:val="single" w:color="auto"/>
            <w:color w:val="0000FF"/>
          </w:rPr>
          <w:t>Exhibits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59"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SIGNATURES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597471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04"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5"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p>
      <w:pPr>
        <w:spacing w:after="0" w:line="239"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p>
      <w:pPr>
        <w:spacing w:after="0" w:line="239"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p>
      <w:pPr>
        <w:spacing w:after="0" w:line="239"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p>
      <w:pPr>
        <w:spacing w:after="0" w:line="279"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16">
        <w:r>
          <w:rPr>
            <w:rFonts w:ascii="Arial" w:cs="Arial" w:eastAsia="Arial" w:hAnsi="Arial"/>
            <w:sz w:val="16"/>
            <w:szCs w:val="16"/>
            <w:color w:val="0000FF"/>
          </w:rPr>
          <w:t>17</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8"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1">
        <w:r>
          <w:rPr>
            <w:rFonts w:ascii="Arial" w:cs="Arial" w:eastAsia="Arial" w:hAnsi="Arial"/>
            <w:sz w:val="16"/>
            <w:szCs w:val="16"/>
            <w:color w:val="0000FF"/>
          </w:rPr>
          <w:t>31</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1">
        <w:r>
          <w:rPr>
            <w:rFonts w:ascii="Arial" w:cs="Arial" w:eastAsia="Arial" w:hAnsi="Arial"/>
            <w:sz w:val="16"/>
            <w:szCs w:val="16"/>
            <w:color w:val="0000FF"/>
          </w:rPr>
          <w:t>31</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p>
      <w:pPr>
        <w:spacing w:after="0" w:line="30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2">
        <w:r>
          <w:rPr>
            <w:rFonts w:ascii="Arial" w:cs="Arial" w:eastAsia="Arial" w:hAnsi="Arial"/>
            <w:sz w:val="16"/>
            <w:szCs w:val="16"/>
            <w:color w:val="0000FF"/>
          </w:rPr>
          <w:t>33</w:t>
        </w:r>
      </w:hyperlink>
    </w:p>
    <w:p>
      <w:pPr>
        <w:spacing w:after="0" w:line="262" w:lineRule="exact"/>
        <w:rPr>
          <w:rFonts w:ascii="Arial" w:cs="Arial" w:eastAsia="Arial" w:hAnsi="Arial"/>
          <w:sz w:val="18"/>
          <w:szCs w:val="18"/>
          <w:u w:val="single" w:color="auto"/>
          <w:color w:val="0000FF"/>
        </w:rPr>
      </w:pPr>
    </w:p>
    <w:p>
      <w:pPr>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p>
      <w:pPr>
        <w:sectPr>
          <w:pgSz w:w="11900" w:h="16838" w:orient="portrait"/>
          <w:cols w:equalWidth="0" w:num="2">
            <w:col w:w="8560" w:space="360"/>
            <w:col w:w="1199"/>
          </w:cols>
          <w:pgMar w:left="340" w:top="445" w:right="1440" w:bottom="1440" w:gutter="0" w:footer="0" w:header="0"/>
          <w:type w:val="continuous"/>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Section 27A of the Securities Act of 1933, as amended, and Section 21E of the Securities Exchange Act of 1934, as amended, which reflect our current views with respect to certain events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These statements relate to expectations concerning matters that are not historical fact and may include the words or phrases such as “would,” “will,” “should,” “expects,” “believes,” “anticipates,” “continues,” “could,” “may,” “might,” “plans,” “possible,” “potential,” “predicts,” “projects,” “forecasts,” “intends,” “assumes,” “estimates,” “approximately,” “shall,” “our planning assumptions,” “future outlook” and similar expressions, but the absence of these words does not mean that a statement is not forward-looking. Except for historical information, matters discussed in this Form 10-Q are forward-looking statements. These forward-looking statements are based largely on information currently available to our management and on our current expectations, assumptions, plans, estimates, judgments and projections about our business and our industry, as well as macroeconomic conditions,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Some factors that could cause actual results to differ and could materially adversely affect our business, financial condition, results of operations, cash flows and liquidity include, but are not limited to:</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 volatility;</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right="52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380" w:hanging="320"/>
        <w:spacing w:after="0" w:line="250"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section entitled “Risk Factors” in our Annual Report on Form 10-K for the year ended December 31, 2019.</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w:t>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wp:posOffset>
            </wp:positionV>
            <wp:extent cx="60261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6150" cy="17145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0261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26150" cy="171450"/>
                    </a:xfrm>
                    <a:prstGeom prst="rect">
                      <a:avLst/>
                    </a:prstGeom>
                    <a:noFill/>
                  </pic:spPr>
                </pic:pic>
              </a:graphicData>
            </a:graphic>
          </wp:anchor>
        </w:drawing>
      </w:r>
    </w:p>
    <w:p>
      <w:pPr>
        <w:spacing w:after="0" w:line="70" w:lineRule="exact"/>
        <w:rPr>
          <w:sz w:val="20"/>
          <w:szCs w:val="20"/>
          <w:color w:val="auto"/>
        </w:rPr>
      </w:pPr>
    </w:p>
    <w:p>
      <w:pPr>
        <w:ind w:left="460" w:right="200" w:firstLine="18"/>
        <w:spacing w:after="0" w:line="305" w:lineRule="auto"/>
        <w:rPr>
          <w:sz w:val="20"/>
          <w:szCs w:val="20"/>
          <w:color w:val="auto"/>
        </w:rPr>
      </w:pPr>
      <w:r>
        <w:rPr>
          <w:rFonts w:ascii="Arial" w:cs="Arial" w:eastAsia="Arial" w:hAnsi="Arial"/>
          <w:sz w:val="18"/>
          <w:szCs w:val="18"/>
          <w:color w:val="auto"/>
        </w:rPr>
        <w:t>Accounts receivable, net of allowance of $873 and $759, respectively Prepaid wires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wp:posOffset>
            </wp:positionV>
            <wp:extent cx="602615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26150" cy="1797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Prepaid expenses and other current assets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0261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261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2020</w:t>
            </w:r>
          </w:p>
        </w:tc>
        <w:tc>
          <w:tcPr>
            <w:tcW w:w="12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w w:val="88"/>
              </w:rPr>
              <w:t>December 31, 2019</w:t>
            </w:r>
          </w:p>
        </w:tc>
      </w:tr>
      <w:tr>
        <w:trPr>
          <w:trHeight w:val="34"/>
        </w:trPr>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180" w:type="dxa"/>
            <w:vAlign w:val="bottom"/>
          </w:tcPr>
          <w:p>
            <w:pPr>
              <w:spacing w:after="0"/>
              <w:rPr>
                <w:sz w:val="21"/>
                <w:szCs w:val="21"/>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54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101,838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86,117</w:t>
            </w:r>
          </w:p>
        </w:tc>
      </w:tr>
      <w:tr>
        <w:trPr>
          <w:trHeight w:val="270"/>
        </w:trPr>
        <w:tc>
          <w:tcPr>
            <w:tcW w:w="18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38,156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39,754</w:t>
            </w:r>
          </w:p>
        </w:tc>
      </w:tr>
      <w:tr>
        <w:trPr>
          <w:trHeight w:val="270"/>
        </w:trPr>
        <w:tc>
          <w:tcPr>
            <w:tcW w:w="18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18,201</w:t>
            </w:r>
          </w:p>
        </w:tc>
      </w:tr>
      <w:tr>
        <w:trPr>
          <w:trHeight w:val="270"/>
        </w:trPr>
        <w:tc>
          <w:tcPr>
            <w:tcW w:w="18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4,155</w:t>
            </w:r>
          </w:p>
        </w:tc>
      </w:tr>
      <w:tr>
        <w:trPr>
          <w:trHeight w:val="34"/>
        </w:trPr>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1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150,814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148,227</w:t>
            </w:r>
          </w:p>
        </w:tc>
      </w:tr>
    </w:tbl>
    <w:p>
      <w:pPr>
        <w:spacing w:after="0" w:line="200" w:lineRule="exact"/>
        <w:rPr>
          <w:sz w:val="20"/>
          <w:szCs w:val="20"/>
          <w:color w:val="auto"/>
        </w:rPr>
      </w:pPr>
    </w:p>
    <w:p>
      <w:pPr>
        <w:sectPr>
          <w:pgSz w:w="11900" w:h="16838" w:orient="portrait"/>
          <w:cols w:equalWidth="0" w:num="2">
            <w:col w:w="5680" w:space="720"/>
            <w:col w:w="3739"/>
          </w:cols>
          <w:pgMar w:left="320" w:top="125" w:right="1440" w:bottom="1440" w:gutter="0" w:footer="0" w:header="0"/>
          <w:type w:val="continuous"/>
        </w:sectPr>
      </w:pPr>
    </w:p>
    <w:p>
      <w:pPr>
        <w:spacing w:after="0" w:line="5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25,642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8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89"/>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227,518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LIABILITIES AND STOCKHOLDERS' EQUITY</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 net</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Wire transfers and money orders payable</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83"/>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and other liabilities</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22,207</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79,427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83,716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net</w:t>
            </w: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85,862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43"/>
        </w:trPr>
        <w:tc>
          <w:tcPr>
            <w:tcW w:w="606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85,862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12</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Common stock $0.0001 par value; 230,000,000 shares authorized, 38,035,279</w:t>
            </w: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8"/>
              </w:rPr>
              <w:t>and 38,034,389 shares issued and outstanding as of March 31, 2020 and</w:t>
            </w:r>
          </w:p>
        </w:tc>
        <w:tc>
          <w:tcPr>
            <w:tcW w:w="5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December 31, 2019, respectively.</w:t>
            </w:r>
          </w:p>
        </w:tc>
        <w:tc>
          <w:tcPr>
            <w:tcW w:w="5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55,412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54,694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62,229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70"/>
        </w:trPr>
        <w:tc>
          <w:tcPr>
            <w:tcW w:w="606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227,518</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0139"/>
          </w:cols>
          <w:pgMar w:left="320" w:top="125" w:right="1440" w:bottom="1440" w:gutter="0" w:footer="0" w:header="0"/>
          <w:type w:val="continuous"/>
        </w:sectPr>
      </w:pP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65"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March 31,</w:t>
      </w: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0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67,095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58,451</w:t>
            </w:r>
          </w:p>
        </w:tc>
        <w:tc>
          <w:tcPr>
            <w:tcW w:w="0" w:type="dxa"/>
            <w:vAlign w:val="bottom"/>
          </w:tcPr>
          <w:p>
            <w:pPr>
              <w:spacing w:after="0"/>
              <w:rPr>
                <w:sz w:val="1"/>
                <w:szCs w:val="1"/>
                <w:color w:val="auto"/>
              </w:rPr>
            </w:pPr>
          </w:p>
        </w:tc>
      </w:tr>
      <w:tr>
        <w:trPr>
          <w:trHeight w:val="243"/>
        </w:trPr>
        <w:tc>
          <w:tcPr>
            <w:tcW w:w="6040" w:type="dxa"/>
            <w:vAlign w:val="bottom"/>
          </w:tcPr>
          <w:p>
            <w:pPr>
              <w:ind w:left="120"/>
              <w:spacing w:after="0"/>
              <w:rPr>
                <w:sz w:val="20"/>
                <w:szCs w:val="20"/>
                <w:color w:val="auto"/>
              </w:rPr>
            </w:pPr>
            <w:r>
              <w:rPr>
                <w:rFonts w:ascii="Arial" w:cs="Arial" w:eastAsia="Arial" w:hAnsi="Arial"/>
                <w:sz w:val="18"/>
                <w:szCs w:val="18"/>
                <w:color w:val="auto"/>
              </w:rPr>
              <w:t>Foreign exchange gain, net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9,554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83"/>
        </w:trPr>
        <w:tc>
          <w:tcPr>
            <w:tcW w:w="6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77,251</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68,349</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52,227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45,569</w:t>
            </w:r>
          </w:p>
        </w:tc>
        <w:tc>
          <w:tcPr>
            <w:tcW w:w="0" w:type="dxa"/>
            <w:vAlign w:val="bottom"/>
          </w:tcPr>
          <w:p>
            <w:pPr>
              <w:spacing w:after="0"/>
              <w:rPr>
                <w:sz w:val="1"/>
                <w:szCs w:val="1"/>
                <w:color w:val="auto"/>
              </w:rPr>
            </w:pPr>
          </w:p>
        </w:tc>
      </w:tr>
      <w:tr>
        <w:trPr>
          <w:trHeight w:val="243"/>
        </w:trPr>
        <w:tc>
          <w:tcPr>
            <w:tcW w:w="604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7,359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7,597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5,337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83"/>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1"/>
        </w:trPr>
        <w:tc>
          <w:tcPr>
            <w:tcW w:w="6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67,613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62,041</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5,544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20"/>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38,035,014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36,182,783</w:t>
            </w:r>
          </w:p>
        </w:tc>
        <w:tc>
          <w:tcPr>
            <w:tcW w:w="0" w:type="dxa"/>
            <w:vAlign w:val="bottom"/>
          </w:tcPr>
          <w:p>
            <w:pPr>
              <w:spacing w:after="0"/>
              <w:rPr>
                <w:sz w:val="1"/>
                <w:szCs w:val="1"/>
                <w:color w:val="auto"/>
              </w:rPr>
            </w:pPr>
          </w:p>
        </w:tc>
      </w:tr>
      <w:tr>
        <w:trPr>
          <w:trHeight w:val="243"/>
        </w:trPr>
        <w:tc>
          <w:tcPr>
            <w:tcW w:w="604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38,038,674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36,195,463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9"/>
                <w:szCs w:val="9"/>
                <w:color w:val="auto"/>
              </w:rPr>
            </w:pPr>
          </w:p>
        </w:tc>
        <w:tc>
          <w:tcPr>
            <w:tcW w:w="1060" w:type="dxa"/>
            <w:vAlign w:val="bottom"/>
          </w:tcPr>
          <w:p>
            <w:pPr>
              <w:jc w:val="center"/>
              <w:ind w:right="57"/>
              <w:spacing w:after="0" w:line="113"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3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7"/>
                <w:szCs w:val="17"/>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180" w:type="dxa"/>
            <w:vAlign w:val="bottom"/>
            <w:tcBorders>
              <w:top w:val="single" w:sz="8" w:color="auto"/>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38,034,389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54,694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ind w:right="57"/>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20" w:type="dxa"/>
            <w:vAlign w:val="bottom"/>
          </w:tcPr>
          <w:p>
            <w:pPr>
              <w:spacing w:after="0"/>
              <w:rPr>
                <w:sz w:val="15"/>
                <w:szCs w:val="15"/>
                <w:color w:val="auto"/>
              </w:rPr>
            </w:pPr>
          </w:p>
        </w:tc>
        <w:tc>
          <w:tcPr>
            <w:tcW w:w="12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ind w:right="18"/>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920" w:type="dxa"/>
            <w:vAlign w:val="bottom"/>
          </w:tcPr>
          <w:p>
            <w:pPr>
              <w:ind w:left="180"/>
              <w:spacing w:after="0"/>
              <w:rPr>
                <w:sz w:val="20"/>
                <w:szCs w:val="20"/>
                <w:color w:val="auto"/>
              </w:rPr>
            </w:pPr>
            <w:r>
              <w:rPr>
                <w:rFonts w:ascii="Arial" w:cs="Arial" w:eastAsia="Arial" w:hAnsi="Arial"/>
                <w:sz w:val="18"/>
                <w:szCs w:val="18"/>
                <w:color w:val="auto"/>
              </w:rPr>
              <w:t>translation, net</w:t>
            </w:r>
          </w:p>
        </w:tc>
        <w:tc>
          <w:tcPr>
            <w:tcW w:w="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18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38,035,279</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55,412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6,864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62,229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auto"/>
            </w:tcBorders>
            <w:gridSpan w:val="5"/>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9"/>
                <w:szCs w:val="9"/>
                <w:color w:val="auto"/>
              </w:rPr>
            </w:pPr>
          </w:p>
        </w:tc>
        <w:tc>
          <w:tcPr>
            <w:tcW w:w="116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9"/>
                <w:szCs w:val="9"/>
                <w:color w:val="auto"/>
              </w:rPr>
            </w:pPr>
          </w:p>
        </w:tc>
        <w:tc>
          <w:tcPr>
            <w:tcW w:w="1060" w:type="dxa"/>
            <w:vAlign w:val="bottom"/>
          </w:tcPr>
          <w:p>
            <w:pPr>
              <w:jc w:val="center"/>
              <w:ind w:right="57"/>
              <w:spacing w:after="0" w:line="113"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Paid-in 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1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36,182,783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61,889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44,473</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Adoption of revenue recognition</w:t>
            </w:r>
          </w:p>
        </w:tc>
        <w:tc>
          <w:tcPr>
            <w:tcW w:w="20" w:type="dxa"/>
            <w:vAlign w:val="bottom"/>
          </w:tcPr>
          <w:p>
            <w:pPr>
              <w:spacing w:after="0"/>
              <w:rPr>
                <w:sz w:val="15"/>
                <w:szCs w:val="15"/>
                <w:color w:val="auto"/>
              </w:rPr>
            </w:pP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2920" w:type="dxa"/>
            <w:vAlign w:val="bottom"/>
          </w:tcPr>
          <w:p>
            <w:pPr>
              <w:ind w:left="180"/>
              <w:spacing w:after="0"/>
              <w:rPr>
                <w:sz w:val="20"/>
                <w:szCs w:val="20"/>
                <w:color w:val="auto"/>
              </w:rPr>
            </w:pPr>
            <w:r>
              <w:rPr>
                <w:rFonts w:ascii="Arial" w:cs="Arial" w:eastAsia="Arial" w:hAnsi="Arial"/>
                <w:sz w:val="18"/>
                <w:szCs w:val="18"/>
                <w:color w:val="auto"/>
              </w:rPr>
              <w:t>accounting pronouncement</w:t>
            </w:r>
          </w:p>
        </w:tc>
        <w:tc>
          <w:tcPr>
            <w:tcW w:w="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 currency</w:t>
            </w:r>
          </w:p>
        </w:tc>
        <w:tc>
          <w:tcPr>
            <w:tcW w:w="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88"/>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net</w:t>
            </w:r>
          </w:p>
        </w:tc>
        <w:tc>
          <w:tcPr>
            <w:tcW w:w="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Balance, March 31, 2019</w:t>
            </w:r>
          </w:p>
        </w:tc>
        <w:tc>
          <w:tcPr>
            <w:tcW w:w="1180" w:type="dxa"/>
            <w:vAlign w:val="bottom"/>
            <w:gridSpan w:val="2"/>
          </w:tcPr>
          <w:p>
            <w:pPr>
              <w:jc w:val="right"/>
              <w:ind w:right="37"/>
              <w:spacing w:after="0"/>
              <w:rPr>
                <w:sz w:val="20"/>
                <w:szCs w:val="20"/>
                <w:color w:val="auto"/>
              </w:rPr>
            </w:pPr>
            <w:r>
              <w:rPr>
                <w:rFonts w:ascii="Arial" w:cs="Arial" w:eastAsia="Arial" w:hAnsi="Arial"/>
                <w:sz w:val="18"/>
                <w:szCs w:val="18"/>
                <w:color w:val="auto"/>
              </w:rPr>
              <w:t>36,182,783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688"/>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62,515</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(15,277)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47,248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2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800" w:type="dxa"/>
            <w:vAlign w:val="bottom"/>
          </w:tcPr>
          <w:p>
            <w:pPr>
              <w:spacing w:after="0"/>
              <w:rPr>
                <w:sz w:val="24"/>
                <w:szCs w:val="24"/>
                <w:color w:val="auto"/>
              </w:rPr>
            </w:pPr>
          </w:p>
        </w:tc>
        <w:tc>
          <w:tcPr>
            <w:tcW w:w="428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rPr>
              <w:t>INTERNATIONAL MONEY EXPRESS, INC.</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6"/>
          </w:tcPr>
          <w:p>
            <w:pPr>
              <w:jc w:val="center"/>
              <w:ind w:left="26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294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9"/>
              </w:rPr>
              <w:t>(in thousands, unaudited)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gridSpan w:val="4"/>
          </w:tcPr>
          <w:p>
            <w:pPr>
              <w:jc w:val="right"/>
              <w:ind w:right="510"/>
              <w:spacing w:after="0"/>
              <w:rPr>
                <w:sz w:val="20"/>
                <w:szCs w:val="20"/>
                <w:color w:val="auto"/>
              </w:rPr>
            </w:pPr>
            <w:r>
              <w:rPr>
                <w:rFonts w:ascii="Arial" w:cs="Arial" w:eastAsia="Arial" w:hAnsi="Arial"/>
                <w:sz w:val="18"/>
                <w:szCs w:val="18"/>
                <w:color w:val="auto"/>
                <w:w w:val="95"/>
              </w:rPr>
              <w:t>Three Months Ended March 31,</w:t>
            </w: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2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30"/>
        </w:trPr>
        <w:tc>
          <w:tcPr>
            <w:tcW w:w="6740" w:type="dxa"/>
            <w:vAlign w:val="bottom"/>
            <w:gridSpan w:val="3"/>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38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3800" w:type="dxa"/>
            <w:vAlign w:val="bottom"/>
          </w:tcPr>
          <w:p>
            <w:pPr>
              <w:ind w:left="340"/>
              <w:spacing w:after="0"/>
              <w:rPr>
                <w:sz w:val="20"/>
                <w:szCs w:val="20"/>
                <w:color w:val="auto"/>
              </w:rPr>
            </w:pPr>
            <w:r>
              <w:rPr>
                <w:rFonts w:ascii="Arial" w:cs="Arial" w:eastAsia="Arial" w:hAnsi="Arial"/>
                <w:sz w:val="18"/>
                <w:szCs w:val="18"/>
                <w:color w:val="auto"/>
              </w:rPr>
              <w:t>Debt origination costs amortization</w:t>
            </w:r>
          </w:p>
        </w:tc>
        <w:tc>
          <w:tcPr>
            <w:tcW w:w="2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Deferred income tax provision (benefit), net</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83"/>
        </w:trPr>
        <w:tc>
          <w:tcPr>
            <w:tcW w:w="3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8"/>
              </w:rPr>
              <w:t>Loss on disposal of property and equipment</w:t>
            </w:r>
          </w:p>
        </w:tc>
        <w:tc>
          <w:tcPr>
            <w:tcW w:w="2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adjustments</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38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(51,223)</w:t>
            </w:r>
          </w:p>
        </w:tc>
        <w:tc>
          <w:tcPr>
            <w:tcW w:w="0" w:type="dxa"/>
            <w:vAlign w:val="bottom"/>
          </w:tcPr>
          <w:p>
            <w:pPr>
              <w:spacing w:after="0"/>
              <w:rPr>
                <w:sz w:val="1"/>
                <w:szCs w:val="1"/>
                <w:color w:val="auto"/>
              </w:rPr>
            </w:pP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Prepaid wires</w:t>
            </w:r>
          </w:p>
        </w:tc>
        <w:tc>
          <w:tcPr>
            <w:tcW w:w="2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9,271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19,494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expenses and other assets</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w w:val="97"/>
              </w:rPr>
              <w:t>Wire transfers and money orders payables</w:t>
            </w:r>
          </w:p>
        </w:tc>
        <w:tc>
          <w:tcPr>
            <w:tcW w:w="2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50,505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0"/>
              </w:rPr>
              <w:t>Accounts payable and accrued other liabilities</w:t>
            </w:r>
          </w:p>
        </w:tc>
        <w:tc>
          <w:tcPr>
            <w:tcW w:w="24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84"/>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18,780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84"/>
        </w:trPr>
        <w:tc>
          <w:tcPr>
            <w:tcW w:w="3800" w:type="dxa"/>
            <w:vAlign w:val="bottom"/>
          </w:tcPr>
          <w:p>
            <w:pPr>
              <w:ind w:left="120"/>
              <w:spacing w:after="0"/>
              <w:rPr>
                <w:sz w:val="20"/>
                <w:szCs w:val="20"/>
                <w:color w:val="auto"/>
              </w:rPr>
            </w:pPr>
            <w:r>
              <w:rPr>
                <w:rFonts w:ascii="Arial" w:cs="Arial" w:eastAsia="Arial" w:hAnsi="Arial"/>
                <w:sz w:val="18"/>
                <w:szCs w:val="18"/>
                <w:color w:val="auto"/>
              </w:rPr>
              <w:t>Acquisition of agent locations</w:t>
            </w:r>
          </w:p>
        </w:tc>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8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20"/>
              <w:spacing w:after="0"/>
              <w:rPr>
                <w:sz w:val="20"/>
                <w:szCs w:val="20"/>
                <w:color w:val="auto"/>
              </w:rPr>
            </w:pPr>
            <w:r>
              <w:rPr>
                <w:rFonts w:ascii="Arial" w:cs="Arial" w:eastAsia="Arial" w:hAnsi="Arial"/>
                <w:sz w:val="18"/>
                <w:szCs w:val="18"/>
                <w:color w:val="auto"/>
              </w:rPr>
              <w:t>Repayments under revolving loan, net</w:t>
            </w:r>
          </w:p>
        </w:tc>
        <w:tc>
          <w:tcPr>
            <w:tcW w:w="2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Repayments of term loan</w:t>
            </w:r>
          </w:p>
        </w:tc>
        <w:tc>
          <w:tcPr>
            <w:tcW w:w="24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8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in cash</w:t>
            </w:r>
          </w:p>
        </w:tc>
        <w:tc>
          <w:tcPr>
            <w:tcW w:w="2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15,721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beginning of the period</w:t>
            </w:r>
          </w:p>
        </w:tc>
        <w:tc>
          <w:tcPr>
            <w:tcW w:w="2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86,117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73,029</w:t>
            </w: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20"/>
              <w:spacing w:after="0"/>
              <w:rPr>
                <w:sz w:val="20"/>
                <w:szCs w:val="20"/>
                <w:color w:val="auto"/>
              </w:rPr>
            </w:pPr>
            <w:r>
              <w:rPr>
                <w:rFonts w:ascii="Arial" w:cs="Arial" w:eastAsia="Arial" w:hAnsi="Arial"/>
                <w:sz w:val="18"/>
                <w:szCs w:val="18"/>
                <w:color w:val="auto"/>
              </w:rPr>
              <w:t>Cash, end of the period</w:t>
            </w:r>
          </w:p>
        </w:tc>
        <w:tc>
          <w:tcPr>
            <w:tcW w:w="2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101,838</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84,739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780" w:right="82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4"/>
          </w:tcPr>
          <w:p>
            <w:pPr>
              <w:jc w:val="right"/>
              <w:ind w:right="51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2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83"/>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common stock for cashless exercise of options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5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International Money Express, Inc. (the “Company” or “us” or “we”) operates as a money transmitter, primarily between the United States of America (“U.S.”) and Mexico, Guatemala and other countries in Latin America and Africa through a network of authorized agents located in various unaffiliated retail establishments throughout the U.S. and 33 company-operated stores.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of the Company include Intermex,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Intermex Wire Transfer II, LLC - 100% owned by LLC and Canada International Transfers Corp. - 100% owned by LLC. Non-controlling interest in the results of operations of consolidated subsidiaries represents the minority stockholders’ share of the profit or (loss) of Intermex Mexico and Intermex Guatemala. The non-controlling interest asset and non-controlling interest in the portion of the profit or (loss) from operations of these subsidiaries were not recorded by the Company as they are considered immaterial.</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condensed consolidated financial statements are prepared in accordance with accounting principles generally accepted in the United States of America (“GAAP”). All significant inter-company balances and transactions have been eliminated from the condensed consolidated financial statements.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financial statements have been included. The results reported in these interim financial statements are not necessarily indicative of the results that may be reported for the entire year. Certain information and footnote disclosures required by GAAP have been condensed or omitted. These condensed consolidated financial statements should be read in conjunction with the consolidated financial statements and related notes thereto included in the Company’s Annual Report on Form 10-K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the outbreak of a new strain of coronavirus (“COVID-19”) and the risks to the international community as the virus spreads globally beyond its point of origin. In March 2020, the WHO classified the COVID-19 outbreak as a pandemic, based on the rapid increase in exposure globally and national, state and local governments in the jurisdictions where we operate and serve our customers imposed emergency restrictions to mitigate the spread of the virus.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governmental authorities took measures that may restrict the normal course of business of the Company, sending and paying agents as well as consumers and their beneficiaries, which may have a material adverse effect on the operations and financial condition of the Company, these changes had only a limited effect on the Company’s financial condition, results of operations and cash flows for the quarterly period ended March 31, 2020.</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results of operations and financial condition is dependent on future developments, including the duration of the pandemic and the related extent of its severity, as well as its impact on the economic conditions, particularly the level of unemployment of our customers, which are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its business, financial condition, results of operations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Financial Accounting Standards Board (“FASB”) issued guidance, </w:t>
      </w:r>
      <w:r>
        <w:rPr>
          <w:rFonts w:ascii="Arial" w:cs="Arial" w:eastAsia="Arial" w:hAnsi="Arial"/>
          <w:sz w:val="18"/>
          <w:szCs w:val="18"/>
          <w:i w:val="1"/>
          <w:iCs w:val="1"/>
          <w:color w:val="auto"/>
        </w:rPr>
        <w:t>Leases (Topic 842)</w:t>
      </w:r>
      <w:r>
        <w:rPr>
          <w:rFonts w:ascii="Arial" w:cs="Arial" w:eastAsia="Arial" w:hAnsi="Arial"/>
          <w:sz w:val="18"/>
          <w:szCs w:val="18"/>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currently required to be adopted by the Company on January 1, 2021 and may be applied using either the earliest period adjustment method or the modified</w:t>
      </w:r>
    </w:p>
    <w:p>
      <w:pPr>
        <w:spacing w:after="0" w:line="24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retrospective approach. The adoption of this guidance is not expected to have a material impact on the condensed consolidated financial statements.</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FASB issued amended guidance,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on January 1, 2021. The adoption of this guidance is not expected to have a material impact on the condensed consolidated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currently required to adopt the new standard on January 1, 2023. The Company is currently evaluating the impact this guidance will have on the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revenues from contracts with customers for the three months ended March 31, 2020 and 2019, the following (in thousands):</w:t>
      </w:r>
    </w:p>
    <w:p>
      <w:pPr>
        <w:spacing w:after="0" w:line="302"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22860</wp:posOffset>
            </wp:positionV>
            <wp:extent cx="198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r>
      <w:tr>
        <w:trPr>
          <w:trHeight w:val="34"/>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58,658</w:t>
            </w: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58,451</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9,402</w:t>
            </w:r>
          </w:p>
        </w:tc>
      </w:tr>
      <w:tr>
        <w:trPr>
          <w:trHeight w:val="27"/>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77,251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68,349</w:t>
            </w: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no significant initial costs incurred to obtain contracts with customers. However, the Company has a loyalty program under which customers earn one point for each wire transfer completed. Points can be redeemed for a discounted wire transaction fee or foreign exchange rate. The discounts vary by country, and the earned points expire if the customer has not initiated and completed an eligible wire transfer transaction within the immediately preceding 180 day period. In addition, earned points will expire 30 days after the end of the program. Therefore, because the loyalty program benefits represent a future performance obligation, a portion of the initial consideration is recorded as deferred revenue (see Note 6) and a corresponding loyalty program expense is recorded as contra revenue. Revenue from this performance obligation is recognized upon customers redeeming points or upon expiration of any points outstanding.</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NOTE 3 – PREPAID EXPENSES AND OTHER CURRENT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r>
      <w:tr>
        <w:trPr>
          <w:trHeight w:val="34"/>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Prepaid fees</w:t>
            </w:r>
          </w:p>
        </w:tc>
        <w:tc>
          <w:tcPr>
            <w:tcW w:w="18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1,211</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Prepaid taxes</w:t>
            </w: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1,025</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867</w:t>
            </w:r>
          </w:p>
        </w:tc>
      </w:tr>
      <w:tr>
        <w:trPr>
          <w:trHeight w:val="243"/>
        </w:trPr>
        <w:tc>
          <w:tcPr>
            <w:tcW w:w="6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4,155</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4 – GOODWILL AND INTANGIBLE ASSETS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Intangible assets on the condensed consolidated balance sheets of the Company consist of goodwill,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upon over the past 20 years. Other intangible assets primarily relate to the acquisition of certain agent locations or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See below for further discussion on impairment.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280" w:type="dxa"/>
            <w:vAlign w:val="bottom"/>
          </w:tcPr>
          <w:p>
            <w:pPr>
              <w:ind w:left="120"/>
              <w:spacing w:after="0"/>
              <w:rPr>
                <w:sz w:val="20"/>
                <w:szCs w:val="20"/>
                <w:color w:val="auto"/>
              </w:rPr>
            </w:pPr>
            <w:r>
              <w:rPr>
                <w:rFonts w:ascii="Arial" w:cs="Arial" w:eastAsia="Arial" w:hAnsi="Arial"/>
                <w:sz w:val="18"/>
                <w:szCs w:val="18"/>
                <w:color w:val="auto"/>
              </w:rPr>
              <w:t>Intangibles</w:t>
            </w:r>
          </w:p>
        </w:tc>
      </w:tr>
      <w:tr>
        <w:trPr>
          <w:trHeight w:val="34"/>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27,381</w:t>
            </w:r>
          </w:p>
        </w:tc>
      </w:tr>
      <w:tr>
        <w:trPr>
          <w:trHeight w:val="283"/>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rPr>
              <w:t>(1,739)</w:t>
            </w:r>
          </w:p>
        </w:tc>
      </w:tr>
      <w:tr>
        <w:trPr>
          <w:trHeight w:val="28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25,642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the COVID-19 pandemic that has resulted in a deterioration in macro-economic conditions and stock market volatility, the Company performed a qualitative assessment on goodwill to determine whether a quantitative test was necessary. Although our fair value measurements include some significant inputs, such as the Company’s forecasted revenues and assumed turnover of agent locations, that may have or will be affected by the pandemic, we believe that as of March 31, 2020, the effects of the pandemic have not had a negative impact on the Company’s financial condition, results of operations and cash flows. As a result, there are currently no indicators that the fair value of the Company’s goodwill is below its carrying amount based on our qualitative assessment. Therefore, at March 31, 2020, we determined that a quantitative test was not necessary.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finite-lived intangibles, we also assessed whether there were events or changes in circumstances that indicated that the carrying amounts of our intangible assets may not be recoverable. Similar to our goodwill assessment above, we believe that as of March 31, 2020, the effects of the COVID-19 pandemic have not had a negative impact on the company’s financial condition, results of operations and cash flows. As a result, there are currently no indicators that could require an impairment test. Therefore, the carrying amounts of our intangibles are recoverable at this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will continue to monitor this evolving pandemic to determine the need, if any, to further evaluate for impairment our goodwill and intangible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NOTE 5 – WIRE TRANSFERS AND MONEY ORDERS PAYABLE</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w w:val="94"/>
              </w:rPr>
              <w:t>Wire transfers and money orders payable consisted of the following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r>
      <w:tr>
        <w:trPr>
          <w:trHeight w:val="34"/>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16,058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18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12,542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10,937</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13,617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13,202</w:t>
            </w:r>
          </w:p>
        </w:tc>
      </w:tr>
      <w:tr>
        <w:trPr>
          <w:trHeight w:val="243"/>
        </w:trPr>
        <w:tc>
          <w:tcPr>
            <w:tcW w:w="6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39,878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40,197</w:t>
            </w:r>
          </w:p>
        </w:tc>
      </w:tr>
      <w:tr>
        <w:trPr>
          <w:trHeight w:val="27"/>
        </w:trPr>
        <w:tc>
          <w:tcPr>
            <w:tcW w:w="6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Customer voided wires payable consist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6"/>
        </w:trPr>
        <w:tc>
          <w:tcPr>
            <w:tcW w:w="6280" w:type="dxa"/>
            <w:vAlign w:val="bottom"/>
          </w:tcPr>
          <w:p>
            <w:pPr>
              <w:spacing w:after="0"/>
              <w:rPr>
                <w:sz w:val="20"/>
                <w:szCs w:val="20"/>
                <w:color w:val="auto"/>
              </w:rPr>
            </w:pPr>
            <w:r>
              <w:rPr>
                <w:rFonts w:ascii="Arial" w:cs="Arial" w:eastAsia="Arial" w:hAnsi="Arial"/>
                <w:sz w:val="18"/>
                <w:szCs w:val="18"/>
                <w:color w:val="auto"/>
              </w:rPr>
              <w:t>NOTE 6 – ACCRUED AND OTHER LIABILITIES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r>
      <w:tr>
        <w:trPr>
          <w:trHeight w:val="34"/>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10,124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legal settlement (see Note 12)</w:t>
            </w:r>
          </w:p>
        </w:tc>
        <w:tc>
          <w:tcPr>
            <w:tcW w:w="18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3,250</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bank charges</w:t>
            </w:r>
          </w:p>
        </w:tc>
        <w:tc>
          <w:tcPr>
            <w:tcW w:w="18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976</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120</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18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2,345</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loyalty program</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2,495</w:t>
            </w: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w:t>
            </w:r>
          </w:p>
        </w:tc>
      </w:tr>
      <w:tr>
        <w:trPr>
          <w:trHeight w:val="288"/>
        </w:trPr>
        <w:tc>
          <w:tcPr>
            <w:tcW w:w="6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22,207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23,074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deferred revenue loyalty program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97471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97471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4715" cy="18859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period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March 31,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7 –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Debt consisted of the following (in thousands):</w:t>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Debt origination costs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2600" w:hanging="957"/>
        <w:spacing w:after="0"/>
        <w:tabs>
          <w:tab w:leader="none" w:pos="2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2,495</w:t>
      </w:r>
    </w:p>
    <w:p>
      <w:pPr>
        <w:spacing w:after="0" w:line="6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438</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(442)</w:t>
      </w:r>
    </w:p>
    <w:p>
      <w:pPr>
        <w:spacing w:after="0" w:line="90" w:lineRule="exact"/>
        <w:rPr>
          <w:sz w:val="20"/>
          <w:szCs w:val="20"/>
          <w:color w:val="auto"/>
        </w:rPr>
      </w:pPr>
    </w:p>
    <w:p>
      <w:pPr>
        <w:ind w:left="2600" w:hanging="95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31750</wp:posOffset>
            </wp:positionV>
            <wp:extent cx="9601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57785</wp:posOffset>
            </wp:positionV>
            <wp:extent cx="9601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0" w:type="dxa"/>
            <w:vAlign w:val="bottom"/>
          </w:tcPr>
          <w:p>
            <w:pPr>
              <w:spacing w:after="0"/>
              <w:rPr>
                <w:sz w:val="21"/>
                <w:szCs w:val="21"/>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21"/>
                <w:szCs w:val="21"/>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w w:val="97"/>
              </w:rPr>
              <w:t>December 31, 2019</w:t>
            </w:r>
          </w:p>
        </w:tc>
      </w:tr>
      <w:tr>
        <w:trPr>
          <w:trHeight w:val="26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95,129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97,044</w:t>
            </w:r>
          </w:p>
        </w:tc>
      </w:tr>
      <w:tr>
        <w:trPr>
          <w:trHeight w:val="243"/>
        </w:trPr>
        <w:tc>
          <w:tcPr>
            <w:tcW w:w="180" w:type="dxa"/>
            <w:vAlign w:val="bottom"/>
          </w:tcPr>
          <w:p>
            <w:pPr>
              <w:spacing w:after="0"/>
              <w:rPr>
                <w:sz w:val="21"/>
                <w:szCs w:val="21"/>
                <w:color w:val="auto"/>
              </w:rPr>
            </w:pPr>
          </w:p>
        </w:tc>
        <w:tc>
          <w:tcPr>
            <w:tcW w:w="1520" w:type="dxa"/>
            <w:vAlign w:val="bottom"/>
          </w:tcPr>
          <w:p>
            <w:pPr>
              <w:ind w:left="900"/>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960"/>
              <w:spacing w:after="0"/>
              <w:rPr>
                <w:sz w:val="20"/>
                <w:szCs w:val="20"/>
                <w:color w:val="auto"/>
              </w:rPr>
            </w:pPr>
            <w:r>
              <w:rPr>
                <w:rFonts w:ascii="Arial" w:cs="Arial" w:eastAsia="Arial" w:hAnsi="Arial"/>
                <w:sz w:val="18"/>
                <w:szCs w:val="18"/>
                <w:color w:val="auto"/>
              </w:rPr>
              <w:t>(7,044)</w:t>
            </w:r>
          </w:p>
        </w:tc>
      </w:tr>
      <w:tr>
        <w:trPr>
          <w:trHeight w:val="270"/>
        </w:trPr>
        <w:tc>
          <w:tcPr>
            <w:tcW w:w="180" w:type="dxa"/>
            <w:vAlign w:val="bottom"/>
          </w:tcPr>
          <w:p>
            <w:pPr>
              <w:spacing w:after="0"/>
              <w:rPr>
                <w:sz w:val="23"/>
                <w:szCs w:val="23"/>
                <w:color w:val="auto"/>
              </w:rPr>
            </w:pPr>
          </w:p>
        </w:tc>
        <w:tc>
          <w:tcPr>
            <w:tcW w:w="1520" w:type="dxa"/>
            <w:vAlign w:val="bottom"/>
          </w:tcPr>
          <w:p>
            <w:pPr>
              <w:ind w:left="900"/>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ind w:left="960"/>
              <w:spacing w:after="0"/>
              <w:rPr>
                <w:sz w:val="20"/>
                <w:szCs w:val="20"/>
                <w:color w:val="auto"/>
              </w:rPr>
            </w:pPr>
            <w:r>
              <w:rPr>
                <w:rFonts w:ascii="Arial" w:cs="Arial" w:eastAsia="Arial" w:hAnsi="Arial"/>
                <w:sz w:val="18"/>
                <w:szCs w:val="18"/>
                <w:color w:val="auto"/>
              </w:rPr>
              <w:t>(2,377)</w:t>
            </w:r>
          </w:p>
        </w:tc>
      </w:tr>
      <w:tr>
        <w:trPr>
          <w:trHeight w:val="34"/>
        </w:trPr>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ind w:left="880"/>
              <w:spacing w:after="0"/>
              <w:rPr>
                <w:sz w:val="20"/>
                <w:szCs w:val="20"/>
                <w:color w:val="auto"/>
              </w:rPr>
            </w:pPr>
            <w:r>
              <w:rPr>
                <w:rFonts w:ascii="Arial" w:cs="Arial" w:eastAsia="Arial" w:hAnsi="Arial"/>
                <w:sz w:val="18"/>
                <w:szCs w:val="18"/>
                <w:color w:val="auto"/>
              </w:rPr>
              <w:t>85,862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ind w:left="940"/>
              <w:spacing w:after="0"/>
              <w:rPr>
                <w:sz w:val="20"/>
                <w:szCs w:val="20"/>
                <w:color w:val="auto"/>
              </w:rPr>
            </w:pPr>
            <w:r>
              <w:rPr>
                <w:rFonts w:ascii="Arial" w:cs="Arial" w:eastAsia="Arial" w:hAnsi="Arial"/>
                <w:sz w:val="18"/>
                <w:szCs w:val="18"/>
                <w:color w:val="auto"/>
              </w:rPr>
              <w:t>87,623</w:t>
            </w:r>
          </w:p>
        </w:tc>
      </w:tr>
      <w:tr>
        <w:trPr>
          <w:trHeight w:val="27"/>
        </w:trPr>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-393700</wp:posOffset>
            </wp:positionV>
            <wp:extent cx="620649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06490" cy="18034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5560" w:space="720"/>
            <w:col w:w="4960"/>
          </w:cols>
          <w:pgMar w:left="320" w:top="125" w:right="339" w:bottom="1440" w:gutter="0" w:footer="0" w:header="0"/>
          <w:type w:val="continuous"/>
        </w:sect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Current portion of long-term debt is net of debt origination costs of approximately $0.6 million both at March 31, 2020 and December 31, 2019.</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certain of its domestic subsidiaries as borrowers (the “Loan Parties”) have a financing agreement (as amended, the “Credit Agreement”) with a group of banking institutions. The Credit Agreement provides for a $35 million revolving credit facility, a $90 million term loan facility and an up to $30 million incremental facility of which $12 million was utilized in the second quarter of 2019. The Credit Agreement also provides for the issuance of letters of credit, which would reduce availability under the revolving credit facility. The maturity date of the Credit Agreement is November 7, 2023. As of March 31, 2020 and December 31, 2019, there were no outstanding amounts drawn on the revolving credit facility.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period ended March 31, 2020 for the term loan and revolving credit facility were 6.80% and 2.27%,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5.0% in year 1, 7.5% in years 2 and 3, 10.0% in years 4 and 5, in each case on the last day of each quarter, which commenced in March 2019 with a final payment at maturity. The loans under the Credit Agreement may be prepaid at any time without premium or penalty.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ectPr>
          <w:pgSz w:w="11900" w:h="16838" w:orient="portrait"/>
          <w:cols w:equalWidth="0" w:num="1">
            <w:col w:w="11240"/>
          </w:cols>
          <w:pgMar w:left="320" w:top="125" w:right="339" w:bottom="1440" w:gutter="0" w:footer="0" w:header="0"/>
          <w:type w:val="continuous"/>
        </w:sect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also contains financial covenants that require the Company to maintain a quarterly minimum fixed charge coverage ratio of 1.25:1.00 and a quarterly maximum consolidated leverage ratio of 3.25:1.00.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8 – FAIR VALUE MEASUREMENTS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determines fair value in accordance with the provisions of FASB guidance,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Level 1 relates to quoted market prices for identical assets or liabilities.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non-financial assets measured at fair value on a nonrecurring basis include goodwill and intangibles assets (see Note 4 for further discussion). 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measured at fair value on a recurring basis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SHARE-BASED COMPENSATION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2018 Omnibus Equity Compensation Plan (the “2018 Plan”) provides for the granting of stock options and restricted stock units (“RSUs”) to employees and independent directors of the Company. As of March 31, 2020, there were 3.3 million shares reserved for issuance under the 2018 Plan.</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2018 Plan have 10-year terms and vest in four equal annual installments beginning one year after the date of the grant. During the three months ended March 31, 2020, 11.3 thousand of stock options vested. No stock options vested during the three months ended March 31, 2019. The Company recognized compensation expense for stock options of approximately $0.6 million for both the three months ended March 31, 2020 and 2019, which is included in salaries and benefits in the condensed consolidated statements of operations and comprehensive income. As of March 31, 2020, there were 3.0 million outstanding stock options and unrecognized compensation expense of $6.9 million is expected to be recognized over a weighted-average period of 2.6 years.</w:t>
      </w:r>
    </w:p>
    <w:p>
      <w:pPr>
        <w:spacing w:after="0" w:line="2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during the three months ended March 31, 2020 is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r>
      <w:tr>
        <w:trPr>
          <w:trHeight w:val="216"/>
        </w:trPr>
        <w:tc>
          <w:tcPr>
            <w:tcW w:w="3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89"/>
              </w:rPr>
              <w:t>Average</w:t>
            </w:r>
          </w:p>
        </w:tc>
      </w:tr>
      <w:tr>
        <w:trPr>
          <w:trHeight w:val="216"/>
        </w:trPr>
        <w:tc>
          <w:tcPr>
            <w:tcW w:w="386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0"/>
              </w:rPr>
              <w:t>Grant Date</w:t>
            </w:r>
          </w:p>
        </w:tc>
      </w:tr>
      <w:tr>
        <w:trPr>
          <w:trHeight w:val="230"/>
        </w:trPr>
        <w:tc>
          <w:tcPr>
            <w:tcW w:w="3860" w:type="dxa"/>
            <w:vAlign w:val="bottom"/>
          </w:tcPr>
          <w:p>
            <w:pPr>
              <w:spacing w:after="0"/>
              <w:rPr>
                <w:sz w:val="20"/>
                <w:szCs w:val="20"/>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Exercise Price</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Term (Years)</w:t>
            </w:r>
          </w:p>
        </w:tc>
        <w:tc>
          <w:tcPr>
            <w:tcW w:w="18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r>
      <w:tr>
        <w:trPr>
          <w:trHeight w:val="34"/>
        </w:trPr>
        <w:tc>
          <w:tcPr>
            <w:tcW w:w="3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2,905,219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160,000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3.34</w:t>
            </w:r>
          </w:p>
        </w:tc>
      </w:tr>
      <w:tr>
        <w:trPr>
          <w:trHeight w:val="27"/>
        </w:trPr>
        <w:tc>
          <w:tcPr>
            <w:tcW w:w="3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spacing w:after="0"/>
              <w:rPr>
                <w:sz w:val="20"/>
                <w:szCs w:val="20"/>
                <w:color w:val="auto"/>
              </w:rPr>
            </w:pPr>
            <w:r>
              <w:rPr>
                <w:rFonts w:ascii="Arial" w:cs="Arial" w:eastAsia="Arial" w:hAnsi="Arial"/>
                <w:sz w:val="18"/>
                <w:szCs w:val="18"/>
                <w:color w:val="auto"/>
              </w:rPr>
              <w:t>(54,875)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4.19</w:t>
            </w:r>
          </w:p>
        </w:tc>
      </w:tr>
      <w:tr>
        <w:trPr>
          <w:trHeight w:val="27"/>
        </w:trPr>
        <w:tc>
          <w:tcPr>
            <w:tcW w:w="3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8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2,999,094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0"/>
        </w:trPr>
        <w:tc>
          <w:tcPr>
            <w:tcW w:w="38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9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628,055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RSUs issued under the 2018 Plan to the Company’s independent directors vest on the one-year anniversary from the grant date. The Company recognized compensation expense for restricted stock units of $96.2 thousand and $52.5 thousand for the three months ended March 31, 2020 and 2019, respectively, which is included in salaries and benefits in the condensed consolidated statements of operations and comprehensive income. There were no granted, forfeited or vested RSUs during the three months ended March 31, 2020 and 2019. As of March 31, 2020, there was $113.8 thousand of unrecognized compensation expense for the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10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period by the weighted average number of common shares outstanding for the period. In computing dilutive earnings per share, basic earnings per share is adjusted for the assumed issuance of all applicable potentially dilutive share-based awards, including common stock options and RSUs.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per share for the periods indicated (in thousands, except for share data):</w:t>
      </w:r>
    </w:p>
    <w:p>
      <w:pPr>
        <w:spacing w:after="0" w:line="279" w:lineRule="exact"/>
        <w:rPr>
          <w:sz w:val="20"/>
          <w:szCs w:val="20"/>
          <w:color w:val="auto"/>
        </w:rPr>
      </w:pPr>
    </w:p>
    <w:p>
      <w:pPr>
        <w:jc w:val="center"/>
        <w:ind w:left="38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382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22860</wp:posOffset>
            </wp:positionV>
            <wp:extent cx="16287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2019</w:t>
            </w:r>
          </w:p>
        </w:tc>
      </w:tr>
      <w:tr>
        <w:trPr>
          <w:trHeight w:val="34"/>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3,156</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38,035,014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36,182,783</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12,680</w:t>
            </w:r>
          </w:p>
        </w:tc>
      </w:tr>
      <w:tr>
        <w:trPr>
          <w:trHeight w:val="243"/>
        </w:trPr>
        <w:tc>
          <w:tcPr>
            <w:tcW w:w="626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4"/>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38,038,674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36,195,463</w:t>
            </w:r>
          </w:p>
        </w:tc>
      </w:tr>
      <w:tr>
        <w:trPr>
          <w:trHeight w:val="257"/>
        </w:trPr>
        <w:tc>
          <w:tcPr>
            <w:tcW w:w="6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 basic and 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r>
      <w:tr>
        <w:trPr>
          <w:trHeight w:val="27"/>
        </w:trPr>
        <w:tc>
          <w:tcPr>
            <w:tcW w:w="6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there were 3.0 million options excluded from the diluted earnings per share calculation because, under the treasury stock method, the inclusion of these would be anti-dilutive.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2019, there were 2.8 million options and 9.0 million warrants underlying shares of Company stock excluded from the diluted earnings per share calculation because, under the treasury stock method, the inclusion of these would be anti-dilutive. In April 2019, the Company executed a tender offer for all warrants, subsequent to which all warrants ceased to exist.</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11 – INCOME TAXES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operations and comprehensive income is below (in thousands, except for tax rates):</w:t>
      </w:r>
    </w:p>
    <w:p>
      <w:pPr>
        <w:spacing w:after="0" w:line="116"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22860</wp:posOffset>
            </wp:positionV>
            <wp:extent cx="18688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r>
      <w:tr>
        <w:trPr>
          <w:trHeight w:val="34"/>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6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8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spacing w:after="0"/>
              <w:rPr>
                <w:sz w:val="24"/>
                <w:szCs w:val="24"/>
                <w:color w:val="auto"/>
              </w:rPr>
            </w:pPr>
          </w:p>
        </w:tc>
      </w:tr>
      <w:tr>
        <w:trPr>
          <w:trHeight w:val="284"/>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tax provision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24"/>
                <w:szCs w:val="24"/>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operations and comprehensive income was impacted by state taxes, non-deductible expenses, share-based compensation expenses and foreign tax rates applicable to the Company’s foreign subsidiaries that are higher or lower than the U.S. statutory rate.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Intermex Holdings II, Inc., the Company's parent company prior to the 2018 merger, was notified by the IRS that its 2017 federal income tax return was selected for examination. The Company has complied with all information requested to date. As of March 31, 2020 and December 31, 2019, no amounts for tax, interest, or penalties have been paid or accrued as a result of this examination.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the United States enacted the Coronavirus Aid, Relief, and Economic Security (“CARES”) Act. The Cares Act is an emergency economic stimulus package that includes spending and tax breaks to strengthen the United States economy and fund a 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does not expect the CARES Act will have a material effect on its annual effective tax rate for the year ending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NOTE 12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party to leases for office space, warehouses and company-operated store locations. Rent expense under all operating leases, included in other selling, general and administrative expenses in the condensed consolidated statements of operations and comprehensive income, amounted to approximately $0.5 million for both three month periods ended March 31,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2020, future minimum rental payments required under operating leases for the remainder of 2020 and thereafter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1,316</w:t>
            </w:r>
          </w:p>
        </w:tc>
      </w:tr>
      <w:tr>
        <w:trPr>
          <w:trHeight w:val="27"/>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882</w:t>
            </w:r>
          </w:p>
        </w:tc>
      </w:tr>
      <w:tr>
        <w:trPr>
          <w:trHeight w:val="27"/>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r>
      <w:tr>
        <w:trPr>
          <w:trHeight w:val="28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r>
      <w:tr>
        <w:trPr>
          <w:trHeight w:val="289"/>
        </w:trPr>
        <w:tc>
          <w:tcPr>
            <w:tcW w:w="79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5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 except for the matter related to a complaint filed under the Telephone Consumer Protection Act of 1991 (the “TCPA claim”) described below.</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30, 2019, Stuart Sawyer filed a putative class action complaint in the United States District Court for the Southern District of Florida asserting a claim under the TCPA, 47 U.S.C. § 227, et seq., based on allegations that since May 30, 2015, the Company had sent text messages to class members’ wireless telephones without their consent. Following a mediation held on October 7, 2019, the Company and the plaintiff entered into a term sheet providing the general terms for the settlement of the action, which was memorialized in a definitive Settlement Agreement on March 16, 2020 subject to subsequent Court approval. The Settlement Agreement provides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Settlement Agreement also established procedures for the notification of claimants and the processing of claims. The settlement fund will be managed by a duly-appointed settlement administrator which will be authorized to communicate with class members, process claims and make payments from the fund in accordance with the terms of the Settlement Agreement and the final judgment in the case. No amount of the settlement fund will revert to the Company; instead, any unclaimed funds will be sent to a consumer advocacy organization approved by the Court.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balance of the amount payable under the Settlement Agreement of approximately $2.9 million is included in accrued and other liabilities in the condensed consolidated balance sheet as of March 31, 2020.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March 31, 2020, the Company’s subsidiaries were in compliance with these two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13 – 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the condensed consolidated financial statements are issued. Except for the matter discussed below, there were no other subsequent events that would have required adjustment or disclosure in the condensed consolidated financial statements.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20, 2020, the Company received funds under the Paycheck Protection Program (the “Program”) in the amount of $3.5 million. Although the Company believes that it met all eligibility criteria for a loan under the Program at the time of its application, subsequent to receiving the funds, the Small Business Administration (“SBA”), in consultation with the Department of the Treasury (“Treasury”), provided additional guidance to address public, borrower and lender questions concerning the eligibility criteria under the Program. Based on this subsequent guidance provided by the SBA and Treasury, the Company returned the funds received under the Program on April 29, 2020.</w:t>
      </w: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2019.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risks related to the COVID-19 pandemic described in Pt. II, Item 1A, “Risk Factors” below which is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March 2020, a global pandemic was declared by the World Health Organization related to the rapidly growing outbreak of a novel strain of coronavirus (“COVID-19”). The pandemic has significantly affected economic conditions in the U.S., accelerating during the first half of March and continuing into April, as federal, state, local and foreign governments reacted to the public health crisis with mitigation measures, creating significant uncertainties in the U.S. and global economy. The extent to which the coronavirus pandemic affects our business, operations and financial results will depend on numerous evolving factors that we may not be able to accurately predict. Due to heightened uncertainty relating to the effects of the COVID-19 pandemic on our business operations, including the duration and impact on overall customer demand, we withdrew our 2020 guidance.</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top priority has been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and requiring use of certain personal protective equipment at our call centers in Mexico and Guatemala. We have also implemented a mandatory work-at-home program for the foreseeable future for all of our administrative offices and employees in all countries where we operate. We have also significantly limited the addition of new employees, eliminated all travel, acted to limit discretionary spending and temporarily closed our 33 company-operated stores (which represented only 2.3% of our total revenue in 2019). Notwithstanding the operational challenges created by these measures, our business continues to function and, to date, our customer service has not been adversely affected in any material respect. To the extent the business disruption continues for an extended period, additional cost management actions may be considered. Despite these efforts, the COVID-19 pandemic continues to pose the risk that we or our employees, sending and paying agents, as well as consumers and their beneficiaries, may be prevented from conducting business activities, partially or completely, for an indefinite period of time, including due to shutdowns that may be requested or mandated by governmental authorities or imposed by our management, or that the pandemic may otherwise interrupt or impair business activities.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changes had only a limited effect on the Company’s financial results for the quarterly period ended March 31, 2020. We have seen a slight year over year decrease in our volume of transactions since the beginning of the pandemic, which we continue to monitor. The economic effects of the pandemic also caused increased foreign exchange volatility particularly with respect to the Mexican peso, which has created additional operational challenges, although the overall effect on our results of operations has been positive.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of the pandemic and the related extent of its severity, as well as its impact on the economic conditions, particularly the level of unemployment of our customers, which are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its business, financial condition, results of operations and cash flows.</w:t>
      </w: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rapidly growing and leading money remittance services company focused primarily on the United States to Latin America and the Caribbean (“LAC”) corridor, which includes Mexico, Central and South America and the Caribbean.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four countries in Africa and one country in Asia. Our services are accessible in person through over 100,000 sending and paying agents and company-operated stores, as well as online and via Internet-enabled mobile devices. In 2019, we expanded our services to allow remittances to Africa from the United States and also began offering sending services from Canada to Latin America and Africa.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money remittance services enable our customers to send and receive funds through our broad network of locations in the United States and Canada that are primarily operated by third-party businesses, as well as 33 company-operated stores (currently closed as noted above).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We currently operate in the United States, Mexico, Guatemala, Canada and 15 additional countries in LAC corridor, four countries in Africa and one in Asia. Since January 2019 through March 31, 2020, we have grown our sending agent network by more than 10% and increased our remittance transactions volume by approximately 17%. In the three months ended March 31, 2020, we processed approximately 7.0 million remittances, representing approximately 14% growth in transactions, as compared to the same period in 2019.</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non-bank financial institution in the United States, we are regulated by the Department of Treasury, the Internal Revenue Service, FinCEN, the Consumer Financial Protection Bureau (“CFPB”),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(“GLBA”); and consumer disclosure and consumer protection laws, such as the California Consumer Privacy Act (“CCPA”).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70" w:lineRule="exact"/>
        <w:rPr>
          <w:sz w:val="20"/>
          <w:szCs w:val="20"/>
          <w:color w:val="auto"/>
        </w:rPr>
      </w:pPr>
    </w:p>
    <w:p>
      <w:pPr>
        <w:ind w:left="980" w:right="4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 volatility;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2019 and in the first quarter of 2020, Latin American political and economic conditions have remained unstable, as evidenced by high unemployment rates in key markets, currency reserves, currency controls, restricted lending activity, weak currencies, low consumer confidence and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w:t>
      </w:r>
    </w:p>
    <w:p>
      <w:pPr>
        <w:sectPr>
          <w:pgSz w:w="11900" w:h="16838" w:orient="portrait"/>
          <w:cols w:equalWidth="0" w:num="1">
            <w:col w:w="11240"/>
          </w:cols>
          <w:pgMar w:left="320" w:top="125" w:right="339" w:bottom="1440" w:gutter="0" w:footer="0" w:header="0"/>
        </w:sect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typical for the industry. We compete for money remittance customers on the basis of trust, convenience, service, efficiency of outlets, value, technology and brand recognition.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184" w:lineRule="exact"/>
        <w:rPr>
          <w:sz w:val="20"/>
          <w:szCs w:val="20"/>
          <w:color w:val="auto"/>
        </w:rPr>
      </w:pPr>
    </w:p>
    <w:p>
      <w:pPr>
        <w:ind w:left="980" w:right="30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exemption from the adoption of new or revised financial accounting standards until they would apply to private companies; and</w:t>
      </w:r>
    </w:p>
    <w:p>
      <w:pPr>
        <w:spacing w:after="0" w:line="236" w:lineRule="exact"/>
        <w:rPr>
          <w:rFonts w:ascii="Arial" w:cs="Arial" w:eastAsia="Arial" w:hAnsi="Arial"/>
          <w:sz w:val="17"/>
          <w:szCs w:val="17"/>
          <w:color w:val="auto"/>
        </w:rPr>
      </w:pPr>
    </w:p>
    <w:p>
      <w:pPr>
        <w:ind w:left="980" w:right="2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2019, the market value of our common stock that is held by non-affiliates approximated $214.8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and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our closest GAAP measure.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or sending agents use higher fee methods to remit the funds to us. Service charges also vary based on the method the customer selects to send the transfer and payer organization that facilitates the transaction.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finance and human resources. Our sales team, located throughout the United States and Canada, is focused on supporting and growing our sending agent network.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primarily consist of fixed overhead expenses associated with our operations, such as information technology, rent, insurance, professional services, non-income taxes, facilities maintenance and other similar types of expenses. A portion of these expenses relate to our 33 company-operated stores; however, the majority relate to the overall business and compliance requirements of a regulated publicly traded financial services company. Selling expenses include expenses such as advertising and promotion, provision for bad debt and expenses associated with increasing our network of agents. These expenses are expected to continue to increase in line with increase in revenues.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and revolving credit facility. The effective interest rates for the three months ended March 31, 2020 for the term loan and revolving credit facility were 6.80% and 2.27%, respectively. 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2037. After consideration of all evidence, both positive and negative, management has determined that no valuation allowance is required at March 31, 2020 on the Company's U.S. federal or state deferred tax assets. However, a valuation allowance of $73.3 thousand as of March 31, 2020 has been recorded on deferred tax assets associated with Canadian net operating loss carryforwards. Our income tax provision has been impacted by state taxes, non-deductible expenses, share-based compensation expenses, and foreign tax rates applicable to the Company’s foreign subsidiaries that are higher or lower than the U.S. statutory rate.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organized around one reportable segment that provides money transmittal services primarily between the United States and Latin America. This is based on the objectives of the business and how our chief operating decision maker, the CEO and President, monitors operating performance and allocates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26"/>
        </w:trPr>
        <w:tc>
          <w:tcPr>
            <w:tcW w:w="3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color w:val="auto"/>
              </w:rPr>
              <w:t>Three Months Ended</w:t>
            </w:r>
          </w:p>
        </w:tc>
      </w:tr>
      <w:tr>
        <w:trPr>
          <w:trHeight w:val="230"/>
        </w:trPr>
        <w:tc>
          <w:tcPr>
            <w:tcW w:w="34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20"/>
                <w:szCs w:val="20"/>
                <w:color w:val="auto"/>
              </w:rPr>
            </w:pPr>
          </w:p>
        </w:tc>
      </w:tr>
      <w:tr>
        <w:trPr>
          <w:trHeight w:val="311"/>
        </w:trPr>
        <w:tc>
          <w:tcPr>
            <w:tcW w:w="340" w:type="dxa"/>
            <w:vAlign w:val="bottom"/>
          </w:tcPr>
          <w:p>
            <w:pPr>
              <w:spacing w:after="0"/>
              <w:rPr>
                <w:sz w:val="24"/>
                <w:szCs w:val="24"/>
                <w:color w:val="auto"/>
              </w:rPr>
            </w:pPr>
          </w:p>
        </w:tc>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2019</w:t>
            </w:r>
          </w:p>
        </w:tc>
      </w:tr>
      <w:tr>
        <w:trPr>
          <w:trHeight w:val="230"/>
        </w:trPr>
        <w:tc>
          <w:tcPr>
            <w:tcW w:w="34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67,095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58,451</w:t>
            </w: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gain,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9,402</w:t>
            </w:r>
          </w:p>
        </w:tc>
      </w:tr>
      <w:tr>
        <w:trPr>
          <w:trHeight w:val="283"/>
        </w:trPr>
        <w:tc>
          <w:tcPr>
            <w:tcW w:w="340" w:type="dxa"/>
            <w:vAlign w:val="bottom"/>
          </w:tcPr>
          <w:p>
            <w:pPr>
              <w:spacing w:after="0"/>
              <w:rPr>
                <w:sz w:val="24"/>
                <w:szCs w:val="24"/>
                <w:color w:val="auto"/>
              </w:rPr>
            </w:pPr>
          </w:p>
        </w:tc>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r>
      <w:tr>
        <w:trPr>
          <w:trHeight w:val="243"/>
        </w:trPr>
        <w:tc>
          <w:tcPr>
            <w:tcW w:w="3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68,349</w:t>
            </w:r>
          </w:p>
        </w:tc>
      </w:tr>
      <w:tr>
        <w:trPr>
          <w:trHeight w:val="243"/>
        </w:trPr>
        <w:tc>
          <w:tcPr>
            <w:tcW w:w="3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45,569</w:t>
            </w:r>
          </w:p>
        </w:tc>
      </w:tr>
      <w:tr>
        <w:trPr>
          <w:trHeight w:val="243"/>
        </w:trPr>
        <w:tc>
          <w:tcPr>
            <w:tcW w:w="340" w:type="dxa"/>
            <w:vAlign w:val="bottom"/>
          </w:tcPr>
          <w:p>
            <w:pPr>
              <w:spacing w:after="0"/>
              <w:rPr>
                <w:sz w:val="21"/>
                <w:szCs w:val="21"/>
                <w:color w:val="auto"/>
              </w:rPr>
            </w:pPr>
          </w:p>
        </w:tc>
        <w:tc>
          <w:tcPr>
            <w:tcW w:w="648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7,597</w:t>
            </w:r>
          </w:p>
        </w:tc>
      </w:tr>
      <w:tr>
        <w:trPr>
          <w:trHeight w:val="27"/>
        </w:trPr>
        <w:tc>
          <w:tcPr>
            <w:tcW w:w="3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5,723</w:t>
            </w:r>
          </w:p>
        </w:tc>
      </w:tr>
      <w:tr>
        <w:trPr>
          <w:trHeight w:val="283"/>
        </w:trPr>
        <w:tc>
          <w:tcPr>
            <w:tcW w:w="340" w:type="dxa"/>
            <w:vAlign w:val="bottom"/>
          </w:tcPr>
          <w:p>
            <w:pPr>
              <w:spacing w:after="0"/>
              <w:rPr>
                <w:sz w:val="24"/>
                <w:szCs w:val="24"/>
                <w:color w:val="auto"/>
              </w:rPr>
            </w:pPr>
          </w:p>
        </w:tc>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3,152</w:t>
            </w:r>
          </w:p>
        </w:tc>
      </w:tr>
      <w:tr>
        <w:trPr>
          <w:trHeight w:val="243"/>
        </w:trPr>
        <w:tc>
          <w:tcPr>
            <w:tcW w:w="3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62,041</w:t>
            </w:r>
          </w:p>
        </w:tc>
      </w:tr>
      <w:tr>
        <w:trPr>
          <w:trHeight w:val="270"/>
        </w:trPr>
        <w:tc>
          <w:tcPr>
            <w:tcW w:w="34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3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6,308</w:t>
            </w:r>
          </w:p>
        </w:tc>
      </w:tr>
      <w:tr>
        <w:trPr>
          <w:trHeight w:val="270"/>
        </w:trPr>
        <w:tc>
          <w:tcPr>
            <w:tcW w:w="34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7"/>
        </w:trPr>
        <w:tc>
          <w:tcPr>
            <w:tcW w:w="340" w:type="dxa"/>
            <w:vAlign w:val="bottom"/>
          </w:tcPr>
          <w:p>
            <w:pPr>
              <w:spacing w:after="0"/>
              <w:rPr>
                <w:sz w:val="24"/>
                <w:szCs w:val="24"/>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2,071</w:t>
            </w:r>
          </w:p>
        </w:tc>
      </w:tr>
      <w:tr>
        <w:trPr>
          <w:trHeight w:val="257"/>
        </w:trPr>
        <w:tc>
          <w:tcPr>
            <w:tcW w:w="34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0"/>
        </w:trPr>
        <w:tc>
          <w:tcPr>
            <w:tcW w:w="3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4,237</w:t>
            </w:r>
          </w:p>
        </w:tc>
      </w:tr>
      <w:tr>
        <w:trPr>
          <w:trHeight w:val="270"/>
        </w:trPr>
        <w:tc>
          <w:tcPr>
            <w:tcW w:w="34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7"/>
        </w:trPr>
        <w:tc>
          <w:tcPr>
            <w:tcW w:w="340" w:type="dxa"/>
            <w:vAlign w:val="bottom"/>
          </w:tcPr>
          <w:p>
            <w:pPr>
              <w:spacing w:after="0"/>
              <w:rPr>
                <w:sz w:val="24"/>
                <w:szCs w:val="24"/>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r>
      <w:tr>
        <w:trPr>
          <w:trHeight w:val="257"/>
        </w:trPr>
        <w:tc>
          <w:tcPr>
            <w:tcW w:w="34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95"/>
        </w:trPr>
        <w:tc>
          <w:tcPr>
            <w:tcW w:w="340" w:type="dxa"/>
            <w:vAlign w:val="bottom"/>
          </w:tcPr>
          <w:p>
            <w:pPr>
              <w:spacing w:after="0"/>
              <w:rPr>
                <w:sz w:val="24"/>
                <w:szCs w:val="24"/>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3,156</w:t>
            </w:r>
          </w:p>
        </w:tc>
      </w:tr>
      <w:tr>
        <w:trPr>
          <w:trHeight w:val="20"/>
        </w:trPr>
        <w:tc>
          <w:tcPr>
            <w:tcW w:w="34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1"/>
              </w:rPr>
              <w:t>Three Months</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1"/>
              </w:rPr>
              <w:t>Three Months</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0"/>
              </w:rPr>
              <w:t>Ended March 31,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rPr>
              <w:t>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0"/>
              </w:rPr>
              <w:t>Ended March 31,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rPr>
              <w:t>of</w:t>
            </w:r>
          </w:p>
        </w:tc>
        <w:tc>
          <w:tcPr>
            <w:tcW w:w="180" w:type="dxa"/>
            <w:vAlign w:val="bottom"/>
          </w:tcPr>
          <w:p>
            <w:pPr>
              <w:spacing w:after="0"/>
              <w:rPr>
                <w:sz w:val="18"/>
                <w:szCs w:val="18"/>
                <w:color w:val="auto"/>
              </w:rPr>
            </w:pPr>
          </w:p>
        </w:tc>
      </w:tr>
      <w:tr>
        <w:trPr>
          <w:trHeight w:val="271"/>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1020" w:type="dxa"/>
            <w:vAlign w:val="bottom"/>
            <w:tcBorders>
              <w:bottom w:val="single" w:sz="8" w:color="CCEEFF"/>
            </w:tcBorders>
          </w:tcPr>
          <w:p>
            <w:pPr>
              <w:jc w:val="center"/>
              <w:ind w:left="190"/>
              <w:spacing w:after="0"/>
              <w:rPr>
                <w:sz w:val="20"/>
                <w:szCs w:val="20"/>
                <w:color w:val="auto"/>
              </w:rPr>
            </w:pPr>
            <w:r>
              <w:rPr>
                <w:rFonts w:ascii="Arial" w:cs="Arial" w:eastAsia="Arial" w:hAnsi="Arial"/>
                <w:sz w:val="18"/>
                <w:szCs w:val="18"/>
                <w:color w:val="auto"/>
                <w:w w:val="86"/>
              </w:rPr>
              <w:t>Revenues</w:t>
            </w:r>
          </w:p>
        </w:tc>
        <w:tc>
          <w:tcPr>
            <w:tcW w:w="2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1020" w:type="dxa"/>
            <w:vAlign w:val="bottom"/>
            <w:tcBorders>
              <w:bottom w:val="single" w:sz="8" w:color="CCEEFF"/>
            </w:tcBorders>
          </w:tcPr>
          <w:p>
            <w:pPr>
              <w:jc w:val="center"/>
              <w:ind w:left="190"/>
              <w:spacing w:after="0"/>
              <w:rPr>
                <w:sz w:val="20"/>
                <w:szCs w:val="20"/>
                <w:color w:val="auto"/>
              </w:rPr>
            </w:pPr>
            <w:r>
              <w:rPr>
                <w:rFonts w:ascii="Arial" w:cs="Arial" w:eastAsia="Arial" w:hAnsi="Arial"/>
                <w:sz w:val="18"/>
                <w:szCs w:val="18"/>
                <w:color w:val="auto"/>
                <w:w w:val="86"/>
              </w:rPr>
              <w:t>Revenues</w:t>
            </w:r>
          </w:p>
        </w:tc>
        <w:tc>
          <w:tcPr>
            <w:tcW w:w="180" w:type="dxa"/>
            <w:vAlign w:val="bottom"/>
            <w:tcBorders>
              <w:bottom w:val="single" w:sz="8" w:color="CCEEFF"/>
            </w:tcBorders>
          </w:tcPr>
          <w:p>
            <w:pPr>
              <w:spacing w:after="0"/>
              <w:rPr>
                <w:sz w:val="23"/>
                <w:szCs w:val="23"/>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Wire transfer and money order fees,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67,095</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58,451</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exchange gain, net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84"/>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w:t>
            </w:r>
          </w:p>
        </w:tc>
        <w:tc>
          <w:tcPr>
            <w:tcW w:w="130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8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77,251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68,349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Wire transfer and money order fees, net of $67.1 million for the three months ended March 31, 2020 increased by $8.6 million from $58.5 million for the three months ended March 31, 2019. This increase of $8.6 million was primarily due to a 17% increase in transaction volume compared to the first quarter of 2019, largely due to the continued growth in our agent network, which has increased by 10% from March 2019 to March 2020.</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Revenues from foreign exchange gain, net of $9.6 million for the three months ended March 31, 2020 increased by $0.2 million from $9.4 million for the three months ended March 31, 2019. This increase was primarily due to higher transaction volume and principal amount sent by our customers taking advantage of the devaluation of the Mexican peso, particularly in the month of March 2020. This was offset by higher volume of cancellations in the month of March 2020, potentially as a result of increased foreign exchange volatility resulting from the economic effects of the pandemic.</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1"/>
              </w:rPr>
              <w:t>Three Months</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1"/>
              </w:rPr>
              <w:t>Three Months</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0"/>
              </w:rPr>
              <w:t>Ended March 31,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rPr>
              <w:t>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1"/>
              </w:rPr>
              <w:t>Ended March 31,</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of</w:t>
            </w:r>
          </w:p>
        </w:tc>
        <w:tc>
          <w:tcPr>
            <w:tcW w:w="180" w:type="dxa"/>
            <w:vAlign w:val="bottom"/>
          </w:tcPr>
          <w:p>
            <w:pPr>
              <w:spacing w:after="0"/>
              <w:rPr>
                <w:sz w:val="18"/>
                <w:szCs w:val="18"/>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6"/>
              </w:rPr>
              <w:t>Revenues</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6"/>
              </w:rPr>
              <w:t>Revenues</w:t>
            </w:r>
          </w:p>
        </w:tc>
        <w:tc>
          <w:tcPr>
            <w:tcW w:w="180" w:type="dxa"/>
            <w:vAlign w:val="bottom"/>
          </w:tcPr>
          <w:p>
            <w:pPr>
              <w:spacing w:after="0"/>
              <w:rPr>
                <w:sz w:val="22"/>
                <w:szCs w:val="22"/>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charges from agents and banks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52,227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45,569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7,359</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7,597</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84"/>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2,690</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3,152</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88"/>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67,613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62,041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$52.2 million, or 68% of revenues,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compared to $45.6 million, or 67% of revenues, for the three months ended March 31, 2019. The increase of $6.6 million was primarily due to the increase in transaction volume.</w:t>
      </w:r>
    </w:p>
    <w:p>
      <w:pPr>
        <w:spacing w:after="0" w:line="184"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i w:val="1"/>
          <w:iCs w:val="1"/>
          <w:color w:val="auto"/>
        </w:rPr>
        <w:t xml:space="preserve">Salaries and benefits </w:t>
      </w:r>
      <w:r>
        <w:rPr>
          <w:rFonts w:ascii="Arial" w:cs="Arial" w:eastAsia="Arial" w:hAnsi="Arial"/>
          <w:sz w:val="18"/>
          <w:szCs w:val="18"/>
          <w:color w:val="auto"/>
        </w:rPr>
        <w:t>— Salaries and benefits were $7.4 million for the three months ended March 31, 2020, a decrease of $0.2 million from $7.6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2019. The decrease of $0.2 million is primarily due to $0.4 million decrease in commissions expense, offset by a $0.2 million increase in wages, largely in management and other areas to support our growing operations.</w:t>
      </w:r>
    </w:p>
    <w:p>
      <w:pPr>
        <w:spacing w:after="0" w:line="184" w:lineRule="exact"/>
        <w:rPr>
          <w:sz w:val="20"/>
          <w:szCs w:val="20"/>
          <w:color w:val="auto"/>
        </w:rPr>
      </w:pPr>
    </w:p>
    <w:p>
      <w:pPr>
        <w:jc w:val="both"/>
        <w:ind w:firstLine="607"/>
        <w:spacing w:after="0" w:line="290" w:lineRule="auto"/>
        <w:rPr>
          <w:sz w:val="20"/>
          <w:szCs w:val="20"/>
          <w:color w:val="auto"/>
        </w:rPr>
      </w:pPr>
      <w:r>
        <w:rPr>
          <w:rFonts w:ascii="Arial" w:cs="Arial" w:eastAsia="Arial" w:hAnsi="Arial"/>
          <w:sz w:val="16"/>
          <w:szCs w:val="16"/>
          <w:i w:val="1"/>
          <w:iCs w:val="1"/>
          <w:color w:val="auto"/>
        </w:rPr>
        <w:t xml:space="preserve">Other selling, general and administrative expenses </w:t>
      </w:r>
      <w:r>
        <w:rPr>
          <w:rFonts w:ascii="Arial" w:cs="Arial" w:eastAsia="Arial" w:hAnsi="Arial"/>
          <w:sz w:val="16"/>
          <w:szCs w:val="16"/>
          <w:color w:val="auto"/>
        </w:rPr>
        <w:t>— Other selling, general and administrative expenses of $5.3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2020 decreased by $0.4 million from $5.7 million for the three months ended March 31, 2019. The decrease of $0.4 million is primarily due to $0.9 million of legal and other professional expenses during the three months ending March 31, 2019 related to fees associated with the Company’s SEC filings, including a tender offer for warrants that did not reoccur in 2020. This decrease was offset by an increase of $0.3 million in rent, property taxes and other operating expenses and $0.2 million in IT related expenses during the three months ended March 31, 2020 incurred to sustain our business expansion. In addition, bad debt expense was approximately $0.7 million for the three months ended March 31, 2020 and $0.4 million for the three months ended March 31, 2019 as write-offs were higher in the first quarter of 2020 resulting from the deterioration of the creditworthiness of a small number of sending agents during the beginning of the quarter rather than the result of sending agents being adversely affected by the COVID-19 pandemic.</w:t>
      </w:r>
    </w:p>
    <w:p>
      <w:pPr>
        <w:spacing w:after="0" w:line="165"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$2.7 million for the three months ended March 31, 2020 decreased by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$3.2 million for the three months ended March 31, 2019. This decrease is mainly due to $0.6 million less amortization related to our trade name, developed technology and agent relationships during the first quarter of 2020 as these intangibles are being amortized on an accelerated basis, which declines over time. This decrease was partially offset by an increase in depreciation of $0.1 million associated primarily with additional computer equipment to support our growing business and sending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was $1.9 million for the three months ended March 31, 2020, a decrease of $0.2 million from $2.1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2019. The decrease of $0.2 million was primarily due to a reduction in interest rates paid under the Credit Agreement (as defined below) and a less intensive use of the revolving credit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$2.1 million for the three months ended March 31, 2020, an increase of $1.0 million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provision of $1.1 million for the three months ended March 31, 2019. The increase in the income tax provision was mainly due to $0.9 million increase attributable to higher taxable income and $0.1 million of non-deductible expenses and other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reported net income of $5.7 million for the three months ended March 31, 2020 compared to net income of $3.2 million for the three months ended March 31, 2019 due primarily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resulting from push-down accounting, non-cash compensation costs and other items set forth in the table below, as these charges and expenses are not considered a part of our core business operations and are not an indicator of ongoing, future company performance.</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Earnings per Share is calculated by dividing Adjusted Net Income by GAAP weighted-average common shares outstanding (basic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present Adjusted Net Income and Adjusted Earnings per Share because, in addition to the use of these metrics by management as described above, we believe they are frequently used by analysts, investors and other interested parties to evaluate companies in our industry. Further, we believe they are helpful in highlighting trends in our operating results, because they exclude,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Adjusted Net Income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184" w:lineRule="exact"/>
        <w:rPr>
          <w:sz w:val="20"/>
          <w:szCs w:val="20"/>
          <w:color w:val="auto"/>
        </w:rPr>
      </w:pPr>
    </w:p>
    <w:p>
      <w:pPr>
        <w:jc w:val="both"/>
        <w:ind w:firstLine="607"/>
        <w:spacing w:after="0" w:line="311" w:lineRule="auto"/>
        <w:rPr>
          <w:sz w:val="20"/>
          <w:szCs w:val="20"/>
          <w:color w:val="auto"/>
        </w:rPr>
      </w:pPr>
      <w:r>
        <w:rPr>
          <w:rFonts w:ascii="Arial" w:cs="Arial" w:eastAsia="Arial" w:hAnsi="Arial"/>
          <w:sz w:val="16"/>
          <w:szCs w:val="16"/>
          <w:color w:val="auto"/>
        </w:rPr>
        <w:t>Adjusted Net Income for the three months ended March 31, 2020 was $7.6 million, representing an increase of $1.8 million, or 30.0%, from Adjusted Net Income of $5.8 million for the three months ended March 31, 2019. The increase in Adjusted Net Income was primarily due to the increase in revenues of $8.9 million, offset primarily by an increase in service charges from agents and banks of $6.6 million due to higher transaction volume.</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4"/>
          </w:tcPr>
          <w:p>
            <w:pPr>
              <w:jc w:val="right"/>
              <w:ind w:right="330"/>
              <w:spacing w:after="0"/>
              <w:rPr>
                <w:sz w:val="20"/>
                <w:szCs w:val="20"/>
                <w:color w:val="auto"/>
              </w:rPr>
            </w:pPr>
            <w:r>
              <w:rPr>
                <w:rFonts w:ascii="Arial" w:cs="Arial" w:eastAsia="Arial" w:hAnsi="Arial"/>
                <w:sz w:val="18"/>
                <w:szCs w:val="18"/>
                <w:color w:val="auto"/>
                <w:w w:val="96"/>
              </w:rPr>
              <w:t>Three Months Ended March 31,</w:t>
            </w:r>
          </w:p>
        </w:tc>
      </w:tr>
      <w:tr>
        <w:trPr>
          <w:trHeight w:val="34"/>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3,156</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 (a)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513</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 (d)</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Amortization of intangibles (f)</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2,312</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 (g)</w:t>
            </w: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7,596</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5,830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r>
      <w:tr>
        <w:trPr>
          <w:trHeight w:val="270"/>
        </w:trPr>
        <w:tc>
          <w:tcPr>
            <w:tcW w:w="6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38,035,014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36,182,783</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38,038,674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36,195,463</w:t>
            </w:r>
          </w:p>
        </w:tc>
      </w:tr>
      <w:tr>
        <w:trPr>
          <w:trHeight w:val="27"/>
        </w:trPr>
        <w:tc>
          <w:tcPr>
            <w:tcW w:w="6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line="250" w:lineRule="auto"/>
        <w:tabs>
          <w:tab w:leader="none" w:pos="337" w:val="left"/>
        </w:tabs>
        <w:numPr>
          <w:ilvl w:val="0"/>
          <w:numId w:val="10"/>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 The Company recorded $0.7 million and $0.6 million of expense related to these equity instruments during the three months ended March 31, 2020 and 2019, respectively.</w:t>
      </w: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Company incurred $0.5 million of expenses during the three months ended March 31, 2019 for professional and legal fees in connection with a tender offer for the Company’s warrants.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legal fees related to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$0.1 million of severance costs incurred during the three months ended March 31,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amortization of certain intangible assets that resulted from the application of push-down accounting.</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Adjusted Earnings per Share for the three months ended March 31, 2020 was $0.20 an increase of $0.04, or 25%, compared to $0.16 for the three months ended March 31, 2019.</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GAAP Earnings per Share, our closest GAAP measure, to Adjusted Earnings per Share: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140" w:type="dxa"/>
            <w:vAlign w:val="bottom"/>
            <w:gridSpan w:val="5"/>
          </w:tcPr>
          <w:p>
            <w:pPr>
              <w:jc w:val="right"/>
              <w:ind w:right="330"/>
              <w:spacing w:after="0"/>
              <w:rPr>
                <w:sz w:val="20"/>
                <w:szCs w:val="20"/>
                <w:color w:val="auto"/>
              </w:rPr>
            </w:pPr>
            <w:r>
              <w:rPr>
                <w:rFonts w:ascii="Arial" w:cs="Arial" w:eastAsia="Arial" w:hAnsi="Arial"/>
                <w:sz w:val="18"/>
                <w:szCs w:val="18"/>
                <w:color w:val="auto"/>
              </w:rPr>
              <w:t>Three Months Ended March 31,</w:t>
            </w:r>
          </w:p>
        </w:tc>
      </w:tr>
      <w:tr>
        <w:trPr>
          <w:trHeight w:val="34"/>
        </w:trPr>
        <w:tc>
          <w:tcPr>
            <w:tcW w:w="6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r>
      <w:tr>
        <w:trPr>
          <w:trHeight w:val="34"/>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GAAP Earnings per Share - Basic and Diluted</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0.01</w:t>
            </w: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NM</w:t>
            </w: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NM</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0.06</w:t>
            </w:r>
          </w:p>
        </w:tc>
      </w:tr>
      <w:tr>
        <w:trPr>
          <w:trHeight w:val="27"/>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related to adjustments</w:t>
            </w: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 - Basic and Diluted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0.20</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0.16</w:t>
            </w:r>
          </w:p>
        </w:tc>
      </w:tr>
      <w:tr>
        <w:trPr>
          <w:trHeight w:val="21"/>
        </w:trPr>
        <w:tc>
          <w:tcPr>
            <w:tcW w:w="6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Per share amounts are not meaningful.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EBITDA is one of the primary metrics used by management to evaluate the financial performance of our business. We present Adjusted EBITDA because we believe it is frequently used by analysts, investors and other interested parties to evaluate companies in our industry. Further, we believe it is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Adjusted EBITDA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U.S. GAAP measures. Some of these limitations include the following:</w:t>
      </w:r>
    </w:p>
    <w:p>
      <w:pPr>
        <w:spacing w:after="0" w:line="1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amounts necessary to service interest or principal payments on our Credit Agreement;</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adjust for these limitations by relying primarily on our GAAP results and using Adjusted EBITDA only as supplemental information.</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for the three months ended March 31, 2020 was $13.2 million, representing an increase of $2.4 million, or 22.8%, from $10.8 million for the three months ended March 31, 2019. The increase in Adjusted EBITDA was primarily due to the increase in revenues of $8.9 million, offset primarily by an increase in service charges from agents and banks of $6.6 million due an increase in transaction volume.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4"/>
          </w:tcPr>
          <w:p>
            <w:pPr>
              <w:jc w:val="right"/>
              <w:ind w:right="330"/>
              <w:spacing w:after="0"/>
              <w:rPr>
                <w:sz w:val="20"/>
                <w:szCs w:val="20"/>
                <w:color w:val="auto"/>
              </w:rPr>
            </w:pPr>
            <w:r>
              <w:rPr>
                <w:rFonts w:ascii="Arial" w:cs="Arial" w:eastAsia="Arial" w:hAnsi="Arial"/>
                <w:sz w:val="18"/>
                <w:szCs w:val="18"/>
                <w:color w:val="auto"/>
                <w:w w:val="96"/>
              </w:rPr>
              <w:t>Three Months Ended March 31,</w:t>
            </w:r>
          </w:p>
        </w:tc>
        <w:tc>
          <w:tcPr>
            <w:tcW w:w="0" w:type="dxa"/>
            <w:vAlign w:val="bottom"/>
          </w:tcPr>
          <w:p>
            <w:pPr>
              <w:spacing w:after="0"/>
              <w:rPr>
                <w:sz w:val="1"/>
                <w:szCs w:val="1"/>
                <w:color w:val="auto"/>
              </w:rPr>
            </w:pPr>
          </w:p>
        </w:tc>
      </w:tr>
      <w:tr>
        <w:trPr>
          <w:trHeight w:val="34"/>
        </w:trPr>
        <w:tc>
          <w:tcPr>
            <w:tcW w:w="6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4"/>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3,156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6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12,328</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9,460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Share-based compensation, 2018 Plan (a)</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Offering costs (b)</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TCPA settlement (c)</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employee severance (d)</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charges and expenses (e)</w:t>
            </w: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13,220</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10,764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200" w:hanging="332"/>
        <w:spacing w:after="0" w:line="250" w:lineRule="auto"/>
        <w:tabs>
          <w:tab w:leader="none" w:pos="3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Stock options and restricted stock were granted to employees and independent directors of the Company. The Company recorded $0.7 million and $0.6 million of expense related to these equity instruments during the three months ended March 31, 2020 and 2019, respectively.</w:t>
      </w: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Company incurred $0.5 million of expenses during the three months ended March 31, 2019 for professional and legal fees in connection with a tender offer for the Company’s warrants.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legal fees related to the settlement of a class action lawsuit related to the TCPA.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$0.1 million of severance costs incurred during the three months ended March 31, 2019 related to departmental changes.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loss on disposal of fixed assets and foreign currency (gains) losses.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consider liquidity in terms of cash flows from operations and their sufficiency to fund business operations, including working capital needs, debt service, acquisitions, contractual obligations and other commitments. In particular, to meet our payment service obligations at all times, we must have sufficient highly liquid assets and be able to move funds on a timely basis.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and supplemented with borrowings under our revolving credit facility. Our primary cash needs are for day to day operations, to pay interest and principal on our indebtedness, to fund working capital requirements and to make capital expenditures.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recent effects of the COVID-19 pandemic, we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we maintain a strong cash balance position and have access to committed funding sources.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 We will, however, continue to evaluate the nature and extent of these potential impacts to our business and liquidity and capital resources and take action, as necessary, to preserve adequate liquidity, such as limiting discretionary spending and re-prioritizing our capital projects, to ensure that our business can continue to operate during these uncertain times.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and certain of its domestic subsidiaries as borrowers have a financing agreement (as amended, the “Credit Agreement”) with a group of banking institutions. The Credit Agreement provided for a $35.0 million revolving credit facility, a $90.0 million term loan facility and up to a $30.0 million incremental facility, of which $12.0 million was utilized in the second quarter of 2019. The Credit Agreement also provides for the issuance of letters of credit, which would reduce availability under the revolving credit facility. The maturity date of the Credit Agreement is November 7, 2023.</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on the term loan and revolving credit facilities of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three months ended March 31, 2020 for the term loan and revolving credit facility were 6.80% and 2.27%, respectively.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 in year 1, 7.5% in years 2 and 3, 10% in years 4 and 5, in each case on the last day of each quarter, which commenced in March 2019 with a final payment at maturity. The loans under the Credit Agreement may be prepaid at any time without payment or penalty.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 The Credit Agreement allows for redemptions or acquisitions of the Company’s equity interests subject to certain dollar limitations.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also contains financial covenants that require the Company to maintain a quarterly minimum fixed charge coverage ratio of 1.25:1.00 and a quarterly maximum consolidated leverage ratio of 3.25:1.00.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were in compliance with the covenants of the Credit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2020, we had total indebtedness of $95.1 million, consisting of borrowings under the term loan facility, excluding debt origination costs of $2.2 million. There were $53.0 million of additional borrowings available under these facilities as of March 31, 2020.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indebtedness, which may limit our operating flexibility and could adversely affect our business,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4"/>
          </w:tcPr>
          <w:p>
            <w:pPr>
              <w:jc w:val="right"/>
              <w:ind w:right="350"/>
              <w:spacing w:after="0"/>
              <w:rPr>
                <w:sz w:val="20"/>
                <w:szCs w:val="20"/>
                <w:color w:val="auto"/>
              </w:rPr>
            </w:pPr>
            <w:r>
              <w:rPr>
                <w:rFonts w:ascii="Arial" w:cs="Arial" w:eastAsia="Arial" w:hAnsi="Arial"/>
                <w:sz w:val="18"/>
                <w:szCs w:val="18"/>
                <w:color w:val="auto"/>
                <w:w w:val="96"/>
              </w:rPr>
              <w:t>Three Months Ended March 31</w:t>
            </w:r>
          </w:p>
        </w:tc>
      </w:tr>
      <w:tr>
        <w:trPr>
          <w:trHeight w:val="3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Statement of Cash Flows Data:</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18,780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29,215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(16,125)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Net increase in cash</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11,710</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6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84"/>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beginning of the period</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73,029</w:t>
            </w: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101,838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84,739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was $18.8 million for the three months ended March 31, 2020, a decrease of $10.4 million from net cash provided by operating activities of $29.2 million for the three months ended March 31, 2019. The decrease is a result of $13.6 million for changes in working capital items (which may vary due to timing of transmittal orders and payments), offset by additional cash generated by our operating results for the three months ended March 31, 2020, which benefited from further growth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$0.9 million for the three months ended March 31, 2020, a decrease of $0.5 million from net cash used in investing activities of $1.4 million for the three months ended March 31, 2019. This decrease in cash used was primarily due to lower purchases of property and equipment and no acquisitions of agent locations during the three months ended March 31, 2020.</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financing activities was $1.9 million for the three months ended March 31, 2020, which consisted of $1.9 million quarterly repayments due on the term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$16.1 million for the three months ended March 31, 2019, which consisted of $15.0 million in net revolving credit facility repayments and $1.1 million of quarterly repayment due on the term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March 31, 2020, our contractual obligations over the next several periods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More than</w:t>
            </w:r>
          </w:p>
        </w:tc>
      </w:tr>
      <w:tr>
        <w:trPr>
          <w:trHeight w:val="275"/>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3 to 5 years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 years</w:t>
            </w:r>
          </w:p>
        </w:tc>
      </w:tr>
      <w:tr>
        <w:trPr>
          <w:trHeight w:val="24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r>
      <w:tr>
        <w:trPr>
          <w:trHeight w:val="270"/>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117,725</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29,947</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72,920</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w:t>
            </w:r>
          </w:p>
        </w:tc>
      </w:tr>
      <w:tr>
        <w:trPr>
          <w:trHeight w:val="20"/>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balance sheet reflects $92.9 million of debt as of March 31, 2020, as the principal payment obligations of $95.1 million are gross of unamortized debt origination costs. The above table reflects the principal and interest of the revolver and term loan under the Credit Agreement that will be paid through the maturity of the debt using the rates in effect on March 31, 2020 and assuming no voluntary prepayments of principal.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a party to any off-balance sheet arrangements, such as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w:t>
      </w:r>
      <w:r>
        <w:rPr>
          <w:rFonts w:ascii="Arial" w:cs="Arial" w:eastAsia="Arial" w:hAnsi="Arial"/>
          <w:sz w:val="16"/>
          <w:szCs w:val="16"/>
          <w:i w:val="1"/>
          <w:iCs w:val="1"/>
          <w:color w:val="auto"/>
        </w:rPr>
        <w:t>Management’s Discussion and Analysis of Financial Condition and Results of Operations - Critical Accounting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Estimates</w:t>
      </w:r>
      <w:r>
        <w:rPr>
          <w:rFonts w:ascii="Arial" w:cs="Arial" w:eastAsia="Arial" w:hAnsi="Arial"/>
          <w:sz w:val="16"/>
          <w:szCs w:val="16"/>
          <w:color w:val="auto"/>
        </w:rPr>
        <w:t>” in our Annual Report on Form 10-K for the year ended December 31, 2019, for which there were no material changes, included the following:</w:t>
      </w:r>
    </w:p>
    <w:p>
      <w:pPr>
        <w:spacing w:after="0" w:line="157" w:lineRule="exact"/>
        <w:rPr>
          <w:sz w:val="20"/>
          <w:szCs w:val="20"/>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Receivable and Allowance for Doubtful Accounts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 to Note 1 of our unaudited condensed consolidated financial statements included in this filing for further information on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settled within two business days from trade date. However, foreign currency fluctuations may negatively impact our average exchange gain per transaction.</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included in wire transfer and money orders payable in our condensed consolidated balance sheets as of March 31, 2020 and December 31, 2019, there are $12.5 million and $10.9 million, respectively, of wires payable denominated primarily in Mexican pesos and Guatemalan quetzales.</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Mexico and Guatemala. Revenues from our foreign subsidiaries represent less than 3% of our consolidated revenues for the three months ended March 31, 2020 and 2019, respectively. Therefore, a 10% increase or decrease in these currency rates against the U.S. Dollar would result in a minimal change to our overall operating results.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spot exchange rates as of March 31, 2020 and December 31, 2019 were 23.75 and 18.86 for the Mexican peso/dollar, respectively, 7.67 and 7.69 for the Guatemalan quetzal/dollar, respectively, and 1.41 and 1.31 for the Canadian dollar/U.S. dollar, respectively. The average exchange rates for the three months ended March 31, 2020 and 2019 were 19.97 and 19.19 for the Mexican peso/dollar and 7.66 and 7.71 for the Guatemalan quetzal/dollar, respectively. The average exchange rates for the Canadian dollar/U.S. dollar for the three months ended March 31, 2020 was 1.34; we commenced operations in Canada during the third quarter of 2019, therefore, information prior to this period has not been presented. Long-term sustained appreciation of the Mexican peso or Guatemalan quetzal as compared to the U.S. dollar could negatively affect our margins.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March 2020, we have experienced increased volatility in the Mexican peso/dollar rates related to economic effects of the COVID-19 pandemic, as well as actions taken by governments and central banks in response to the pandemic. We continue to expect an increase in volatility in foreign exchange rates and depreciation against the U.S. dollar, especially for the Mexican peso, during 2020. However, we cannot reasonably estimate the duration or extent of that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on the term loan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Due to the economic effects of the COVID-19 pandemic, market interest rates have declined significantly, with the 10-year Treasury bond yield falling below 1.00% on March 3, 2020 and the 30-day LIBOR rate decreasing to 1.01% as of March 31, 2020, favorably affecting interest expense on the variable-rate portion of our debt during March 2020. We cannot predict, however, whether or for how long interest rates will remain at these low levels.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we had $95.1 million in outstanding borrowings under the term loan. A hypothetical 1% increase or decrease in the interest rate on our indebtedness as of March 31, 2020 would have increased or decreased cash interest expense on our term loan by approximately $1.0 million per annum.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insured.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March 31, 2020, we also had $1.6 million outstanding of notes receivable from sending agents. Most of the notes are collateralized by personal guarantees from the sending agents and by assets from their businesses. Due to the COVID-19 pandemic, it is possible we could be adversely affected by credit losses, such as those related to our outstanding notes receivables from sending agents. At the date of this report, however, we are not aware of any significant exposure and are continuing to monitor our credit risk.</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provision for bad debt was approximately $0.7 million for the three months ended March 31, 2020 (1% of total revenues) and $0.4 million for the three months ended March 31, 2019 (0.5% of total revenues) as write-offs were higher in the three months ended</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31, 2020, resulting from the deterioration of the creditworthiness of a small number of sending agents during the beginning of the quarter rather than the result of sending agents being adversely affected by the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required by Rules 13a-15(b) and 15d-15(b) under the Exchange Act, our Chief Executive Officer and Chief Financial Officer carried out an evaluation of the effectiveness of our disclosure controls and procedures as of March 31, 2020.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Chief Financial Officer, as appropriate to allow timely decisions regarding required disclosure, as of March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operational changes in response to the COVID-19 pandemic, 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30, 2019, Stuart Sawyer filed a putative class action complaint in the United States District Court for the Southern District of Florida asserting a claim under the Telephone Consumer Protection Act, 47 U.S.C. § 227, et seq. (“TCPA”), based on allegations that since May 30, 2015, the Company had sent text messages to class members’ wireless telephones without their consent. Following a mediation held on October 7, 2019, the Company and the plaintiff entered into a term sheet providing the general terms for the settlement of the action, which was memorialized in a definitive Settlement Agreement on March 16, 2020 subject to subsequent Court approval. The Settlement Agreement provides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Settlement Agreement also established procedures for the notification of claimants and the processing of claims. The settlement fund will be managed by a duly-appointed settlement administrator which will be authorized to communicate with class members, process claims and make payments from the fund in accordance with the terms of the Settlement Agreement and the final judgment in the case. No amount of the settlement fund will revert to the Company; instead, any unclaimed funds will be sent to a consumer advocacy organization approved by the Court.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remaining balance of the amount payable under the Settlement Agreement of approximately $2.9 million is included in accrued and other liabilities in the condensed consolidated balance sheet as of March 31, 2020.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also made to Note 12 – Commitments and Contingencies in the Unaudited Condensed Consolidated Financial Statements of International Money Express, Inc. contained elsewhere in this Quarterly Report on Form 10–Q for information regarding certain other legal proceedings to which we are a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as set forth below, there have been no material changes to our principal risks that we believe are material to our business, results of operations and financial condition, from the risk factors previously disclosed in the Annual Report on Form 10-K for the year ended December 31, 2019 (the “2019 Form 10-K”). Prospective investors are encouraged to consider the risks described in our 2019 Form 10-K, our Management’s Discussion and Analysis of Financial Condition and Results of Operations contained in this Quarterly Report on Form 10-Q and in our 2019 Form 10-K, and other information publicly disclosed or contained in documents we file with the Securities and Exchange Commission before purchasing our securities.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condition, results of operations, business and cash flow may be negatively affected by a public health crises such as the recent coronavirus (COVID-19) pandemic.</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face risks related to health epidemics and pandemics or other outbreaks of communicable diseases. During March 2020, a global pandemic was declared by the World Health Organization related to the rapidly growing outbreak of a novel strain of coronavirus (“COVID-19”). The global spread of COVID-19 has created significant volatility, uncertainty and economic disruption, including significant volatility in the capital markets. The extent to which the COVID-19 pandemic affects our business, operations, financial results and the trading price of our common stock will depend on numerous evolving factors that we may not be able to accurately predict, including: the duration and scope of the pandemic; governmental and business actions that have been and continue to be taken in response to the pandemic (including mitigation efforts such as stay at home and other social distancing orders) and the impact of the pandemic on economic activity and actions taken in response (including stimulus efforts such as the Families First Coronavirus Act and the CARES Act).</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public health epidemic or pandemic, such as the COVID-19 pandemic, can have a material adverse effect on the demand for our money remittance services to the extent it impacts the markets in which we operate, and poses the risk that we or our employees, network of agents and consumers and their beneficiaries may be prevented from conducting business activities for an indefinite period of time, including due to shutdowns that may be requested or mandated by governmental authorities, or that such epidemic may otherwise interrupt or impair business activities. In the first quarter of 2020 we have been subject, on a limited basis, to such shutdowns. We have adjusted standard operating procedures within our business operations to ensure the continued safety of our workers, are taking further actions to mitigate the impact of the pandemic on our business, and are continually monitoring evolving health guidelines, as well as market conditions, and responding to changes as appropriate. Despite these efforts, the COVID-19 pandemic continues to pose the risk that we or our employees, sending and paying agents, as well as consumers and their beneficiaries, may be prevented from conducting business</w:t>
      </w:r>
    </w:p>
    <w:p>
      <w:pPr>
        <w:sectPr>
          <w:pgSz w:w="11900" w:h="16838" w:orient="portrait"/>
          <w:cols w:equalWidth="0" w:num="1">
            <w:col w:w="11240"/>
          </w:cols>
          <w:pgMar w:left="320" w:top="125" w:right="339" w:bottom="1440" w:gutter="0" w:footer="0" w:header="0"/>
        </w:sectPr>
      </w:pP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activities, partially or completely, for an indefinite period of time, including due to shutdowns that may be requested or mandated by governmental authorities or imposed by our management, or that the pandemic may otherwise interrupt or impair business activities.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Adjustments to our operating procedures as a result of the COVID-19 pandemic only had a limited effect on the Company’s financial condition, results of operations and cash flows for the quarterly period ended March 31, 2020, however, we continue to monitor a moderate trend of decreasing volume of transactions beginning in the second quarter of 2020. 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in the first quarter of 2020 despite social distancing and other measures taken in response to the pandemic, the ultimate impact of the COVID-19 pandemic on our results of operations and financial condition is dependent on future developments, including the duration of the pandemic and the related extent of its severity, as well as its impact on the economic conditions, particularly the level of unemployment of our customers, which are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its business, financial condition, results of operations and cash flows.</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protect our workers, we are utilizing work from home measures. Despite our implementation of security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8300" w:type="dxa"/>
            <w:vAlign w:val="bottom"/>
          </w:tcPr>
          <w:p>
            <w:pPr>
              <w:ind w:left="220"/>
              <w:spacing w:after="0"/>
              <w:rPr>
                <w:sz w:val="20"/>
                <w:szCs w:val="20"/>
                <w:color w:val="auto"/>
              </w:rPr>
            </w:pPr>
            <w:r>
              <w:rPr>
                <w:rFonts w:ascii="Arial" w:cs="Arial" w:eastAsia="Arial" w:hAnsi="Arial"/>
                <w:sz w:val="18"/>
                <w:szCs w:val="18"/>
                <w:b w:val="1"/>
                <w:bCs w:val="1"/>
                <w:color w:val="auto"/>
              </w:rPr>
              <w:t>Document</w:t>
            </w:r>
          </w:p>
        </w:tc>
      </w:tr>
      <w:tr>
        <w:trPr>
          <w:trHeight w:val="283"/>
        </w:trPr>
        <w:tc>
          <w:tcPr>
            <w:tcW w:w="112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229"/>
        </w:trPr>
        <w:tc>
          <w:tcPr>
            <w:tcW w:w="1120" w:type="dxa"/>
            <w:vAlign w:val="bottom"/>
            <w:shd w:val="clear" w:color="auto" w:fill="CCEEFF"/>
          </w:tcPr>
          <w:p>
            <w:pPr>
              <w:spacing w:after="0"/>
              <w:rPr>
                <w:sz w:val="19"/>
                <w:szCs w:val="19"/>
                <w:color w:val="auto"/>
              </w:rPr>
            </w:pPr>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Settlement Agreement and Release, dated March 16, 2020, among Stuart Sawyer, on behalf of himself and all</w:t>
            </w:r>
          </w:p>
        </w:tc>
      </w:tr>
      <w:tr>
        <w:trPr>
          <w:trHeight w:val="216"/>
        </w:trPr>
        <w:tc>
          <w:tcPr>
            <w:tcW w:w="1120" w:type="dxa"/>
            <w:vAlign w:val="bottom"/>
            <w:shd w:val="clear" w:color="auto" w:fill="CCEEFF"/>
          </w:tcPr>
          <w:p>
            <w:pPr>
              <w:ind w:left="20"/>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10.1</w:t>
              </w:r>
            </w:hyperlink>
          </w:p>
        </w:tc>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Settlement Class Members, and Intermex Wire Transfer, LLC. (incorporated by reference to Exhibit 10.1 to the</w:t>
            </w: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Registrant’s Current Report on Form 8-K filed on March 18, 2020).</w:t>
            </w:r>
          </w:p>
        </w:tc>
      </w:tr>
      <w:tr>
        <w:trPr>
          <w:trHeight w:val="257"/>
        </w:trPr>
        <w:tc>
          <w:tcPr>
            <w:tcW w:w="1120" w:type="dxa"/>
            <w:vAlign w:val="bottom"/>
          </w:tcPr>
          <w:p>
            <w:pPr>
              <w:spacing w:after="0"/>
              <w:rPr>
                <w:sz w:val="22"/>
                <w:szCs w:val="22"/>
                <w:color w:val="auto"/>
              </w:rPr>
            </w:pPr>
          </w:p>
        </w:tc>
        <w:tc>
          <w:tcPr>
            <w:tcW w:w="8300" w:type="dxa"/>
            <w:vAlign w:val="bottom"/>
          </w:tcPr>
          <w:p>
            <w:pPr>
              <w:spacing w:after="0"/>
              <w:rPr>
                <w:sz w:val="22"/>
                <w:szCs w:val="22"/>
                <w:color w:val="auto"/>
              </w:rPr>
            </w:pPr>
          </w:p>
        </w:tc>
      </w:tr>
      <w:tr>
        <w:trPr>
          <w:trHeight w:val="250"/>
        </w:trPr>
        <w:tc>
          <w:tcPr>
            <w:tcW w:w="11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35">
              <w:r>
                <w:rPr>
                  <w:rFonts w:ascii="Arial" w:cs="Arial" w:eastAsia="Arial" w:hAnsi="Arial"/>
                  <w:sz w:val="18"/>
                  <w:szCs w:val="18"/>
                  <w:u w:val="single" w:color="auto"/>
                  <w:color w:val="0000FF"/>
                </w:rPr>
                <w:t>31.1</w:t>
              </w:r>
            </w:hyperlink>
            <w:r>
              <w:rPr>
                <w:rFonts w:ascii="Arial" w:cs="Arial" w:eastAsia="Arial" w:hAnsi="Arial"/>
                <w:sz w:val="18"/>
                <w:szCs w:val="18"/>
                <w:color w:val="000000"/>
              </w:rPr>
              <w:t>*</w:t>
            </w:r>
          </w:p>
        </w:tc>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Certification pursuant to Section 302 of the Sarbanes-Oxley Act - Chief Executive Officer</w:t>
            </w:r>
          </w:p>
        </w:tc>
      </w:tr>
      <w:tr>
        <w:trPr>
          <w:trHeight w:val="257"/>
        </w:trPr>
        <w:tc>
          <w:tcPr>
            <w:tcW w:w="1120" w:type="dxa"/>
            <w:vAlign w:val="bottom"/>
          </w:tcPr>
          <w:p>
            <w:pPr>
              <w:spacing w:after="0"/>
              <w:rPr>
                <w:sz w:val="22"/>
                <w:szCs w:val="22"/>
                <w:color w:val="auto"/>
              </w:rPr>
            </w:pPr>
          </w:p>
        </w:tc>
        <w:tc>
          <w:tcPr>
            <w:tcW w:w="8300" w:type="dxa"/>
            <w:vAlign w:val="bottom"/>
          </w:tcPr>
          <w:p>
            <w:pPr>
              <w:spacing w:after="0"/>
              <w:rPr>
                <w:sz w:val="22"/>
                <w:szCs w:val="22"/>
                <w:color w:val="auto"/>
              </w:rPr>
            </w:pPr>
          </w:p>
        </w:tc>
      </w:tr>
      <w:tr>
        <w:trPr>
          <w:trHeight w:val="250"/>
        </w:trPr>
        <w:tc>
          <w:tcPr>
            <w:tcW w:w="11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36">
              <w:r>
                <w:rPr>
                  <w:rFonts w:ascii="Arial" w:cs="Arial" w:eastAsia="Arial" w:hAnsi="Arial"/>
                  <w:sz w:val="18"/>
                  <w:szCs w:val="18"/>
                  <w:u w:val="single" w:color="auto"/>
                  <w:color w:val="0000FF"/>
                </w:rPr>
                <w:t>31.2</w:t>
              </w:r>
            </w:hyperlink>
            <w:r>
              <w:rPr>
                <w:rFonts w:ascii="Arial" w:cs="Arial" w:eastAsia="Arial" w:hAnsi="Arial"/>
                <w:sz w:val="18"/>
                <w:szCs w:val="18"/>
                <w:color w:val="000000"/>
              </w:rPr>
              <w:t>*</w:t>
            </w:r>
          </w:p>
        </w:tc>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Certification pursuant to Section 302 of the Sarbanes-Oxley Act - Chief Financial Officer</w:t>
            </w:r>
          </w:p>
        </w:tc>
      </w:tr>
      <w:tr>
        <w:trPr>
          <w:trHeight w:val="256"/>
        </w:trPr>
        <w:tc>
          <w:tcPr>
            <w:tcW w:w="1120" w:type="dxa"/>
            <w:vAlign w:val="bottom"/>
          </w:tcPr>
          <w:p>
            <w:pPr>
              <w:spacing w:after="0"/>
              <w:rPr>
                <w:sz w:val="22"/>
                <w:szCs w:val="22"/>
                <w:color w:val="auto"/>
              </w:rPr>
            </w:pPr>
          </w:p>
        </w:tc>
        <w:tc>
          <w:tcPr>
            <w:tcW w:w="8300" w:type="dxa"/>
            <w:vAlign w:val="bottom"/>
          </w:tcPr>
          <w:p>
            <w:pPr>
              <w:spacing w:after="0"/>
              <w:rPr>
                <w:sz w:val="22"/>
                <w:szCs w:val="22"/>
                <w:color w:val="auto"/>
              </w:rPr>
            </w:pPr>
          </w:p>
        </w:tc>
      </w:tr>
      <w:tr>
        <w:trPr>
          <w:trHeight w:val="250"/>
        </w:trPr>
        <w:tc>
          <w:tcPr>
            <w:tcW w:w="11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37">
              <w:r>
                <w:rPr>
                  <w:rFonts w:ascii="Arial" w:cs="Arial" w:eastAsia="Arial" w:hAnsi="Arial"/>
                  <w:sz w:val="18"/>
                  <w:szCs w:val="18"/>
                  <w:u w:val="single" w:color="auto"/>
                  <w:color w:val="0000FF"/>
                </w:rPr>
                <w:t>32.1</w:t>
              </w:r>
            </w:hyperlink>
            <w:r>
              <w:rPr>
                <w:rFonts w:ascii="Arial" w:cs="Arial" w:eastAsia="Arial" w:hAnsi="Arial"/>
                <w:sz w:val="18"/>
                <w:szCs w:val="18"/>
                <w:color w:val="000000"/>
              </w:rPr>
              <w:t>*</w:t>
            </w:r>
          </w:p>
        </w:tc>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Certification of Chief Executive Officer pursuant to 18 U.S.C. § 1350.</w:t>
            </w:r>
          </w:p>
        </w:tc>
      </w:tr>
      <w:tr>
        <w:trPr>
          <w:trHeight w:val="257"/>
        </w:trPr>
        <w:tc>
          <w:tcPr>
            <w:tcW w:w="1120" w:type="dxa"/>
            <w:vAlign w:val="bottom"/>
          </w:tcPr>
          <w:p>
            <w:pPr>
              <w:spacing w:after="0"/>
              <w:rPr>
                <w:sz w:val="22"/>
                <w:szCs w:val="22"/>
                <w:color w:val="auto"/>
              </w:rPr>
            </w:pPr>
          </w:p>
        </w:tc>
        <w:tc>
          <w:tcPr>
            <w:tcW w:w="8300" w:type="dxa"/>
            <w:vAlign w:val="bottom"/>
          </w:tcPr>
          <w:p>
            <w:pPr>
              <w:spacing w:after="0"/>
              <w:rPr>
                <w:sz w:val="22"/>
                <w:szCs w:val="22"/>
                <w:color w:val="auto"/>
              </w:rPr>
            </w:pPr>
          </w:p>
        </w:tc>
      </w:tr>
      <w:tr>
        <w:trPr>
          <w:trHeight w:val="250"/>
        </w:trPr>
        <w:tc>
          <w:tcPr>
            <w:tcW w:w="11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38">
              <w:r>
                <w:rPr>
                  <w:rFonts w:ascii="Arial" w:cs="Arial" w:eastAsia="Arial" w:hAnsi="Arial"/>
                  <w:sz w:val="18"/>
                  <w:szCs w:val="18"/>
                  <w:u w:val="single" w:color="auto"/>
                  <w:color w:val="0000FF"/>
                </w:rPr>
                <w:t>32.2</w:t>
              </w:r>
            </w:hyperlink>
            <w:r>
              <w:rPr>
                <w:rFonts w:ascii="Arial" w:cs="Arial" w:eastAsia="Arial" w:hAnsi="Arial"/>
                <w:sz w:val="18"/>
                <w:szCs w:val="18"/>
                <w:color w:val="000000"/>
              </w:rPr>
              <w:t>*</w:t>
            </w:r>
          </w:p>
        </w:tc>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Certification of Chief Financial Officer pursuant to 18 U.S.C. § 1350.</w:t>
            </w:r>
          </w:p>
        </w:tc>
      </w:tr>
      <w:tr>
        <w:trPr>
          <w:trHeight w:val="499"/>
        </w:trPr>
        <w:tc>
          <w:tcPr>
            <w:tcW w:w="1120" w:type="dxa"/>
            <w:vAlign w:val="bottom"/>
          </w:tcPr>
          <w:p>
            <w:pPr>
              <w:spacing w:after="0"/>
              <w:rPr>
                <w:sz w:val="24"/>
                <w:szCs w:val="24"/>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3"/>
              </w:rPr>
              <w:t>The following materials from the Company’s Quarterly Report on Form 10-Q for the quarter ended March 31,</w:t>
            </w:r>
          </w:p>
        </w:tc>
      </w:tr>
      <w:tr>
        <w:trPr>
          <w:trHeight w:val="230"/>
        </w:trPr>
        <w:tc>
          <w:tcPr>
            <w:tcW w:w="1120" w:type="dxa"/>
            <w:vAlign w:val="bottom"/>
          </w:tcPr>
          <w:p>
            <w:pPr>
              <w:spacing w:after="0"/>
              <w:rPr>
                <w:sz w:val="20"/>
                <w:szCs w:val="20"/>
                <w:color w:val="auto"/>
              </w:rPr>
            </w:pPr>
          </w:p>
        </w:tc>
        <w:tc>
          <w:tcPr>
            <w:tcW w:w="8300" w:type="dxa"/>
            <w:vAlign w:val="bottom"/>
          </w:tcPr>
          <w:p>
            <w:pPr>
              <w:ind w:left="220"/>
              <w:spacing w:after="0"/>
              <w:rPr>
                <w:sz w:val="20"/>
                <w:szCs w:val="20"/>
                <w:color w:val="auto"/>
              </w:rPr>
            </w:pPr>
            <w:r>
              <w:rPr>
                <w:rFonts w:ascii="Arial" w:cs="Arial" w:eastAsia="Arial" w:hAnsi="Arial"/>
                <w:sz w:val="18"/>
                <w:szCs w:val="18"/>
                <w:color w:val="auto"/>
                <w:w w:val="93"/>
              </w:rPr>
              <w:t>2020, are formatted in iXBRL (Inline Extensible Business Reporting Language): (i) the Unaudited Condensed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5974715" cy="857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974715" cy="8572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w w:val="97"/>
              </w:rPr>
              <w:t>101*</w:t>
            </w:r>
          </w:p>
        </w:tc>
        <w:tc>
          <w:tcPr>
            <w:tcW w:w="8560" w:type="dxa"/>
            <w:vAlign w:val="bottom"/>
          </w:tcPr>
          <w:p>
            <w:pPr>
              <w:ind w:left="480"/>
              <w:spacing w:after="0" w:line="201" w:lineRule="exact"/>
              <w:rPr>
                <w:sz w:val="20"/>
                <w:szCs w:val="20"/>
                <w:color w:val="auto"/>
              </w:rPr>
            </w:pPr>
            <w:r>
              <w:rPr>
                <w:rFonts w:ascii="Arial" w:cs="Arial" w:eastAsia="Arial" w:hAnsi="Arial"/>
                <w:sz w:val="18"/>
                <w:szCs w:val="18"/>
                <w:color w:val="auto"/>
                <w:w w:val="96"/>
              </w:rPr>
              <w:t>Consolidated Balance Sheets, (ii) the Unaudited Condensed Consolidated Statements of Operations and</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8560" w:type="dxa"/>
            <w:vAlign w:val="bottom"/>
            <w:vMerge w:val="restart"/>
          </w:tcPr>
          <w:p>
            <w:pPr>
              <w:ind w:left="480"/>
              <w:spacing w:after="0"/>
              <w:rPr>
                <w:sz w:val="20"/>
                <w:szCs w:val="20"/>
                <w:color w:val="auto"/>
              </w:rPr>
            </w:pPr>
            <w:r>
              <w:rPr>
                <w:rFonts w:ascii="Arial" w:cs="Arial" w:eastAsia="Arial" w:hAnsi="Arial"/>
                <w:sz w:val="18"/>
                <w:szCs w:val="18"/>
                <w:color w:val="auto"/>
                <w:w w:val="92"/>
              </w:rPr>
              <w:t>Comprehensive Income, (iii) the Unaudited Condensed Consolidated Statements of Changes in Stockholders’</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8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w w:val="91"/>
              </w:rPr>
              <w:t>Equity, (iv) the Unaudited Condensed Consolidated Statements of Cash Flows, and (v) the Notes to Unaudited</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8560" w:type="dxa"/>
            <w:vAlign w:val="bottom"/>
          </w:tcPr>
          <w:p>
            <w:pPr>
              <w:ind w:left="480"/>
              <w:spacing w:after="0"/>
              <w:rPr>
                <w:sz w:val="20"/>
                <w:szCs w:val="20"/>
                <w:color w:val="auto"/>
              </w:rPr>
            </w:pPr>
            <w:r>
              <w:rPr>
                <w:rFonts w:ascii="Arial" w:cs="Arial" w:eastAsia="Arial" w:hAnsi="Arial"/>
                <w:sz w:val="18"/>
                <w:szCs w:val="18"/>
                <w:color w:val="auto"/>
              </w:rPr>
              <w:t>Condensed Consolidated Financial Statements.</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7"/>
              </w:rPr>
              <w:t>104*</w:t>
            </w: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The cover page from the Company’s Quarterly Report on Form 10-Q for the quarter ended March 31, 2020,</w:t>
            </w:r>
          </w:p>
        </w:tc>
        <w:tc>
          <w:tcPr>
            <w:tcW w:w="0" w:type="dxa"/>
            <w:vAlign w:val="bottom"/>
          </w:tcPr>
          <w:p>
            <w:pPr>
              <w:spacing w:after="0"/>
              <w:rPr>
                <w:sz w:val="1"/>
                <w:szCs w:val="1"/>
                <w:color w:val="auto"/>
              </w:rPr>
            </w:pPr>
          </w:p>
        </w:tc>
      </w:tr>
      <w:tr>
        <w:trPr>
          <w:trHeight w:val="122"/>
        </w:trPr>
        <w:tc>
          <w:tcPr>
            <w:tcW w:w="860" w:type="dxa"/>
            <w:vAlign w:val="bottom"/>
            <w:vMerge w:val="continue"/>
            <w:shd w:val="clear" w:color="auto" w:fill="CCEEFF"/>
          </w:tcPr>
          <w:p>
            <w:pPr>
              <w:spacing w:after="0"/>
              <w:rPr>
                <w:sz w:val="10"/>
                <w:szCs w:val="10"/>
                <w:color w:val="auto"/>
              </w:rPr>
            </w:pPr>
          </w:p>
        </w:tc>
        <w:tc>
          <w:tcPr>
            <w:tcW w:w="856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formatted in iXBRL and contained in Exhibit 101.</w:t>
            </w:r>
          </w:p>
        </w:tc>
        <w:tc>
          <w:tcPr>
            <w:tcW w:w="0" w:type="dxa"/>
            <w:vAlign w:val="bottom"/>
          </w:tcPr>
          <w:p>
            <w:pPr>
              <w:spacing w:after="0"/>
              <w:rPr>
                <w:sz w:val="1"/>
                <w:szCs w:val="1"/>
                <w:color w:val="auto"/>
              </w:rPr>
            </w:pPr>
          </w:p>
        </w:tc>
      </w:tr>
      <w:tr>
        <w:trPr>
          <w:trHeight w:val="108"/>
        </w:trPr>
        <w:tc>
          <w:tcPr>
            <w:tcW w:w="860" w:type="dxa"/>
            <w:vAlign w:val="bottom"/>
            <w:shd w:val="clear" w:color="auto" w:fill="CCEEFF"/>
          </w:tcPr>
          <w:p>
            <w:pPr>
              <w:spacing w:after="0"/>
              <w:rPr>
                <w:sz w:val="9"/>
                <w:szCs w:val="9"/>
                <w:color w:val="auto"/>
              </w:rPr>
            </w:pPr>
          </w:p>
        </w:tc>
        <w:tc>
          <w:tcPr>
            <w:tcW w:w="85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60" w:type="dxa"/>
            <w:vAlign w:val="bottom"/>
            <w:shd w:val="clear" w:color="auto" w:fill="CCEEFF"/>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2020</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International Money Express, Inc.</w:t>
      </w:r>
    </w:p>
    <w:p>
      <w:pPr>
        <w:spacing w:after="0" w:line="32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31750</wp:posOffset>
            </wp:positionV>
            <wp:extent cx="233997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Lisy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and President</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2020</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International Money Express, Inc.</w:t>
      </w:r>
    </w:p>
    <w:p>
      <w:pPr>
        <w:spacing w:after="0" w:line="324"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31750</wp:posOffset>
            </wp:positionV>
            <wp:extent cx="233997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Tony Lauro II</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5"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2020</w:t>
      </w:r>
    </w:p>
    <w:p>
      <w:pPr>
        <w:spacing w:after="0" w:line="7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Tony Lauro II,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2020</w:t>
      </w:r>
    </w:p>
    <w:p>
      <w:pPr>
        <w:spacing w:after="0" w:line="7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20"/>
              <w:spacing w:after="0"/>
              <w:rPr>
                <w:sz w:val="20"/>
                <w:szCs w:val="20"/>
                <w:color w:val="auto"/>
              </w:rPr>
            </w:pPr>
            <w:r>
              <w:rPr>
                <w:rFonts w:ascii="Arial" w:cs="Arial" w:eastAsia="Arial" w:hAnsi="Arial"/>
                <w:sz w:val="18"/>
                <w:szCs w:val="18"/>
                <w:color w:val="auto"/>
              </w:rPr>
              <w:t>/s/ Tony Lauro II</w:t>
            </w:r>
          </w:p>
        </w:tc>
        <w:tc>
          <w:tcPr>
            <w:tcW w:w="0" w:type="dxa"/>
            <w:vAlign w:val="bottom"/>
          </w:tcPr>
          <w:p>
            <w:pPr>
              <w:spacing w:after="0"/>
              <w:rPr>
                <w:sz w:val="1"/>
                <w:szCs w:val="1"/>
                <w:color w:val="auto"/>
              </w:rPr>
            </w:pPr>
          </w:p>
        </w:tc>
      </w:tr>
      <w:tr>
        <w:trPr>
          <w:trHeight w:val="34"/>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Tony Lauro II</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0" w:lineRule="exact"/>
        <w:rPr>
          <w:sz w:val="20"/>
          <w:szCs w:val="20"/>
          <w:color w:val="auto"/>
        </w:rPr>
      </w:pPr>
    </w:p>
    <w:p>
      <w:pPr>
        <w:ind w:left="660" w:right="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2020</w:t>
      </w:r>
    </w:p>
    <w:p>
      <w:pPr>
        <w:spacing w:after="0" w:line="34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20"/>
              <w:spacing w:after="0"/>
              <w:rPr>
                <w:sz w:val="20"/>
                <w:szCs w:val="20"/>
                <w:color w:val="auto"/>
              </w:rPr>
            </w:pPr>
            <w:r>
              <w:rPr>
                <w:rFonts w:ascii="Arial" w:cs="Arial" w:eastAsia="Arial" w:hAnsi="Arial"/>
                <w:sz w:val="18"/>
                <w:szCs w:val="18"/>
                <w:color w:val="auto"/>
              </w:rPr>
              <w:t>/s/ Robert Lisy</w:t>
            </w:r>
          </w:p>
        </w:tc>
        <w:tc>
          <w:tcPr>
            <w:tcW w:w="0" w:type="dxa"/>
            <w:vAlign w:val="bottom"/>
          </w:tcPr>
          <w:p>
            <w:pPr>
              <w:spacing w:after="0"/>
              <w:rPr>
                <w:sz w:val="1"/>
                <w:szCs w:val="1"/>
                <w:color w:val="auto"/>
              </w:rPr>
            </w:pPr>
          </w:p>
        </w:tc>
      </w:tr>
      <w:tr>
        <w:trPr>
          <w:trHeight w:val="34"/>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Robert Lisy</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Tony Lauro II, Chief Financial Officer of International Money Express, Inc. (the “Company”), certify, pursuant to 18 U.S.C. Section 1350, that, to my knowledge:</w:t>
      </w:r>
    </w:p>
    <w:p>
      <w:pPr>
        <w:spacing w:after="0" w:line="170" w:lineRule="exact"/>
        <w:rPr>
          <w:sz w:val="20"/>
          <w:szCs w:val="20"/>
          <w:color w:val="auto"/>
        </w:rPr>
      </w:pPr>
    </w:p>
    <w:p>
      <w:pPr>
        <w:ind w:left="660" w:right="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2020</w:t>
      </w:r>
    </w:p>
    <w:p>
      <w:pPr>
        <w:spacing w:after="0" w:line="333"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20"/>
              <w:spacing w:after="0"/>
              <w:rPr>
                <w:sz w:val="20"/>
                <w:szCs w:val="20"/>
                <w:color w:val="auto"/>
              </w:rPr>
            </w:pPr>
            <w:r>
              <w:rPr>
                <w:rFonts w:ascii="Arial" w:cs="Arial" w:eastAsia="Arial" w:hAnsi="Arial"/>
                <w:sz w:val="18"/>
                <w:szCs w:val="18"/>
                <w:color w:val="auto"/>
              </w:rPr>
              <w:t>/s/ Tony Lauro II</w:t>
            </w:r>
          </w:p>
        </w:tc>
        <w:tc>
          <w:tcPr>
            <w:tcW w:w="0" w:type="dxa"/>
            <w:vAlign w:val="bottom"/>
          </w:tcPr>
          <w:p>
            <w:pPr>
              <w:spacing w:after="0"/>
              <w:rPr>
                <w:sz w:val="1"/>
                <w:szCs w:val="1"/>
                <w:color w:val="auto"/>
              </w:rPr>
            </w:pPr>
          </w:p>
        </w:tc>
      </w:tr>
      <w:tr>
        <w:trPr>
          <w:trHeight w:val="34"/>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Tony Lauro II</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77" Type="http://schemas.openxmlformats.org/officeDocument/2006/relationships/hyperlink" Target="http://www.sec.gov/Archives/edgar/data/1683695/000114036120006235/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2020-05-07T15:20:22Z</dcterms:created>
  <dcterms:modified xsi:type="dcterms:W3CDTF">2020-05-07T15:20:22Z</dcterms:modified>
</cp:coreProperties>
</file>