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740" w:right="980" w:hanging="2749"/>
        <w:spacing w:after="0" w:line="508" w:lineRule="auto"/>
        <w:tabs>
          <w:tab w:leader="none" w:pos="1285"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 OR</w:t>
      </w:r>
    </w:p>
    <w:p>
      <w:pPr>
        <w:spacing w:after="0" w:line="28" w:lineRule="exact"/>
        <w:rPr>
          <w:rFonts w:ascii="MS PGothic" w:cs="MS PGothic" w:eastAsia="MS PGothic" w:hAnsi="MS PGothic"/>
          <w:sz w:val="18"/>
          <w:szCs w:val="18"/>
          <w:color w:val="auto"/>
        </w:rPr>
      </w:pPr>
    </w:p>
    <w:p>
      <w:pPr>
        <w:ind w:left="1300" w:hanging="338"/>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3747770</wp:posOffset>
            </wp:positionH>
            <wp:positionV relativeFrom="paragraph">
              <wp:posOffset>-7620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001-37986</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INTERNATIONAL MONEY EXPRESS,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47-4219082</w:t>
            </w:r>
          </w:p>
        </w:tc>
      </w:tr>
      <w:tr>
        <w:trPr>
          <w:trHeight w:val="230"/>
        </w:trPr>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27"/>
        </w:trPr>
        <w:tc>
          <w:tcPr>
            <w:tcW w:w="5820" w:type="dxa"/>
            <w:vAlign w:val="bottom"/>
            <w:gridSpan w:val="2"/>
          </w:tcPr>
          <w:p>
            <w:pPr>
              <w:ind w:left="1800"/>
              <w:spacing w:after="0"/>
              <w:rPr>
                <w:sz w:val="20"/>
                <w:szCs w:val="20"/>
                <w:color w:val="auto"/>
              </w:rPr>
            </w:pPr>
            <w:r>
              <w:rPr>
                <w:rFonts w:ascii="Arial" w:cs="Arial" w:eastAsia="Arial" w:hAnsi="Arial"/>
                <w:sz w:val="18"/>
                <w:szCs w:val="18"/>
                <w:b w:val="1"/>
                <w:bCs w:val="1"/>
                <w:color w:val="auto"/>
              </w:rPr>
              <w:t>9480 South Dixie Highway</w:t>
            </w:r>
          </w:p>
        </w:tc>
        <w:tc>
          <w:tcPr>
            <w:tcW w:w="5600" w:type="dxa"/>
            <w:vAlign w:val="bottom"/>
          </w:tcPr>
          <w:p>
            <w:pPr>
              <w:spacing w:after="0"/>
              <w:rPr>
                <w:sz w:val="24"/>
                <w:szCs w:val="24"/>
                <w:color w:val="auto"/>
              </w:rPr>
            </w:pPr>
          </w:p>
        </w:tc>
      </w:tr>
      <w:tr>
        <w:trPr>
          <w:trHeight w:val="241"/>
        </w:trPr>
        <w:tc>
          <w:tcPr>
            <w:tcW w:w="5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Miami, Florida</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33156</w:t>
            </w:r>
          </w:p>
        </w:tc>
      </w:tr>
      <w:tr>
        <w:trPr>
          <w:trHeight w:val="230"/>
        </w:trPr>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(305) 671-8000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20"/>
              <w:spacing w:after="0"/>
              <w:rPr>
                <w:sz w:val="20"/>
                <w:szCs w:val="20"/>
                <w:color w:val="auto"/>
              </w:rPr>
            </w:pPr>
            <w:r>
              <w:rPr>
                <w:rFonts w:ascii="Arial" w:cs="Arial" w:eastAsia="Arial" w:hAnsi="Arial"/>
                <w:sz w:val="18"/>
                <w:szCs w:val="18"/>
                <w:color w:val="auto"/>
              </w:rPr>
              <w:t>Large accelerated filer</w:t>
            </w:r>
          </w:p>
        </w:tc>
        <w:tc>
          <w:tcPr>
            <w:tcW w:w="17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2100" w:type="dxa"/>
            <w:vAlign w:val="bottom"/>
          </w:tcPr>
          <w:p>
            <w:pPr>
              <w:ind w:left="120"/>
              <w:spacing w:after="0"/>
              <w:rPr>
                <w:sz w:val="20"/>
                <w:szCs w:val="20"/>
                <w:color w:val="auto"/>
              </w:rPr>
            </w:pPr>
            <w:r>
              <w:rPr>
                <w:rFonts w:ascii="Arial" w:cs="Arial" w:eastAsia="Arial" w:hAnsi="Arial"/>
                <w:sz w:val="18"/>
                <w:szCs w:val="18"/>
                <w:color w:val="auto"/>
              </w:rPr>
              <w:t>Accelerated filer</w:t>
            </w:r>
          </w:p>
        </w:tc>
      </w:tr>
      <w:tr>
        <w:trPr>
          <w:trHeight w:val="216"/>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20"/>
              <w:spacing w:after="0"/>
              <w:rPr>
                <w:sz w:val="20"/>
                <w:szCs w:val="20"/>
                <w:color w:val="auto"/>
              </w:rPr>
            </w:pPr>
            <w:r>
              <w:rPr>
                <w:rFonts w:ascii="Arial" w:cs="Arial" w:eastAsia="Arial" w:hAnsi="Arial"/>
                <w:sz w:val="18"/>
                <w:szCs w:val="18"/>
                <w:color w:val="auto"/>
              </w:rPr>
              <w:t>Non-accelerated filer</w:t>
            </w:r>
          </w:p>
        </w:tc>
        <w:tc>
          <w:tcPr>
            <w:tcW w:w="17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2100" w:type="dxa"/>
            <w:vAlign w:val="bottom"/>
          </w:tcPr>
          <w:p>
            <w:pPr>
              <w:ind w:left="120"/>
              <w:spacing w:after="0"/>
              <w:rPr>
                <w:sz w:val="20"/>
                <w:szCs w:val="20"/>
                <w:color w:val="auto"/>
              </w:rPr>
            </w:pPr>
            <w:r>
              <w:rPr>
                <w:rFonts w:ascii="Arial" w:cs="Arial" w:eastAsia="Arial" w:hAnsi="Arial"/>
                <w:sz w:val="18"/>
                <w:szCs w:val="18"/>
                <w:color w:val="auto"/>
                <w:w w:val="91"/>
              </w:rPr>
              <w:t>Smaller reporting company</w:t>
            </w:r>
          </w:p>
        </w:tc>
      </w:tr>
      <w:tr>
        <w:trPr>
          <w:trHeight w:val="283"/>
        </w:trPr>
        <w:tc>
          <w:tcPr>
            <w:tcW w:w="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2100" w:type="dxa"/>
            <w:vAlign w:val="bottom"/>
          </w:tcPr>
          <w:p>
            <w:pPr>
              <w:ind w:left="120"/>
              <w:spacing w:after="0"/>
              <w:rPr>
                <w:sz w:val="20"/>
                <w:szCs w:val="20"/>
                <w:color w:val="auto"/>
              </w:rPr>
            </w:pPr>
            <w:r>
              <w:rPr>
                <w:rFonts w:ascii="Arial" w:cs="Arial" w:eastAsia="Arial" w:hAnsi="Arial"/>
                <w:sz w:val="18"/>
                <w:szCs w:val="18"/>
                <w:color w:val="auto"/>
                <w:w w:val="91"/>
              </w:rPr>
              <w:t>Emerging growth company</w:t>
            </w:r>
          </w:p>
        </w:tc>
      </w:tr>
    </w:tbl>
    <w:p>
      <w:pPr>
        <w:spacing w:after="0" w:line="209" w:lineRule="exact"/>
        <w:rPr>
          <w:sz w:val="24"/>
          <w:szCs w:val="24"/>
          <w:color w:val="auto"/>
        </w:rPr>
      </w:pPr>
    </w:p>
    <w:p>
      <w:pPr>
        <w:ind w:right="2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535" w:right="239" w:bottom="1440" w:gutter="0" w:footer="0" w:header="0"/>
        </w:sectPr>
      </w:pPr>
    </w:p>
    <w:p>
      <w:pPr>
        <w:spacing w:after="0" w:line="248"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211" w:lineRule="exact"/>
        <w:rPr>
          <w:sz w:val="24"/>
          <w:szCs w:val="24"/>
          <w:color w:val="auto"/>
        </w:rPr>
      </w:pPr>
    </w:p>
    <w:p>
      <w:pPr>
        <w:sectPr>
          <w:pgSz w:w="11900" w:h="16838" w:orient="portrait"/>
          <w:cols w:equalWidth="0" w:num="3">
            <w:col w:w="3440" w:space="720"/>
            <w:col w:w="1740" w:space="720"/>
            <w:col w:w="4800"/>
          </w:cols>
          <w:pgMar w:left="240" w:top="535" w:right="239" w:bottom="1440" w:gutter="0" w:footer="0" w:header="0"/>
          <w:type w:val="continuous"/>
        </w:sectPr>
      </w:pPr>
    </w:p>
    <w:p>
      <w:pPr>
        <w:spacing w:after="0" w:line="52" w:lineRule="exact"/>
        <w:rPr>
          <w:sz w:val="24"/>
          <w:szCs w:val="24"/>
          <w:color w:val="auto"/>
        </w:rPr>
      </w:pPr>
    </w:p>
    <w:p>
      <w:pPr>
        <w:jc w:val="center"/>
        <w:ind w:left="660"/>
        <w:spacing w:after="0"/>
        <w:rPr>
          <w:sz w:val="20"/>
          <w:szCs w:val="20"/>
          <w:color w:val="auto"/>
        </w:rPr>
      </w:pPr>
      <w:r>
        <w:rPr>
          <w:rFonts w:ascii="Arial" w:cs="Arial" w:eastAsia="Arial" w:hAnsi="Arial"/>
          <w:sz w:val="16"/>
          <w:szCs w:val="16"/>
          <w:color w:val="auto"/>
        </w:rPr>
        <w:t>Common stock ($0.0001 par value)</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IMXI</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Nasdaq Capital Market</w:t>
      </w:r>
    </w:p>
    <w:p>
      <w:pPr>
        <w:spacing w:after="0" w:line="222" w:lineRule="exact"/>
        <w:rPr>
          <w:sz w:val="24"/>
          <w:szCs w:val="24"/>
          <w:color w:val="auto"/>
        </w:rPr>
      </w:pPr>
    </w:p>
    <w:p>
      <w:pPr>
        <w:sectPr>
          <w:pgSz w:w="11900" w:h="16838" w:orient="portrait"/>
          <w:cols w:equalWidth="0" w:num="3">
            <w:col w:w="3940" w:space="720"/>
            <w:col w:w="2080" w:space="720"/>
            <w:col w:w="3960"/>
          </w:cols>
          <w:pgMar w:left="240" w:top="535" w:right="239" w:bottom="1440" w:gutter="0" w:footer="0" w:header="0"/>
          <w:type w:val="continuous"/>
        </w:sectPr>
      </w:pPr>
    </w:p>
    <w:p>
      <w:pPr>
        <w:spacing w:after="0" w:line="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As of May 8, 2019 there were 37,974,976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SPECIAL NOTE REGARDING FORWARD-LOOKING STATEMENTS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PART 1 - FINANCIAL INFORMATION</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2019 and December 31, 2018</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Operations and Comprehensive Income (Loss) for the Three Months Ended March 31, 2019</w:t>
              </w:r>
            </w:hyperlink>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950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2018</w:t>
              </w:r>
            </w:hyperlink>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 of Changes in Stockholders’ Equity for the Three Months Ended March 31, 2019 and 2018</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March 31, 2019 and 2018</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782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9"/>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700" w:type="dxa"/>
            <w:vAlign w:val="bottom"/>
            <w:tcBorders>
              <w:top w:val="single" w:sz="8" w:color="CCEEFF"/>
            </w:tcBorders>
            <w:gridSpan w:val="11"/>
          </w:tcPr>
          <w:p>
            <w:pPr>
              <w:jc w:val="right"/>
              <w:ind w:right="60"/>
              <w:spacing w:after="0"/>
              <w:rPr>
                <w:sz w:val="20"/>
                <w:szCs w:val="20"/>
                <w:color w:val="auto"/>
              </w:rPr>
            </w:pPr>
            <w:r>
              <w:rPr>
                <w:rFonts w:ascii="Arial" w:cs="Arial" w:eastAsia="Arial" w:hAnsi="Arial"/>
                <w:sz w:val="14"/>
                <w:szCs w:val="14"/>
                <w:color w:val="auto"/>
              </w:rPr>
              <w:t>2</w:t>
            </w:r>
          </w:p>
        </w:tc>
        <w:tc>
          <w:tcPr>
            <w:tcW w:w="1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Statements contained in this Quarterly Report on Form 10-Q that reflect our current views with respect to future events and financial performance, business strategies, expectations for our business and the business of the Company and any other statements of a future or forward-looking nature, constitute “forward-looking statements” for the purposes of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“will,” “approximately,” “shall” and similar expressions may identify forward-looking statements, but the absence of these words does not mean that a statement is not forward-looking. Forward-looking statements in this Quarterly Report on Form 10-Q may include, for example, the future financial performance of the Company.</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forward-looking statements contained in this Quarterly Report on Form 10-Q are based on our current expectations and beliefs concerning future developments and their potential effects on us. We cannot assure you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 Some factors that could cause actual results to differ include, but are not limited to:</w:t>
      </w:r>
    </w:p>
    <w:p>
      <w:pPr>
        <w:spacing w:after="0" w:line="20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23"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Merger, which may be affected by, among other things, competition, and the ability of the combined business to grow and manage growth profitably;</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sz w:val="20"/>
          <w:szCs w:val="20"/>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meet our debt obligations and remain in compliance with our credit facility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political instability, currency restrictions and devaluation in countries in which we operate or plan to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foreign exchange rates could impact consumer remittance activity; and</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section entitled “Risk Factors” in our Annual Report on Form 10-K for the year ended December 31, 2018.</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undertake no obligation to update or revise any forward-looking statements, whether as a result of new information, future events or otherwise, except as may be required under applicable securities laws.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PART 1 – FINANCIAL INFORMATION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rPr>
              <w:t>INTERNATIONAL MONEY EXPRESS, INC.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89"/>
              </w:rPr>
              <w:t>(in thousands, except for share data, unaudited)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March 31,</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00" w:type="dxa"/>
            <w:vAlign w:val="bottom"/>
          </w:tcPr>
          <w:p>
            <w:pPr>
              <w:ind w:left="3700"/>
              <w:spacing w:after="0" w:line="201" w:lineRule="exact"/>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 of allowance of $621 and $842, respectively</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86,664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wires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Other prepaid expenses and current assets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tax asset,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267,053</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225,839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18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4,498</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Wire transfers and money orders payable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86,995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36,311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Accrued and 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 term liabilities: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Debt, net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96,780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Total long term liabilities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96,780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113,326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$0.0001 par value; 230,000,000 shares authorized, 36,182,783 shares issued and outstanding as of</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2019and December 31, 2018</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267,053</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225,839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300" w:type="dxa"/>
            <w:vAlign w:val="bottom"/>
          </w:tcPr>
          <w:p>
            <w:pPr>
              <w:jc w:val="center"/>
              <w:ind w:left="2390"/>
              <w:spacing w:after="0"/>
              <w:rPr>
                <w:sz w:val="20"/>
                <w:szCs w:val="20"/>
                <w:color w:val="auto"/>
              </w:rPr>
            </w:pPr>
            <w:r>
              <w:rPr>
                <w:rFonts w:ascii="Arial" w:cs="Arial" w:eastAsia="Arial" w:hAnsi="Arial"/>
                <w:sz w:val="18"/>
                <w:szCs w:val="18"/>
                <w:b w:val="1"/>
                <w:bCs w:val="1"/>
                <w:color w:val="auto"/>
              </w:rPr>
              <w:t>INTERNATIONAL MONEY EXPRESS, INC.</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jc w:val="center"/>
              <w:ind w:left="23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jc w:val="center"/>
              <w:ind w:left="2410"/>
              <w:spacing w:after="0"/>
              <w:rPr>
                <w:sz w:val="20"/>
                <w:szCs w:val="20"/>
                <w:color w:val="auto"/>
              </w:rPr>
            </w:pPr>
            <w:r>
              <w:rPr>
                <w:rFonts w:ascii="Arial" w:cs="Arial" w:eastAsia="Arial" w:hAnsi="Arial"/>
                <w:sz w:val="18"/>
                <w:szCs w:val="18"/>
                <w:b w:val="1"/>
                <w:bCs w:val="1"/>
                <w:color w:val="auto"/>
              </w:rPr>
              <w:t>AND COMPREHENSIVE INCOME (LOSS)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00" w:type="dxa"/>
            <w:vAlign w:val="bottom"/>
          </w:tcPr>
          <w:p>
            <w:pPr>
              <w:jc w:val="center"/>
              <w:ind w:left="2390"/>
              <w:spacing w:after="0"/>
              <w:rPr>
                <w:sz w:val="20"/>
                <w:szCs w:val="20"/>
                <w:color w:val="auto"/>
              </w:rPr>
            </w:pPr>
            <w:r>
              <w:rPr>
                <w:rFonts w:ascii="Arial" w:cs="Arial" w:eastAsia="Arial" w:hAnsi="Arial"/>
                <w:sz w:val="18"/>
                <w:szCs w:val="18"/>
                <w:b w:val="1"/>
                <w:bCs w:val="1"/>
                <w:color w:val="auto"/>
                <w:w w:val="89"/>
              </w:rPr>
              <w:t>(in thousands, except for share data, unaudited)</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color w:val="auto"/>
                <w:w w:val="90"/>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Wire transfer and money order fees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Foreign exchange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68,349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charges from agents and banks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selling, general and administrative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Transaction costs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62,041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Income (loss) per common share: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36,182,783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17,227,682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36,195,463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17,227,682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80" w:type="dxa"/>
            <w:vAlign w:val="bottom"/>
            <w:gridSpan w:val="3"/>
            <w:vMerge w:val="restart"/>
          </w:tcPr>
          <w:p>
            <w:pPr>
              <w:jc w:val="right"/>
              <w:ind w:right="40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Accumulated Other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80" w:type="dxa"/>
            <w:vAlign w:val="bottom"/>
            <w:tcBorders>
              <w:bottom w:val="single" w:sz="8" w:color="auto"/>
            </w:tcBorders>
            <w:gridSpan w:val="3"/>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Paid-in 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Income (Loss)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17,227,682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Adjustment from foreign currency</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translation, net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17,227,682</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(10,714)</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80" w:type="dxa"/>
            <w:vAlign w:val="bottom"/>
            <w:gridSpan w:val="3"/>
            <w:vMerge w:val="restart"/>
          </w:tcPr>
          <w:p>
            <w:pPr>
              <w:jc w:val="right"/>
              <w:ind w:right="397"/>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w w:val="98"/>
              </w:rPr>
              <w:t>Accumulated Other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80" w:type="dxa"/>
            <w:vAlign w:val="bottom"/>
            <w:tcBorders>
              <w:bottom w:val="single" w:sz="8" w:color="auto"/>
            </w:tcBorders>
            <w:gridSpan w:val="3"/>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Accumulated</w:t>
            </w:r>
          </w:p>
        </w:tc>
        <w:tc>
          <w:tcPr>
            <w:tcW w:w="14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Paid-in 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Income (Loss)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36,182,783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(17,418)</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Adoption of new accounting</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pronouncement (See Note 3)</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3,156</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from foreign currency</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Balance, March 31, 2019</w:t>
            </w:r>
          </w:p>
        </w:tc>
        <w:tc>
          <w:tcPr>
            <w:tcW w:w="1120" w:type="dxa"/>
            <w:vAlign w:val="bottom"/>
          </w:tcPr>
          <w:p>
            <w:pPr>
              <w:jc w:val="right"/>
              <w:spacing w:after="0"/>
              <w:rPr>
                <w:sz w:val="20"/>
                <w:szCs w:val="20"/>
                <w:color w:val="auto"/>
              </w:rPr>
            </w:pPr>
            <w:r>
              <w:rPr>
                <w:rFonts w:ascii="Arial" w:cs="Arial" w:eastAsia="Arial" w:hAnsi="Arial"/>
                <w:sz w:val="18"/>
                <w:szCs w:val="18"/>
                <w:color w:val="auto"/>
              </w:rPr>
              <w:t>36,182,783</w:t>
            </w:r>
          </w:p>
        </w:tc>
        <w:tc>
          <w:tcPr>
            <w:tcW w:w="1160" w:type="dxa"/>
            <w:vAlign w:val="bottom"/>
            <w:gridSpan w:val="2"/>
          </w:tcPr>
          <w:p>
            <w:pPr>
              <w:jc w:val="right"/>
              <w:ind w:right="777"/>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62,515</w:t>
            </w:r>
          </w:p>
        </w:tc>
        <w:tc>
          <w:tcPr>
            <w:tcW w:w="30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(15,277)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47,248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300" w:type="dxa"/>
            <w:vAlign w:val="bottom"/>
          </w:tcPr>
          <w:p>
            <w:pPr>
              <w:jc w:val="center"/>
              <w:ind w:left="2390"/>
              <w:spacing w:after="0"/>
              <w:rPr>
                <w:sz w:val="20"/>
                <w:szCs w:val="20"/>
                <w:color w:val="auto"/>
              </w:rPr>
            </w:pPr>
            <w:r>
              <w:rPr>
                <w:rFonts w:ascii="Arial" w:cs="Arial" w:eastAsia="Arial" w:hAnsi="Arial"/>
                <w:sz w:val="18"/>
                <w:szCs w:val="18"/>
                <w:b w:val="1"/>
                <w:bCs w:val="1"/>
                <w:color w:val="auto"/>
              </w:rPr>
              <w:t>INTERNATIONAL MONEY EXPRESS, INC.</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jc w:val="center"/>
              <w:ind w:left="24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00" w:type="dxa"/>
            <w:vAlign w:val="bottom"/>
          </w:tcPr>
          <w:p>
            <w:pPr>
              <w:jc w:val="center"/>
              <w:ind w:left="2410"/>
              <w:spacing w:after="0"/>
              <w:rPr>
                <w:sz w:val="20"/>
                <w:szCs w:val="20"/>
                <w:color w:val="auto"/>
              </w:rPr>
            </w:pPr>
            <w:r>
              <w:rPr>
                <w:rFonts w:ascii="Arial" w:cs="Arial" w:eastAsia="Arial" w:hAnsi="Arial"/>
                <w:sz w:val="18"/>
                <w:szCs w:val="18"/>
                <w:b w:val="1"/>
                <w:bCs w:val="1"/>
                <w:color w:val="auto"/>
                <w:w w:val="89"/>
              </w:rPr>
              <w:t>(in thousands, unaudited)</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color w:val="auto"/>
                <w:w w:val="90"/>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bad debt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Debt origination costs amortization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Loss on disposal of property and equipment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adjustments</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Arial" w:cs="Arial" w:eastAsia="Arial" w:hAnsi="Arial"/>
                <w:sz w:val="18"/>
                <w:szCs w:val="18"/>
                <w:color w:val="auto"/>
              </w:rPr>
              <w:t>Prepaid wires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19,494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prepaid expenses and assets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Arial" w:cs="Arial" w:eastAsia="Arial" w:hAnsi="Arial"/>
                <w:sz w:val="18"/>
                <w:szCs w:val="18"/>
                <w:color w:val="auto"/>
              </w:rPr>
              <w:t>Wire transfers and money orders payables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50,505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and 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29,215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Acquisition of agent locations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Repayments under revolving loan, net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 of term loan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(16,125)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Net increase in cash and restricted cash</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3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and restricted cash, beginning of the period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73,029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59,795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and restricted cash, end of the period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84,739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75,424</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1 - BUSINESS AND ACCOUNTING POLICIES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26, 2018 (the “Closing Date”), International Money Express, Inc. (formerly FinTech Acquisition Corp. II) consummated the previously announced transaction (the “Merger”) by and among FinTech Acquisition Corp. II, a Delaware corporation (“FinTech”), FinTech II Merger Sub Inc., a wholly-owned subsidiary of FinTech (“Merger Sub 1”), FinTech II Merger Sub 2 LLC, a wholly-owned subsidiary of FinTech (“Merger Sub 2”), Intermex Holdings II, Inc. (“Intermex”) and SPC Intermex Representative LLC (“SPC Intermex”)(See Note 2). As a result of the Merger, the separate corporate existence of Intermex ceased and Merger Sub 2 (which changed its name to International Money Express Sub 2, LLC in connection with the closing of the Merger) continued as the surviving entity. In connection with the closing of the Merger, FinTech changed its name to International Money Express, Inc. (the “Company”). Unless the context below otherwise provides, the “Company” refers to the combined company following the Merger and, together with their respective subsidiaries, “FinTech” refers to the registrant prior to the closing of the Merger and “Intermex” refers to Intermex Holdings II, Inc. prior to the closing of Merger.</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Merger was accounted for as a reverse recapitalization where FinTech was treated as the “acquired” company for financial reporting purposes. This determination was primarily based on the facts that following the Merger, the former stockholders of Intermex control the majority of the voting rights in respect of the board of directors of the Company, Intermex comprising the ongoing operations of the Company and Intermex’s senior management comprising the senior management of the Company. Accordingly, the Merger was treated as the equivalent of Intermex issuing stock for the net assets of FinTech, accompanied by a recapitalization. The net assets of FinTech were stated at historical cost, with no goodwill or other intangible assets resulting from the Merger. The consolidated assets, liabilities and results of operations prior to the Closing Date of the Merger are those of Intermex, and FinTech’s assets, liabilities and results of operations are consolidated with Intermex beginning on the Closing Date. The shares and corresponding capital amounts included in common stock and additional paid-in capital, pre-merger, have been retroactively restated as shares reflecting the exchange ratio in the Merger. The historical financial information and operating results of FinTech prior to the Merger have not been separately presented in these condensed consolidated financial statements as they were not significant or meaningful.</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as a money transmitter, primarily between the United States of America (“U.S.”) and Mexico, Guatemala and other countries in Latin America through a network of authorized agents located in various unaffiliated retail establishments throughout the U.S.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condensed consolidated financial statements of the Company include Intermex, its wholly-owned indirect subsidiary, Intermex Wire Transfer, LLC (“LLC”), Intermex Wire Transfers de Guatemala, S.A. (“Intermex Guatemala”) - 99.8% owned by LLC, Intermex Wire Transfer de Mexico, S.A. and Intermex Transfers de Mexico, S.A. (“Intermex Mexico”) - 98% owned by LLC, Intermex Wire Transfer Corp. - 100% owned by LLC and Intermex Wire Transfer II, LLC - 100% owned by LLC. Non-controlling interest in the results of operations of consolidated subsidiaries represents the minority stockholders’ share of the profit or (loss) of Intermex Mexico and Intermex Guatemala. The non-controlling interest asset and non-controlling interest in the portion of the profit or (loss) from operations of these subsidiaries were not recorded by the Company as they are considered immaterial.</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are prepared in accordance with U.S. generally accepted accounting principles (“GAAP”). All significant inter-company balances and transactions have been eliminated from the condensed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interim condensed consolidated financial statements and related notes are unaudited. In the opinion of management, all adjustments (including normal recurring adjustments) and disclosures necessary for a fair presentation of these interim statements have been included. The results reported in these interim financial statements are not necessarily indicative of the results that may be reported for the entire year. Certain information and footnote disclosures required by GAAP have been condensed or omitted. These condensed consolidated financial statements should be read in conjunction with the financial statements and related notes thereto included in the Company’s Annual Report on Form 10-K for the year ended December 31,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Financial Accounting Standards Board (“FASB”) issued guidance,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amended the existing accounting standards for revenue recognition. Refer to Note 3 for additional discussion on the adoption of this standard on January 1, 2019.</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FASB issued guidance,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 increase transparency and comparability among organizations by recognizing lease assets and lease liabilities on the balance sheet for those leases classified as operating leases under previous accounting rules. The guidance requires that a lessee recognize a liability to make lease payments (the lease liability) and a right-of-use asset representing its right to use the underlying asset for the lease term on the balance sheet. This guidance is required to be adopted by the Company beginning in the first quarter of 2020 and must be applied using a modified retrospective approach. The Company is currently evaluating the impact this guidance will have on the consolidated financial statements.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FASB issued amended guidance, </w:t>
      </w:r>
      <w:r>
        <w:rPr>
          <w:rFonts w:ascii="Arial" w:cs="Arial" w:eastAsia="Arial" w:hAnsi="Arial"/>
          <w:sz w:val="17"/>
          <w:szCs w:val="17"/>
          <w:i w:val="1"/>
          <w:iCs w:val="1"/>
          <w:color w:val="auto"/>
        </w:rPr>
        <w:t>Statement of Cash Flows - Classification of Certain Cash Receipts and Cash Payments</w:t>
      </w:r>
      <w:r>
        <w:rPr>
          <w:rFonts w:ascii="Arial" w:cs="Arial" w:eastAsia="Arial" w:hAnsi="Arial"/>
          <w:sz w:val="17"/>
          <w:szCs w:val="17"/>
          <w:color w:val="auto"/>
        </w:rPr>
        <w:t>, which clarifies how certain cash receipts and cash payments are presented and classified in the condensed consolidated statements of cash flows. The amendments are aimed at reducing the existing diversity in practice. The Company adopted this guidance in the first quarter of 2019 applying a retrospective approach for each period presented. The adoption of this guidance did not have a material impact on the condensed consolidated financial statements.</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FASB issued amended guidance,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The amended standard simplifies how an entity tests goodwill by eliminating Step 2 of the goodwill impairment test related to measuring an impairment charge. Instead, impairment will be recorded for the amount that the carrying amount of a reporting unit exceeds its fair value. This new guidance is effective for the Company beginning in the first quarter of 2021. The adoption of this guidance is not expected to have a material impact on the consolidated financial statements.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xml:space="preserve"> regarding the measurement of credit losses for certain financial instruments. The new standard replaces the incurred loss model with a current expected credit loss (“CECL”) model. The CECL model is based on historical experience, adjusted for current conditions and reasonable and supportable forecasts. The Company is required to adopt the new standard beginning in the first quarter of 2022. The Company is currently evaluating the impact this guidance will have on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reclassifications have been made to prior-year amounts in the consolidated statements of operations and comprehensive income (loss) to conform to current-year reporting presentation. These reclassifications had no impact on net income (loss), comprehensive income (loss) or stockholders’ equity.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2 – FINTECH MERGER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FinTech Merger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discussed in Note 1, on July 26, 2018, Intermex and FinTech consummated the Merger, which was accounted for as a reverse recapitalization. Immediately prior to the Merger, FinTech’s shareholders exercised their right to redeem certain of their outstanding shares for cash, resulting in the redemption of 4.9 million shares of FinTech for gross redemption payments of $49.8 million. Subsequent to this redemption, there were 18.9 million outstanding shares. The aggregate consideration paid in the Merger by FinTech to the Intermex shareholders consisted of approximately (i) $102.0 million in cash and (ii) 17.2 million shares of FinTech common stock. In accounting for the reverse recapitalization, the net cash proceeds received in the third quarter of 2018 from FinTech amounted to $5.0 thousand as shown in the table below (in thousands):</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ind w:left="1140" w:right="1640"/>
        <w:spacing w:after="0" w:line="258" w:lineRule="auto"/>
        <w:rPr>
          <w:sz w:val="20"/>
          <w:szCs w:val="20"/>
          <w:color w:val="auto"/>
        </w:rPr>
      </w:pPr>
      <w:r>
        <w:rPr>
          <w:rFonts w:ascii="Arial" w:cs="Arial" w:eastAsia="Arial" w:hAnsi="Arial"/>
          <w:sz w:val="18"/>
          <w:szCs w:val="18"/>
          <w:color w:val="auto"/>
        </w:rPr>
        <w:t>Cash balance available to Intermex prior to the consummation of the Merger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-273050</wp:posOffset>
            </wp:positionV>
            <wp:extent cx="57975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320" w:right="2360"/>
        <w:spacing w:after="0" w:line="257" w:lineRule="auto"/>
        <w:rPr>
          <w:sz w:val="20"/>
          <w:szCs w:val="20"/>
          <w:color w:val="auto"/>
        </w:rPr>
      </w:pPr>
      <w:r>
        <w:rPr>
          <w:rFonts w:ascii="Arial" w:cs="Arial" w:eastAsia="Arial" w:hAnsi="Arial"/>
          <w:sz w:val="18"/>
          <w:szCs w:val="18"/>
          <w:color w:val="auto"/>
        </w:rPr>
        <w:t>Intermex Merger costs paid from acquisition proceeds at closing Cash consideration to Intermex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-280670</wp:posOffset>
            </wp:positionV>
            <wp:extent cx="57975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Net cash proceeds from reverse recapitalization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59" w:lineRule="exact"/>
        <w:rPr>
          <w:sz w:val="20"/>
          <w:szCs w:val="20"/>
          <w:color w:val="auto"/>
        </w:rPr>
      </w:pPr>
    </w:p>
    <w:p>
      <w:pPr>
        <w:ind w:left="1140" w:right="1640"/>
        <w:spacing w:after="0" w:line="258" w:lineRule="auto"/>
        <w:rPr>
          <w:sz w:val="20"/>
          <w:szCs w:val="20"/>
          <w:color w:val="auto"/>
        </w:rPr>
      </w:pPr>
      <w:r>
        <w:rPr>
          <w:rFonts w:ascii="Arial" w:cs="Arial" w:eastAsia="Arial" w:hAnsi="Arial"/>
          <w:sz w:val="18"/>
          <w:szCs w:val="18"/>
          <w:color w:val="auto"/>
        </w:rPr>
        <w:t>Cash balance available to Intermex prior to the consummation of the Merger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-273050</wp:posOffset>
            </wp:positionV>
            <wp:extent cx="57975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Cash consideration to Intermex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Other FinTech assets acquired and liabilities assumed in the Merger: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Accrued liabilities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equity infusion from FinTech</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580" w:hanging="577"/>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110,726</w:t>
      </w:r>
    </w:p>
    <w:p>
      <w:pPr>
        <w:spacing w:after="0" w:line="237"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(9,062)</w:t>
      </w:r>
    </w:p>
    <w:p>
      <w:pPr>
        <w:spacing w:after="0" w:line="23"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(101,659)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7289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1060" w:hanging="1057"/>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w:t>
      </w:r>
    </w:p>
    <w:p>
      <w:pPr>
        <w:spacing w:after="0" w:line="279" w:lineRule="exact"/>
        <w:rPr>
          <w:sz w:val="20"/>
          <w:szCs w:val="20"/>
          <w:color w:val="auto"/>
        </w:rPr>
      </w:pPr>
    </w:p>
    <w:p>
      <w:pPr>
        <w:ind w:left="580" w:hanging="577"/>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110,726</w:t>
      </w:r>
    </w:p>
    <w:p>
      <w:pPr>
        <w:spacing w:after="0" w:line="236"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6"/>
          <w:szCs w:val="16"/>
          <w:color w:val="auto"/>
        </w:rPr>
        <w:t>(101,659)</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76</w:t>
      </w:r>
    </w:p>
    <w:p>
      <w:pPr>
        <w:spacing w:after="0" w:line="23"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(136)</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982</w:t>
      </w:r>
    </w:p>
    <w:p>
      <w:pPr>
        <w:spacing w:after="0" w:line="22" w:lineRule="exact"/>
        <w:rPr>
          <w:sz w:val="20"/>
          <w:szCs w:val="20"/>
          <w:color w:val="auto"/>
        </w:rPr>
      </w:pPr>
    </w:p>
    <w:p>
      <w:pPr>
        <w:ind w:left="740" w:hanging="73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9,989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40640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400"/>
          </w:cols>
          <w:pgMar w:left="240" w:top="121" w:right="2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Cash consideration to Intermex shareholders includes the payout of all vested Incentive Units issued to employees of the Company as discussed in Note 10.</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completion of the Merger on July 26, 2018, there were 36.2 million shares of International Money Express, Inc. common stock outstanding, warrants to purchase 9 million shares of common stock and 3.4 million shares reserved for issuance under the International Money Express, Inc. 2018 Omnibus Equity Compensation Plan (See Note 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Costs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costs related to the Merger were expensed as incurred and included as “transaction costs” in the condensed consolidated statement of operations and comprehensive income (loss). Transaction costs included all internal and external costs directly related to the Merger, consisting primarily of legal, consulting, accounting, advisory and financing fees and certain incentive bonuses directly related to the Merger. Transaction costs for the three months ended March 31, 2018 amounted to $1.5 million.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3 – REVENUE RECOGNITION STANDARD</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On January 1, 2019, the Company adopted the new accounting standard,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amended, which modified the existing accounting standards for revenue recognition. The guidance establishes that an entity should recognize revenue to depict the transfer of promised goods or services, that is, the satisfaction of performance obligations, to customers in an amount that reflects the consideration to which the entity expects to be entitled in exchange for those goods or services. The guidance establishes a five-step model to determine when revenue recognition is appropriate. The Company adopted the guidance using the modified retrospective approach recording the cumulative effect of initially applying the new guidance as an adjustment to the opening balance of accumulated deficit in the condensed consolidated balance sheet, amounting to $1.0 million, net of tax, with a corresponding increase to deferred revenue liability, included within accrued and other liabilities in the condensed consolidated balance sheet. In accordance with the modified retrospective approach, the comparative information has not been restated and continues to be reported under the accounting standards in effect for that period. The adoption of the new revenue standard is not expected to have a material impact to the Company’s revenues or net income on an ongoing basis.</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three months ended March 31, 2019, the Company recognized $67.9 million in revenues from contracts with customers. There are no significant initial costs incurred to obtain contracts with customers. However, the Company’s loyalty program provides that for each money transfer completed customers earn points, which can be redeemed at a later time under the terms of the loyalty program. Therefore, a portion of the initial consideration is recorded as deferred revenue. Prior to the implementation of the standard, the Company used the incremental cost method to account for the loyalty program; therefore, a liability for the cost associated with the company’s future obligation to its customers was created and the loyalty program expense was recorded within Service charges from agents and banks in the consolidated statements of operations and comprehensive income (loss). Under the new guidance, loyalty program expense is recorded as contra revenue. The loyalty program reserve balance as of January 1, 2019 of $0.6 million was credited to accumulated deficit as this became part of the beginning balance of the new deferred revenue liability.</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our assessment of the new standard, except for the loyalty program discussed above, we have determined that our revenues include only one performance obligation, which is to collect the consumer’s money and make funds available for payment, generally on the same day, to a designated recipient in the currency requested.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offers several other services, including money orders and check cashing, for which revenue is derived by a fee per transaction. For the significant majority of the Company’s revenues, the Company acts as the principal in transactions and reports revenue on a gross basis, as the Company controls the service at all times prior to transfer to the customer, is primarily responsible for fulfilling the customer contracts, has the risk of loss, and has the ability to establish transaction prices.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4 – OTHER PREPAID EXPENSES AND CURRENT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prepaid expenses and current assets consisted of the following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March 31,</w:t>
            </w:r>
          </w:p>
        </w:tc>
        <w:tc>
          <w:tcPr>
            <w:tcW w:w="12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41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Prepaid fees</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980" w:type="dxa"/>
            <w:vAlign w:val="bottom"/>
            <w:vMerge w:val="restart"/>
          </w:tcPr>
          <w:p>
            <w:pPr>
              <w:jc w:val="right"/>
              <w:ind w:right="1799"/>
              <w:spacing w:after="0"/>
              <w:rPr>
                <w:sz w:val="20"/>
                <w:szCs w:val="20"/>
                <w:color w:val="auto"/>
              </w:rPr>
            </w:pPr>
            <w:r>
              <w:rPr>
                <w:rFonts w:ascii="Arial" w:cs="Arial" w:eastAsia="Arial" w:hAnsi="Arial"/>
                <w:sz w:val="14"/>
                <w:szCs w:val="14"/>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5 – GOODWILL AND OTHER INTANGIBLE ASSETS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Intangible assets on the condensed consolidated balance sheets of the Company consist of agent relationships, trade name, developed technology and other intangible assets. Agent relationships, trade name and developed technology are all amortized over 15 years using an accelerated method that correlates with the projected realization of the benefit. Other intangibles primarily relate to the acquisition of certain agent locations, which are amortized straight line over 10 years. The determination of our other intangible fair values includes several assumptions that are subject to various risks and uncertainties. Management believes it has made reasonable estimates and judgments concerning these risks and uncertainties. A change in the conditions, circumstances or strategy of the Company may result in a need to recognize an impairment charge.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and other intangible assets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Other Intangibles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Acquisition of agent locations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36,260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34,310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NOTE 6 – ACCRUED AND OTHER LIABILITIES</w:t>
            </w:r>
          </w:p>
        </w:tc>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360" w:type="dxa"/>
            <w:vAlign w:val="bottom"/>
            <w:gridSpan w:val="2"/>
          </w:tcPr>
          <w:p>
            <w:pPr>
              <w:spacing w:after="0"/>
              <w:rPr>
                <w:sz w:val="20"/>
                <w:szCs w:val="20"/>
                <w:color w:val="auto"/>
              </w:rPr>
            </w:pPr>
            <w:r>
              <w:rPr>
                <w:rFonts w:ascii="Arial" w:cs="Arial" w:eastAsia="Arial" w:hAnsi="Arial"/>
                <w:sz w:val="18"/>
                <w:szCs w:val="18"/>
                <w:color w:val="auto"/>
                <w:w w:val="97"/>
              </w:rPr>
              <w:t>Accrued and other liabilities consisted of the following (in thousands):</w:t>
            </w: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24"/>
                <w:szCs w:val="24"/>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4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Payables to agents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Accrued compensation</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Accrued bank charges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Accrued loyalty program reserve</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Accrued legal fees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Accrued taxes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745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loyalty program liability</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1,770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16,355</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300" w:type="dxa"/>
            <w:vAlign w:val="bottom"/>
          </w:tcPr>
          <w:p>
            <w:pPr>
              <w:jc w:val="right"/>
              <w:ind w:right="1799"/>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34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NOTE 7 – DEBT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60" w:type="dxa"/>
            <w:vAlign w:val="bottom"/>
            <w:gridSpan w:val="2"/>
          </w:tcPr>
          <w:p>
            <w:pPr>
              <w:spacing w:after="0"/>
              <w:rPr>
                <w:sz w:val="20"/>
                <w:szCs w:val="20"/>
                <w:color w:val="auto"/>
              </w:rPr>
            </w:pPr>
            <w:r>
              <w:rPr>
                <w:rFonts w:ascii="Arial" w:cs="Arial" w:eastAsia="Arial" w:hAnsi="Arial"/>
                <w:sz w:val="18"/>
                <w:szCs w:val="18"/>
                <w:color w:val="auto"/>
              </w:rPr>
              <w:t>Debt consisted of the following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March 31,</w:t>
            </w:r>
          </w:p>
        </w:tc>
        <w:tc>
          <w:tcPr>
            <w:tcW w:w="80" w:type="dxa"/>
            <w:vAlign w:val="bottom"/>
          </w:tcPr>
          <w:p>
            <w:pPr>
              <w:spacing w:after="0"/>
              <w:rPr>
                <w:sz w:val="24"/>
                <w:szCs w:val="24"/>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Term loan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88,875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line="216" w:lineRule="exact"/>
              <w:rPr>
                <w:sz w:val="20"/>
                <w:szCs w:val="20"/>
                <w:color w:val="auto"/>
              </w:rPr>
            </w:pPr>
            <w:r>
              <w:rPr>
                <w:rFonts w:ascii="Arial" w:cs="Arial" w:eastAsia="Arial" w:hAnsi="Arial"/>
                <w:sz w:val="16"/>
                <w:szCs w:val="16"/>
                <w:color w:val="auto"/>
              </w:rPr>
              <w:t xml:space="preserve">Less: Current portion of long term debt </w:t>
            </w:r>
            <w:r>
              <w:rPr>
                <w:rFonts w:ascii="Arial" w:cs="Arial" w:eastAsia="Arial" w:hAnsi="Arial"/>
                <w:sz w:val="25"/>
                <w:szCs w:val="25"/>
                <w:color w:val="auto"/>
                <w:vertAlign w:val="superscript"/>
              </w:rPr>
              <w:t>(1)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(4,498)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Less: Debt origination costs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96,780</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113,326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Current portion of long-term debt is net of debt origination costs of $0.6 million at March 31, 2019 and December 31, 2018.</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7, 2018 and further amended on December 7, 2018, the Company entered into a new financing agreement (the “Credit Agreement”) with, among others, certain of its domestic subsidiaries as borrowers, certain other domestic subsidiaries and a group of banking institutions. The Credit Agreement provides for a $35 million revolving credit facility, a $90 million term loan facility and an up to $30 million incremental facility. The Credit Agreement also provides for the issuance of letters of credit, which would reduce availability under the revolving credit facility. The proceeds of the Credit Agreement were used to repay existing indebtedness, for working capital purposes and to pay fees and expenses in connection with the transaction. The maturity date of the Credit Agreement is November 7, 2023.</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25, 2019, the Company entered into an Increase Joinder No. 1 to the Credit Agreement (the “Increase Joinder”) under which the Company received $12 million from the incremental facility in the second quarter of 2019. The proceeds of the Increase Joinder will be primarily used to pay for the cash portion of the Tender Offer (see Note 10) during the second quarter of 2019.</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term loan facility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as of March 31, 2019 for the term loan and revolving credit facility were 7.72% and 8.78%, respectively.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amount of the term loan facility must be repaid in consecutive quarterly installments of 5.0% in year 1, 7.5% in years 2 and 3, 10.0% in years 4 and 5, in each case on the last day of each quarter, commencing in March 2019 with a final payment at maturity. The loans under the Credit Agreement may be prepaid at any time without payment or penalty.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Agreement also contains financial covenants which require the Company to maintain a quarterly minimum fixed charge coverage ratio of 1.25:1.00 and a quarterly maximum consolidated leverage ratio of 3.25:1.00.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obligations under the Credit Agreement are guaranteed by the Company and certain domestic subsidiaries of the Company and secured by liens substantially all of the assets of the loan parties, subject to certain exclusions and limitations.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8 – FAIR VALUE MEASUREMENTS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determines fair value in accordance with the provisions of FASB guidance, Fair Value Measurements and Disclosures,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Level 1 relates to quoted market prices for identical assets or liabilities.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non-financial assets measured at fair value on a nonrecurring basis include the goodwill and other intangibles. The Company’s cash is representative of fair value as these balances are comprised of deposits available on demand. Accounts receivable, prepaid wires, accounts payable and wire transfers and money orders payable are representative of their fair values because of the short turnover of these items.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financial instruments that are not measured at fair value on a recurring basis include its revolving credit facility and term loan. The fair value of the term loan, which approximates book value, is estimated by discounting the future cash flows using a current market interest rate. The estimated fair value of the revolving credit facility would approximate face value given the payment schedule and variable interest rate structure.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9 – RELATED PARTY TRANSACTIONS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Merger, Intermex paid a monthly management fee of $65 thousand, plus reimbursement of expenses, to a related party for management services, which was included in other selling, general and administrative expenses on the Company’s condensed consolidated statements of operations and comprehensive income (loss). There were no amounts payable to or receivable from related parties included in the condensed consolidated balance sheets at March 31, 2019 and December 31, 2018. Upon closing of the Merger on July 26, 2018 (See Note 2), the management fee agreement with the related party was terminated.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10 – STOCKHOLDERS’ EQUITY AND SHARE-BASED COMPENSATION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the completion of the Merger on the Closing Date, there were 36.2 million shares of the Company’s common stock outstanding and outstanding warrants to purchase approximately 9 million shares of common stock. As of the Closing Date, the former stockholders of Intermex owned approximately 48.3% and the former stockholders of FinTech owned approximately 51.7% of the combined company’s outstanding common stock. At March 31, 2019, the Company was authorized to issue 230 million shares of common stock and had 36.2 million shares of common stock issued and outstanding at $0.0001 par value per common share.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Warrants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Merger, FinTech issued 8.8 million public warrants (“Public Warrants”) and 0.2 million private placement warrants (“Placement Warrants”) (combined are referred to as the “Warrants”). The Company assumed the Warrants upon the change of control event. As a result of the Merger, the Warrants issued by FinTech were no longer exercisable for shares of FinTech common stock but instead were exercisable for common stock of the Company. All other features of the Warrants remain unchanged. There are no cash obligations for the Company pertaining to these Warrants, and they are recognized in equity upon any exercise.</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whole Warrant entitled the holder to purchase one share of the Company’s common stock at a price of $11.50 per share. The Warrants became exercisable 30 days after the completion of the Merger and expire five years after that date, or earlier upon redemption or liquidation.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28, 2019, the Company announced the commencement of its offer (the “ Tender Offer”) to each holder of the Warrants to purchase shares of common stock of the Company to receive a combination of 0.201 shares of its common stock and $1.12 in cash, for each Warrant tendered by the holder and exchanged pursuant to the Tender Offer.</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29, 2019, the Company entered into Amendment No. 1 (the “Warrant Amendment”) to the Warrant Agreement, dated as of January 19, 2017 (the “Warrant Agreement”). The Warrant Amendment amends the Warrant Agreement to permit the Company to require that each Warrant that is outstanding upon the closing of the Offer to be converted into a combination of 0.181 shares of common stock, par value $0.0001 per share, of the Company and $1.00 in cash. The Company intends to exchange all remaining untendered Warrants for the Conversion Consideration in accordance with the terms of the Warrant Agreement, as amended, on or about May 20, 2019. For the three months ended March 31, 2019, the Company incurred in approximately $513 thousand in professional and legal fees related to the Tender Offer. These expenses were recorded as other selling, general and administrative expenses in the statement of operations and comprehensive income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Money Express, Inc. 2018 Omnibus Equity Compensation Plan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Merger, the stockholders of FinTech approved the International Money Express, Inc. 2018 Omnibus Equity Compensation Plan (the “2018 Plan”). There are 3.4 million shares reserved for issuance under the 2018 Plan, of which stock options to purchase 2.8 million shares of common stock and restricted stock units in respect of 21.2 thousand shares of common stock were granted to employees and independent directors of the Company in connection with the completion of the transactions at the Closing Date.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value of each option grant is estimated on the grant date using the Black-Scholes option pricing model. The option pricing model requires the input of highly subjective assumptions, including the grant date fair value of our common stock, expected volatility, expected forfeitures and risk-free interest rates. To determine the grant date fair value of the Company’s common stock, we use the closing market price of our common stock at the grant date. We also use an expected volatility based on the historical volatilities of a group of guideline companies and the “simplified” method for calculating the expected life of our stock options. We have elected to account for forfeitures as they occur. The risk-free interest rates are obtained from publicly available U.S. Treasury yield curve rates.</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Share-based compensation is recognized as an expense on a straight-line basis over the requisite service period, which is generally the vesting period. The stock options issued under the 2018 Plan have 10-year terms and vest in four equal annual installments beginning 1 year after the date of the grant. The Company recognized compensation expense for stock options of approximately $0.6 million for the three months ended March 31, 2019, which is included in salaries and benefits in the condensed consolidated statements of operations and comprehensive income (loss). No stock options were vested during the first quarter of 2019, therefore no stock options were exercisable as of March 31, 2019. The weighted-average grant date fair value for the stock options to purchase 2.8 million shares of common stock granted was $3.47 per share. As of March 31, 2019, there were 2.8 million non-vested stock options and unrecognized compensation expense of approximately $8.2 million is expected to be recognized over a weighted-average period of 3.36 years.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during the three months ended March 31, 2019 is presented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Weighted-Average</w:t>
            </w:r>
          </w:p>
        </w:tc>
        <w:tc>
          <w:tcPr>
            <w:tcW w:w="1460" w:type="dxa"/>
            <w:vAlign w:val="bottom"/>
            <w:gridSpan w:val="3"/>
          </w:tcPr>
          <w:p>
            <w:pPr>
              <w:spacing w:after="0"/>
              <w:rPr>
                <w:sz w:val="20"/>
                <w:szCs w:val="20"/>
                <w:color w:val="auto"/>
              </w:rPr>
            </w:pPr>
            <w:r>
              <w:rPr>
                <w:rFonts w:ascii="Arial" w:cs="Arial" w:eastAsia="Arial" w:hAnsi="Arial"/>
                <w:sz w:val="18"/>
                <w:szCs w:val="18"/>
                <w:color w:val="auto"/>
                <w:w w:val="96"/>
              </w:rPr>
              <w:t>Weighted-Average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Number of</w:t>
            </w:r>
          </w:p>
        </w:tc>
        <w:tc>
          <w:tcPr>
            <w:tcW w:w="1560" w:type="dxa"/>
            <w:vAlign w:val="bottom"/>
            <w:gridSpan w:val="3"/>
          </w:tcPr>
          <w:p>
            <w:pPr>
              <w:spacing w:after="0"/>
              <w:rPr>
                <w:sz w:val="20"/>
                <w:szCs w:val="20"/>
                <w:color w:val="auto"/>
              </w:rPr>
            </w:pPr>
            <w:r>
              <w:rPr>
                <w:rFonts w:ascii="Arial" w:cs="Arial" w:eastAsia="Arial" w:hAnsi="Arial"/>
                <w:sz w:val="18"/>
                <w:szCs w:val="18"/>
                <w:color w:val="auto"/>
              </w:rPr>
              <w:t>Weighted-Average</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Remaining Contractual</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Exercise Price</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Term (Years)</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2,881,219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11.01</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Outstanding at March 31, 2019</w:t>
            </w:r>
          </w:p>
        </w:tc>
        <w:tc>
          <w:tcPr>
            <w:tcW w:w="1100" w:type="dxa"/>
            <w:vAlign w:val="bottom"/>
          </w:tcPr>
          <w:p>
            <w:pPr>
              <w:jc w:val="right"/>
              <w:spacing w:after="0"/>
              <w:rPr>
                <w:sz w:val="20"/>
                <w:szCs w:val="20"/>
                <w:color w:val="auto"/>
              </w:rPr>
            </w:pPr>
            <w:r>
              <w:rPr>
                <w:rFonts w:ascii="Arial" w:cs="Arial" w:eastAsia="Arial" w:hAnsi="Arial"/>
                <w:sz w:val="18"/>
                <w:szCs w:val="18"/>
                <w:color w:val="auto"/>
              </w:rPr>
              <w:t>2,831,219</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10.02</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restricted stock units issued under the 2018 Plan to the Company’s independent directors vest on the one-year anniversary from the grant date. The Company recognized compensation expense for restricted stock units of $53 thousand for the three months ended March 31, 2019, which is included in salaries and benefits in the condensed consolidated statements of operations and comprehensive income (loss). There were no forfeited or vested restricted stock units during the three months ended March 31, 2019. As of March 31, 2019, there was $70 thousand of unrecognized compensation expense for the restricted stock units.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Units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Interwire LLC, the former parent company of Intermex, issued Class B, C and D incentive units to employees of the Company (collectively “incentive units”). As these units were issued as compensation to the Company’s employees, the expense was recorded by the Company. In connection with the Merger, on the Closing Date, all unvested incentive units for Class B, C and D became fully vested and were immediately recognized as share-based compensation expense in the third quarter of 2018. Share-based compensation expense recognized related to these incentive units and included in salaries and benefits in the condensed consolidated statements of operations and comprehensive income (loss), amounted to $0.2 million for the three months ended March 31, 2018. Subsequent to the Merger, all incentive units ceased to exist.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NOTE 11 – INCOME (LOSS) PER SHARE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income (loss) per share is calculated by dividing net income (loss) for period by the weighted average number of common shares outstanding for the period. In computing dilutive income (loss) per share, basic income (loss) per share is adjusted for the assumed issuance of all applicable potentially dilutive share-based awards, including common stock options, restricted stock and warrants.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78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7280" w:type="dxa"/>
            <w:vAlign w:val="bottom"/>
          </w:tcPr>
          <w:p>
            <w:pPr>
              <w:jc w:val="center"/>
              <w:ind w:left="2890"/>
              <w:spacing w:after="0"/>
              <w:rPr>
                <w:sz w:val="20"/>
                <w:szCs w:val="20"/>
                <w:color w:val="auto"/>
              </w:rPr>
            </w:pPr>
            <w:r>
              <w:rPr>
                <w:rFonts w:ascii="Arial" w:cs="Arial" w:eastAsia="Arial" w:hAnsi="Arial"/>
                <w:sz w:val="18"/>
                <w:szCs w:val="18"/>
                <w:b w:val="1"/>
                <w:bCs w:val="1"/>
                <w:color w:val="auto"/>
              </w:rPr>
              <w:t>INTERNATIONAL MONEY EXPRESS, INC.</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780" w:type="dxa"/>
            <w:vAlign w:val="bottom"/>
            <w:gridSpan w:val="4"/>
          </w:tcPr>
          <w:p>
            <w:pPr>
              <w:jc w:val="center"/>
              <w:ind w:left="139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80" w:type="dxa"/>
            <w:vAlign w:val="bottom"/>
          </w:tcPr>
          <w:p>
            <w:pPr>
              <w:jc w:val="center"/>
              <w:ind w:left="2890"/>
              <w:spacing w:after="0"/>
              <w:rPr>
                <w:sz w:val="20"/>
                <w:szCs w:val="20"/>
                <w:color w:val="auto"/>
              </w:rPr>
            </w:pPr>
            <w:r>
              <w:rPr>
                <w:rFonts w:ascii="Arial" w:cs="Arial" w:eastAsia="Arial" w:hAnsi="Arial"/>
                <w:sz w:val="18"/>
                <w:szCs w:val="18"/>
                <w:color w:val="auto"/>
                <w:w w:val="91"/>
              </w:rPr>
              <w:t>(Unaudited)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360" w:type="dxa"/>
            <w:vAlign w:val="bottom"/>
            <w:gridSpan w:val="6"/>
          </w:tcPr>
          <w:p>
            <w:pPr>
              <w:spacing w:after="0"/>
              <w:rPr>
                <w:sz w:val="20"/>
                <w:szCs w:val="20"/>
                <w:color w:val="auto"/>
              </w:rPr>
            </w:pPr>
            <w:r>
              <w:rPr>
                <w:rFonts w:ascii="Arial" w:cs="Arial" w:eastAsia="Arial" w:hAnsi="Arial"/>
                <w:sz w:val="18"/>
                <w:szCs w:val="18"/>
                <w:color w:val="auto"/>
                <w:w w:val="98"/>
              </w:rPr>
              <w:t>Below are basic and diluted net income (loss) per share for the periods indicated (in thousands, except for share data):</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jc w:val="right"/>
              <w:ind w:right="240"/>
              <w:spacing w:after="0"/>
              <w:rPr>
                <w:sz w:val="20"/>
                <w:szCs w:val="20"/>
                <w:color w:val="auto"/>
              </w:rPr>
            </w:pPr>
            <w:r>
              <w:rPr>
                <w:rFonts w:ascii="Arial" w:cs="Arial" w:eastAsia="Arial" w:hAnsi="Arial"/>
                <w:sz w:val="18"/>
                <w:szCs w:val="18"/>
                <w:color w:val="auto"/>
                <w:w w:val="90"/>
              </w:rPr>
              <w:t>Three Months Ended March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26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for basic and diluted income (loss) per common share</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260" w:type="dxa"/>
            <w:vAlign w:val="bottom"/>
            <w:vMerge w:val="restart"/>
          </w:tcPr>
          <w:p>
            <w:pPr>
              <w:spacing w:after="0"/>
              <w:rPr>
                <w:sz w:val="18"/>
                <w:szCs w:val="18"/>
                <w:color w:val="auto"/>
              </w:rPr>
            </w:pPr>
          </w:p>
        </w:tc>
        <w:tc>
          <w:tcPr>
            <w:tcW w:w="7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Weighted-average common shares outstanding – basic</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36,182,783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36,195,463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17,227,682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26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 - basic and diluted</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computation of diluted income per share above considers the effect of approximately 2.8 million options to purchase shares of the Company’s common stock and 9.0 million warrants underlying shares of Company stock within diluted weighted-average shares outstanding for the three month ended March 31, 2019. However, under the treasury stock method their inclusion was anti-dilutive.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12 – INCOME TAXES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between the income tax provision (benefit) at the U.S. statutory tax rate and the Company’s income tax provision (benefit) on the condensed consolidated statements of operations and comprehensive income (loss) is below:</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color w:val="auto"/>
                <w:w w:val="90"/>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U.S. statutory tax rate</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statutory rate</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 (benefit), net of federal</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Foreign tax rates different from U.S. statutory rate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income tax provision (benefit)</w:t>
            </w:r>
          </w:p>
        </w:tc>
        <w:tc>
          <w:tcPr>
            <w:tcW w:w="1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presented in the income tax reconciliation above, the tax provision (benefit) recognized on the condensed consolidated statements of operations and comprehensive income (loss) was impacted by state taxes, non-deductible expenses such as share-based compensation expense, transaction costs and foreign tax rates applicable to the Company’s foreign subsidiaries that are higher or lower than the U.S. statutory rate.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2017, the U.S. enacted tax reform legislation known as H.R. 1, commonly referred to as the “Tax Cuts and Jobs Act” (the “Act”), resulting in significant modifications to existing law. All changes to the tax code that are effective as of January 1, 2018 have been applied by the Company in computing its income tax expense for the three months ended March 31, 2019 and 2018. Additional guidance issued by the U.S. Treasury Department, the IRS, and other standard-setting bodies may materially impact the provision for income taxes and effective tax rate in the period in which the guidance is issued.</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2018, FinTech Acquisition Corp II was notified by the IRS that its 2017 federal income tax return was selected for examination. The Company has complied with all information requests to date. As of March 31, 2019, no amounts for tax, interest, or penalties have been paid or accrued as a result of this examination or any other uncertain tax positions.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13 –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 party to leases for office space and branch locations, several of which are on a month-to-month basis. Rent expense under all operating leases, included in other selling, general and administrative expenses in the condensed consolidated statements of operations and comprehensive income (loss), amounted to $0.5 million and $0.4 million for the three months ended March 31, 2019 and 2018, respectively.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2018, the Company renegotiated its corporate lease to extend the term through November 2025. At March 31, 2019, future minimum rental payments required under operating leases for the remainder of 2019 and thereafter are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8"/>
                <w:szCs w:val="18"/>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9"/>
                <w:szCs w:val="19"/>
                <w:color w:val="auto"/>
              </w:rPr>
            </w:pPr>
          </w:p>
        </w:tc>
      </w:tr>
      <w:tr>
        <w:trPr>
          <w:trHeight w:val="257"/>
        </w:trPr>
        <w:tc>
          <w:tcPr>
            <w:tcW w:w="3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that the expected outcome of these matters, both individually or in the aggregate, will not have a material adverse effect on either the results of operations or financial condition of the Company.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INTERNATIONAL MONEY EXPRESS, INC.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operates in 50 U.S. states, two U.S. territories and two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matters will not have a material adverse effect on either the results of operations or financial condition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requirements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domestic subsidiaries of the Company are subject to maintaining minimum tangible net worth and liquid assets (eligible securities) to cover the amount outstanding of wire transfers and money orders payable. As of March 31, 2019, the Company’s subsidiaries were in compliance with these two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14 – SUBSEQUENT EVENTS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evaluates subsequent events and transactions that occur after the balance sheet date up to the date the condensed consolidated financial statements are issued. Except for the matters discussed in Notes 7 and 10, there were no other subsequent events that would have required adjustment or disclosure in the condensed consolidated financial statements.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and our Audited Financial Statements and related Notes and MD&amp;A included in our Annual Report on Form 10-K for the year ended December 31, 2018. This MD&amp;A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See “Special Note Regarding Forward-Looking Statements” for additional factors relating to such statements, and see “Risk Factors” in our documents we have filed or furnished with the SEC for a discussion of certain risk factors applicable to our business, financial condition and results of operations. Past operating results are not necessarily indicative of operating results in any future periods.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rapidly growing and leading money remittance services company focused primarily on the U.S. to the LAC corridor, which includes Mexico, Central and South America and the Caribbean.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50 states, Washington D.C. and Puerto Rico, where customers can send money to beneficiaries in 17 LAC countries and four countries in Africa. Our services are accessible in person through over 100,000 sending and paying agents and company-operated stores, as well as online and via Internet-enabled mobile devices.</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Money remittance services to Latin America, primarily Mexico and Guatemala, are the primary source of our revenue. These services involve the movement of funds on behalf of an originating customer for receipt by a designated beneficiary at a designated receiving location. Our remittances to Latin America are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Other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United States and our paying agents in the destination country. Remittances paid in local currencies that are not pegged to the U.S. dollar also earn revenue through our daily management of currency exchange spreads.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money remittance services enable our customers to send and receive funds through our extensive network of locations in the United States that are primarily operated by third-party businesses, which we refer to as agents, and a small number of company-operated stores in the LAC corridor. In addition, our services are offered digitally through Intermexonline.com and via Internet-enabled mobile devices. We currently operate in the United States, Mexico, Guatemala and 20 additional countries. Since January 2015 through March 31, 2019, we have grown our agent network by more than 119% and increased our remittance transactions volume by approximately 117%. In the first quarter of 2019, we processed approximately 6.2 million remittances, representing over 23% growth in transactions as compared to the same period in 2018.</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non-bank financial institution, we are regulated by the Department of Treasury, the Internal Revenue Service, FinCEN, the CFPB, the Department of Banking and Finance of the State of Florida and additionally by the various regulatory institutions of those states where we hold an operating license. We are duly registered as an MSB with FinCEN, the financial intelligence unit of the U.S. Department of the Treasury. We are also subject to a wide range of regulations in the United States and other countries, including anti-money laundering laws and regulations; financial services regulations; currency control regulations; anti-bribery law; money transfer and payment instrument licensing laws; escheatment laws; privacy, data protection and information security laws; and consumer disclosure and consumer protection laws.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Factors and Trends Affecting our Business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Various trends and other factors have affected and may continue to affect our business, financial condition and operating results, including:</w:t>
      </w:r>
    </w:p>
    <w:p>
      <w:pPr>
        <w:spacing w:after="0" w:line="237"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meet our debt obligations and remain in compliance with our credit facility requirements;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 authentication;</w:t>
      </w:r>
    </w:p>
    <w:p>
      <w:pPr>
        <w:spacing w:after="0" w:line="252" w:lineRule="exact"/>
        <w:rPr>
          <w:rFonts w:ascii="Arial" w:cs="Arial" w:eastAsia="Arial" w:hAnsi="Arial"/>
          <w:sz w:val="18"/>
          <w:szCs w:val="18"/>
          <w:color w:val="auto"/>
        </w:rPr>
      </w:pPr>
    </w:p>
    <w:p>
      <w:pPr>
        <w:ind w:left="900" w:hanging="244"/>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instability, currency restrictions and devaluation in countries in which we operate or plan to operate;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foreign exchange rates which could impact consumer remittance activity.</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Throughout 2018 and 2019, Latin American political and economic conditions remain unstable, as evidenced by high unemployment rates in key markets, currency reserves, currency controls, restricted lending activity, weak currencies and low consumer confidence, among other factors. Specifically, continued political and economic unrest in parts of Mexico and Guatemala contributed to volatility. Our business has generally been resilient during times of economic instability as money remittances are essential to many recipients, with the funds used by the receiving party for their daily needs. However, long-term sustained devaluation of the Mexican Peso or Guatemalan Quetzal as compared to the U.S. Dollar could negatively affect our revenues and profitability.</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Money remittance businesses such as ours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activity, along with enhancements to improve consumer protection, including the Dodd-Frank Wall Street Reform and Consumer Protection Act and similar regulations outside the United States. In coming periods, we expect these enhancements will continue to result in changes to certain of our business practices and may result in increased costs.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a regulatory compliance department, under the direction of our experienced Chief Administrative and Compliance Officer, whose foremost responsibility is to monitor transactions, detect suspicious activity, maintain financial records and train our employees and agents. An independent third-party consulting firm periodically reviews our policies and procedures to ensure the efficacy of our anti-money laundering and regulatory compliance program.</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 for money remittance services is very competitive. Our competitors include a small number of large money remittance providers, financial institutions and banks as well as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 structure and marketing efforts. We sell credible solutions to our agents, not discounts or higher commissions, as is typical for the industry. We compete for money remittance customers on the basis of trust, convenience, service, efficiency of outlets, value, technology and brand recognition.</w:t>
      </w:r>
    </w:p>
    <w:p>
      <w:pPr>
        <w:sectPr>
          <w:pgSz w:w="11900" w:h="16838" w:orient="portrait"/>
          <w:cols w:equalWidth="0" w:num="1">
            <w:col w:w="11420"/>
          </w:cols>
          <w:pgMar w:left="240" w:top="121"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expect to encounter increasing competition as new technologies emerge that enable customers to send and receive money through a variety of channels, but we do not expect adoption rates to be as significant in the near term for the customer segment we serve. Regardless, we continue to innovate in the industry by differentiating our money remittance business through programs to foster loyalty among agents as well as customers and have expanded our channels through which our services are accessed to include online and mobile offerings in preparation for customer adoption.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181" w:lineRule="exact"/>
        <w:rPr>
          <w:sz w:val="20"/>
          <w:szCs w:val="20"/>
          <w:color w:val="auto"/>
        </w:rPr>
      </w:pPr>
    </w:p>
    <w:p>
      <w:pPr>
        <w:ind w:left="900" w:hanging="244"/>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in the assessment of the emerging growth company’s internal control over financial reporting;</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 and</w:t>
      </w:r>
    </w:p>
    <w:p>
      <w:pPr>
        <w:spacing w:after="0" w:line="252"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until the earliest of: (i) the last day of the fiscal year during which we had total annual gross revenues of $1.07 billion or more; (ii) the last day of the fiscal year following the fifth anniversary of the date of the first sale of our common stock pursuant to an effective registration statement; (iii) the date on which we have, during the previous three-year period, issued more than $1.0 billion in non-convertible debt; or (iv) the date on which we are deemed a “large accelerated filer,” which means the market value of our common stock that is held by non-affiliates exceeds $700.0 million as of the prior June 30.</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December 22, 2017, the U.S. enacted tax reform legislation known as H.R. 1, commonly referred to as the “Tax Cuts and Jobs Act” (the “Act”), resulting in significant modifications to existing law. All changes to the tax code that were effective as of January 1, 2018 were applied by the Company in computing its income tax expense for the year ended December 31, 2018. Additional guidance issued by the U.S. Treasury Department, the IRS and other standard-setting bodies may materially impact the provision for income taxes and effective tax rate in the period in which the guidance is issued.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Merger</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26, 2018 (the “Closing Date”), International Money Express, Inc. (formerly FinTech Acquisition Corp. II) consummated the previously announced merger by and among FinTech, Merger Sub 1, a wholly-owned subsidiary of FinTech, Merger Sub 2, a wholly-owned subsidiary of FinTech, Intermex Holdings, and SPC Intermex (the "Merger"). In connection with the closing of the Merger, FinTech changed its name to International Money Express, Inc.</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Merger was accounted for as a reverse recapitalization where FinTech was treated as the “acquired” company for financial reporting purposes. This determination was primarily based on the facts that, following the Merger, the former stockholders of Intermex Holdings control the majority of the voting rights in respect of the board of directors of the Company, Intermex Holdings’ comprising the ongoing operations of the Company and Intermex Holdings’ senior management comprising the senior management of the Company. Accordingly, the Merger was treated as the equivalent of Intermex Holdings issuing stock for the net assets of FinTech, accompanied by a recapitalization. The net assets of FinTech were stated at historical cost, with no goodwill or other intangible assets resulting from the Merger. The consolidated assets, liabilities and results of operations prior to the Closing Date of the Merger are those of Intermex Holdings, and FinTech’s assets, liabilities and results of operations were consolidated with Intermex Holdings beginning on the Closing Date. The shares and corresponding capital amounts included in common stock and additional paid-in capital, pre-merger, have been retroactively restated as shares reflecting the exchange ratio in the Merger.</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Merger was approved by FinTech’s stockholders at the Special Meeting of FinTech Stockholders held on July 20, 2018. In connection with the closing of the Merger, FinTech redeemed a total of 4.9 million shares of its common stock at a redemption price of $10.086957 per share, resulting in a total payment to redeemed stockholders of approximately $49.8 million. The aggregate consideration paid in the Merger consisted of approximately (i) $102.0 million in cash and (ii) 17.2 million shares of FinTech common stock.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After the completion of the transactions on the Closing Date, there were 36.2 million shares of International Money Express, Inc. outstanding common stock, warrants to purchase 9 million shares of common stock ("Warrants") and 3.4 million shares reserved for issuance under the International Money Express, Inc. 2018 Equity Compensation Plan, of which stock options to purchase 2.8 million shares of common stock and restricted stock units in respect of 21.2 thousand shares of common stock were granted to employees and independent directors of the Company in connection with the completion of the transaction. As of the Closing Date, the former stockholders of Intermex owned approximately 48.3% and the former stockholders of FinTech owned approximately 51.7%, respectively, of the combined Company’s outstanding common stock.</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28, 2019, the Company announced the commencement of its offer (the “Tender Offer”) to each holder of the Warrants to purchase shares of common stock of the Company to receive a combination of shares of its common stock and cash, for each Warrant tendered by the holder and exchanged</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pursuant to the Tender Offer. </w:t>
      </w:r>
      <w:r>
        <w:rPr>
          <w:rFonts w:ascii="Arial" w:cs="Arial" w:eastAsia="Arial" w:hAnsi="Arial"/>
          <w:sz w:val="21"/>
          <w:szCs w:val="21"/>
          <w:color w:val="auto"/>
        </w:rPr>
        <w:t>In addition, the Company solicited consents from the holders of the Warrants to amend the Warrant</w:t>
      </w:r>
      <w:r>
        <w:rPr>
          <w:rFonts w:ascii="Arial" w:cs="Arial" w:eastAsia="Arial" w:hAnsi="Arial"/>
          <w:sz w:val="18"/>
          <w:szCs w:val="18"/>
          <w:color w:val="auto"/>
        </w:rPr>
        <w:t xml:space="preserve"> </w:t>
      </w:r>
      <w:r>
        <w:rPr>
          <w:rFonts w:ascii="Arial" w:cs="Arial" w:eastAsia="Arial" w:hAnsi="Arial"/>
          <w:sz w:val="21"/>
          <w:szCs w:val="21"/>
          <w:color w:val="auto"/>
        </w:rPr>
        <w:t>Agreement as described below.</w:t>
      </w:r>
    </w:p>
    <w:p>
      <w:pPr>
        <w:spacing w:after="0" w:line="2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29, 2019, the Company entered into Amendment No. 1 (the “Warrant Amendment”) to the Warrant Agreement, dated as of January 19, 2017 (the “Warrant Agreement”). The Warrant Amendment amends the Warrant Agreement to permit the Company to require that each Warrant that is outstanding upon the closing of the Offer to be converted into a combination of 0.181 shares of common stock, par value $0.0001 per share, of the Company and $1.00 in cash (the "Conversion Consideration"). The Company intends to exchange all remaining untendered Warrants for the Conversion Consideration in accordance with the terms of the Warrant Agreement, as amended, on or about May 20, 2019. For the three months ended March 31, 2019, the Company incurred in approximately $513 thousand in professional and legal fees related to the Tender Offer. These expenses were recorded as other selling, general and administrative expenses in the statement of operations and comprehensive income (loss).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The key indicators of the financial condition and operating performance of our business are revenues, services charges from agents and banks, salaries and benefits and selling, general and administrative expenses. To help us assess our performance with these key indicators, we use Adjusted EBITDA as a non-GAAP financial measure. We believe this non-GAAP measure provides useful information to investors and expanded insight to measure our revenue and cost performance as a supplement to our U.S. GAAP consolidated financial statements. See the “Adjusted EBITDA” sections below for reconciliations of Adjusted EBITDA to our net income, the closest GAAP measure.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Transaction volume is the primary generator of revenue in our business. Revenue on transactions is derived primarily from transaction fees paid by customers to transfer money. Revenues per transaction vary based upon send and receive locations and the amount sent. In certain transactions involving different send and receive currencies, we generate foreign exchange revenues based on the difference between the set exchange rate charged by us to the sender and the rate available to us in the wholesale foreign exchange market.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 Charges from Agents and Banks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Service charges and fees primarily consist of agent commissions and bank fees. Service charges and fees vary based on agent commission percentages and the amount of fees charged by the banks. Sending agents earn a commission on each transaction they process of approximately 50% of the transaction fee. Service charges and fees may increase if banks or payer organizations increase their fee structure. Service charges also vary based on the method the customer selects to send the transfer and payer organization that facilitates the transaction.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Salaries and Benefits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finance and human resources. Our sales team, located throughout the United States, is focused on supporting and growing our sending agent network.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Selling, General and Administrative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 and administrative expenses primarily consist of fixed overhead expenses associated with our operations, such as information technology, rent expense, insurance, professional services, facilities maintenance and other similar types of expenses. A portion of these expenses relate to our 32 company-operated stores; however, the majority relate to the overall business and compliance for being a public company. Selling expenses include expenses such as advertising and promotion, provision for bad debt and expenses associated with increasing our network of agents. These expenses are expected to continue to increase in line with increase in revenues.</w:t>
      </w:r>
    </w:p>
    <w:p>
      <w:pPr>
        <w:sectPr>
          <w:pgSz w:w="11900" w:h="16838" w:orient="portrait"/>
          <w:cols w:equalWidth="0" w:num="1">
            <w:col w:w="11420"/>
          </w:cols>
          <w:pgMar w:left="240" w:top="121"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Transaction Costs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incurred transaction costs associated with the Merger. These costs included all internal and external costs directly related to the transaction, consisting primarily of legal, consulting, accounting, advisory fees and certain incentive bonuses. Due to their significance, they are presented separately in our condensed consolidated financial statements.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largely consists of depreciation of computer equipment and software that supports our technology platform. Amortization of intangible assets is primarily related to our agent relationships, trade name and developed technology.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Interest expense consists primarily of interest associated with our debt, which consisted of a term loan and revolving credit facility that were both refinanced on November 7, 2018. As of March 31, 2019 and December 31, 2018, the interest rates for the term loan and revolving credit facility related to our current Credit Agreement were 7.0% and 7.0%, and 7.34% and 7.01%, respectively. Interest on the term loan facility and revolving credit facility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 (benefit)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income tax provision (benefit) includes the expected benefit of all deferred tax assets, including our net operating loss carryforwards. With few exceptions, our net operating loss carryforwards will expire from 2029 through 2037 and are subject to annual utilization limitations; however, our current assessment is that no valuation allowance is required for any of our deferred tax assets. Our income tax provision (benefit) has been impacted by non-deductible expenses, including shared-based compensation and transaction costs. The Act, enacted in December 2017, reduced our federal corporate tax rate from 34% to 21% beginning in 2018.</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(Loss)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(loss) is determined by subtracting operating and non-operating expenses from 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is organized around one reportable segment that provides money transmittal services primarily between the USA and Latin America. This is based on the objectives of the business and how our chief operating decision maker, the CEO and President, monitors operating performance and allocates resources.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key components of our results of operations for the periods indicated:</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92"/>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19"/>
                <w:szCs w:val="19"/>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 Change</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jc w:val="center"/>
              <w:ind w:left="450"/>
              <w:spacing w:after="0"/>
              <w:rPr>
                <w:sz w:val="20"/>
                <w:szCs w:val="20"/>
                <w:color w:val="auto"/>
              </w:rPr>
            </w:pPr>
            <w:r>
              <w:rPr>
                <w:rFonts w:ascii="Arial" w:cs="Arial" w:eastAsia="Arial" w:hAnsi="Arial"/>
                <w:sz w:val="18"/>
                <w:szCs w:val="18"/>
                <w:color w:val="auto"/>
                <w:w w:val="91"/>
              </w:rPr>
              <w:t>(Unaudited)</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2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 transfer and money order fees</w:t>
            </w:r>
          </w:p>
        </w:tc>
        <w:tc>
          <w:tcPr>
            <w:tcW w:w="1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58,451</w:t>
            </w:r>
          </w:p>
        </w:tc>
        <w:tc>
          <w:tcPr>
            <w:tcW w:w="5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47,854</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Foreign exchange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9,402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7,731</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1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rPr>
              <w:t>Total revenues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68,349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55,956</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7,597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6,223</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1,461</w:t>
            </w:r>
          </w:p>
        </w:tc>
        <w:tc>
          <w:tcPr>
            <w:tcW w:w="2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53,419</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2,537</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3,284</w:t>
            </w:r>
          </w:p>
        </w:tc>
        <w:tc>
          <w:tcPr>
            <w:tcW w:w="2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rPr>
              <w:t>Income (loss) before income taxes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(747)</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Income tax provision (benefit)</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income (loss)</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 Compared to Three Months Ended March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above periods are presented below:</w:t>
      </w:r>
    </w:p>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91"/>
              </w:rPr>
              <w:t>Three Months</w:t>
            </w: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Three Months</w:t>
            </w: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1"/>
              </w:rPr>
              <w:t>Ended March 31,</w:t>
            </w: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92"/>
              </w:rPr>
              <w:t>of</w:t>
            </w:r>
          </w:p>
        </w:tc>
        <w:tc>
          <w:tcPr>
            <w:tcW w:w="15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Ended March 31,</w:t>
            </w:r>
          </w:p>
        </w:tc>
        <w:tc>
          <w:tcPr>
            <w:tcW w:w="1200" w:type="dxa"/>
            <w:vAlign w:val="bottom"/>
          </w:tcPr>
          <w:p>
            <w:pPr>
              <w:jc w:val="center"/>
              <w:ind w:right="7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37"/>
        </w:trPr>
        <w:tc>
          <w:tcPr>
            <w:tcW w:w="324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2019</w:t>
            </w: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86"/>
              </w:rPr>
              <w:t>Revenues</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c>
          <w:tcPr>
            <w:tcW w:w="0" w:type="dxa"/>
            <w:vAlign w:val="bottom"/>
          </w:tcPr>
          <w:p>
            <w:pPr>
              <w:spacing w:after="0"/>
              <w:rPr>
                <w:sz w:val="1"/>
                <w:szCs w:val="1"/>
                <w:color w:val="auto"/>
              </w:rPr>
            </w:pPr>
          </w:p>
        </w:tc>
      </w:tr>
      <w:tr>
        <w:trPr>
          <w:trHeight w:val="432"/>
        </w:trPr>
        <w:tc>
          <w:tcPr>
            <w:tcW w:w="32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 transfer and money order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58,451</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47,854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9,402</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7,731</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 revenues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68,349</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55,956</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Wire transfer and money order fees of $58.5 million for the three months ended March 31, 2019 increased by $10.6 million from $47.9 million for the three months ended March 31, 2018. This increase of $10.6 million was due to a 24% increase in transaction volume compared to the first quarter of 2018, largely due to the continued growth in our agent network, which has grown by 21% from March 2018 to March 2019.</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Revenues from foreign exchange of $9.4 million for the three months ended March 31, 2019 increased by $1.7 million from $7.7 million for the three months ended March 31, 2018. This increase of $1.7 million was primarily due to higher transaction volume achieved by growth in our agent network.</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91"/>
              </w:rPr>
              <w:t>Three Months</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Three Months</w:t>
            </w: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r>
      <w:tr>
        <w:trPr>
          <w:trHeight w:val="216"/>
        </w:trPr>
        <w:tc>
          <w:tcPr>
            <w:tcW w:w="32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1"/>
              </w:rPr>
              <w:t>Ended March 31,</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92"/>
              </w:rPr>
              <w:t>of</w:t>
            </w:r>
          </w:p>
        </w:tc>
        <w:tc>
          <w:tcPr>
            <w:tcW w:w="15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Ended March 31,</w:t>
            </w:r>
          </w:p>
        </w:tc>
        <w:tc>
          <w:tcPr>
            <w:tcW w:w="1200" w:type="dxa"/>
            <w:vAlign w:val="bottom"/>
          </w:tcPr>
          <w:p>
            <w:pPr>
              <w:jc w:val="center"/>
              <w:ind w:right="70"/>
              <w:spacing w:after="0"/>
              <w:rPr>
                <w:sz w:val="20"/>
                <w:szCs w:val="20"/>
                <w:color w:val="auto"/>
              </w:rPr>
            </w:pPr>
            <w:r>
              <w:rPr>
                <w:rFonts w:ascii="Arial" w:cs="Arial" w:eastAsia="Arial" w:hAnsi="Arial"/>
                <w:sz w:val="18"/>
                <w:szCs w:val="18"/>
                <w:color w:val="auto"/>
              </w:rPr>
              <w:t>of</w:t>
            </w:r>
          </w:p>
        </w:tc>
      </w:tr>
      <w:tr>
        <w:trPr>
          <w:trHeight w:val="237"/>
        </w:trPr>
        <w:tc>
          <w:tcPr>
            <w:tcW w:w="32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2019</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86"/>
              </w:rPr>
              <w:t>Revenues</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Service charges from agents and banks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45,569</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37,937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26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7,597</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6,223</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2"/>
        </w:trPr>
        <w:tc>
          <w:tcPr>
            <w:tcW w:w="3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Other selling, general and administrative</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3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260" w:type="dxa"/>
            <w:vAlign w:val="bottom"/>
          </w:tcPr>
          <w:p>
            <w:pPr>
              <w:ind w:left="16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1,461</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r>
        <w:trPr>
          <w:trHeight w:val="216"/>
        </w:trPr>
        <w:tc>
          <w:tcPr>
            <w:tcW w:w="32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62,041</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53,419</w:t>
            </w: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
        </w:trPr>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$45.6 million, or 67% of revenues,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compared to $37.9 million, or 68% of revenues, for the three months ended March 31, 2018. The increase of $7.7 million was primarily due to a 24% increase in transaction volume largely related to the continued growth in our agent network, which has grown by 21% from March 2018 to March 2019.</w:t>
      </w:r>
    </w:p>
    <w:p>
      <w:pPr>
        <w:spacing w:after="0" w:line="214" w:lineRule="exact"/>
        <w:rPr>
          <w:sz w:val="20"/>
          <w:szCs w:val="20"/>
          <w:color w:val="auto"/>
        </w:rPr>
      </w:pPr>
    </w:p>
    <w:p>
      <w:pPr>
        <w:jc w:val="both"/>
        <w:ind w:firstLine="594"/>
        <w:spacing w:after="0" w:line="302" w:lineRule="auto"/>
        <w:rPr>
          <w:sz w:val="20"/>
          <w:szCs w:val="20"/>
          <w:color w:val="auto"/>
        </w:rPr>
      </w:pPr>
      <w:r>
        <w:rPr>
          <w:rFonts w:ascii="Arial" w:cs="Arial" w:eastAsia="Arial" w:hAnsi="Arial"/>
          <w:sz w:val="16"/>
          <w:szCs w:val="16"/>
          <w:i w:val="1"/>
          <w:iCs w:val="1"/>
          <w:color w:val="auto"/>
        </w:rPr>
        <w:t xml:space="preserve">Salaries and benefits </w:t>
      </w:r>
      <w:r>
        <w:rPr>
          <w:rFonts w:ascii="Arial" w:cs="Arial" w:eastAsia="Arial" w:hAnsi="Arial"/>
          <w:sz w:val="16"/>
          <w:szCs w:val="16"/>
          <w:color w:val="auto"/>
        </w:rPr>
        <w:t>— Salaries and benefits were $7.6 million for the three months ended March 31, 2019, an increase of $1.4 million from $6.2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2018. The increase of $1.4 million primarily consisted of $0.8 million in increased wages, largely in management and compliance areas associated with our transition to a publicly-traded company and to support our growing operations and a $0.4 million increase related to share-based compensation in connection with the International Money Express, Inc. 2018 Omnibus Equity Compensation Plan.</w:t>
      </w:r>
    </w:p>
    <w:p>
      <w:pPr>
        <w:spacing w:after="0" w:line="181"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$5.7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increased by $1.7 million from $4.0 million for the three months ended March 31, 2018. The increase primarily related to $0.9 million of legal and other professional fees associated with the Company’s SEC filings, including the Tender Offer for the Company’s outstanding warrants, and $0.3 million in IT related expenses.</w:t>
      </w:r>
    </w:p>
    <w:p>
      <w:pPr>
        <w:spacing w:after="0" w:line="214"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i w:val="1"/>
          <w:iCs w:val="1"/>
          <w:color w:val="auto"/>
        </w:rPr>
        <w:t xml:space="preserve">Transaction costs </w:t>
      </w:r>
      <w:r>
        <w:rPr>
          <w:rFonts w:ascii="Arial" w:cs="Arial" w:eastAsia="Arial" w:hAnsi="Arial"/>
          <w:sz w:val="18"/>
          <w:szCs w:val="18"/>
          <w:color w:val="auto"/>
        </w:rPr>
        <w:t>— Transaction costs of $1.5 million for the three months ended March 31, 2018 include legal and other professional fees all</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Merger.</w:t>
      </w:r>
    </w:p>
    <w:p>
      <w:pPr>
        <w:spacing w:after="0" w:line="197"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Depreciation and amortization of $3.2 million for the three months ended March 31, 2019 decreased by $0.6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$3.8 million for the three months ended March 31, 2018. This decrease of $0.6 million is primarily due to $0.8 million less amortization related to the trade name, developed technology and agent relationships during the first quarter of 2019 as these intangibles are being amortized on an accelerated basis, which will decline over time. This decrease was partially offset by an increase in depreciation of $0.2 million associated primarily with additional computer equipment to support our growing business and agent network.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52"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was $2.1 million for the three months ended March 31, 2019, a decrease of $1.2 million from $3.3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2018. The decrease of $1.2 million was primarily due to a reduction in the interest rates and lower principal balance outstanding of the facilities under the Credit Agreement.</w:t>
      </w:r>
    </w:p>
    <w:p>
      <w:pPr>
        <w:spacing w:after="0" w:line="208" w:lineRule="exact"/>
        <w:rPr>
          <w:sz w:val="20"/>
          <w:szCs w:val="20"/>
          <w:color w:val="auto"/>
        </w:rPr>
      </w:pPr>
    </w:p>
    <w:p>
      <w:pPr>
        <w:jc w:val="both"/>
        <w:ind w:firstLine="594"/>
        <w:spacing w:after="0" w:line="286" w:lineRule="auto"/>
        <w:rPr>
          <w:sz w:val="20"/>
          <w:szCs w:val="20"/>
          <w:color w:val="auto"/>
        </w:rPr>
      </w:pPr>
      <w:r>
        <w:rPr>
          <w:rFonts w:ascii="Arial" w:cs="Arial" w:eastAsia="Arial" w:hAnsi="Arial"/>
          <w:sz w:val="17"/>
          <w:szCs w:val="17"/>
          <w:i w:val="1"/>
          <w:iCs w:val="1"/>
          <w:color w:val="auto"/>
        </w:rPr>
        <w:t xml:space="preserve">Income tax provision (benefit) </w:t>
      </w:r>
      <w:r>
        <w:rPr>
          <w:rFonts w:ascii="Arial" w:cs="Arial" w:eastAsia="Arial" w:hAnsi="Arial"/>
          <w:sz w:val="17"/>
          <w:szCs w:val="17"/>
          <w:color w:val="auto"/>
        </w:rPr>
        <w:t>— Income tax provision was $1.1 million for the three months ended March 31, 2019, a change of $1.3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an income tax benefit of $0.2 million for the three months ended March 31, 2018. The change in the income tax provision included a $1.3 million increase to tax expense related to taxable income attributable for both federal and state taxes in the three months ended March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52"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We had a net income of $3.2 million for the three months ended March 31, 2019 compared to a net loss of $0.5 million for the three months ended March 31, 2018 due primarily to the same factors discussed above.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Adjusted EBITDA is defined as net income (loss) before depreciation and amortization, interest expense, income taxes, and also adjusted to add back certain charges and expenses, such as transaction costs and non-cash compensation costs, as these charges and expenses are not considered a part of our core business operations and are not an indicator of ongoing, future company performance.</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Adjusted EBITDA is one of the primary metrics used by management to evaluate the financial performance of our business. We present Adjusted EBITDA because we believe it is frequently used by analysts, investors and other interested parties to evaluate companies in our industry. Further, we believe it is helpful in highlighting trends in our operating results, because it excludes, among other things, certain results of decisions that are outside the control of management, while other measures can differ significantly depending on long-term strategic decisions regarding capital structure, the jurisdictions in which we operate and capital investments.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Adjusted EBITDA is a non-GAAP financial measure and should not be considered as an alternative to operating income or net income as a measure of operating performance or cash flows or as a measure of liquidity. Non-GAAP financial measures are not necessarily calculated the same way by different companies and should not be considered a substitute for or superior to GAAP. Some of these limitations include the following:</w:t>
      </w:r>
    </w:p>
    <w:p>
      <w:pPr>
        <w:spacing w:after="0" w:line="193" w:lineRule="exact"/>
        <w:rPr>
          <w:sz w:val="20"/>
          <w:szCs w:val="20"/>
          <w:color w:val="auto"/>
        </w:rPr>
      </w:pPr>
    </w:p>
    <w:p>
      <w:pPr>
        <w:ind w:left="1080" w:hanging="316"/>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amounts necessary to service interest or principal payments on our senior secured credit facility;</w:t>
      </w:r>
    </w:p>
    <w:p>
      <w:pPr>
        <w:spacing w:after="0" w:line="197" w:lineRule="exact"/>
        <w:rPr>
          <w:rFonts w:ascii="Arial" w:cs="Arial" w:eastAsia="Arial" w:hAnsi="Arial"/>
          <w:sz w:val="18"/>
          <w:szCs w:val="18"/>
          <w:color w:val="auto"/>
        </w:rPr>
      </w:pPr>
    </w:p>
    <w:p>
      <w:pPr>
        <w:ind w:left="1080" w:hanging="316"/>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(benefit), and because the payment of taxes is part of our operations, tax expense is a necessary element of our costs and ability to operate;</w:t>
      </w:r>
    </w:p>
    <w:p>
      <w:pPr>
        <w:spacing w:after="0" w:line="197" w:lineRule="exact"/>
        <w:rPr>
          <w:rFonts w:ascii="Arial" w:cs="Arial" w:eastAsia="Arial" w:hAnsi="Arial"/>
          <w:sz w:val="18"/>
          <w:szCs w:val="18"/>
          <w:color w:val="auto"/>
        </w:rPr>
      </w:pPr>
    </w:p>
    <w:p>
      <w:pPr>
        <w:ind w:left="1080" w:hanging="316"/>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97"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employee compensation;</w:t>
      </w:r>
    </w:p>
    <w:p>
      <w:pPr>
        <w:spacing w:after="0" w:line="252" w:lineRule="exact"/>
        <w:rPr>
          <w:rFonts w:ascii="Arial" w:cs="Arial" w:eastAsia="Arial" w:hAnsi="Arial"/>
          <w:sz w:val="18"/>
          <w:szCs w:val="18"/>
          <w:color w:val="auto"/>
        </w:rPr>
      </w:pPr>
    </w:p>
    <w:p>
      <w:pPr>
        <w:ind w:left="1080" w:hanging="316"/>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97" w:lineRule="exact"/>
        <w:rPr>
          <w:rFonts w:ascii="Arial" w:cs="Arial" w:eastAsia="Arial" w:hAnsi="Arial"/>
          <w:sz w:val="18"/>
          <w:szCs w:val="18"/>
          <w:color w:val="auto"/>
        </w:rPr>
      </w:pPr>
    </w:p>
    <w:p>
      <w:pPr>
        <w:ind w:left="1080" w:right="20" w:hanging="316"/>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compensate for these limitations by relying primarily on our GAAP results and using Adjusted EBITDA only as supplemental information.</w:t>
      </w:r>
    </w:p>
    <w:p>
      <w:pPr>
        <w:spacing w:after="0" w:line="26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Adjusted EBITDA for the three months ended March 31, 2019 was $10.8 million, representing an increase of $2.0 million, or 22%, from $8.8 million for the three months ended March 31, 2018. The increase in Adjusted EBITDA was primarily due to the increase in revenues of $12.4 million less the increase in service charges from agents and banks of $7.7 million as well as increases in other operating expenses to support the growth in our business.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net income (loss), our closest GAAP measure, to Adjusted EBITDA.</w:t>
      </w:r>
    </w:p>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520" w:type="dxa"/>
            <w:vAlign w:val="bottom"/>
            <w:gridSpan w:val="6"/>
          </w:tcPr>
          <w:p>
            <w:pPr>
              <w:jc w:val="right"/>
              <w:ind w:right="160"/>
              <w:spacing w:after="0"/>
              <w:rPr>
                <w:sz w:val="20"/>
                <w:szCs w:val="20"/>
                <w:color w:val="auto"/>
              </w:rPr>
            </w:pPr>
            <w:r>
              <w:rPr>
                <w:rFonts w:ascii="Arial" w:cs="Arial" w:eastAsia="Arial" w:hAnsi="Arial"/>
                <w:sz w:val="18"/>
                <w:szCs w:val="18"/>
                <w:color w:val="auto"/>
                <w:w w:val="92"/>
              </w:rPr>
              <w:t>Three Months Ended March 31,</w:t>
            </w: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3,156</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Adjusted for:</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Income tax provision (benefit)</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9,460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(a)</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Incentive units plan (b)</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2018 Plan (c)</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Tender Offer costs (d)</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Fees (e)</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TCPA Settlement (f)</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employee severance (g)</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Other charges and expenses (h)</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10,764</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8,828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2"/>
        <w:spacing w:after="0" w:line="258"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direct costs for the three months ended March 31, 2018 related to the Merger, which were expensed as incurred and included as “transaction costs” in our condensed consolidated statements of operations and comprehensive income (loss).</w:t>
      </w:r>
    </w:p>
    <w:p>
      <w:pPr>
        <w:spacing w:after="0" w:line="1" w:lineRule="exact"/>
        <w:rPr>
          <w:rFonts w:ascii="Arial" w:cs="Arial" w:eastAsia="Arial" w:hAnsi="Arial"/>
          <w:sz w:val="18"/>
          <w:szCs w:val="18"/>
          <w:color w:val="auto"/>
        </w:rPr>
      </w:pPr>
    </w:p>
    <w:p>
      <w:pPr>
        <w:jc w:val="both"/>
        <w:ind w:left="44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three months ended March 31, 2018 included expense regarding these incentive units, which became fully vested and were paid out upon the Closing Date of the Merger. As a result, employees no longer hold profits interests following the Merger.</w:t>
      </w:r>
    </w:p>
    <w:p>
      <w:pPr>
        <w:spacing w:after="0" w:line="1" w:lineRule="exact"/>
        <w:rPr>
          <w:rFonts w:ascii="Arial" w:cs="Arial" w:eastAsia="Arial" w:hAnsi="Arial"/>
          <w:sz w:val="18"/>
          <w:szCs w:val="18"/>
          <w:color w:val="auto"/>
        </w:rPr>
      </w:pPr>
    </w:p>
    <w:p>
      <w:pPr>
        <w:ind w:left="440" w:right="20" w:hanging="432"/>
        <w:spacing w:after="0" w:line="265"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Stock options and restricted stock were granted to employees and independent directors of the Company in connection with the completion of the Merger. The Company recorded $0.6 million of expense related to these equity instruments during the three months ended March 31, 2019.</w:t>
      </w:r>
    </w:p>
    <w:p>
      <w:pPr>
        <w:ind w:left="44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incurred $0.5 million of expenses during the three months ended March 31, 2019 for professional fees in connection with the Tender Offer of the Company’s outstanding warrants.</w:t>
      </w:r>
    </w:p>
    <w:p>
      <w:pPr>
        <w:ind w:left="44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ind w:left="44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payments related to the settlement of a lawsuit during the three months ended March 31, 2018 related to the Telephone Consumer Protection Act (“TCPA”), which includes a $0.1 million settlement payment and $0.1 million in related legal expenses.</w:t>
      </w: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$0.1 million of severance costs during the three months ended March 31, 2019 related to departmental changes.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Both periods include loss on disposal of fixed assets, foreign currency (gains) losses and legal expenses considered to be non-recurring.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consider liquidity in terms of cash flows from operations and their sufficiency to fund our operating and investing activities. To meet our payment service obligations at all times we must have sufficient highly liquid assets and be able to move funds on a timely basis.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sources of liquidity are our cash generated by operating activities and supplemented with borrowings under our revolving credit facility. Our primary cash needs are for day to day operations, to pay interest and principal on our indebtedness, to fund working capital requirements and to make capital expenditures.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expect to continue to finance our liquidity requirements through internally generated funds and supplemented with borrowings under our revolving credit facility. We believe that our projected cash flows generated from operations, together with borrowings under our revolving credit facility are sufficient to fund our principal debt payments, interest expense, our working capital needs and our expected capital expenditures for the next twelve months.</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7, 2018 and further amended on December 7, 2018, the Company entered into a new financing agreement (the “Credit Agreement”) with, among others, certain of its domestic subsidiaries as borrowers, certain other domestic subsidiaries and a group of banking institutions. The Credit Agreement provides for a $35.0 million revolving credit facility, a $90.0 million term loan facility and up to a $30.0 million incremental facility. The Credit Agreement also provides for the issuance of letters of credit, which would reduce availability under the revolving credit facility. The proceeds of the loans were used to repay existing indebtedness under the Senior Secured Credit Facility, for working capital purposes and to pay fees and expenses in connection with the transaction. The maturity date of the Credit Agreement is November 7, 2023.</w:t>
      </w:r>
    </w:p>
    <w:p>
      <w:pPr>
        <w:sectPr>
          <w:pgSz w:w="11900" w:h="16838" w:orient="portrait"/>
          <w:cols w:equalWidth="0" w:num="1">
            <w:col w:w="11420"/>
          </w:cols>
          <w:pgMar w:left="240" w:top="121"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25, 2019, the Company entered into an Increase Joinder No. 1 to the Credit Agreement (the “Increase Joinder”) under which the Company received $12 million from the incremental facility in the second quarter of 2019. The proceeds of the Increase Joinder will be primarily used to pay for the cash portion of the Tender Offer.</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on the term loan facility and revolving credit facility for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as of March 31, 2019 for the term loan and revolving credit facility were 7.72% and 8.78%, respectively.</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principal amount of the term loan facility for the Credit Agreement must be repaid in consecutive quarterly installments of 5% in year 1, 7.5% in years 2 and 3, 10% in years 4 and 5, in each case on the last day of each quarter, commencing in March 2019 with a final payment at maturity. The loans under the Credit Agreement may be prepaid at any time without payment or penalty.</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 The Credit Agreement allows for redemptions or acquisitions of the Company’s equity interests subject to certain dollar limitations.</w:t>
      </w:r>
    </w:p>
    <w:p>
      <w:pPr>
        <w:spacing w:after="0" w:line="214" w:lineRule="exact"/>
        <w:rPr>
          <w:sz w:val="20"/>
          <w:szCs w:val="20"/>
          <w:color w:val="auto"/>
        </w:rPr>
      </w:pPr>
    </w:p>
    <w:p>
      <w:pPr>
        <w:jc w:val="both"/>
        <w:ind w:firstLine="693"/>
        <w:spacing w:after="0" w:line="277" w:lineRule="auto"/>
        <w:rPr>
          <w:sz w:val="20"/>
          <w:szCs w:val="20"/>
          <w:color w:val="auto"/>
        </w:rPr>
      </w:pPr>
      <w:r>
        <w:rPr>
          <w:rFonts w:ascii="Arial" w:cs="Arial" w:eastAsia="Arial" w:hAnsi="Arial"/>
          <w:sz w:val="18"/>
          <w:szCs w:val="18"/>
          <w:color w:val="auto"/>
        </w:rPr>
        <w:t>The Credit Agreement also contains financial covenants which require the Company to maintain a quarterly minimum fixed charge coverage ratio of 1.25:1.00 and a quarterly maximum consolidated leverage ratio of 3.25:1.00.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2019, we were in compliance with the covenants of the Credit Agreement.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2019, we had total indebtedness of $103.9 million, including $88.9 million of borrowings under the term loan facility and $15.0 million in borrowings under the revolving facility and excluding debt origination costs of $2.6 million. There were $20.0 million of additional borrowings available under these facilities as of March 31, 2019.</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18"/>
          <w:szCs w:val="18"/>
          <w:i w:val="1"/>
          <w:iCs w:val="1"/>
          <w:color w:val="auto"/>
        </w:rPr>
        <w:t>Risk Factors—Risks Relating to Our Indebtedness—We have a substantial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amount of indebtedness, which may limit our operating flexibility and could adversely affect our business, financial condition and results of operations” </w:t>
      </w:r>
      <w:r>
        <w:rPr>
          <w:rFonts w:ascii="Arial" w:cs="Arial" w:eastAsia="Arial" w:hAnsi="Arial"/>
          <w:sz w:val="18"/>
          <w:szCs w:val="18"/>
          <w:color w:val="auto"/>
        </w:rPr>
        <w:t>included in our Annual Report on Form 10-K for the year ended December 31, 2018.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changes to our cash flows for the periods presented:</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520" w:type="dxa"/>
            <w:vAlign w:val="bottom"/>
            <w:gridSpan w:val="7"/>
          </w:tcPr>
          <w:p>
            <w:pPr>
              <w:jc w:val="right"/>
              <w:ind w:right="160"/>
              <w:spacing w:after="0"/>
              <w:rPr>
                <w:sz w:val="20"/>
                <w:szCs w:val="20"/>
                <w:color w:val="auto"/>
              </w:rPr>
            </w:pPr>
            <w:r>
              <w:rPr>
                <w:rFonts w:ascii="Arial" w:cs="Arial" w:eastAsia="Arial" w:hAnsi="Arial"/>
                <w:sz w:val="18"/>
                <w:szCs w:val="18"/>
                <w:color w:val="auto"/>
                <w:w w:val="92"/>
              </w:rPr>
              <w:t>Three Months Ended March 31,</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Statement of Cash Flows Data:</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(1,443)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(16,125)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restricted cash</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restricted cash, beginning of the period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73,029</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Cash and restricted cash, end of the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84,739</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75,424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was $29.2 million for the three months ended March 31, 2019, an increase of $11.2 million from net cash provided by operating activities of $18.0 million for the three months ended March 31, 2018. The increase included $7.4 million related to changes in working capital. Additionally, there was more cash being provided from our operating results for the three months ended March 31, 2019, which were positively impacted by the further growth of the business.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was $1.4 million for the three months ended March 31, 2019, a decrease of $0.1 million from cash used in investing activities of $1.5 million for the three months ended March 31, 2018. This decrease in cash used was primarily due to lower purchases of property and equipment during the three months ended March 31,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financing activities was $16.1 million for the three months ended March 31, 2019, which related to the quarterly payment due on the term loan, as well as repayments, net under the revolving credit facility. Net cash used in financing activities was $1.2 million for the three months ended March 31, 2018, which related to the quarterly payment due on the term loan.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includes aggregated information about contractual obligations that affect our liquidity and capital needs. At March 31, 2019, our contractual obligations over the next several periods were as follows:</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Less than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More than</w:t>
            </w:r>
          </w:p>
        </w:tc>
        <w:tc>
          <w:tcPr>
            <w:tcW w:w="0" w:type="dxa"/>
            <w:vAlign w:val="bottom"/>
          </w:tcPr>
          <w:p>
            <w:pPr>
              <w:spacing w:after="0"/>
              <w:rPr>
                <w:sz w:val="1"/>
                <w:szCs w:val="1"/>
                <w:color w:val="auto"/>
              </w:rPr>
            </w:pPr>
          </w:p>
        </w:tc>
      </w:tr>
      <w:tr>
        <w:trPr>
          <w:trHeight w:val="241"/>
        </w:trPr>
        <w:tc>
          <w:tcPr>
            <w:tcW w:w="33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 year</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1 to 3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3 to 5 years</w:t>
            </w: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Debt, principal payments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103,875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84,750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Interest payments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8,033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10,322</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143,199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14,139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30,926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96,696</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Our condensed consolidated balance sheet reflects $101.3 million of debt as of March 31, 2019, as the principal payment obligations of $103.9 million are gross of unamortized debt origination costs. The above table reflects the principal and interest of the revolver and term loan under the Credit Agreement that will be paid through the maturity of the debt using the rates in effect on March 31, 2019 and assuming no voluntary prepayments of principal.</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Non-cancelable operating leases include various office leases, including our office headquarters.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not a party to any off-balance sheet arrangements, including guarantee contracts, retained or contingent interests, certain derivative instruments and variable interest entities that either have, or are reasonably likely to have, a current or future material effect on our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Critical accounting policies are those policies that management believes are very important to the portrayal of our financial position and results of operations, and that require management to make estimates that are difficult, subjective or otherwise complex. Our Critical Accounting Policies and Estimates disclosed in “Management’s Discussion and Analysis of Financial Condition and Results of Operations - Critical Accounting Policies and Estimates” in our Annual Report on Form 10-K for the year ended December 31, 2018, for which there were no material changes, except as described below, included:</w:t>
      </w:r>
    </w:p>
    <w:p>
      <w:pPr>
        <w:spacing w:after="0" w:line="181"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Accounts Receivable and Allowance for Doubtful Accounts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 2019, the Company adopted the new accounting standard, Revenue from Contracts with Customers, as amended, which modified the existing accounting standards for revenue recognition. Refer to Note 3 of our condensed consolidated financial statements included in this filing for further information about the impact of the adoption of this new accounting standard.</w:t>
      </w:r>
    </w:p>
    <w:p>
      <w:pPr>
        <w:sectPr>
          <w:pgSz w:w="11900" w:h="16838" w:orient="portrait"/>
          <w:cols w:equalWidth="0" w:num="1">
            <w:col w:w="11420"/>
          </w:cols>
          <w:pgMar w:left="240" w:top="121"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 to Note 1 of our condensed consolidated financial statements included in this filing for further information on recent accounting pronouncements.</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 settled within two business days from trade date. However, foreign currency fluctuations may negatively impact our average exchange gain per transaction.</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Mexico and Guatemala. Revenues from these operations represent less than 3% of our consolidated revenues for the three months ended March 31, 2019 and 2018. Therefore, a 10% increase or decrease in these currency rates against the U.S. Dollar would result in a minimal change to our overall operating results.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spot exchange rates as of March 31, 2019 and December 31, 2018 were 19.30 and 19.65 for the Mexico Peso/Dollar and 7.67 and 7.73 for the Guatemala Quetzal/Dollar, respectively. The average exchange rates for the three months ended March 31, 2019 and 2018 were 19.19 and 18.73 for the Mexico Peso/Dollar and 7.71 and 7.37 for the Guatemala Quetzal/Dollar, respectively. Long-term sustained devaluation of the Mexican peso or Guatemalan Quetzal as compared to the U.S. dollar could negatively affect our margins.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on the term loan facility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Since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2019, we had $88.9 million in outstanding borrowings under the term loan. A hypothetical 1% increase or decrease in the interest rate on our indebtedness as of March 31, 2019 would have increased or decreased cash interest expense on our term loan by approximately $0.9 million per annum.</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2019, we had $15.0 million in outstanding borrowings under our revolving credit facility. A hypothetical 1% increase or decrease in the interest rate on our indebtedness as of March 31, 2019 would have increased or decreased cash interest expense on our revolving credit facility by approximately $0.2 million per annum.</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maintain certain cash balances in various U.S. banks, which at times, may exceed federally insured limits. We have not incurred any losses on these accounts. In addition, we maintain various bank accounts in Mexico and Guatemala, which are not insured. We have not incurred any losses on these uninsured accounts. To manage our exposures to credit risk with respect to cash balances and other credit risk exposures resulting from our relationships with banks and financial institutions, we regularly review cash concentrations, and we attempt to diversify our cash balances among global financial institutions.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are also exposed to credit risk related to receivable balances from sending agents. We perform a credit review before each agent signing and conduct ongoing analyses of sending agents and certain other parties we transact with directly. As of March 31, 2019, we also had $1.7 million outstanding of notes receivable from sending agents. Most of the notes are collateralized by personal guarantees from the sending agents and by assets from their businesses.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provision for bad debt was approximately $400 thousand for the three months ended March 31, 2019 (0.6% of total revenues) and $43 thousand for the three months ended March 31, 2018 (0.1% of total revenues) as recoveries were higher last year.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our disclosure controls and procedures as of March 31, 2019.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Chief Financial Officer, as appropriate to allow timely decisions regarding required disclosure, as of March 31, 2019.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color w:val="auto"/>
        </w:rPr>
        <w:t>–</w:t>
      </w:r>
      <w:r>
        <w:rPr>
          <w:rFonts w:ascii="Arial" w:cs="Arial" w:eastAsia="Arial" w:hAnsi="Arial"/>
          <w:sz w:val="18"/>
          <w:szCs w:val="18"/>
          <w:b w:val="1"/>
          <w:bCs w:val="1"/>
          <w:color w:val="auto"/>
        </w:rPr>
        <w:t xml:space="preserve">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Reference is made to Note 13–Commitments and Contingencies in the Notes to the Unaudited Condensed Consolidated Financial Statements of International Money Express, Inc. contained elsewhere in this Quarterly Report on Form 10–Q for information regarding certain legal proceedings to which we are a party.</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2018.</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02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0" w:type="dxa"/>
            <w:vAlign w:val="bottom"/>
          </w:tcPr>
          <w:p>
            <w:pPr>
              <w:ind w:left="40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59"/>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10400" w:type="dxa"/>
            <w:vAlign w:val="bottom"/>
          </w:tcPr>
          <w:p>
            <w:pPr>
              <w:ind w:left="140"/>
              <w:spacing w:after="0"/>
              <w:rPr>
                <w:sz w:val="20"/>
                <w:szCs w:val="20"/>
                <w:color w:val="auto"/>
              </w:rPr>
            </w:pPr>
            <w:r>
              <w:rPr>
                <w:rFonts w:ascii="Arial" w:cs="Arial" w:eastAsia="Arial" w:hAnsi="Arial"/>
                <w:sz w:val="18"/>
                <w:szCs w:val="18"/>
                <w:b w:val="1"/>
                <w:bCs w:val="1"/>
                <w:color w:val="auto"/>
              </w:rPr>
              <w:t>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5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4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Amendment No. 1 to Warrant Agreement, dated April 29, 2019, by and between the International Money Express, Inc. and Continental Stock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Transfer &amp; Trust Company (incorporated by reference to Exhibit 10.1 to the Registrant’s Current Report on Form 8-K filed on April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5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hyperlink>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4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Increase Joinder No. 1 to Credit Agreement, dated March 25, 2019, by and among International Money Express, Inc., as Holdings,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International Money Express Sub 2, LLC, as Intermediate Holdings, Intermex Holdings, Inc., as the Term Borrower, Intermex Wire Transfer,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LLC, as the Revolver Borrower, the other guarantors from time to time party thereto, the lenders from time to time party thereto and KeyBank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National Association, as the Administrative Agent (incorporated by reference to Exhibit 10.2 to the Registrant’s Current Report on Form 8-K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filed on April 30,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31.</w:t>
              </w:r>
              <w:r>
                <w:rPr>
                  <w:rFonts w:ascii="Arial" w:cs="Arial" w:eastAsia="Arial" w:hAnsi="Arial"/>
                  <w:sz w:val="18"/>
                  <w:szCs w:val="18"/>
                  <w:u w:val="single" w:color="auto"/>
                  <w:color w:val="0000EE"/>
                  <w:w w:val="89"/>
                </w:rPr>
                <w:t>1</w:t>
              </w:r>
              <w:r>
                <w:rPr>
                  <w:rFonts w:ascii="Arial" w:cs="Arial" w:eastAsia="Arial" w:hAnsi="Arial"/>
                  <w:sz w:val="18"/>
                  <w:szCs w:val="18"/>
                  <w:color w:val="0000EE"/>
                  <w:w w:val="89"/>
                </w:rPr>
                <w:t xml:space="preserve"> *</w:t>
              </w:r>
            </w:hyperlink>
          </w:p>
        </w:tc>
        <w:tc>
          <w:tcPr>
            <w:tcW w:w="560" w:type="dxa"/>
            <w:vAlign w:val="bottom"/>
            <w:tcBorders>
              <w:bottom w:val="single" w:sz="8" w:color="CCEEFF"/>
            </w:tcBorders>
            <w:shd w:val="clear" w:color="auto" w:fill="CCEEFF"/>
          </w:tcPr>
          <w:p>
            <w:pPr>
              <w:spacing w:after="0"/>
              <w:rPr>
                <w:sz w:val="17"/>
                <w:szCs w:val="17"/>
                <w:color w:val="auto"/>
              </w:rPr>
            </w:pPr>
          </w:p>
        </w:tc>
        <w:tc>
          <w:tcPr>
            <w:tcW w:w="104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Certification Pursuant to Section 302 of the Sarbanes-Oxley Act of 2002-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31.</w:t>
              </w:r>
              <w:r>
                <w:rPr>
                  <w:rFonts w:ascii="Arial" w:cs="Arial" w:eastAsia="Arial" w:hAnsi="Arial"/>
                  <w:sz w:val="18"/>
                  <w:szCs w:val="18"/>
                  <w:u w:val="single" w:color="auto"/>
                  <w:color w:val="0000EE"/>
                  <w:w w:val="89"/>
                </w:rPr>
                <w:t>2</w:t>
              </w:r>
              <w:r>
                <w:rPr>
                  <w:rFonts w:ascii="Arial" w:cs="Arial" w:eastAsia="Arial" w:hAnsi="Arial"/>
                  <w:sz w:val="18"/>
                  <w:szCs w:val="18"/>
                  <w:color w:val="0000EE"/>
                  <w:w w:val="89"/>
                </w:rPr>
                <w:t xml:space="preserve"> *</w:t>
              </w:r>
            </w:hyperlink>
          </w:p>
        </w:tc>
        <w:tc>
          <w:tcPr>
            <w:tcW w:w="560" w:type="dxa"/>
            <w:vAlign w:val="bottom"/>
            <w:tcBorders>
              <w:bottom w:val="single" w:sz="8" w:color="CCEEFF"/>
            </w:tcBorders>
            <w:shd w:val="clear" w:color="auto" w:fill="CCEEFF"/>
          </w:tcPr>
          <w:p>
            <w:pPr>
              <w:spacing w:after="0"/>
              <w:rPr>
                <w:sz w:val="17"/>
                <w:szCs w:val="17"/>
                <w:color w:val="auto"/>
              </w:rPr>
            </w:pPr>
          </w:p>
        </w:tc>
        <w:tc>
          <w:tcPr>
            <w:tcW w:w="104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Certification Pursuant to Section 302 of the Sarbanes-Oxley Act of 2002-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32.</w:t>
              </w:r>
              <w:r>
                <w:rPr>
                  <w:rFonts w:ascii="Arial" w:cs="Arial" w:eastAsia="Arial" w:hAnsi="Arial"/>
                  <w:sz w:val="18"/>
                  <w:szCs w:val="18"/>
                  <w:u w:val="single" w:color="auto"/>
                  <w:color w:val="0000EE"/>
                  <w:w w:val="89"/>
                </w:rPr>
                <w:t>1</w:t>
              </w:r>
              <w:r>
                <w:rPr>
                  <w:rFonts w:ascii="Arial" w:cs="Arial" w:eastAsia="Arial" w:hAnsi="Arial"/>
                  <w:sz w:val="18"/>
                  <w:szCs w:val="18"/>
                  <w:color w:val="0000EE"/>
                  <w:w w:val="89"/>
                </w:rPr>
                <w:t xml:space="preserve"> *</w:t>
              </w:r>
            </w:hyperlink>
          </w:p>
        </w:tc>
        <w:tc>
          <w:tcPr>
            <w:tcW w:w="560" w:type="dxa"/>
            <w:vAlign w:val="bottom"/>
            <w:tcBorders>
              <w:bottom w:val="single" w:sz="8" w:color="CCEEFF"/>
            </w:tcBorders>
            <w:shd w:val="clear" w:color="auto" w:fill="CCEEFF"/>
          </w:tcPr>
          <w:p>
            <w:pPr>
              <w:spacing w:after="0"/>
              <w:rPr>
                <w:sz w:val="15"/>
                <w:szCs w:val="15"/>
                <w:color w:val="auto"/>
              </w:rPr>
            </w:pPr>
          </w:p>
        </w:tc>
        <w:tc>
          <w:tcPr>
            <w:tcW w:w="104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392"/>
        </w:trPr>
        <w:tc>
          <w:tcPr>
            <w:tcW w:w="4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32.</w:t>
              </w:r>
              <w:r>
                <w:rPr>
                  <w:rFonts w:ascii="Arial" w:cs="Arial" w:eastAsia="Arial" w:hAnsi="Arial"/>
                  <w:sz w:val="18"/>
                  <w:szCs w:val="18"/>
                  <w:u w:val="single" w:color="auto"/>
                  <w:color w:val="0000EE"/>
                  <w:w w:val="93"/>
                </w:rPr>
                <w:t>2</w:t>
              </w:r>
              <w:r>
                <w:rPr>
                  <w:rFonts w:ascii="Arial" w:cs="Arial" w:eastAsia="Arial" w:hAnsi="Arial"/>
                  <w:sz w:val="18"/>
                  <w:szCs w:val="18"/>
                  <w:color w:val="0000EE"/>
                  <w:w w:val="93"/>
                </w:rPr>
                <w:t xml:space="preserve"> *</w:t>
              </w:r>
            </w:hyperlink>
          </w:p>
        </w:tc>
        <w:tc>
          <w:tcPr>
            <w:tcW w:w="560" w:type="dxa"/>
            <w:vAlign w:val="bottom"/>
          </w:tcPr>
          <w:p>
            <w:pPr>
              <w:spacing w:after="0"/>
              <w:rPr>
                <w:sz w:val="24"/>
                <w:szCs w:val="24"/>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Money Express,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51599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515995"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Robert Lisy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Money Express,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51599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515995"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Tony Lauro II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22" w:right="439" w:bottom="1440" w:gutter="0" w:footer="0" w:header="0"/>
        </w:sectPr>
      </w:pPr>
    </w:p>
    <w:bookmarkStart w:id="35" w:name="page36"/>
    <w:bookmarkEnd w:id="35"/>
    <w:p>
      <w:pPr>
        <w:ind w:left="104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25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30"/>
        <w:spacing w:after="0" w:line="308" w:lineRule="auto"/>
        <w:tabs>
          <w:tab w:leader="none" w:pos="1300" w:val="left"/>
        </w:tabs>
        <w:numPr>
          <w:ilvl w:val="2"/>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30"/>
        <w:spacing w:after="0" w:line="277" w:lineRule="auto"/>
        <w:tabs>
          <w:tab w:leader="none" w:pos="13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2019</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5715</wp:posOffset>
            </wp:positionV>
            <wp:extent cx="16294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629410"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Lisy</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6" w:name="page37"/>
    <w:bookmarkEnd w:id="36"/>
    <w:p>
      <w:pPr>
        <w:ind w:left="104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Tony Lauro II, certify that:</w:t>
      </w:r>
    </w:p>
    <w:p>
      <w:pPr>
        <w:spacing w:after="0" w:line="25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30"/>
        <w:spacing w:after="0" w:line="308" w:lineRule="auto"/>
        <w:tabs>
          <w:tab w:leader="none" w:pos="1300" w:val="left"/>
        </w:tabs>
        <w:numPr>
          <w:ilvl w:val="2"/>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30"/>
        <w:spacing w:after="0" w:line="277" w:lineRule="auto"/>
        <w:tabs>
          <w:tab w:leader="none" w:pos="13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2019</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5715</wp:posOffset>
            </wp:positionV>
            <wp:extent cx="162941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629410"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Tony Lauro II</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Robert Lisy, President and Chief Executive Officer of International Money Express, Inc. (the “Company”), certify, pursuant to 18 U.S.C. Section 1350, that, to my knowledge:</w:t>
      </w:r>
    </w:p>
    <w:p>
      <w:pPr>
        <w:spacing w:after="0" w:line="197" w:lineRule="exact"/>
        <w:rPr>
          <w:sz w:val="20"/>
          <w:szCs w:val="20"/>
          <w:color w:val="auto"/>
        </w:rPr>
      </w:pPr>
    </w:p>
    <w:p>
      <w:pPr>
        <w:ind w:left="660" w:right="2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2019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2019</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5715</wp:posOffset>
            </wp:positionV>
            <wp:extent cx="16294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629410" cy="17145"/>
                    </a:xfrm>
                    <a:prstGeom prst="rect">
                      <a:avLst/>
                    </a:prstGeom>
                    <a:noFill/>
                  </pic:spPr>
                </pic:pic>
              </a:graphicData>
            </a:graphic>
          </wp:anchor>
        </w:drawing>
      </w:r>
    </w:p>
    <w:p>
      <w:pPr>
        <w:spacing w:after="0" w:line="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President and Chief Executive Officer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Tony Lauro II, Chief Financial Officer of International Money Express, Inc. (the “Company”), certify, pursuant to 18 U.S.C. Section 1350, that, to my knowledge:</w:t>
      </w:r>
    </w:p>
    <w:p>
      <w:pPr>
        <w:spacing w:after="0" w:line="197" w:lineRule="exact"/>
        <w:rPr>
          <w:sz w:val="20"/>
          <w:szCs w:val="20"/>
          <w:color w:val="auto"/>
        </w:rPr>
      </w:pPr>
    </w:p>
    <w:p>
      <w:pPr>
        <w:ind w:left="500" w:right="2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2019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2019</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5715</wp:posOffset>
            </wp:positionV>
            <wp:extent cx="162941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629410" cy="17145"/>
                    </a:xfrm>
                    <a:prstGeom prst="rect">
                      <a:avLst/>
                    </a:prstGeom>
                    <a:noFill/>
                  </pic:spPr>
                </pic:pic>
              </a:graphicData>
            </a:graphic>
          </wp:anchor>
        </w:drawing>
      </w:r>
    </w:p>
    <w:p>
      <w:pPr>
        <w:spacing w:after="0" w:line="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o"/>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55" Type="http://schemas.openxmlformats.org/officeDocument/2006/relationships/hyperlink" Target="http://www.sec.gov/Archives/edgar/data/1683695/000114036119007957/ntp10000642x2_ex10-1.htm" TargetMode="External"/><Relationship Id="rId56" Type="http://schemas.openxmlformats.org/officeDocument/2006/relationships/hyperlink" Target="http://www.sec.gov/Archives/edgar/data/1683695/000114036119007957/ntp10000642x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2019-12-28T11:40:21Z</dcterms:created>
  <dcterms:modified xsi:type="dcterms:W3CDTF">2019-12-28T11:40:21Z</dcterms:modified>
</cp:coreProperties>
</file>