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198120</wp:posOffset>
            </wp:positionH>
            <wp:positionV relativeFrom="page">
              <wp:posOffset>445770</wp:posOffset>
            </wp:positionV>
            <wp:extent cx="71526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640" cy="6985"/>
                    </a:xfrm>
                    <a:prstGeom prst="rect">
                      <a:avLst/>
                    </a:prstGeom>
                    <a:noFill/>
                  </pic:spPr>
                </pic:pic>
              </a:graphicData>
            </a:graphic>
          </wp:anchor>
        </w:drawing>
        <w:drawing>
          <wp:anchor simplePos="0" relativeHeight="251657728" behindDoc="1" locked="0" layoutInCell="0" allowOverlap="1">
            <wp:simplePos x="0" y="0"/>
            <wp:positionH relativeFrom="page">
              <wp:posOffset>198120</wp:posOffset>
            </wp:positionH>
            <wp:positionV relativeFrom="page">
              <wp:posOffset>409575</wp:posOffset>
            </wp:positionV>
            <wp:extent cx="7152640" cy="14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640" cy="1460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(Mark One)</w:t>
      </w:r>
    </w:p>
    <w:p>
      <w:pPr>
        <w:spacing w:after="0" w:line="99" w:lineRule="exact"/>
        <w:rPr>
          <w:sz w:val="24"/>
          <w:szCs w:val="24"/>
          <w:color w:val="auto"/>
        </w:rPr>
      </w:pPr>
    </w:p>
    <w:p>
      <w:pPr>
        <w:ind w:left="4160" w:right="1740" w:hanging="2430"/>
        <w:spacing w:after="0" w:line="383" w:lineRule="auto"/>
        <w:tabs>
          <w:tab w:leader="none" w:pos="2055" w:val="left"/>
        </w:tabs>
        <w:numPr>
          <w:ilvl w:val="1"/>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ANNUAL REPORT PURSUANT TO SECTION 13 OR 15(d) OF THE SECURITIES EXCHANGE ACT OF 1934 For the fiscal year ended: December 31, 2021</w:t>
      </w:r>
    </w:p>
    <w:p>
      <w:pPr>
        <w:ind w:left="5500"/>
        <w:spacing w:after="0"/>
        <w:rPr>
          <w:rFonts w:ascii="MS PGothic" w:cs="MS PGothic" w:eastAsia="MS PGothic" w:hAnsi="MS PGothic"/>
          <w:sz w:val="15"/>
          <w:szCs w:val="15"/>
          <w:color w:val="auto"/>
        </w:rPr>
      </w:pPr>
      <w:r>
        <w:rPr>
          <w:rFonts w:ascii="Arial" w:cs="Arial" w:eastAsia="Arial" w:hAnsi="Arial"/>
          <w:sz w:val="15"/>
          <w:szCs w:val="15"/>
          <w:b w:val="1"/>
          <w:bCs w:val="1"/>
          <w:color w:val="auto"/>
        </w:rPr>
        <w:t>OR</w:t>
      </w:r>
    </w:p>
    <w:p>
      <w:pPr>
        <w:spacing w:after="0" w:line="102" w:lineRule="exact"/>
        <w:rPr>
          <w:rFonts w:ascii="MS PGothic" w:cs="MS PGothic" w:eastAsia="MS PGothic" w:hAnsi="MS PGothic"/>
          <w:sz w:val="15"/>
          <w:szCs w:val="15"/>
          <w:color w:val="auto"/>
        </w:rPr>
      </w:pPr>
    </w:p>
    <w:p>
      <w:pPr>
        <w:ind w:left="4060" w:right="1580" w:hanging="2490"/>
        <w:spacing w:after="0" w:line="383" w:lineRule="auto"/>
        <w:tabs>
          <w:tab w:leader="none" w:pos="190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 For the transition period from ____________ to</w:t>
      </w:r>
    </w:p>
    <w:p>
      <w:pPr>
        <w:jc w:val="center"/>
        <w:spacing w:after="0"/>
        <w:rPr>
          <w:sz w:val="20"/>
          <w:szCs w:val="20"/>
          <w:color w:val="auto"/>
        </w:rPr>
      </w:pPr>
      <w:r>
        <w:rPr>
          <w:rFonts w:ascii="Arial" w:cs="Arial" w:eastAsia="Arial" w:hAnsi="Arial"/>
          <w:sz w:val="15"/>
          <w:szCs w:val="15"/>
          <w:b w:val="1"/>
          <w:bCs w:val="1"/>
          <w:color w:val="auto"/>
        </w:rPr>
        <w:t>Commission File No. 001-37986</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INTERNATIONAL MONEY EXPRESS,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52640"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1"/>
        </w:trPr>
        <w:tc>
          <w:tcPr>
            <w:tcW w:w="200" w:type="dxa"/>
            <w:vAlign w:val="bottom"/>
            <w:tcBorders>
              <w:bottom w:val="single" w:sz="8" w:color="auto"/>
            </w:tcBorders>
          </w:tcPr>
          <w:p>
            <w:pPr>
              <w:spacing w:after="0"/>
              <w:rPr>
                <w:sz w:val="17"/>
                <w:szCs w:val="17"/>
                <w:color w:val="auto"/>
              </w:rPr>
            </w:pPr>
          </w:p>
        </w:tc>
        <w:tc>
          <w:tcPr>
            <w:tcW w:w="4320" w:type="dxa"/>
            <w:vAlign w:val="bottom"/>
            <w:tcBorders>
              <w:bottom w:val="single" w:sz="8" w:color="auto"/>
            </w:tcBorders>
            <w:gridSpan w:val="3"/>
          </w:tcPr>
          <w:p>
            <w:pPr>
              <w:jc w:val="center"/>
              <w:ind w:left="626"/>
              <w:spacing w:after="0"/>
              <w:rPr>
                <w:sz w:val="20"/>
                <w:szCs w:val="20"/>
                <w:color w:val="auto"/>
              </w:rPr>
            </w:pPr>
            <w:r>
              <w:rPr>
                <w:rFonts w:ascii="Arial" w:cs="Arial" w:eastAsia="Arial" w:hAnsi="Arial"/>
                <w:sz w:val="15"/>
                <w:szCs w:val="15"/>
                <w:b w:val="1"/>
                <w:bCs w:val="1"/>
                <w:color w:val="auto"/>
                <w:w w:val="94"/>
              </w:rPr>
              <w:t>Delaware</w:t>
            </w:r>
          </w:p>
        </w:tc>
        <w:tc>
          <w:tcPr>
            <w:tcW w:w="90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tcPr>
          <w:p>
            <w:pPr>
              <w:jc w:val="right"/>
              <w:ind w:right="2066"/>
              <w:spacing w:after="0"/>
              <w:rPr>
                <w:sz w:val="20"/>
                <w:szCs w:val="20"/>
                <w:color w:val="auto"/>
              </w:rPr>
            </w:pPr>
            <w:r>
              <w:rPr>
                <w:rFonts w:ascii="Arial" w:cs="Arial" w:eastAsia="Arial" w:hAnsi="Arial"/>
                <w:sz w:val="15"/>
                <w:szCs w:val="15"/>
                <w:b w:val="1"/>
                <w:bCs w:val="1"/>
                <w:color w:val="auto"/>
              </w:rPr>
              <w:t>47-4219082</w:t>
            </w: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0" w:type="dxa"/>
            <w:vAlign w:val="bottom"/>
          </w:tcPr>
          <w:p>
            <w:pPr>
              <w:spacing w:after="0"/>
              <w:rPr>
                <w:sz w:val="15"/>
                <w:szCs w:val="15"/>
                <w:color w:val="auto"/>
              </w:rPr>
            </w:pPr>
          </w:p>
        </w:tc>
        <w:tc>
          <w:tcPr>
            <w:tcW w:w="4320" w:type="dxa"/>
            <w:vAlign w:val="bottom"/>
            <w:gridSpan w:val="3"/>
          </w:tcPr>
          <w:p>
            <w:pPr>
              <w:jc w:val="center"/>
              <w:ind w:left="606"/>
              <w:spacing w:after="0"/>
              <w:rPr>
                <w:sz w:val="20"/>
                <w:szCs w:val="20"/>
                <w:color w:val="auto"/>
              </w:rPr>
            </w:pPr>
            <w:r>
              <w:rPr>
                <w:rFonts w:ascii="Arial" w:cs="Arial" w:eastAsia="Arial" w:hAnsi="Arial"/>
                <w:sz w:val="14"/>
                <w:szCs w:val="14"/>
                <w:color w:val="auto"/>
                <w:w w:val="90"/>
              </w:rPr>
              <w:t>(State or other jurisdiction of incorporation or organization)</w:t>
            </w: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0" w:type="dxa"/>
            <w:vAlign w:val="bottom"/>
            <w:gridSpan w:val="2"/>
          </w:tcPr>
          <w:p>
            <w:pPr>
              <w:jc w:val="center"/>
              <w:ind w:right="1640"/>
              <w:spacing w:after="0"/>
              <w:rPr>
                <w:sz w:val="20"/>
                <w:szCs w:val="20"/>
                <w:color w:val="auto"/>
              </w:rPr>
            </w:pPr>
            <w:r>
              <w:rPr>
                <w:rFonts w:ascii="Arial" w:cs="Arial" w:eastAsia="Arial" w:hAnsi="Arial"/>
                <w:sz w:val="14"/>
                <w:szCs w:val="14"/>
                <w:color w:val="auto"/>
                <w:w w:val="92"/>
              </w:rPr>
              <w:t>(I.R.S. Employer Identification No.)</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tcPr>
          <w:p>
            <w:pPr>
              <w:spacing w:after="0"/>
              <w:rPr>
                <w:sz w:val="21"/>
                <w:szCs w:val="21"/>
                <w:color w:val="auto"/>
              </w:rPr>
            </w:pPr>
          </w:p>
        </w:tc>
        <w:tc>
          <w:tcPr>
            <w:tcW w:w="4320" w:type="dxa"/>
            <w:vAlign w:val="bottom"/>
            <w:tcBorders>
              <w:bottom w:val="single" w:sz="8" w:color="auto"/>
            </w:tcBorders>
            <w:gridSpan w:val="3"/>
          </w:tcPr>
          <w:p>
            <w:pPr>
              <w:jc w:val="center"/>
              <w:ind w:left="606"/>
              <w:spacing w:after="0"/>
              <w:rPr>
                <w:sz w:val="20"/>
                <w:szCs w:val="20"/>
                <w:color w:val="auto"/>
              </w:rPr>
            </w:pPr>
            <w:r>
              <w:rPr>
                <w:rFonts w:ascii="Arial" w:cs="Arial" w:eastAsia="Arial" w:hAnsi="Arial"/>
                <w:sz w:val="15"/>
                <w:szCs w:val="15"/>
                <w:b w:val="1"/>
                <w:bCs w:val="1"/>
                <w:color w:val="auto"/>
                <w:w w:val="94"/>
              </w:rPr>
              <w:t>9480 South Dixie Highway Miami, Florida</w:t>
            </w:r>
          </w:p>
        </w:tc>
        <w:tc>
          <w:tcPr>
            <w:tcW w:w="900" w:type="dxa"/>
            <w:vAlign w:val="bottom"/>
            <w:tcBorders>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3580" w:type="dxa"/>
            <w:vAlign w:val="bottom"/>
            <w:tcBorders>
              <w:bottom w:val="single" w:sz="8" w:color="auto"/>
            </w:tcBorders>
          </w:tcPr>
          <w:p>
            <w:pPr>
              <w:jc w:val="right"/>
              <w:ind w:right="2246"/>
              <w:spacing w:after="0"/>
              <w:rPr>
                <w:sz w:val="20"/>
                <w:szCs w:val="20"/>
                <w:color w:val="auto"/>
              </w:rPr>
            </w:pPr>
            <w:r>
              <w:rPr>
                <w:rFonts w:ascii="Arial" w:cs="Arial" w:eastAsia="Arial" w:hAnsi="Arial"/>
                <w:sz w:val="15"/>
                <w:szCs w:val="15"/>
                <w:b w:val="1"/>
                <w:bCs w:val="1"/>
                <w:color w:val="auto"/>
              </w:rPr>
              <w:t>33156</w:t>
            </w: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200" w:type="dxa"/>
            <w:vAlign w:val="bottom"/>
          </w:tcPr>
          <w:p>
            <w:pPr>
              <w:spacing w:after="0"/>
              <w:rPr>
                <w:sz w:val="15"/>
                <w:szCs w:val="15"/>
                <w:color w:val="auto"/>
              </w:rPr>
            </w:pPr>
          </w:p>
        </w:tc>
        <w:tc>
          <w:tcPr>
            <w:tcW w:w="4320" w:type="dxa"/>
            <w:vAlign w:val="bottom"/>
            <w:gridSpan w:val="3"/>
          </w:tcPr>
          <w:p>
            <w:pPr>
              <w:jc w:val="center"/>
              <w:ind w:left="606"/>
              <w:spacing w:after="0"/>
              <w:rPr>
                <w:sz w:val="20"/>
                <w:szCs w:val="20"/>
                <w:color w:val="auto"/>
              </w:rPr>
            </w:pPr>
            <w:r>
              <w:rPr>
                <w:rFonts w:ascii="Arial" w:cs="Arial" w:eastAsia="Arial" w:hAnsi="Arial"/>
                <w:sz w:val="14"/>
                <w:szCs w:val="14"/>
                <w:color w:val="auto"/>
                <w:w w:val="91"/>
              </w:rPr>
              <w:t>(Address of Principal Executive Offices)</w:t>
            </w: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0" w:type="dxa"/>
            <w:vAlign w:val="bottom"/>
            <w:gridSpan w:val="2"/>
          </w:tcPr>
          <w:p>
            <w:pPr>
              <w:jc w:val="center"/>
              <w:ind w:right="1640"/>
              <w:spacing w:after="0"/>
              <w:rPr>
                <w:sz w:val="20"/>
                <w:szCs w:val="20"/>
                <w:color w:val="auto"/>
              </w:rPr>
            </w:pPr>
            <w:r>
              <w:rPr>
                <w:rFonts w:ascii="Arial" w:cs="Arial" w:eastAsia="Arial" w:hAnsi="Arial"/>
                <w:sz w:val="14"/>
                <w:szCs w:val="14"/>
                <w:color w:val="auto"/>
                <w:w w:val="90"/>
              </w:rPr>
              <w:t>(Zip Code)</w:t>
            </w:r>
          </w:p>
        </w:tc>
        <w:tc>
          <w:tcPr>
            <w:tcW w:w="0" w:type="dxa"/>
            <w:vAlign w:val="bottom"/>
          </w:tcPr>
          <w:p>
            <w:pPr>
              <w:spacing w:after="0"/>
              <w:rPr>
                <w:sz w:val="1"/>
                <w:szCs w:val="1"/>
                <w:color w:val="auto"/>
              </w:rPr>
            </w:pPr>
          </w:p>
        </w:tc>
      </w:tr>
      <w:tr>
        <w:trPr>
          <w:trHeight w:val="307"/>
        </w:trPr>
        <w:tc>
          <w:tcPr>
            <w:tcW w:w="2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center"/>
              <w:ind w:left="64"/>
              <w:spacing w:after="0"/>
              <w:rPr>
                <w:sz w:val="20"/>
                <w:szCs w:val="20"/>
                <w:color w:val="auto"/>
              </w:rPr>
            </w:pPr>
            <w:r>
              <w:rPr>
                <w:rFonts w:ascii="Arial" w:cs="Arial" w:eastAsia="Arial" w:hAnsi="Arial"/>
                <w:sz w:val="15"/>
                <w:szCs w:val="15"/>
                <w:b w:val="1"/>
                <w:bCs w:val="1"/>
                <w:color w:val="auto"/>
                <w:w w:val="93"/>
              </w:rPr>
              <w:t>(305) 671-8000</w:t>
            </w:r>
          </w:p>
        </w:tc>
        <w:tc>
          <w:tcPr>
            <w:tcW w:w="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40" w:type="dxa"/>
            <w:vAlign w:val="bottom"/>
            <w:gridSpan w:val="6"/>
          </w:tcPr>
          <w:p>
            <w:pPr>
              <w:jc w:val="center"/>
              <w:ind w:right="240"/>
              <w:spacing w:after="0"/>
              <w:rPr>
                <w:sz w:val="20"/>
                <w:szCs w:val="20"/>
                <w:color w:val="auto"/>
              </w:rPr>
            </w:pPr>
            <w:r>
              <w:rPr>
                <w:rFonts w:ascii="Arial" w:cs="Arial" w:eastAsia="Arial" w:hAnsi="Arial"/>
                <w:sz w:val="14"/>
                <w:szCs w:val="14"/>
                <w:color w:val="auto"/>
                <w:w w:val="88"/>
              </w:rPr>
              <w:t>(Registrant’s telephone number, including area code)</w:t>
            </w:r>
          </w:p>
        </w:tc>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860" w:type="dxa"/>
            <w:vAlign w:val="bottom"/>
            <w:gridSpan w:val="7"/>
          </w:tcPr>
          <w:p>
            <w:pPr>
              <w:jc w:val="center"/>
              <w:ind w:left="104"/>
              <w:spacing w:after="0"/>
              <w:rPr>
                <w:sz w:val="20"/>
                <w:szCs w:val="20"/>
                <w:color w:val="auto"/>
              </w:rPr>
            </w:pPr>
            <w:r>
              <w:rPr>
                <w:rFonts w:ascii="Arial" w:cs="Arial" w:eastAsia="Arial" w:hAnsi="Arial"/>
                <w:sz w:val="15"/>
                <w:szCs w:val="15"/>
                <w:color w:val="auto"/>
                <w:w w:val="92"/>
              </w:rPr>
              <w:t>Securities registered pursuant to Section 12(b) of the Act:</w:t>
            </w:r>
          </w:p>
        </w:tc>
        <w:tc>
          <w:tcPr>
            <w:tcW w:w="3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4320" w:type="dxa"/>
            <w:vAlign w:val="bottom"/>
            <w:gridSpan w:val="3"/>
          </w:tcPr>
          <w:p>
            <w:pPr>
              <w:jc w:val="center"/>
              <w:ind w:right="851"/>
              <w:spacing w:after="0"/>
              <w:rPr>
                <w:sz w:val="20"/>
                <w:szCs w:val="20"/>
                <w:color w:val="auto"/>
              </w:rPr>
            </w:pPr>
            <w:r>
              <w:rPr>
                <w:rFonts w:ascii="Arial" w:cs="Arial" w:eastAsia="Arial" w:hAnsi="Arial"/>
                <w:sz w:val="15"/>
                <w:szCs w:val="15"/>
                <w:b w:val="1"/>
                <w:bCs w:val="1"/>
                <w:color w:val="auto"/>
                <w:w w:val="89"/>
              </w:rPr>
              <w:t>Title of each class</w:t>
            </w:r>
          </w:p>
        </w:tc>
        <w:tc>
          <w:tcPr>
            <w:tcW w:w="2940" w:type="dxa"/>
            <w:vAlign w:val="bottom"/>
            <w:gridSpan w:val="5"/>
          </w:tcPr>
          <w:p>
            <w:pPr>
              <w:jc w:val="center"/>
              <w:ind w:right="1380"/>
              <w:spacing w:after="0"/>
              <w:rPr>
                <w:sz w:val="20"/>
                <w:szCs w:val="20"/>
                <w:color w:val="auto"/>
              </w:rPr>
            </w:pPr>
            <w:r>
              <w:rPr>
                <w:rFonts w:ascii="Arial" w:cs="Arial" w:eastAsia="Arial" w:hAnsi="Arial"/>
                <w:sz w:val="15"/>
                <w:szCs w:val="15"/>
                <w:b w:val="1"/>
                <w:bCs w:val="1"/>
                <w:color w:val="auto"/>
                <w:w w:val="92"/>
              </w:rPr>
              <w:t>Trading symbol(s)</w:t>
            </w:r>
          </w:p>
        </w:tc>
        <w:tc>
          <w:tcPr>
            <w:tcW w:w="3800" w:type="dxa"/>
            <w:vAlign w:val="bottom"/>
            <w:gridSpan w:val="2"/>
          </w:tcPr>
          <w:p>
            <w:pPr>
              <w:jc w:val="center"/>
              <w:ind w:right="680"/>
              <w:spacing w:after="0"/>
              <w:rPr>
                <w:sz w:val="20"/>
                <w:szCs w:val="20"/>
                <w:color w:val="auto"/>
              </w:rPr>
            </w:pPr>
            <w:r>
              <w:rPr>
                <w:rFonts w:ascii="Arial" w:cs="Arial" w:eastAsia="Arial" w:hAnsi="Arial"/>
                <w:sz w:val="15"/>
                <w:szCs w:val="15"/>
                <w:b w:val="1"/>
                <w:bCs w:val="1"/>
                <w:color w:val="auto"/>
                <w:w w:val="89"/>
              </w:rPr>
              <w:t>Name of each exchange on which registered</w:t>
            </w:r>
          </w:p>
        </w:tc>
        <w:tc>
          <w:tcPr>
            <w:tcW w:w="0" w:type="dxa"/>
            <w:vAlign w:val="bottom"/>
          </w:tcPr>
          <w:p>
            <w:pPr>
              <w:spacing w:after="0"/>
              <w:rPr>
                <w:sz w:val="1"/>
                <w:szCs w:val="1"/>
                <w:color w:val="auto"/>
              </w:rPr>
            </w:pPr>
          </w:p>
        </w:tc>
      </w:tr>
      <w:tr>
        <w:trPr>
          <w:trHeight w:val="26"/>
        </w:trPr>
        <w:tc>
          <w:tcPr>
            <w:tcW w:w="20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00" w:type="dxa"/>
            <w:vAlign w:val="bottom"/>
          </w:tcPr>
          <w:p>
            <w:pPr>
              <w:spacing w:after="0"/>
              <w:rPr>
                <w:sz w:val="17"/>
                <w:szCs w:val="17"/>
                <w:color w:val="auto"/>
              </w:rPr>
            </w:pPr>
          </w:p>
        </w:tc>
        <w:tc>
          <w:tcPr>
            <w:tcW w:w="4320" w:type="dxa"/>
            <w:vAlign w:val="bottom"/>
            <w:gridSpan w:val="3"/>
            <w:vMerge w:val="restart"/>
          </w:tcPr>
          <w:p>
            <w:pPr>
              <w:jc w:val="center"/>
              <w:ind w:right="851"/>
              <w:spacing w:after="0"/>
              <w:rPr>
                <w:sz w:val="20"/>
                <w:szCs w:val="20"/>
                <w:color w:val="auto"/>
              </w:rPr>
            </w:pPr>
            <w:r>
              <w:rPr>
                <w:rFonts w:ascii="Arial" w:cs="Arial" w:eastAsia="Arial" w:hAnsi="Arial"/>
                <w:sz w:val="15"/>
                <w:szCs w:val="15"/>
                <w:color w:val="auto"/>
                <w:w w:val="92"/>
              </w:rPr>
              <w:t>Common stock ($0.0001 par value)</w:t>
            </w:r>
          </w:p>
        </w:tc>
        <w:tc>
          <w:tcPr>
            <w:tcW w:w="2940" w:type="dxa"/>
            <w:vAlign w:val="bottom"/>
            <w:gridSpan w:val="5"/>
            <w:vMerge w:val="restart"/>
          </w:tcPr>
          <w:p>
            <w:pPr>
              <w:jc w:val="center"/>
              <w:ind w:right="1380"/>
              <w:spacing w:after="0"/>
              <w:rPr>
                <w:sz w:val="20"/>
                <w:szCs w:val="20"/>
                <w:color w:val="auto"/>
              </w:rPr>
            </w:pPr>
            <w:r>
              <w:rPr>
                <w:rFonts w:ascii="Arial" w:cs="Arial" w:eastAsia="Arial" w:hAnsi="Arial"/>
                <w:sz w:val="15"/>
                <w:szCs w:val="15"/>
                <w:color w:val="auto"/>
              </w:rPr>
              <w:t>IMXI</w:t>
            </w:r>
          </w:p>
        </w:tc>
        <w:tc>
          <w:tcPr>
            <w:tcW w:w="3800" w:type="dxa"/>
            <w:vAlign w:val="bottom"/>
            <w:gridSpan w:val="2"/>
          </w:tcPr>
          <w:p>
            <w:pPr>
              <w:jc w:val="center"/>
              <w:ind w:right="660"/>
              <w:spacing w:after="0"/>
              <w:rPr>
                <w:sz w:val="20"/>
                <w:szCs w:val="20"/>
                <w:color w:val="auto"/>
              </w:rPr>
            </w:pPr>
            <w:r>
              <w:rPr>
                <w:rFonts w:ascii="Arial" w:cs="Arial" w:eastAsia="Arial" w:hAnsi="Arial"/>
                <w:sz w:val="15"/>
                <w:szCs w:val="15"/>
                <w:color w:val="auto"/>
                <w:w w:val="93"/>
              </w:rPr>
              <w:t>Nasdaq Capital Market</w:t>
            </w:r>
          </w:p>
        </w:tc>
        <w:tc>
          <w:tcPr>
            <w:tcW w:w="0" w:type="dxa"/>
            <w:vAlign w:val="bottom"/>
          </w:tcPr>
          <w:p>
            <w:pPr>
              <w:spacing w:after="0"/>
              <w:rPr>
                <w:sz w:val="1"/>
                <w:szCs w:val="1"/>
                <w:color w:val="auto"/>
              </w:rPr>
            </w:pPr>
          </w:p>
        </w:tc>
      </w:tr>
      <w:tr>
        <w:trPr>
          <w:trHeight w:val="184"/>
        </w:trPr>
        <w:tc>
          <w:tcPr>
            <w:tcW w:w="200" w:type="dxa"/>
            <w:vAlign w:val="bottom"/>
          </w:tcPr>
          <w:p>
            <w:pPr>
              <w:spacing w:after="0"/>
              <w:rPr>
                <w:sz w:val="15"/>
                <w:szCs w:val="15"/>
                <w:color w:val="auto"/>
              </w:rPr>
            </w:pPr>
          </w:p>
        </w:tc>
        <w:tc>
          <w:tcPr>
            <w:tcW w:w="4320" w:type="dxa"/>
            <w:vAlign w:val="bottom"/>
            <w:gridSpan w:val="3"/>
            <w:vMerge w:val="continue"/>
          </w:tcPr>
          <w:p>
            <w:pPr>
              <w:spacing w:after="0"/>
              <w:rPr>
                <w:sz w:val="15"/>
                <w:szCs w:val="15"/>
                <w:color w:val="auto"/>
              </w:rPr>
            </w:pPr>
          </w:p>
        </w:tc>
        <w:tc>
          <w:tcPr>
            <w:tcW w:w="2940" w:type="dxa"/>
            <w:vAlign w:val="bottom"/>
            <w:gridSpan w:val="5"/>
            <w:vMerge w:val="continue"/>
          </w:tcPr>
          <w:p>
            <w:pPr>
              <w:spacing w:after="0"/>
              <w:rPr>
                <w:sz w:val="15"/>
                <w:szCs w:val="15"/>
                <w:color w:val="auto"/>
              </w:rPr>
            </w:pPr>
          </w:p>
        </w:tc>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7"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Securities registered pursuant to Section 12(g)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1808480</wp:posOffset>
            </wp:positionH>
            <wp:positionV relativeFrom="paragraph">
              <wp:posOffset>28575</wp:posOffset>
            </wp:positionV>
            <wp:extent cx="3532505"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32505" cy="14605"/>
                    </a:xfrm>
                    <a:prstGeom prst="rect">
                      <a:avLst/>
                    </a:prstGeom>
                    <a:noFill/>
                  </pic:spPr>
                </pic:pic>
              </a:graphicData>
            </a:graphic>
          </wp:anchor>
        </w:drawing>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None</w:t>
      </w:r>
    </w:p>
    <w:p>
      <w:pPr>
        <w:spacing w:after="0" w:line="9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31" w:lineRule="exact"/>
        <w:rPr>
          <w:sz w:val="24"/>
          <w:szCs w:val="24"/>
          <w:color w:val="auto"/>
        </w:rPr>
      </w:pPr>
    </w:p>
    <w:p>
      <w:pPr>
        <w:jc w:val="both"/>
        <w:ind w:right="2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8" w:lineRule="exact"/>
        <w:rPr>
          <w:sz w:val="24"/>
          <w:szCs w:val="24"/>
          <w:color w:val="auto"/>
        </w:rPr>
      </w:pPr>
    </w:p>
    <w:p>
      <w:pPr>
        <w:ind w:right="18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8" w:lineRule="exact"/>
        <w:rPr>
          <w:sz w:val="24"/>
          <w:szCs w:val="24"/>
          <w:color w:val="auto"/>
        </w:rPr>
      </w:pPr>
    </w:p>
    <w:p>
      <w:pPr>
        <w:ind w:right="16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1"/>
        </w:trPr>
        <w:tc>
          <w:tcPr>
            <w:tcW w:w="2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160" w:type="dxa"/>
            <w:vAlign w:val="bottom"/>
          </w:tcPr>
          <w:p>
            <w:pPr>
              <w:ind w:left="40"/>
              <w:spacing w:after="0"/>
              <w:rPr>
                <w:sz w:val="20"/>
                <w:szCs w:val="20"/>
                <w:color w:val="auto"/>
              </w:rPr>
            </w:pPr>
            <w:r>
              <w:rPr>
                <w:rFonts w:ascii="Arial" w:cs="Arial" w:eastAsia="Arial" w:hAnsi="Arial"/>
                <w:sz w:val="14"/>
                <w:szCs w:val="14"/>
                <w:color w:val="auto"/>
              </w:rPr>
              <w:t>Large accelerated filer</w:t>
            </w:r>
          </w:p>
        </w:tc>
        <w:tc>
          <w:tcPr>
            <w:tcW w:w="2080" w:type="dxa"/>
            <w:vAlign w:val="bottom"/>
          </w:tcPr>
          <w:p>
            <w:pPr>
              <w:ind w:left="1900"/>
              <w:spacing w:after="0" w:line="141" w:lineRule="exact"/>
              <w:rPr>
                <w:sz w:val="20"/>
                <w:szCs w:val="20"/>
                <w:color w:val="auto"/>
              </w:rPr>
            </w:pPr>
            <w:r>
              <w:rPr>
                <w:rFonts w:ascii="MS PGothic" w:cs="MS PGothic" w:eastAsia="MS PGothic" w:hAnsi="MS PGothic"/>
                <w:sz w:val="14"/>
                <w:szCs w:val="14"/>
                <w:color w:val="auto"/>
              </w:rPr>
              <w:t>☒</w:t>
            </w:r>
          </w:p>
        </w:tc>
        <w:tc>
          <w:tcPr>
            <w:tcW w:w="1580" w:type="dxa"/>
            <w:vAlign w:val="bottom"/>
          </w:tcPr>
          <w:p>
            <w:pPr>
              <w:ind w:left="80"/>
              <w:spacing w:after="0"/>
              <w:rPr>
                <w:sz w:val="20"/>
                <w:szCs w:val="20"/>
                <w:color w:val="auto"/>
              </w:rPr>
            </w:pPr>
            <w:r>
              <w:rPr>
                <w:rFonts w:ascii="Arial" w:cs="Arial" w:eastAsia="Arial" w:hAnsi="Arial"/>
                <w:sz w:val="14"/>
                <w:szCs w:val="14"/>
                <w:color w:val="auto"/>
              </w:rPr>
              <w:t>Accelerated filer</w:t>
            </w:r>
          </w:p>
        </w:tc>
      </w:tr>
      <w:tr>
        <w:trPr>
          <w:trHeight w:val="206"/>
        </w:trPr>
        <w:tc>
          <w:tcPr>
            <w:tcW w:w="22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3160" w:type="dxa"/>
            <w:vAlign w:val="bottom"/>
          </w:tcPr>
          <w:p>
            <w:pPr>
              <w:ind w:left="40"/>
              <w:spacing w:after="0"/>
              <w:rPr>
                <w:sz w:val="20"/>
                <w:szCs w:val="20"/>
                <w:color w:val="auto"/>
              </w:rPr>
            </w:pPr>
            <w:r>
              <w:rPr>
                <w:rFonts w:ascii="Arial" w:cs="Arial" w:eastAsia="Arial" w:hAnsi="Arial"/>
                <w:sz w:val="14"/>
                <w:szCs w:val="14"/>
                <w:color w:val="auto"/>
              </w:rPr>
              <w:t>Non-accelerated filer</w:t>
            </w:r>
          </w:p>
        </w:tc>
        <w:tc>
          <w:tcPr>
            <w:tcW w:w="2080" w:type="dxa"/>
            <w:vAlign w:val="bottom"/>
          </w:tcPr>
          <w:p>
            <w:pPr>
              <w:ind w:left="1900"/>
              <w:spacing w:after="0" w:line="141" w:lineRule="exact"/>
              <w:rPr>
                <w:sz w:val="20"/>
                <w:szCs w:val="20"/>
                <w:color w:val="auto"/>
              </w:rPr>
            </w:pPr>
            <w:r>
              <w:rPr>
                <w:rFonts w:ascii="MS PGothic" w:cs="MS PGothic" w:eastAsia="MS PGothic" w:hAnsi="MS PGothic"/>
                <w:sz w:val="14"/>
                <w:szCs w:val="14"/>
                <w:color w:val="auto"/>
              </w:rPr>
              <w:t>☐</w:t>
            </w:r>
          </w:p>
        </w:tc>
        <w:tc>
          <w:tcPr>
            <w:tcW w:w="1580" w:type="dxa"/>
            <w:vAlign w:val="bottom"/>
          </w:tcPr>
          <w:p>
            <w:pPr>
              <w:ind w:left="80"/>
              <w:spacing w:after="0"/>
              <w:rPr>
                <w:sz w:val="20"/>
                <w:szCs w:val="20"/>
                <w:color w:val="auto"/>
              </w:rPr>
            </w:pPr>
            <w:r>
              <w:rPr>
                <w:rFonts w:ascii="Arial" w:cs="Arial" w:eastAsia="Arial" w:hAnsi="Arial"/>
                <w:sz w:val="14"/>
                <w:szCs w:val="14"/>
                <w:color w:val="auto"/>
                <w:w w:val="88"/>
              </w:rPr>
              <w:t>Smaller reporting company</w:t>
            </w:r>
          </w:p>
        </w:tc>
      </w:tr>
      <w:tr>
        <w:trPr>
          <w:trHeight w:val="216"/>
        </w:trPr>
        <w:tc>
          <w:tcPr>
            <w:tcW w:w="2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80" w:type="dxa"/>
            <w:vAlign w:val="bottom"/>
          </w:tcPr>
          <w:p>
            <w:pPr>
              <w:ind w:left="1900"/>
              <w:spacing w:after="0" w:line="141" w:lineRule="exact"/>
              <w:rPr>
                <w:sz w:val="20"/>
                <w:szCs w:val="20"/>
                <w:color w:val="auto"/>
              </w:rPr>
            </w:pPr>
            <w:r>
              <w:rPr>
                <w:rFonts w:ascii="MS PGothic" w:cs="MS PGothic" w:eastAsia="MS PGothic" w:hAnsi="MS PGothic"/>
                <w:sz w:val="14"/>
                <w:szCs w:val="14"/>
                <w:color w:val="auto"/>
              </w:rPr>
              <w:t>☒</w:t>
            </w:r>
          </w:p>
        </w:tc>
        <w:tc>
          <w:tcPr>
            <w:tcW w:w="1580" w:type="dxa"/>
            <w:vAlign w:val="bottom"/>
          </w:tcPr>
          <w:p>
            <w:pPr>
              <w:ind w:left="80"/>
              <w:spacing w:after="0"/>
              <w:rPr>
                <w:sz w:val="20"/>
                <w:szCs w:val="20"/>
                <w:color w:val="auto"/>
              </w:rPr>
            </w:pPr>
            <w:r>
              <w:rPr>
                <w:rFonts w:ascii="Arial" w:cs="Arial" w:eastAsia="Arial" w:hAnsi="Arial"/>
                <w:sz w:val="14"/>
                <w:szCs w:val="14"/>
                <w:color w:val="auto"/>
                <w:w w:val="88"/>
              </w:rPr>
              <w:t>Emerging growth company</w:t>
            </w:r>
          </w:p>
        </w:tc>
      </w:tr>
    </w:tbl>
    <w:p>
      <w:pPr>
        <w:spacing w:after="0" w:line="280" w:lineRule="exact"/>
        <w:rPr>
          <w:sz w:val="24"/>
          <w:szCs w:val="24"/>
          <w:color w:val="auto"/>
        </w:rPr>
      </w:pPr>
    </w:p>
    <w:p>
      <w:pPr>
        <w:ind w:right="52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78" w:lineRule="exact"/>
        <w:rPr>
          <w:sz w:val="24"/>
          <w:szCs w:val="24"/>
          <w:color w:val="auto"/>
        </w:rPr>
      </w:pPr>
    </w:p>
    <w:p>
      <w:pPr>
        <w:ind w:right="20"/>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5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31" w:lineRule="exact"/>
        <w:rPr>
          <w:sz w:val="24"/>
          <w:szCs w:val="24"/>
          <w:color w:val="auto"/>
        </w:rPr>
      </w:pPr>
    </w:p>
    <w:p>
      <w:pPr>
        <w:ind w:right="360"/>
        <w:spacing w:after="0" w:line="259" w:lineRule="auto"/>
        <w:rPr>
          <w:sz w:val="20"/>
          <w:szCs w:val="20"/>
          <w:color w:val="auto"/>
        </w:rPr>
      </w:pPr>
      <w:r>
        <w:rPr>
          <w:rFonts w:ascii="Arial" w:cs="Arial" w:eastAsia="Arial" w:hAnsi="Arial"/>
          <w:sz w:val="14"/>
          <w:szCs w:val="14"/>
          <w:color w:val="auto"/>
        </w:rPr>
        <w:t>As of June 30, 2021, the aggregate market value of the voting stock held by non-affiliates was $488,488,285 based on the closing sale price of $14.85 of the common stock as reported on the Nasdaq Capital Market.</w:t>
      </w:r>
    </w:p>
    <w:p>
      <w:pPr>
        <w:spacing w:after="0" w:line="178" w:lineRule="exact"/>
        <w:rPr>
          <w:sz w:val="24"/>
          <w:szCs w:val="24"/>
          <w:color w:val="auto"/>
        </w:rPr>
      </w:pPr>
    </w:p>
    <w:p>
      <w:pPr>
        <w:spacing w:after="0"/>
        <w:rPr>
          <w:sz w:val="20"/>
          <w:szCs w:val="20"/>
          <w:color w:val="auto"/>
        </w:rPr>
      </w:pPr>
      <w:r>
        <w:rPr>
          <w:rFonts w:ascii="Arial" w:cs="Arial" w:eastAsia="Arial" w:hAnsi="Arial"/>
          <w:sz w:val="13"/>
          <w:szCs w:val="13"/>
          <w:color w:val="auto"/>
        </w:rPr>
        <w:t>As of February 25, 2022, 38,318,279 shares of the registrant</w:t>
      </w:r>
      <w:r>
        <w:rPr>
          <w:rFonts w:ascii="Arial" w:cs="Arial" w:eastAsia="Arial" w:hAnsi="Arial"/>
          <w:sz w:val="14"/>
          <w:szCs w:val="14"/>
          <w:color w:val="auto"/>
        </w:rPr>
        <w:t>’</w:t>
      </w:r>
      <w:r>
        <w:rPr>
          <w:rFonts w:ascii="Arial" w:cs="Arial" w:eastAsia="Arial" w:hAnsi="Arial"/>
          <w:sz w:val="13"/>
          <w:szCs w:val="13"/>
          <w:color w:val="auto"/>
        </w:rPr>
        <w:t>s common stock, par value $0.0001 per share, were outstanding. The registrant has no other class of common stock outstanding.</w:t>
      </w: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DOCUMENTS INCORPORATED BY REFERENCE</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137795</wp:posOffset>
            </wp:positionV>
            <wp:extent cx="717804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774" w:right="3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5"/>
          <w:szCs w:val="15"/>
          <w:b w:val="1"/>
          <w:bCs w:val="1"/>
          <w:color w:val="auto"/>
        </w:rPr>
        <w:t>INTERNATIONAL MONEY EXPRESS,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INDEX</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9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Page</w:t>
            </w:r>
          </w:p>
        </w:tc>
      </w:tr>
      <w:tr>
        <w:trPr>
          <w:trHeight w:val="218"/>
        </w:trPr>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84"/>
        </w:trPr>
        <w:tc>
          <w:tcPr>
            <w:tcW w:w="10300" w:type="dxa"/>
            <w:vAlign w:val="bottom"/>
            <w:gridSpan w:val="19"/>
            <w:shd w:val="clear" w:color="auto" w:fill="CCEEFF"/>
          </w:tcPr>
          <w:p>
            <w:pPr>
              <w:spacing w:after="0"/>
              <w:rPr>
                <w:rFonts w:ascii="Arial" w:cs="Arial" w:eastAsia="Arial" w:hAnsi="Arial"/>
                <w:sz w:val="14"/>
                <w:szCs w:val="14"/>
                <w:b w:val="1"/>
                <w:bCs w:val="1"/>
                <w:color w:val="0000FF"/>
              </w:rPr>
            </w:pPr>
            <w:hyperlink w:anchor="page2">
              <w:r>
                <w:rPr>
                  <w:rFonts w:ascii="Arial" w:cs="Arial" w:eastAsia="Arial" w:hAnsi="Arial"/>
                  <w:sz w:val="14"/>
                  <w:szCs w:val="14"/>
                  <w:b w:val="1"/>
                  <w:bCs w:val="1"/>
                  <w:color w:val="0000FF"/>
                </w:rPr>
                <w:t>SPECIAL NOTE REGARDING FORWARD-LOOKING STATEMENTS</w:t>
              </w:r>
            </w:hyperlink>
          </w:p>
        </w:tc>
        <w:tc>
          <w:tcPr>
            <w:tcW w:w="960" w:type="dxa"/>
            <w:vAlign w:val="bottom"/>
            <w:shd w:val="clear" w:color="auto" w:fill="CCEEFF"/>
          </w:tcPr>
          <w:p>
            <w:pPr>
              <w:jc w:val="center"/>
              <w:spacing w:after="0"/>
              <w:rPr>
                <w:rFonts w:ascii="Arial" w:cs="Arial" w:eastAsia="Arial" w:hAnsi="Arial"/>
                <w:sz w:val="14"/>
                <w:szCs w:val="14"/>
                <w:color w:val="0000FF"/>
                <w:w w:val="76"/>
              </w:rPr>
            </w:pPr>
            <w:hyperlink w:anchor="page2">
              <w:r>
                <w:rPr>
                  <w:rFonts w:ascii="Arial" w:cs="Arial" w:eastAsia="Arial" w:hAnsi="Arial"/>
                  <w:sz w:val="14"/>
                  <w:szCs w:val="14"/>
                  <w:color w:val="0000FF"/>
                  <w:w w:val="76"/>
                </w:rPr>
                <w:t>1</w:t>
              </w:r>
            </w:hyperlink>
          </w:p>
        </w:tc>
      </w:tr>
      <w:tr>
        <w:trPr>
          <w:trHeight w:val="229"/>
        </w:trPr>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84"/>
        </w:trPr>
        <w:tc>
          <w:tcPr>
            <w:tcW w:w="6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PART I</w:t>
            </w: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tcBorders>
              <w:left w:val="single" w:sz="8" w:color="CCEEFF"/>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49"/>
        </w:trPr>
        <w:tc>
          <w:tcPr>
            <w:tcW w:w="640" w:type="dxa"/>
            <w:vAlign w:val="bottom"/>
          </w:tcPr>
          <w:p>
            <w:pPr>
              <w:spacing w:after="0" w:line="149" w:lineRule="exact"/>
              <w:rPr>
                <w:sz w:val="20"/>
                <w:szCs w:val="20"/>
                <w:color w:val="auto"/>
              </w:rPr>
            </w:pPr>
            <w:r>
              <w:rPr>
                <w:rFonts w:ascii="Arial" w:cs="Arial" w:eastAsia="Arial" w:hAnsi="Arial"/>
                <w:sz w:val="14"/>
                <w:szCs w:val="14"/>
                <w:color w:val="auto"/>
              </w:rPr>
              <w:t>Item 1.</w:t>
            </w:r>
          </w:p>
        </w:tc>
        <w:tc>
          <w:tcPr>
            <w:tcW w:w="9660" w:type="dxa"/>
            <w:vAlign w:val="bottom"/>
            <w:gridSpan w:val="18"/>
          </w:tcPr>
          <w:p>
            <w:pPr>
              <w:ind w:left="380"/>
              <w:spacing w:after="0" w:line="149" w:lineRule="exact"/>
              <w:rPr>
                <w:rFonts w:ascii="Arial" w:cs="Arial" w:eastAsia="Arial" w:hAnsi="Arial"/>
                <w:sz w:val="14"/>
                <w:szCs w:val="14"/>
                <w:color w:val="0000FF"/>
              </w:rPr>
            </w:pPr>
            <w:hyperlink w:anchor="page3">
              <w:r>
                <w:rPr>
                  <w:rFonts w:ascii="Arial" w:cs="Arial" w:eastAsia="Arial" w:hAnsi="Arial"/>
                  <w:sz w:val="14"/>
                  <w:szCs w:val="14"/>
                  <w:color w:val="0000FF"/>
                </w:rPr>
                <w:t>Business</w:t>
              </w:r>
            </w:hyperlink>
          </w:p>
        </w:tc>
        <w:tc>
          <w:tcPr>
            <w:tcW w:w="960" w:type="dxa"/>
            <w:vAlign w:val="bottom"/>
          </w:tcPr>
          <w:p>
            <w:pPr>
              <w:jc w:val="center"/>
              <w:spacing w:after="0" w:line="149" w:lineRule="exact"/>
              <w:rPr>
                <w:rFonts w:ascii="Arial" w:cs="Arial" w:eastAsia="Arial" w:hAnsi="Arial"/>
                <w:sz w:val="14"/>
                <w:szCs w:val="14"/>
                <w:color w:val="0000FF"/>
                <w:w w:val="76"/>
              </w:rPr>
            </w:pPr>
            <w:hyperlink w:anchor="page3">
              <w:r>
                <w:rPr>
                  <w:rFonts w:ascii="Arial" w:cs="Arial" w:eastAsia="Arial" w:hAnsi="Arial"/>
                  <w:sz w:val="14"/>
                  <w:szCs w:val="14"/>
                  <w:color w:val="0000FF"/>
                  <w:w w:val="76"/>
                </w:rPr>
                <w:t>2</w:t>
              </w:r>
            </w:hyperlink>
          </w:p>
        </w:tc>
      </w:tr>
      <w:tr>
        <w:trPr>
          <w:trHeight w:val="27"/>
        </w:trPr>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56"/>
        </w:trPr>
        <w:tc>
          <w:tcPr>
            <w:tcW w:w="6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Item 1A.</w:t>
            </w:r>
          </w:p>
        </w:tc>
        <w:tc>
          <w:tcPr>
            <w:tcW w:w="9660" w:type="dxa"/>
            <w:vAlign w:val="bottom"/>
            <w:gridSpan w:val="18"/>
            <w:shd w:val="clear" w:color="auto" w:fill="CCEEFF"/>
          </w:tcPr>
          <w:p>
            <w:pPr>
              <w:ind w:left="380"/>
              <w:spacing w:after="0" w:line="157" w:lineRule="exact"/>
              <w:rPr>
                <w:rFonts w:ascii="Arial" w:cs="Arial" w:eastAsia="Arial" w:hAnsi="Arial"/>
                <w:sz w:val="14"/>
                <w:szCs w:val="14"/>
                <w:color w:val="0000FF"/>
              </w:rPr>
            </w:pPr>
            <w:hyperlink w:anchor="page11">
              <w:r>
                <w:rPr>
                  <w:rFonts w:ascii="Arial" w:cs="Arial" w:eastAsia="Arial" w:hAnsi="Arial"/>
                  <w:sz w:val="14"/>
                  <w:szCs w:val="14"/>
                  <w:color w:val="0000FF"/>
                </w:rPr>
                <w:t>Risk Factors</w:t>
              </w:r>
            </w:hyperlink>
          </w:p>
        </w:tc>
        <w:tc>
          <w:tcPr>
            <w:tcW w:w="960" w:type="dxa"/>
            <w:vAlign w:val="bottom"/>
            <w:shd w:val="clear" w:color="auto" w:fill="CCEEFF"/>
          </w:tcPr>
          <w:p>
            <w:pPr>
              <w:jc w:val="center"/>
              <w:spacing w:after="0" w:line="157" w:lineRule="exact"/>
              <w:rPr>
                <w:rFonts w:ascii="Arial" w:cs="Arial" w:eastAsia="Arial" w:hAnsi="Arial"/>
                <w:sz w:val="14"/>
                <w:szCs w:val="14"/>
                <w:color w:val="0000FF"/>
                <w:w w:val="89"/>
              </w:rPr>
            </w:pPr>
            <w:hyperlink w:anchor="page11">
              <w:r>
                <w:rPr>
                  <w:rFonts w:ascii="Arial" w:cs="Arial" w:eastAsia="Arial" w:hAnsi="Arial"/>
                  <w:sz w:val="14"/>
                  <w:szCs w:val="14"/>
                  <w:color w:val="0000FF"/>
                  <w:w w:val="89"/>
                </w:rPr>
                <w:t>10</w:t>
              </w:r>
            </w:hyperlink>
          </w:p>
        </w:tc>
      </w:tr>
      <w:tr>
        <w:trPr>
          <w:trHeight w:val="34"/>
        </w:trPr>
        <w:tc>
          <w:tcPr>
            <w:tcW w:w="6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66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640" w:type="dxa"/>
            <w:vAlign w:val="bottom"/>
            <w:tcBorders>
              <w:lef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r>
        <w:trPr>
          <w:trHeight w:val="149"/>
        </w:trPr>
        <w:tc>
          <w:tcPr>
            <w:tcW w:w="640" w:type="dxa"/>
            <w:vAlign w:val="bottom"/>
          </w:tcPr>
          <w:p>
            <w:pPr>
              <w:spacing w:after="0" w:line="149" w:lineRule="exact"/>
              <w:rPr>
                <w:sz w:val="20"/>
                <w:szCs w:val="20"/>
                <w:color w:val="auto"/>
              </w:rPr>
            </w:pPr>
            <w:r>
              <w:rPr>
                <w:rFonts w:ascii="Arial" w:cs="Arial" w:eastAsia="Arial" w:hAnsi="Arial"/>
                <w:sz w:val="14"/>
                <w:szCs w:val="14"/>
                <w:color w:val="auto"/>
              </w:rPr>
              <w:t>Item 1B.</w:t>
            </w:r>
          </w:p>
        </w:tc>
        <w:tc>
          <w:tcPr>
            <w:tcW w:w="9660" w:type="dxa"/>
            <w:vAlign w:val="bottom"/>
            <w:gridSpan w:val="18"/>
          </w:tcPr>
          <w:p>
            <w:pPr>
              <w:ind w:left="380"/>
              <w:spacing w:after="0" w:line="149" w:lineRule="exact"/>
              <w:rPr>
                <w:rFonts w:ascii="Arial" w:cs="Arial" w:eastAsia="Arial" w:hAnsi="Arial"/>
                <w:sz w:val="14"/>
                <w:szCs w:val="14"/>
                <w:color w:val="0000FF"/>
              </w:rPr>
            </w:pPr>
            <w:hyperlink w:anchor="page25">
              <w:r>
                <w:rPr>
                  <w:rFonts w:ascii="Arial" w:cs="Arial" w:eastAsia="Arial" w:hAnsi="Arial"/>
                  <w:sz w:val="14"/>
                  <w:szCs w:val="14"/>
                  <w:color w:val="0000FF"/>
                </w:rPr>
                <w:t>Unresolved Staff Comments</w:t>
              </w:r>
            </w:hyperlink>
          </w:p>
        </w:tc>
        <w:tc>
          <w:tcPr>
            <w:tcW w:w="960" w:type="dxa"/>
            <w:vAlign w:val="bottom"/>
          </w:tcPr>
          <w:p>
            <w:pPr>
              <w:jc w:val="center"/>
              <w:spacing w:after="0" w:line="149" w:lineRule="exact"/>
              <w:rPr>
                <w:rFonts w:ascii="Arial" w:cs="Arial" w:eastAsia="Arial" w:hAnsi="Arial"/>
                <w:sz w:val="14"/>
                <w:szCs w:val="14"/>
                <w:color w:val="0000FF"/>
                <w:w w:val="89"/>
              </w:rPr>
            </w:pPr>
            <w:hyperlink w:anchor="page25">
              <w:r>
                <w:rPr>
                  <w:rFonts w:ascii="Arial" w:cs="Arial" w:eastAsia="Arial" w:hAnsi="Arial"/>
                  <w:sz w:val="14"/>
                  <w:szCs w:val="14"/>
                  <w:color w:val="0000FF"/>
                  <w:w w:val="89"/>
                </w:rPr>
                <w:t>23</w:t>
              </w:r>
            </w:hyperlink>
          </w:p>
        </w:tc>
      </w:tr>
      <w:tr>
        <w:trPr>
          <w:trHeight w:val="27"/>
        </w:trPr>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56"/>
        </w:trPr>
        <w:tc>
          <w:tcPr>
            <w:tcW w:w="6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Item 2.</w:t>
            </w:r>
          </w:p>
        </w:tc>
        <w:tc>
          <w:tcPr>
            <w:tcW w:w="9660" w:type="dxa"/>
            <w:vAlign w:val="bottom"/>
            <w:gridSpan w:val="18"/>
            <w:shd w:val="clear" w:color="auto" w:fill="CCEEFF"/>
          </w:tcPr>
          <w:p>
            <w:pPr>
              <w:ind w:left="380"/>
              <w:spacing w:after="0" w:line="157" w:lineRule="exact"/>
              <w:rPr>
                <w:rFonts w:ascii="Arial" w:cs="Arial" w:eastAsia="Arial" w:hAnsi="Arial"/>
                <w:sz w:val="14"/>
                <w:szCs w:val="14"/>
                <w:color w:val="0000FF"/>
              </w:rPr>
            </w:pPr>
            <w:hyperlink w:anchor="page25">
              <w:r>
                <w:rPr>
                  <w:rFonts w:ascii="Arial" w:cs="Arial" w:eastAsia="Arial" w:hAnsi="Arial"/>
                  <w:sz w:val="14"/>
                  <w:szCs w:val="14"/>
                  <w:color w:val="0000FF"/>
                </w:rPr>
                <w:t>Properties</w:t>
              </w:r>
            </w:hyperlink>
          </w:p>
        </w:tc>
        <w:tc>
          <w:tcPr>
            <w:tcW w:w="960" w:type="dxa"/>
            <w:vAlign w:val="bottom"/>
            <w:shd w:val="clear" w:color="auto" w:fill="CCEEFF"/>
          </w:tcPr>
          <w:p>
            <w:pPr>
              <w:jc w:val="center"/>
              <w:spacing w:after="0" w:line="157" w:lineRule="exact"/>
              <w:rPr>
                <w:rFonts w:ascii="Arial" w:cs="Arial" w:eastAsia="Arial" w:hAnsi="Arial"/>
                <w:sz w:val="14"/>
                <w:szCs w:val="14"/>
                <w:color w:val="0000FF"/>
                <w:w w:val="89"/>
              </w:rPr>
            </w:pPr>
            <w:hyperlink w:anchor="page25">
              <w:r>
                <w:rPr>
                  <w:rFonts w:ascii="Arial" w:cs="Arial" w:eastAsia="Arial" w:hAnsi="Arial"/>
                  <w:sz w:val="14"/>
                  <w:szCs w:val="14"/>
                  <w:color w:val="0000FF"/>
                  <w:w w:val="89"/>
                </w:rPr>
                <w:t>23</w:t>
              </w:r>
            </w:hyperlink>
          </w:p>
        </w:tc>
      </w:tr>
      <w:tr>
        <w:trPr>
          <w:trHeight w:val="34"/>
        </w:trPr>
        <w:tc>
          <w:tcPr>
            <w:tcW w:w="6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66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640" w:type="dxa"/>
            <w:vAlign w:val="bottom"/>
            <w:tcBorders>
              <w:lef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r>
        <w:trPr>
          <w:trHeight w:val="149"/>
        </w:trPr>
        <w:tc>
          <w:tcPr>
            <w:tcW w:w="640" w:type="dxa"/>
            <w:vAlign w:val="bottom"/>
          </w:tcPr>
          <w:p>
            <w:pPr>
              <w:spacing w:after="0" w:line="149" w:lineRule="exact"/>
              <w:rPr>
                <w:sz w:val="20"/>
                <w:szCs w:val="20"/>
                <w:color w:val="auto"/>
              </w:rPr>
            </w:pPr>
            <w:r>
              <w:rPr>
                <w:rFonts w:ascii="Arial" w:cs="Arial" w:eastAsia="Arial" w:hAnsi="Arial"/>
                <w:sz w:val="14"/>
                <w:szCs w:val="14"/>
                <w:color w:val="auto"/>
              </w:rPr>
              <w:t>Item 3.</w:t>
            </w:r>
          </w:p>
        </w:tc>
        <w:tc>
          <w:tcPr>
            <w:tcW w:w="9660" w:type="dxa"/>
            <w:vAlign w:val="bottom"/>
            <w:gridSpan w:val="18"/>
          </w:tcPr>
          <w:p>
            <w:pPr>
              <w:ind w:left="380"/>
              <w:spacing w:after="0" w:line="149" w:lineRule="exact"/>
              <w:rPr>
                <w:rFonts w:ascii="Arial" w:cs="Arial" w:eastAsia="Arial" w:hAnsi="Arial"/>
                <w:sz w:val="14"/>
                <w:szCs w:val="14"/>
                <w:color w:val="0000FF"/>
              </w:rPr>
            </w:pPr>
            <w:hyperlink w:anchor="page25">
              <w:r>
                <w:rPr>
                  <w:rFonts w:ascii="Arial" w:cs="Arial" w:eastAsia="Arial" w:hAnsi="Arial"/>
                  <w:sz w:val="14"/>
                  <w:szCs w:val="14"/>
                  <w:color w:val="0000FF"/>
                </w:rPr>
                <w:t>Legal Proceedings</w:t>
              </w:r>
            </w:hyperlink>
          </w:p>
        </w:tc>
        <w:tc>
          <w:tcPr>
            <w:tcW w:w="960" w:type="dxa"/>
            <w:vAlign w:val="bottom"/>
          </w:tcPr>
          <w:p>
            <w:pPr>
              <w:jc w:val="center"/>
              <w:spacing w:after="0" w:line="149" w:lineRule="exact"/>
              <w:rPr>
                <w:rFonts w:ascii="Arial" w:cs="Arial" w:eastAsia="Arial" w:hAnsi="Arial"/>
                <w:sz w:val="14"/>
                <w:szCs w:val="14"/>
                <w:color w:val="0000FF"/>
                <w:w w:val="89"/>
              </w:rPr>
            </w:pPr>
            <w:hyperlink w:anchor="page25">
              <w:r>
                <w:rPr>
                  <w:rFonts w:ascii="Arial" w:cs="Arial" w:eastAsia="Arial" w:hAnsi="Arial"/>
                  <w:sz w:val="14"/>
                  <w:szCs w:val="14"/>
                  <w:color w:val="0000FF"/>
                  <w:w w:val="89"/>
                </w:rPr>
                <w:t>23</w:t>
              </w:r>
            </w:hyperlink>
          </w:p>
        </w:tc>
      </w:tr>
      <w:tr>
        <w:trPr>
          <w:trHeight w:val="27"/>
        </w:trPr>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1"/>
        </w:trPr>
        <w:tc>
          <w:tcPr>
            <w:tcW w:w="6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Item 4.</w:t>
            </w:r>
          </w:p>
        </w:tc>
        <w:tc>
          <w:tcPr>
            <w:tcW w:w="9660" w:type="dxa"/>
            <w:vAlign w:val="bottom"/>
            <w:gridSpan w:val="18"/>
            <w:shd w:val="clear" w:color="auto" w:fill="CCEEFF"/>
          </w:tcPr>
          <w:p>
            <w:pPr>
              <w:ind w:left="380"/>
              <w:spacing w:after="0" w:line="157" w:lineRule="exact"/>
              <w:rPr>
                <w:rFonts w:ascii="Arial" w:cs="Arial" w:eastAsia="Arial" w:hAnsi="Arial"/>
                <w:sz w:val="14"/>
                <w:szCs w:val="14"/>
                <w:color w:val="0000FF"/>
              </w:rPr>
            </w:pPr>
            <w:hyperlink w:anchor="page25">
              <w:r>
                <w:rPr>
                  <w:rFonts w:ascii="Arial" w:cs="Arial" w:eastAsia="Arial" w:hAnsi="Arial"/>
                  <w:sz w:val="14"/>
                  <w:szCs w:val="14"/>
                  <w:color w:val="0000FF"/>
                </w:rPr>
                <w:t>Mine Safety Disclosures</w:t>
              </w:r>
            </w:hyperlink>
          </w:p>
        </w:tc>
        <w:tc>
          <w:tcPr>
            <w:tcW w:w="960" w:type="dxa"/>
            <w:vAlign w:val="bottom"/>
            <w:shd w:val="clear" w:color="auto" w:fill="CCEEFF"/>
          </w:tcPr>
          <w:p>
            <w:pPr>
              <w:jc w:val="center"/>
              <w:spacing w:after="0" w:line="157" w:lineRule="exact"/>
              <w:rPr>
                <w:rFonts w:ascii="Arial" w:cs="Arial" w:eastAsia="Arial" w:hAnsi="Arial"/>
                <w:sz w:val="14"/>
                <w:szCs w:val="14"/>
                <w:color w:val="0000FF"/>
                <w:w w:val="89"/>
              </w:rPr>
            </w:pPr>
            <w:hyperlink w:anchor="page25">
              <w:r>
                <w:rPr>
                  <w:rFonts w:ascii="Arial" w:cs="Arial" w:eastAsia="Arial" w:hAnsi="Arial"/>
                  <w:sz w:val="14"/>
                  <w:szCs w:val="14"/>
                  <w:color w:val="0000FF"/>
                  <w:w w:val="89"/>
                </w:rPr>
                <w:t>23</w:t>
              </w:r>
            </w:hyperlink>
          </w:p>
        </w:tc>
      </w:tr>
      <w:tr>
        <w:trPr>
          <w:trHeight w:val="229"/>
        </w:trPr>
        <w:tc>
          <w:tcPr>
            <w:tcW w:w="6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4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64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10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r>
      <w:tr>
        <w:trPr>
          <w:trHeight w:val="184"/>
        </w:trPr>
        <w:tc>
          <w:tcPr>
            <w:tcW w:w="6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PART II</w:t>
            </w: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tcBorders>
              <w:left w:val="single" w:sz="8" w:color="CCEEFF"/>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49"/>
        </w:trPr>
        <w:tc>
          <w:tcPr>
            <w:tcW w:w="640" w:type="dxa"/>
            <w:vAlign w:val="bottom"/>
          </w:tcPr>
          <w:p>
            <w:pPr>
              <w:spacing w:after="0" w:line="149" w:lineRule="exact"/>
              <w:rPr>
                <w:sz w:val="20"/>
                <w:szCs w:val="20"/>
                <w:color w:val="auto"/>
              </w:rPr>
            </w:pPr>
            <w:r>
              <w:rPr>
                <w:rFonts w:ascii="Arial" w:cs="Arial" w:eastAsia="Arial" w:hAnsi="Arial"/>
                <w:sz w:val="14"/>
                <w:szCs w:val="14"/>
                <w:color w:val="auto"/>
              </w:rPr>
              <w:t>Item 5.</w:t>
            </w:r>
          </w:p>
        </w:tc>
        <w:tc>
          <w:tcPr>
            <w:tcW w:w="9660" w:type="dxa"/>
            <w:vAlign w:val="bottom"/>
            <w:gridSpan w:val="18"/>
          </w:tcPr>
          <w:p>
            <w:pPr>
              <w:ind w:left="380"/>
              <w:spacing w:after="0" w:line="149" w:lineRule="exact"/>
              <w:rPr>
                <w:rFonts w:ascii="Arial" w:cs="Arial" w:eastAsia="Arial" w:hAnsi="Arial"/>
                <w:sz w:val="14"/>
                <w:szCs w:val="14"/>
                <w:color w:val="0000FF"/>
              </w:rPr>
            </w:pPr>
            <w:hyperlink w:anchor="page26">
              <w:r>
                <w:rPr>
                  <w:rFonts w:ascii="Arial" w:cs="Arial" w:eastAsia="Arial" w:hAnsi="Arial"/>
                  <w:sz w:val="14"/>
                  <w:szCs w:val="14"/>
                  <w:color w:val="0000FF"/>
                </w:rPr>
                <w:t>Market for Registrant’s Common Equity, Related Stockholder Matters and Issuer Purchases of Equity Securities</w:t>
              </w:r>
            </w:hyperlink>
          </w:p>
        </w:tc>
        <w:tc>
          <w:tcPr>
            <w:tcW w:w="960" w:type="dxa"/>
            <w:vAlign w:val="bottom"/>
          </w:tcPr>
          <w:p>
            <w:pPr>
              <w:jc w:val="center"/>
              <w:spacing w:after="0" w:line="149" w:lineRule="exact"/>
              <w:rPr>
                <w:rFonts w:ascii="Arial" w:cs="Arial" w:eastAsia="Arial" w:hAnsi="Arial"/>
                <w:sz w:val="14"/>
                <w:szCs w:val="14"/>
                <w:color w:val="0000FF"/>
                <w:w w:val="89"/>
              </w:rPr>
            </w:pPr>
            <w:hyperlink w:anchor="page26">
              <w:r>
                <w:rPr>
                  <w:rFonts w:ascii="Arial" w:cs="Arial" w:eastAsia="Arial" w:hAnsi="Arial"/>
                  <w:sz w:val="14"/>
                  <w:szCs w:val="14"/>
                  <w:color w:val="0000FF"/>
                  <w:w w:val="89"/>
                </w:rPr>
                <w:t>24</w:t>
              </w:r>
            </w:hyperlink>
          </w:p>
        </w:tc>
      </w:tr>
      <w:tr>
        <w:trPr>
          <w:trHeight w:val="27"/>
        </w:trPr>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66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640" w:type="dxa"/>
            <w:vAlign w:val="bottom"/>
            <w:tcBorders>
              <w:left w:val="single" w:sz="8" w:color="0000FF"/>
            </w:tcBorders>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56"/>
        </w:trPr>
        <w:tc>
          <w:tcPr>
            <w:tcW w:w="6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Item 6.</w:t>
            </w:r>
          </w:p>
        </w:tc>
        <w:tc>
          <w:tcPr>
            <w:tcW w:w="9660" w:type="dxa"/>
            <w:vAlign w:val="bottom"/>
            <w:gridSpan w:val="18"/>
            <w:shd w:val="clear" w:color="auto" w:fill="CCEEFF"/>
          </w:tcPr>
          <w:p>
            <w:pPr>
              <w:ind w:left="380"/>
              <w:spacing w:after="0" w:line="157" w:lineRule="exact"/>
              <w:rPr>
                <w:rFonts w:ascii="Arial" w:cs="Arial" w:eastAsia="Arial" w:hAnsi="Arial"/>
                <w:sz w:val="14"/>
                <w:szCs w:val="14"/>
                <w:color w:val="0000FF"/>
              </w:rPr>
            </w:pPr>
            <w:hyperlink w:anchor="page27">
              <w:r>
                <w:rPr>
                  <w:rFonts w:ascii="Arial" w:cs="Arial" w:eastAsia="Arial" w:hAnsi="Arial"/>
                  <w:sz w:val="14"/>
                  <w:szCs w:val="14"/>
                  <w:color w:val="0000FF"/>
                </w:rPr>
                <w:t>Selected Financial Data</w:t>
              </w:r>
            </w:hyperlink>
          </w:p>
        </w:tc>
        <w:tc>
          <w:tcPr>
            <w:tcW w:w="960" w:type="dxa"/>
            <w:vAlign w:val="bottom"/>
            <w:shd w:val="clear" w:color="auto" w:fill="CCEEFF"/>
          </w:tcPr>
          <w:p>
            <w:pPr>
              <w:jc w:val="center"/>
              <w:spacing w:after="0" w:line="157" w:lineRule="exact"/>
              <w:rPr>
                <w:rFonts w:ascii="Arial" w:cs="Arial" w:eastAsia="Arial" w:hAnsi="Arial"/>
                <w:sz w:val="14"/>
                <w:szCs w:val="14"/>
                <w:color w:val="0000FF"/>
                <w:w w:val="89"/>
              </w:rPr>
            </w:pPr>
            <w:hyperlink w:anchor="page27">
              <w:r>
                <w:rPr>
                  <w:rFonts w:ascii="Arial" w:cs="Arial" w:eastAsia="Arial" w:hAnsi="Arial"/>
                  <w:sz w:val="14"/>
                  <w:szCs w:val="14"/>
                  <w:color w:val="0000FF"/>
                  <w:w w:val="89"/>
                </w:rPr>
                <w:t>25</w:t>
              </w:r>
            </w:hyperlink>
          </w:p>
        </w:tc>
      </w:tr>
      <w:tr>
        <w:trPr>
          <w:trHeight w:val="34"/>
        </w:trPr>
        <w:tc>
          <w:tcPr>
            <w:tcW w:w="6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tcBorders>
              <w:right w:val="single" w:sz="8" w:color="CCEEFF"/>
            </w:tcBorders>
            <w:shd w:val="clear" w:color="auto" w:fill="0000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66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640" w:type="dxa"/>
            <w:vAlign w:val="bottom"/>
            <w:tcBorders>
              <w:lef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r>
        <w:trPr>
          <w:trHeight w:val="149"/>
        </w:trPr>
        <w:tc>
          <w:tcPr>
            <w:tcW w:w="640" w:type="dxa"/>
            <w:vAlign w:val="bottom"/>
          </w:tcPr>
          <w:p>
            <w:pPr>
              <w:spacing w:after="0" w:line="149" w:lineRule="exact"/>
              <w:rPr>
                <w:sz w:val="20"/>
                <w:szCs w:val="20"/>
                <w:color w:val="auto"/>
              </w:rPr>
            </w:pPr>
            <w:r>
              <w:rPr>
                <w:rFonts w:ascii="Arial" w:cs="Arial" w:eastAsia="Arial" w:hAnsi="Arial"/>
                <w:sz w:val="14"/>
                <w:szCs w:val="14"/>
                <w:color w:val="auto"/>
              </w:rPr>
              <w:t>Item 7.</w:t>
            </w:r>
          </w:p>
        </w:tc>
        <w:tc>
          <w:tcPr>
            <w:tcW w:w="9660" w:type="dxa"/>
            <w:vAlign w:val="bottom"/>
            <w:gridSpan w:val="18"/>
          </w:tcPr>
          <w:p>
            <w:pPr>
              <w:ind w:left="380"/>
              <w:spacing w:after="0" w:line="149" w:lineRule="exact"/>
              <w:rPr>
                <w:rFonts w:ascii="Arial" w:cs="Arial" w:eastAsia="Arial" w:hAnsi="Arial"/>
                <w:sz w:val="14"/>
                <w:szCs w:val="14"/>
                <w:color w:val="0000FF"/>
              </w:rPr>
            </w:pPr>
            <w:hyperlink w:anchor="page28">
              <w:r>
                <w:rPr>
                  <w:rFonts w:ascii="Arial" w:cs="Arial" w:eastAsia="Arial" w:hAnsi="Arial"/>
                  <w:sz w:val="14"/>
                  <w:szCs w:val="14"/>
                  <w:color w:val="0000FF"/>
                </w:rPr>
                <w:t>Management’s Discussion and Analysis of Financial Condition and Results of Operations</w:t>
              </w:r>
            </w:hyperlink>
          </w:p>
        </w:tc>
        <w:tc>
          <w:tcPr>
            <w:tcW w:w="960" w:type="dxa"/>
            <w:vAlign w:val="bottom"/>
          </w:tcPr>
          <w:p>
            <w:pPr>
              <w:jc w:val="center"/>
              <w:spacing w:after="0" w:line="149" w:lineRule="exact"/>
              <w:rPr>
                <w:rFonts w:ascii="Arial" w:cs="Arial" w:eastAsia="Arial" w:hAnsi="Arial"/>
                <w:sz w:val="14"/>
                <w:szCs w:val="14"/>
                <w:color w:val="0000FF"/>
                <w:w w:val="89"/>
              </w:rPr>
            </w:pPr>
            <w:hyperlink w:anchor="page28">
              <w:r>
                <w:rPr>
                  <w:rFonts w:ascii="Arial" w:cs="Arial" w:eastAsia="Arial" w:hAnsi="Arial"/>
                  <w:sz w:val="14"/>
                  <w:szCs w:val="14"/>
                  <w:color w:val="0000FF"/>
                  <w:w w:val="89"/>
                </w:rPr>
                <w:t>26</w:t>
              </w:r>
            </w:hyperlink>
          </w:p>
        </w:tc>
      </w:tr>
      <w:tr>
        <w:trPr>
          <w:trHeight w:val="27"/>
        </w:trPr>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66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56"/>
        </w:trPr>
        <w:tc>
          <w:tcPr>
            <w:tcW w:w="6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Item 7A.</w:t>
            </w:r>
          </w:p>
        </w:tc>
        <w:tc>
          <w:tcPr>
            <w:tcW w:w="9660" w:type="dxa"/>
            <w:vAlign w:val="bottom"/>
            <w:gridSpan w:val="18"/>
            <w:shd w:val="clear" w:color="auto" w:fill="CCEEFF"/>
          </w:tcPr>
          <w:p>
            <w:pPr>
              <w:ind w:left="380"/>
              <w:spacing w:after="0" w:line="157" w:lineRule="exact"/>
              <w:rPr>
                <w:rFonts w:ascii="Arial" w:cs="Arial" w:eastAsia="Arial" w:hAnsi="Arial"/>
                <w:sz w:val="14"/>
                <w:szCs w:val="14"/>
                <w:color w:val="0000FF"/>
              </w:rPr>
            </w:pPr>
            <w:hyperlink w:anchor="page43">
              <w:r>
                <w:rPr>
                  <w:rFonts w:ascii="Arial" w:cs="Arial" w:eastAsia="Arial" w:hAnsi="Arial"/>
                  <w:sz w:val="14"/>
                  <w:szCs w:val="14"/>
                  <w:color w:val="0000FF"/>
                </w:rPr>
                <w:t>Quantitative and Qualitative Disclosures About Market Risk</w:t>
              </w:r>
            </w:hyperlink>
          </w:p>
        </w:tc>
        <w:tc>
          <w:tcPr>
            <w:tcW w:w="960" w:type="dxa"/>
            <w:vAlign w:val="bottom"/>
            <w:shd w:val="clear" w:color="auto" w:fill="CCEEFF"/>
          </w:tcPr>
          <w:p>
            <w:pPr>
              <w:jc w:val="center"/>
              <w:spacing w:after="0" w:line="157" w:lineRule="exact"/>
              <w:rPr>
                <w:rFonts w:ascii="Arial" w:cs="Arial" w:eastAsia="Arial" w:hAnsi="Arial"/>
                <w:sz w:val="14"/>
                <w:szCs w:val="14"/>
                <w:color w:val="0000FF"/>
                <w:w w:val="89"/>
              </w:rPr>
            </w:pPr>
            <w:hyperlink w:anchor="page43">
              <w:r>
                <w:rPr>
                  <w:rFonts w:ascii="Arial" w:cs="Arial" w:eastAsia="Arial" w:hAnsi="Arial"/>
                  <w:sz w:val="14"/>
                  <w:szCs w:val="14"/>
                  <w:color w:val="0000FF"/>
                  <w:w w:val="89"/>
                </w:rPr>
                <w:t>40</w:t>
              </w:r>
            </w:hyperlink>
          </w:p>
        </w:tc>
      </w:tr>
      <w:tr>
        <w:trPr>
          <w:trHeight w:val="34"/>
        </w:trPr>
        <w:tc>
          <w:tcPr>
            <w:tcW w:w="6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66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640" w:type="dxa"/>
            <w:vAlign w:val="bottom"/>
            <w:tcBorders>
              <w:lef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r>
        <w:trPr>
          <w:trHeight w:val="149"/>
        </w:trPr>
        <w:tc>
          <w:tcPr>
            <w:tcW w:w="640" w:type="dxa"/>
            <w:vAlign w:val="bottom"/>
          </w:tcPr>
          <w:p>
            <w:pPr>
              <w:spacing w:after="0" w:line="149" w:lineRule="exact"/>
              <w:rPr>
                <w:sz w:val="20"/>
                <w:szCs w:val="20"/>
                <w:color w:val="auto"/>
              </w:rPr>
            </w:pPr>
            <w:r>
              <w:rPr>
                <w:rFonts w:ascii="Arial" w:cs="Arial" w:eastAsia="Arial" w:hAnsi="Arial"/>
                <w:sz w:val="14"/>
                <w:szCs w:val="14"/>
                <w:color w:val="auto"/>
              </w:rPr>
              <w:t>Item 8.</w:t>
            </w:r>
          </w:p>
        </w:tc>
        <w:tc>
          <w:tcPr>
            <w:tcW w:w="9660" w:type="dxa"/>
            <w:vAlign w:val="bottom"/>
            <w:gridSpan w:val="18"/>
          </w:tcPr>
          <w:p>
            <w:pPr>
              <w:ind w:left="380"/>
              <w:spacing w:after="0" w:line="149" w:lineRule="exact"/>
              <w:rPr>
                <w:rFonts w:ascii="Arial" w:cs="Arial" w:eastAsia="Arial" w:hAnsi="Arial"/>
                <w:sz w:val="14"/>
                <w:szCs w:val="14"/>
                <w:color w:val="0000FF"/>
              </w:rPr>
            </w:pPr>
            <w:hyperlink w:anchor="page44">
              <w:r>
                <w:rPr>
                  <w:rFonts w:ascii="Arial" w:cs="Arial" w:eastAsia="Arial" w:hAnsi="Arial"/>
                  <w:sz w:val="14"/>
                  <w:szCs w:val="14"/>
                  <w:color w:val="0000FF"/>
                </w:rPr>
                <w:t>Financial Statements and Supplementary Data</w:t>
              </w:r>
            </w:hyperlink>
          </w:p>
        </w:tc>
        <w:tc>
          <w:tcPr>
            <w:tcW w:w="960" w:type="dxa"/>
            <w:vAlign w:val="bottom"/>
          </w:tcPr>
          <w:p>
            <w:pPr>
              <w:jc w:val="center"/>
              <w:spacing w:after="0" w:line="149" w:lineRule="exact"/>
              <w:rPr>
                <w:rFonts w:ascii="Arial" w:cs="Arial" w:eastAsia="Arial" w:hAnsi="Arial"/>
                <w:sz w:val="14"/>
                <w:szCs w:val="14"/>
                <w:color w:val="0000FF"/>
                <w:w w:val="89"/>
              </w:rPr>
            </w:pPr>
            <w:hyperlink w:anchor="page44">
              <w:r>
                <w:rPr>
                  <w:rFonts w:ascii="Arial" w:cs="Arial" w:eastAsia="Arial" w:hAnsi="Arial"/>
                  <w:sz w:val="14"/>
                  <w:szCs w:val="14"/>
                  <w:color w:val="0000FF"/>
                  <w:w w:val="89"/>
                </w:rPr>
                <w:t>42</w:t>
              </w:r>
            </w:hyperlink>
          </w:p>
        </w:tc>
      </w:tr>
      <w:tr>
        <w:trPr>
          <w:trHeight w:val="27"/>
        </w:trPr>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66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56"/>
        </w:trPr>
        <w:tc>
          <w:tcPr>
            <w:tcW w:w="6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Item 9.</w:t>
            </w:r>
          </w:p>
        </w:tc>
        <w:tc>
          <w:tcPr>
            <w:tcW w:w="9660" w:type="dxa"/>
            <w:vAlign w:val="bottom"/>
            <w:gridSpan w:val="18"/>
            <w:shd w:val="clear" w:color="auto" w:fill="CCEEFF"/>
          </w:tcPr>
          <w:p>
            <w:pPr>
              <w:ind w:left="380"/>
              <w:spacing w:after="0" w:line="157" w:lineRule="exact"/>
              <w:rPr>
                <w:rFonts w:ascii="Arial" w:cs="Arial" w:eastAsia="Arial" w:hAnsi="Arial"/>
                <w:sz w:val="14"/>
                <w:szCs w:val="14"/>
                <w:color w:val="0000FF"/>
              </w:rPr>
            </w:pPr>
            <w:hyperlink w:anchor="page72">
              <w:r>
                <w:rPr>
                  <w:rFonts w:ascii="Arial" w:cs="Arial" w:eastAsia="Arial" w:hAnsi="Arial"/>
                  <w:sz w:val="14"/>
                  <w:szCs w:val="14"/>
                  <w:color w:val="0000FF"/>
                </w:rPr>
                <w:t>Changes in and Disagreements with Accountants on Accounting and Financial Disclosure</w:t>
              </w:r>
            </w:hyperlink>
          </w:p>
        </w:tc>
        <w:tc>
          <w:tcPr>
            <w:tcW w:w="960" w:type="dxa"/>
            <w:vAlign w:val="bottom"/>
            <w:shd w:val="clear" w:color="auto" w:fill="CCEEFF"/>
          </w:tcPr>
          <w:p>
            <w:pPr>
              <w:jc w:val="center"/>
              <w:spacing w:after="0" w:line="157" w:lineRule="exact"/>
              <w:rPr>
                <w:rFonts w:ascii="Arial" w:cs="Arial" w:eastAsia="Arial" w:hAnsi="Arial"/>
                <w:sz w:val="14"/>
                <w:szCs w:val="14"/>
                <w:color w:val="0000FF"/>
                <w:w w:val="89"/>
              </w:rPr>
            </w:pPr>
            <w:hyperlink w:anchor="page72">
              <w:r>
                <w:rPr>
                  <w:rFonts w:ascii="Arial" w:cs="Arial" w:eastAsia="Arial" w:hAnsi="Arial"/>
                  <w:sz w:val="14"/>
                  <w:szCs w:val="14"/>
                  <w:color w:val="0000FF"/>
                  <w:w w:val="89"/>
                </w:rPr>
                <w:t>69</w:t>
              </w:r>
            </w:hyperlink>
          </w:p>
        </w:tc>
      </w:tr>
      <w:tr>
        <w:trPr>
          <w:trHeight w:val="34"/>
        </w:trPr>
        <w:tc>
          <w:tcPr>
            <w:tcW w:w="6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66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640" w:type="dxa"/>
            <w:vAlign w:val="bottom"/>
            <w:tcBorders>
              <w:left w:val="single" w:sz="8" w:color="0000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r>
        <w:trPr>
          <w:trHeight w:val="149"/>
        </w:trPr>
        <w:tc>
          <w:tcPr>
            <w:tcW w:w="640" w:type="dxa"/>
            <w:vAlign w:val="bottom"/>
          </w:tcPr>
          <w:p>
            <w:pPr>
              <w:spacing w:after="0" w:line="149" w:lineRule="exact"/>
              <w:rPr>
                <w:sz w:val="20"/>
                <w:szCs w:val="20"/>
                <w:color w:val="auto"/>
              </w:rPr>
            </w:pPr>
            <w:r>
              <w:rPr>
                <w:rFonts w:ascii="Arial" w:cs="Arial" w:eastAsia="Arial" w:hAnsi="Arial"/>
                <w:sz w:val="14"/>
                <w:szCs w:val="14"/>
                <w:color w:val="auto"/>
              </w:rPr>
              <w:t>Item 9A.</w:t>
            </w:r>
          </w:p>
        </w:tc>
        <w:tc>
          <w:tcPr>
            <w:tcW w:w="9660" w:type="dxa"/>
            <w:vAlign w:val="bottom"/>
            <w:gridSpan w:val="18"/>
          </w:tcPr>
          <w:p>
            <w:pPr>
              <w:ind w:left="380"/>
              <w:spacing w:after="0" w:line="149" w:lineRule="exact"/>
              <w:rPr>
                <w:rFonts w:ascii="Arial" w:cs="Arial" w:eastAsia="Arial" w:hAnsi="Arial"/>
                <w:sz w:val="14"/>
                <w:szCs w:val="14"/>
                <w:color w:val="0000FF"/>
              </w:rPr>
            </w:pPr>
            <w:hyperlink w:anchor="page73">
              <w:r>
                <w:rPr>
                  <w:rFonts w:ascii="Arial" w:cs="Arial" w:eastAsia="Arial" w:hAnsi="Arial"/>
                  <w:sz w:val="14"/>
                  <w:szCs w:val="14"/>
                  <w:color w:val="0000FF"/>
                </w:rPr>
                <w:t>Controls and Procedures</w:t>
              </w:r>
            </w:hyperlink>
          </w:p>
        </w:tc>
        <w:tc>
          <w:tcPr>
            <w:tcW w:w="960" w:type="dxa"/>
            <w:vAlign w:val="bottom"/>
          </w:tcPr>
          <w:p>
            <w:pPr>
              <w:jc w:val="center"/>
              <w:spacing w:after="0" w:line="149" w:lineRule="exact"/>
              <w:rPr>
                <w:rFonts w:ascii="Arial" w:cs="Arial" w:eastAsia="Arial" w:hAnsi="Arial"/>
                <w:sz w:val="14"/>
                <w:szCs w:val="14"/>
                <w:color w:val="0000FF"/>
                <w:w w:val="89"/>
              </w:rPr>
            </w:pPr>
            <w:hyperlink w:anchor="page73">
              <w:r>
                <w:rPr>
                  <w:rFonts w:ascii="Arial" w:cs="Arial" w:eastAsia="Arial" w:hAnsi="Arial"/>
                  <w:sz w:val="14"/>
                  <w:szCs w:val="14"/>
                  <w:color w:val="0000FF"/>
                  <w:w w:val="89"/>
                </w:rPr>
                <w:t>69</w:t>
              </w:r>
            </w:hyperlink>
          </w:p>
        </w:tc>
      </w:tr>
      <w:tr>
        <w:trPr>
          <w:trHeight w:val="27"/>
        </w:trPr>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56"/>
        </w:trPr>
        <w:tc>
          <w:tcPr>
            <w:tcW w:w="6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Item 9B.</w:t>
            </w:r>
          </w:p>
        </w:tc>
        <w:tc>
          <w:tcPr>
            <w:tcW w:w="9660" w:type="dxa"/>
            <w:vAlign w:val="bottom"/>
            <w:gridSpan w:val="18"/>
            <w:shd w:val="clear" w:color="auto" w:fill="CCEEFF"/>
          </w:tcPr>
          <w:p>
            <w:pPr>
              <w:ind w:left="380"/>
              <w:spacing w:after="0" w:line="157" w:lineRule="exact"/>
              <w:rPr>
                <w:rFonts w:ascii="Arial" w:cs="Arial" w:eastAsia="Arial" w:hAnsi="Arial"/>
                <w:sz w:val="14"/>
                <w:szCs w:val="14"/>
                <w:color w:val="0000FF"/>
              </w:rPr>
            </w:pPr>
            <w:hyperlink w:anchor="page73">
              <w:r>
                <w:rPr>
                  <w:rFonts w:ascii="Arial" w:cs="Arial" w:eastAsia="Arial" w:hAnsi="Arial"/>
                  <w:sz w:val="14"/>
                  <w:szCs w:val="14"/>
                  <w:color w:val="0000FF"/>
                </w:rPr>
                <w:t>Other Information</w:t>
              </w:r>
            </w:hyperlink>
          </w:p>
        </w:tc>
        <w:tc>
          <w:tcPr>
            <w:tcW w:w="960" w:type="dxa"/>
            <w:vAlign w:val="bottom"/>
            <w:shd w:val="clear" w:color="auto" w:fill="CCEEFF"/>
          </w:tcPr>
          <w:p>
            <w:pPr>
              <w:jc w:val="center"/>
              <w:spacing w:after="0" w:line="157" w:lineRule="exact"/>
              <w:rPr>
                <w:rFonts w:ascii="Arial" w:cs="Arial" w:eastAsia="Arial" w:hAnsi="Arial"/>
                <w:sz w:val="14"/>
                <w:szCs w:val="14"/>
                <w:color w:val="0000FF"/>
                <w:w w:val="89"/>
              </w:rPr>
            </w:pPr>
            <w:hyperlink w:anchor="page73">
              <w:r>
                <w:rPr>
                  <w:rFonts w:ascii="Arial" w:cs="Arial" w:eastAsia="Arial" w:hAnsi="Arial"/>
                  <w:sz w:val="14"/>
                  <w:szCs w:val="14"/>
                  <w:color w:val="0000FF"/>
                  <w:w w:val="89"/>
                </w:rPr>
                <w:t>69</w:t>
              </w:r>
            </w:hyperlink>
          </w:p>
        </w:tc>
      </w:tr>
      <w:tr>
        <w:trPr>
          <w:trHeight w:val="34"/>
        </w:trPr>
        <w:tc>
          <w:tcPr>
            <w:tcW w:w="6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40" w:type="dxa"/>
            <w:vAlign w:val="bottom"/>
            <w:tcBorders>
              <w:right w:val="single" w:sz="8" w:color="CCEEFF"/>
            </w:tcBorders>
            <w:shd w:val="clear" w:color="auto" w:fill="0000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66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640" w:type="dxa"/>
            <w:vAlign w:val="bottom"/>
            <w:tcBorders>
              <w:lef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r>
        <w:trPr>
          <w:trHeight w:val="149"/>
        </w:trPr>
        <w:tc>
          <w:tcPr>
            <w:tcW w:w="640" w:type="dxa"/>
            <w:vAlign w:val="bottom"/>
          </w:tcPr>
          <w:p>
            <w:pPr>
              <w:spacing w:after="0" w:line="129" w:lineRule="exact"/>
              <w:rPr>
                <w:sz w:val="20"/>
                <w:szCs w:val="20"/>
                <w:color w:val="auto"/>
              </w:rPr>
            </w:pPr>
            <w:r>
              <w:rPr>
                <w:rFonts w:ascii="Arial" w:cs="Arial" w:eastAsia="Arial" w:hAnsi="Arial"/>
                <w:sz w:val="14"/>
                <w:szCs w:val="14"/>
                <w:color w:val="auto"/>
              </w:rPr>
              <w:t>Item 9C.</w:t>
            </w:r>
          </w:p>
        </w:tc>
        <w:tc>
          <w:tcPr>
            <w:tcW w:w="9660" w:type="dxa"/>
            <w:vAlign w:val="bottom"/>
            <w:gridSpan w:val="18"/>
          </w:tcPr>
          <w:p>
            <w:pPr>
              <w:ind w:left="380"/>
              <w:spacing w:after="0" w:line="129" w:lineRule="exact"/>
              <w:rPr>
                <w:rFonts w:ascii="Arial" w:cs="Arial" w:eastAsia="Arial" w:hAnsi="Arial"/>
                <w:sz w:val="14"/>
                <w:szCs w:val="14"/>
                <w:color w:val="0000FF"/>
              </w:rPr>
            </w:pPr>
            <w:hyperlink w:anchor="page73">
              <w:r>
                <w:rPr>
                  <w:rFonts w:ascii="Arial" w:cs="Arial" w:eastAsia="Arial" w:hAnsi="Arial"/>
                  <w:sz w:val="14"/>
                  <w:szCs w:val="14"/>
                  <w:color w:val="0000FF"/>
                </w:rPr>
                <w:t>Disclosure Regarding Foreign Jurisdictions that Prevent Inspections</w:t>
              </w:r>
            </w:hyperlink>
          </w:p>
        </w:tc>
        <w:tc>
          <w:tcPr>
            <w:tcW w:w="960" w:type="dxa"/>
            <w:vAlign w:val="bottom"/>
          </w:tcPr>
          <w:p>
            <w:pPr>
              <w:jc w:val="center"/>
              <w:spacing w:after="0" w:line="129" w:lineRule="exact"/>
              <w:rPr>
                <w:rFonts w:ascii="Arial" w:cs="Arial" w:eastAsia="Arial" w:hAnsi="Arial"/>
                <w:sz w:val="14"/>
                <w:szCs w:val="14"/>
                <w:color w:val="0000FF"/>
                <w:w w:val="89"/>
              </w:rPr>
            </w:pPr>
            <w:hyperlink w:anchor="page73">
              <w:r>
                <w:rPr>
                  <w:rFonts w:ascii="Arial" w:cs="Arial" w:eastAsia="Arial" w:hAnsi="Arial"/>
                  <w:sz w:val="14"/>
                  <w:szCs w:val="14"/>
                  <w:color w:val="0000FF"/>
                  <w:w w:val="89"/>
                </w:rPr>
                <w:t>69</w:t>
              </w:r>
            </w:hyperlink>
          </w:p>
        </w:tc>
      </w:tr>
      <w:tr>
        <w:trPr>
          <w:trHeight w:val="26"/>
        </w:trPr>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220" w:type="dxa"/>
            <w:vAlign w:val="bottom"/>
            <w:tcBorders>
              <w:left w:val="single" w:sz="8" w:color="CCEEFF"/>
            </w:tcBorders>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tcBorders>
              <w:left w:val="single" w:sz="8" w:color="CCEEFF"/>
            </w:tcBorders>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181"/>
        </w:trPr>
        <w:tc>
          <w:tcPr>
            <w:tcW w:w="640" w:type="dxa"/>
            <w:vAlign w:val="bottom"/>
          </w:tcPr>
          <w:p>
            <w:pPr>
              <w:spacing w:after="0"/>
              <w:rPr>
                <w:sz w:val="20"/>
                <w:szCs w:val="20"/>
                <w:color w:val="auto"/>
              </w:rPr>
            </w:pPr>
            <w:r>
              <w:rPr>
                <w:rFonts w:ascii="Arial" w:cs="Arial" w:eastAsia="Arial" w:hAnsi="Arial"/>
                <w:sz w:val="14"/>
                <w:szCs w:val="14"/>
                <w:b w:val="1"/>
                <w:bCs w:val="1"/>
                <w:color w:val="auto"/>
              </w:rPr>
              <w:t>PART III</w:t>
            </w: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52"/>
        </w:trPr>
        <w:tc>
          <w:tcPr>
            <w:tcW w:w="64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Item 10.</w:t>
            </w:r>
          </w:p>
        </w:tc>
        <w:tc>
          <w:tcPr>
            <w:tcW w:w="9660" w:type="dxa"/>
            <w:vAlign w:val="bottom"/>
            <w:gridSpan w:val="18"/>
            <w:shd w:val="clear" w:color="auto" w:fill="CCEEFF"/>
          </w:tcPr>
          <w:p>
            <w:pPr>
              <w:ind w:left="380"/>
              <w:spacing w:after="0" w:line="151" w:lineRule="exact"/>
              <w:rPr>
                <w:rFonts w:ascii="Arial" w:cs="Arial" w:eastAsia="Arial" w:hAnsi="Arial"/>
                <w:sz w:val="14"/>
                <w:szCs w:val="14"/>
                <w:color w:val="0000FF"/>
              </w:rPr>
            </w:pPr>
            <w:hyperlink w:anchor="page74">
              <w:r>
                <w:rPr>
                  <w:rFonts w:ascii="Arial" w:cs="Arial" w:eastAsia="Arial" w:hAnsi="Arial"/>
                  <w:sz w:val="14"/>
                  <w:szCs w:val="14"/>
                  <w:color w:val="0000FF"/>
                </w:rPr>
                <w:t>Directors, Executive Officers and Corporate Governance</w:t>
              </w:r>
            </w:hyperlink>
          </w:p>
        </w:tc>
        <w:tc>
          <w:tcPr>
            <w:tcW w:w="960" w:type="dxa"/>
            <w:vAlign w:val="bottom"/>
            <w:shd w:val="clear" w:color="auto" w:fill="CCEEFF"/>
          </w:tcPr>
          <w:p>
            <w:pPr>
              <w:jc w:val="center"/>
              <w:spacing w:after="0" w:line="151" w:lineRule="exact"/>
              <w:rPr>
                <w:rFonts w:ascii="Arial" w:cs="Arial" w:eastAsia="Arial" w:hAnsi="Arial"/>
                <w:sz w:val="14"/>
                <w:szCs w:val="14"/>
                <w:color w:val="0000FF"/>
                <w:w w:val="89"/>
              </w:rPr>
            </w:pPr>
            <w:hyperlink w:anchor="page74">
              <w:r>
                <w:rPr>
                  <w:rFonts w:ascii="Arial" w:cs="Arial" w:eastAsia="Arial" w:hAnsi="Arial"/>
                  <w:sz w:val="14"/>
                  <w:szCs w:val="14"/>
                  <w:color w:val="0000FF"/>
                  <w:w w:val="89"/>
                </w:rPr>
                <w:t>70</w:t>
              </w:r>
            </w:hyperlink>
          </w:p>
        </w:tc>
      </w:tr>
      <w:tr>
        <w:trPr>
          <w:trHeight w:val="34"/>
        </w:trPr>
        <w:tc>
          <w:tcPr>
            <w:tcW w:w="6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66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640" w:type="dxa"/>
            <w:vAlign w:val="bottom"/>
            <w:tcBorders>
              <w:lef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r>
        <w:trPr>
          <w:trHeight w:val="149"/>
        </w:trPr>
        <w:tc>
          <w:tcPr>
            <w:tcW w:w="640" w:type="dxa"/>
            <w:vAlign w:val="bottom"/>
          </w:tcPr>
          <w:p>
            <w:pPr>
              <w:spacing w:after="0" w:line="149" w:lineRule="exact"/>
              <w:rPr>
                <w:sz w:val="20"/>
                <w:szCs w:val="20"/>
                <w:color w:val="auto"/>
              </w:rPr>
            </w:pPr>
            <w:r>
              <w:rPr>
                <w:rFonts w:ascii="Arial" w:cs="Arial" w:eastAsia="Arial" w:hAnsi="Arial"/>
                <w:sz w:val="14"/>
                <w:szCs w:val="14"/>
                <w:color w:val="auto"/>
              </w:rPr>
              <w:t>Item 11.</w:t>
            </w:r>
          </w:p>
        </w:tc>
        <w:tc>
          <w:tcPr>
            <w:tcW w:w="9660" w:type="dxa"/>
            <w:vAlign w:val="bottom"/>
            <w:gridSpan w:val="18"/>
          </w:tcPr>
          <w:p>
            <w:pPr>
              <w:ind w:left="380"/>
              <w:spacing w:after="0" w:line="149" w:lineRule="exact"/>
              <w:rPr>
                <w:rFonts w:ascii="Arial" w:cs="Arial" w:eastAsia="Arial" w:hAnsi="Arial"/>
                <w:sz w:val="14"/>
                <w:szCs w:val="14"/>
                <w:color w:val="0000FF"/>
              </w:rPr>
            </w:pPr>
            <w:hyperlink w:anchor="page77">
              <w:r>
                <w:rPr>
                  <w:rFonts w:ascii="Arial" w:cs="Arial" w:eastAsia="Arial" w:hAnsi="Arial"/>
                  <w:sz w:val="14"/>
                  <w:szCs w:val="14"/>
                  <w:color w:val="0000FF"/>
                </w:rPr>
                <w:t>Executive Compensation</w:t>
              </w:r>
            </w:hyperlink>
          </w:p>
        </w:tc>
        <w:tc>
          <w:tcPr>
            <w:tcW w:w="960" w:type="dxa"/>
            <w:vAlign w:val="bottom"/>
          </w:tcPr>
          <w:p>
            <w:pPr>
              <w:jc w:val="center"/>
              <w:spacing w:after="0" w:line="149" w:lineRule="exact"/>
              <w:rPr>
                <w:rFonts w:ascii="Arial" w:cs="Arial" w:eastAsia="Arial" w:hAnsi="Arial"/>
                <w:sz w:val="14"/>
                <w:szCs w:val="14"/>
                <w:color w:val="0000FF"/>
                <w:w w:val="89"/>
              </w:rPr>
            </w:pPr>
            <w:hyperlink w:anchor="page77">
              <w:r>
                <w:rPr>
                  <w:rFonts w:ascii="Arial" w:cs="Arial" w:eastAsia="Arial" w:hAnsi="Arial"/>
                  <w:sz w:val="14"/>
                  <w:szCs w:val="14"/>
                  <w:color w:val="0000FF"/>
                  <w:w w:val="89"/>
                </w:rPr>
                <w:t>73</w:t>
              </w:r>
            </w:hyperlink>
          </w:p>
        </w:tc>
      </w:tr>
      <w:tr>
        <w:trPr>
          <w:trHeight w:val="27"/>
        </w:trPr>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56"/>
        </w:trPr>
        <w:tc>
          <w:tcPr>
            <w:tcW w:w="6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Item 12.</w:t>
            </w:r>
          </w:p>
        </w:tc>
        <w:tc>
          <w:tcPr>
            <w:tcW w:w="9660" w:type="dxa"/>
            <w:vAlign w:val="bottom"/>
            <w:gridSpan w:val="18"/>
            <w:shd w:val="clear" w:color="auto" w:fill="CCEEFF"/>
          </w:tcPr>
          <w:p>
            <w:pPr>
              <w:ind w:left="380"/>
              <w:spacing w:after="0" w:line="157" w:lineRule="exact"/>
              <w:rPr>
                <w:rFonts w:ascii="Arial" w:cs="Arial" w:eastAsia="Arial" w:hAnsi="Arial"/>
                <w:sz w:val="14"/>
                <w:szCs w:val="14"/>
                <w:color w:val="0000FF"/>
              </w:rPr>
            </w:pPr>
            <w:hyperlink w:anchor="page85">
              <w:r>
                <w:rPr>
                  <w:rFonts w:ascii="Arial" w:cs="Arial" w:eastAsia="Arial" w:hAnsi="Arial"/>
                  <w:sz w:val="14"/>
                  <w:szCs w:val="14"/>
                  <w:color w:val="0000FF"/>
                </w:rPr>
                <w:t>Security Ownership of Certain Beneficial Owners and Management and Related Stockholder Matters</w:t>
              </w:r>
            </w:hyperlink>
          </w:p>
        </w:tc>
        <w:tc>
          <w:tcPr>
            <w:tcW w:w="960" w:type="dxa"/>
            <w:vAlign w:val="bottom"/>
            <w:shd w:val="clear" w:color="auto" w:fill="CCEEFF"/>
          </w:tcPr>
          <w:p>
            <w:pPr>
              <w:jc w:val="center"/>
              <w:spacing w:after="0" w:line="157" w:lineRule="exact"/>
              <w:rPr>
                <w:rFonts w:ascii="Arial" w:cs="Arial" w:eastAsia="Arial" w:hAnsi="Arial"/>
                <w:sz w:val="14"/>
                <w:szCs w:val="14"/>
                <w:color w:val="0000FF"/>
                <w:w w:val="89"/>
              </w:rPr>
            </w:pPr>
            <w:hyperlink w:anchor="page85">
              <w:r>
                <w:rPr>
                  <w:rFonts w:ascii="Arial" w:cs="Arial" w:eastAsia="Arial" w:hAnsi="Arial"/>
                  <w:sz w:val="14"/>
                  <w:szCs w:val="14"/>
                  <w:color w:val="0000FF"/>
                  <w:w w:val="89"/>
                </w:rPr>
                <w:t>81</w:t>
              </w:r>
            </w:hyperlink>
          </w:p>
        </w:tc>
      </w:tr>
      <w:tr>
        <w:trPr>
          <w:trHeight w:val="34"/>
        </w:trPr>
        <w:tc>
          <w:tcPr>
            <w:tcW w:w="6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66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640" w:type="dxa"/>
            <w:vAlign w:val="bottom"/>
            <w:tcBorders>
              <w:left w:val="single" w:sz="8" w:color="0000FF"/>
            </w:tcBorders>
            <w:shd w:val="clear" w:color="auto" w:fill="0000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r>
        <w:trPr>
          <w:trHeight w:val="149"/>
        </w:trPr>
        <w:tc>
          <w:tcPr>
            <w:tcW w:w="640" w:type="dxa"/>
            <w:vAlign w:val="bottom"/>
          </w:tcPr>
          <w:p>
            <w:pPr>
              <w:spacing w:after="0" w:line="149" w:lineRule="exact"/>
              <w:rPr>
                <w:sz w:val="20"/>
                <w:szCs w:val="20"/>
                <w:color w:val="auto"/>
              </w:rPr>
            </w:pPr>
            <w:r>
              <w:rPr>
                <w:rFonts w:ascii="Arial" w:cs="Arial" w:eastAsia="Arial" w:hAnsi="Arial"/>
                <w:sz w:val="14"/>
                <w:szCs w:val="14"/>
                <w:color w:val="auto"/>
              </w:rPr>
              <w:t>Item 13.</w:t>
            </w:r>
          </w:p>
        </w:tc>
        <w:tc>
          <w:tcPr>
            <w:tcW w:w="9660" w:type="dxa"/>
            <w:vAlign w:val="bottom"/>
            <w:gridSpan w:val="18"/>
          </w:tcPr>
          <w:p>
            <w:pPr>
              <w:ind w:left="380"/>
              <w:spacing w:after="0" w:line="149" w:lineRule="exact"/>
              <w:rPr>
                <w:rFonts w:ascii="Arial" w:cs="Arial" w:eastAsia="Arial" w:hAnsi="Arial"/>
                <w:sz w:val="14"/>
                <w:szCs w:val="14"/>
                <w:color w:val="0000FF"/>
              </w:rPr>
            </w:pPr>
            <w:hyperlink w:anchor="page89">
              <w:r>
                <w:rPr>
                  <w:rFonts w:ascii="Arial" w:cs="Arial" w:eastAsia="Arial" w:hAnsi="Arial"/>
                  <w:sz w:val="14"/>
                  <w:szCs w:val="14"/>
                  <w:color w:val="0000FF"/>
                </w:rPr>
                <w:t>Certain Relationships and Related Transactions, and Director Independence</w:t>
              </w:r>
            </w:hyperlink>
          </w:p>
        </w:tc>
        <w:tc>
          <w:tcPr>
            <w:tcW w:w="960" w:type="dxa"/>
            <w:vAlign w:val="bottom"/>
          </w:tcPr>
          <w:p>
            <w:pPr>
              <w:jc w:val="center"/>
              <w:spacing w:after="0" w:line="149" w:lineRule="exact"/>
              <w:rPr>
                <w:rFonts w:ascii="Arial" w:cs="Arial" w:eastAsia="Arial" w:hAnsi="Arial"/>
                <w:sz w:val="14"/>
                <w:szCs w:val="14"/>
                <w:color w:val="0000FF"/>
                <w:w w:val="89"/>
              </w:rPr>
            </w:pPr>
            <w:hyperlink w:anchor="page89">
              <w:r>
                <w:rPr>
                  <w:rFonts w:ascii="Arial" w:cs="Arial" w:eastAsia="Arial" w:hAnsi="Arial"/>
                  <w:sz w:val="14"/>
                  <w:szCs w:val="14"/>
                  <w:color w:val="0000FF"/>
                  <w:w w:val="89"/>
                </w:rPr>
                <w:t>85</w:t>
              </w:r>
            </w:hyperlink>
          </w:p>
        </w:tc>
      </w:tr>
      <w:tr>
        <w:trPr>
          <w:trHeight w:val="27"/>
        </w:trPr>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66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1"/>
        </w:trPr>
        <w:tc>
          <w:tcPr>
            <w:tcW w:w="6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Item 14.</w:t>
            </w:r>
          </w:p>
        </w:tc>
        <w:tc>
          <w:tcPr>
            <w:tcW w:w="9660" w:type="dxa"/>
            <w:vAlign w:val="bottom"/>
            <w:gridSpan w:val="18"/>
            <w:shd w:val="clear" w:color="auto" w:fill="CCEEFF"/>
          </w:tcPr>
          <w:p>
            <w:pPr>
              <w:ind w:left="380"/>
              <w:spacing w:after="0" w:line="157" w:lineRule="exact"/>
              <w:rPr>
                <w:rFonts w:ascii="Arial" w:cs="Arial" w:eastAsia="Arial" w:hAnsi="Arial"/>
                <w:sz w:val="14"/>
                <w:szCs w:val="14"/>
                <w:color w:val="0000FF"/>
              </w:rPr>
            </w:pPr>
            <w:hyperlink w:anchor="page91">
              <w:r>
                <w:rPr>
                  <w:rFonts w:ascii="Arial" w:cs="Arial" w:eastAsia="Arial" w:hAnsi="Arial"/>
                  <w:sz w:val="14"/>
                  <w:szCs w:val="14"/>
                  <w:color w:val="0000FF"/>
                </w:rPr>
                <w:t>Principal Accounting Fees and Services</w:t>
              </w:r>
            </w:hyperlink>
          </w:p>
        </w:tc>
        <w:tc>
          <w:tcPr>
            <w:tcW w:w="960" w:type="dxa"/>
            <w:vAlign w:val="bottom"/>
            <w:shd w:val="clear" w:color="auto" w:fill="CCEEFF"/>
          </w:tcPr>
          <w:p>
            <w:pPr>
              <w:jc w:val="center"/>
              <w:spacing w:after="0" w:line="157" w:lineRule="exact"/>
              <w:rPr>
                <w:rFonts w:ascii="Arial" w:cs="Arial" w:eastAsia="Arial" w:hAnsi="Arial"/>
                <w:sz w:val="14"/>
                <w:szCs w:val="14"/>
                <w:color w:val="0000FF"/>
                <w:w w:val="89"/>
              </w:rPr>
            </w:pPr>
            <w:hyperlink w:anchor="page91">
              <w:r>
                <w:rPr>
                  <w:rFonts w:ascii="Arial" w:cs="Arial" w:eastAsia="Arial" w:hAnsi="Arial"/>
                  <w:sz w:val="14"/>
                  <w:szCs w:val="14"/>
                  <w:color w:val="0000FF"/>
                  <w:w w:val="89"/>
                </w:rPr>
                <w:t>87</w:t>
              </w:r>
            </w:hyperlink>
          </w:p>
        </w:tc>
      </w:tr>
      <w:tr>
        <w:trPr>
          <w:trHeight w:val="229"/>
        </w:trPr>
        <w:tc>
          <w:tcPr>
            <w:tcW w:w="6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4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6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64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10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r>
      <w:tr>
        <w:trPr>
          <w:trHeight w:val="184"/>
        </w:trPr>
        <w:tc>
          <w:tcPr>
            <w:tcW w:w="6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PART IV</w:t>
            </w: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tcBorders>
              <w:left w:val="single" w:sz="8" w:color="CCEEFF"/>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49"/>
        </w:trPr>
        <w:tc>
          <w:tcPr>
            <w:tcW w:w="640" w:type="dxa"/>
            <w:vAlign w:val="bottom"/>
          </w:tcPr>
          <w:p>
            <w:pPr>
              <w:spacing w:after="0" w:line="149" w:lineRule="exact"/>
              <w:rPr>
                <w:sz w:val="20"/>
                <w:szCs w:val="20"/>
                <w:color w:val="auto"/>
              </w:rPr>
            </w:pPr>
            <w:r>
              <w:rPr>
                <w:rFonts w:ascii="Arial" w:cs="Arial" w:eastAsia="Arial" w:hAnsi="Arial"/>
                <w:sz w:val="14"/>
                <w:szCs w:val="14"/>
                <w:color w:val="auto"/>
              </w:rPr>
              <w:t>Item 15.</w:t>
            </w:r>
          </w:p>
        </w:tc>
        <w:tc>
          <w:tcPr>
            <w:tcW w:w="9660" w:type="dxa"/>
            <w:vAlign w:val="bottom"/>
            <w:gridSpan w:val="18"/>
          </w:tcPr>
          <w:p>
            <w:pPr>
              <w:ind w:left="380"/>
              <w:spacing w:after="0" w:line="149" w:lineRule="exact"/>
              <w:rPr>
                <w:rFonts w:ascii="Arial" w:cs="Arial" w:eastAsia="Arial" w:hAnsi="Arial"/>
                <w:sz w:val="14"/>
                <w:szCs w:val="14"/>
                <w:color w:val="0000FF"/>
              </w:rPr>
            </w:pPr>
            <w:hyperlink w:anchor="page93">
              <w:r>
                <w:rPr>
                  <w:rFonts w:ascii="Arial" w:cs="Arial" w:eastAsia="Arial" w:hAnsi="Arial"/>
                  <w:sz w:val="14"/>
                  <w:szCs w:val="14"/>
                  <w:color w:val="0000FF"/>
                </w:rPr>
                <w:t>Exhibits, Financial Statement Schedules</w:t>
              </w:r>
            </w:hyperlink>
          </w:p>
        </w:tc>
        <w:tc>
          <w:tcPr>
            <w:tcW w:w="960" w:type="dxa"/>
            <w:vAlign w:val="bottom"/>
          </w:tcPr>
          <w:p>
            <w:pPr>
              <w:jc w:val="center"/>
              <w:spacing w:after="0" w:line="149" w:lineRule="exact"/>
              <w:rPr>
                <w:rFonts w:ascii="Arial" w:cs="Arial" w:eastAsia="Arial" w:hAnsi="Arial"/>
                <w:sz w:val="14"/>
                <w:szCs w:val="14"/>
                <w:color w:val="0000FF"/>
                <w:w w:val="89"/>
              </w:rPr>
            </w:pPr>
            <w:hyperlink w:anchor="page93">
              <w:r>
                <w:rPr>
                  <w:rFonts w:ascii="Arial" w:cs="Arial" w:eastAsia="Arial" w:hAnsi="Arial"/>
                  <w:sz w:val="14"/>
                  <w:szCs w:val="14"/>
                  <w:color w:val="0000FF"/>
                  <w:w w:val="89"/>
                </w:rPr>
                <w:t>89</w:t>
              </w:r>
            </w:hyperlink>
          </w:p>
        </w:tc>
      </w:tr>
      <w:tr>
        <w:trPr>
          <w:trHeight w:val="27"/>
        </w:trPr>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66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1"/>
        </w:trPr>
        <w:tc>
          <w:tcPr>
            <w:tcW w:w="6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Item 16.</w:t>
            </w:r>
          </w:p>
        </w:tc>
        <w:tc>
          <w:tcPr>
            <w:tcW w:w="9660" w:type="dxa"/>
            <w:vAlign w:val="bottom"/>
            <w:gridSpan w:val="18"/>
            <w:shd w:val="clear" w:color="auto" w:fill="CCEEFF"/>
          </w:tcPr>
          <w:p>
            <w:pPr>
              <w:ind w:left="380"/>
              <w:spacing w:after="0" w:line="157" w:lineRule="exact"/>
              <w:rPr>
                <w:rFonts w:ascii="Arial" w:cs="Arial" w:eastAsia="Arial" w:hAnsi="Arial"/>
                <w:sz w:val="14"/>
                <w:szCs w:val="14"/>
                <w:color w:val="0000FF"/>
              </w:rPr>
            </w:pPr>
            <w:hyperlink w:anchor="page94">
              <w:r>
                <w:rPr>
                  <w:rFonts w:ascii="Arial" w:cs="Arial" w:eastAsia="Arial" w:hAnsi="Arial"/>
                  <w:sz w:val="14"/>
                  <w:szCs w:val="14"/>
                  <w:color w:val="0000FF"/>
                </w:rPr>
                <w:t>Form 10–K Summary</w:t>
              </w:r>
            </w:hyperlink>
          </w:p>
        </w:tc>
        <w:tc>
          <w:tcPr>
            <w:tcW w:w="960" w:type="dxa"/>
            <w:vAlign w:val="bottom"/>
            <w:shd w:val="clear" w:color="auto" w:fill="CCEEFF"/>
          </w:tcPr>
          <w:p>
            <w:pPr>
              <w:jc w:val="center"/>
              <w:spacing w:after="0" w:line="157" w:lineRule="exact"/>
              <w:rPr>
                <w:rFonts w:ascii="Arial" w:cs="Arial" w:eastAsia="Arial" w:hAnsi="Arial"/>
                <w:sz w:val="14"/>
                <w:szCs w:val="14"/>
                <w:color w:val="0000FF"/>
                <w:w w:val="89"/>
              </w:rPr>
            </w:pPr>
            <w:hyperlink w:anchor="page94">
              <w:r>
                <w:rPr>
                  <w:rFonts w:ascii="Arial" w:cs="Arial" w:eastAsia="Arial" w:hAnsi="Arial"/>
                  <w:sz w:val="14"/>
                  <w:szCs w:val="14"/>
                  <w:color w:val="0000FF"/>
                  <w:w w:val="89"/>
                </w:rPr>
                <w:t>90</w:t>
              </w:r>
            </w:hyperlink>
          </w:p>
        </w:tc>
      </w:tr>
      <w:tr>
        <w:trPr>
          <w:trHeight w:val="229"/>
        </w:trPr>
        <w:tc>
          <w:tcPr>
            <w:tcW w:w="6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4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64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10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r>
      <w:tr>
        <w:trPr>
          <w:trHeight w:val="164"/>
        </w:trPr>
        <w:tc>
          <w:tcPr>
            <w:tcW w:w="640" w:type="dxa"/>
            <w:vAlign w:val="bottom"/>
            <w:tcBorders>
              <w:bottom w:val="single" w:sz="8" w:color="0000FF"/>
            </w:tcBorders>
            <w:shd w:val="clear" w:color="auto" w:fill="CCEEFF"/>
          </w:tcPr>
          <w:p>
            <w:pPr>
              <w:spacing w:after="0" w:line="149" w:lineRule="exact"/>
              <w:rPr>
                <w:rFonts w:ascii="Arial" w:cs="Arial" w:eastAsia="Arial" w:hAnsi="Arial"/>
                <w:sz w:val="14"/>
                <w:szCs w:val="14"/>
                <w:b w:val="1"/>
                <w:bCs w:val="1"/>
                <w:color w:val="0000FF"/>
                <w:w w:val="85"/>
              </w:rPr>
            </w:pPr>
            <w:hyperlink w:anchor="page95">
              <w:r>
                <w:rPr>
                  <w:rFonts w:ascii="Arial" w:cs="Arial" w:eastAsia="Arial" w:hAnsi="Arial"/>
                  <w:sz w:val="14"/>
                  <w:szCs w:val="14"/>
                  <w:b w:val="1"/>
                  <w:bCs w:val="1"/>
                  <w:color w:val="0000FF"/>
                  <w:w w:val="85"/>
                </w:rPr>
                <w:t>Signatures</w:t>
              </w:r>
            </w:hyperlink>
          </w:p>
        </w:tc>
        <w:tc>
          <w:tcPr>
            <w:tcW w:w="3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right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right w:val="single" w:sz="8" w:color="CCEEFF"/>
            </w:tcBorders>
            <w:shd w:val="clear" w:color="auto" w:fill="CCEEFF"/>
          </w:tcPr>
          <w:p>
            <w:pPr>
              <w:spacing w:after="0"/>
              <w:rPr>
                <w:sz w:val="14"/>
                <w:szCs w:val="14"/>
                <w:color w:val="auto"/>
              </w:rPr>
            </w:pPr>
          </w:p>
        </w:tc>
        <w:tc>
          <w:tcPr>
            <w:tcW w:w="220" w:type="dxa"/>
            <w:vAlign w:val="bottom"/>
            <w:tcBorders>
              <w:left w:val="single" w:sz="8" w:color="CCEEFF"/>
              <w:bottom w:val="single" w:sz="8" w:color="CCEEFF"/>
            </w:tcBorders>
            <w:shd w:val="clear" w:color="auto" w:fill="CCEEFF"/>
          </w:tcPr>
          <w:p>
            <w:pPr>
              <w:spacing w:after="0"/>
              <w:rPr>
                <w:sz w:val="14"/>
                <w:szCs w:val="14"/>
                <w:color w:val="auto"/>
              </w:rPr>
            </w:pPr>
          </w:p>
        </w:tc>
        <w:tc>
          <w:tcPr>
            <w:tcW w:w="660" w:type="dxa"/>
            <w:vAlign w:val="bottom"/>
            <w:tcBorders>
              <w:bottom w:val="single" w:sz="8" w:color="CCEEFF"/>
              <w:right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left w:val="single" w:sz="8" w:color="CCEEFF"/>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3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center"/>
              <w:spacing w:after="0" w:line="149" w:lineRule="exact"/>
              <w:rPr>
                <w:rFonts w:ascii="Arial" w:cs="Arial" w:eastAsia="Arial" w:hAnsi="Arial"/>
                <w:sz w:val="14"/>
                <w:szCs w:val="14"/>
                <w:color w:val="0000FF"/>
                <w:w w:val="89"/>
              </w:rPr>
            </w:pPr>
            <w:hyperlink w:anchor="page95">
              <w:r>
                <w:rPr>
                  <w:rFonts w:ascii="Arial" w:cs="Arial" w:eastAsia="Arial" w:hAnsi="Arial"/>
                  <w:sz w:val="14"/>
                  <w:szCs w:val="14"/>
                  <w:color w:val="0000FF"/>
                  <w:w w:val="89"/>
                </w:rPr>
                <w:t>91</w:t>
              </w:r>
            </w:hyperlink>
          </w:p>
        </w:tc>
      </w:tr>
      <w:tr>
        <w:trPr>
          <w:trHeight w:val="1024"/>
        </w:trPr>
        <w:tc>
          <w:tcPr>
            <w:tcW w:w="6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7127875</wp:posOffset>
            </wp:positionH>
            <wp:positionV relativeFrom="paragraph">
              <wp:posOffset>-26670</wp:posOffset>
            </wp:positionV>
            <wp:extent cx="32385"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2385"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859" w:right="319" w:bottom="1440" w:gutter="0" w:footer="0" w:header="0"/>
        </w:sectPr>
      </w:pPr>
    </w:p>
    <w:bookmarkStart w:id="2" w:name="page3"/>
    <w:bookmarkEnd w:id="2"/>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SPECIAL NOTE REGARDING FORWARD-LOOKING STATEMENTS</w:t>
      </w:r>
    </w:p>
    <w:p>
      <w:pPr>
        <w:spacing w:after="0" w:line="199" w:lineRule="exact"/>
        <w:rPr>
          <w:sz w:val="20"/>
          <w:szCs w:val="20"/>
          <w:color w:val="auto"/>
        </w:rPr>
      </w:pPr>
    </w:p>
    <w:p>
      <w:pPr>
        <w:jc w:val="both"/>
        <w:ind w:right="20" w:firstLine="275"/>
        <w:spacing w:after="0" w:line="270" w:lineRule="auto"/>
        <w:rPr>
          <w:sz w:val="20"/>
          <w:szCs w:val="20"/>
          <w:color w:val="auto"/>
        </w:rPr>
      </w:pPr>
      <w:r>
        <w:rPr>
          <w:rFonts w:ascii="Arial" w:cs="Arial" w:eastAsia="Arial" w:hAnsi="Arial"/>
          <w:sz w:val="15"/>
          <w:szCs w:val="15"/>
          <w:color w:val="auto"/>
        </w:rPr>
        <w:t>This Annual Report on Form 10-K may contain certain “forward-looking statements” within the meaning of the Private Securities Litigation Reform Act, as amended, which reflect our current views with respect to certain events that are not historical facts but could have an effect on our future performance, including but without limitation, statements regarding our plans, objectives, financial performance, business strategies, projected results of operations, and expectations for the Company.</w:t>
      </w:r>
    </w:p>
    <w:p>
      <w:pPr>
        <w:spacing w:after="0" w:line="175" w:lineRule="exact"/>
        <w:rPr>
          <w:sz w:val="20"/>
          <w:szCs w:val="20"/>
          <w:color w:val="auto"/>
        </w:rPr>
      </w:pPr>
    </w:p>
    <w:p>
      <w:pPr>
        <w:jc w:val="both"/>
        <w:ind w:firstLine="275"/>
        <w:spacing w:after="0" w:line="259" w:lineRule="auto"/>
        <w:rPr>
          <w:sz w:val="20"/>
          <w:szCs w:val="20"/>
          <w:color w:val="auto"/>
        </w:rPr>
      </w:pPr>
      <w:r>
        <w:rPr>
          <w:rFonts w:ascii="Arial" w:cs="Arial" w:eastAsia="Arial" w:hAnsi="Arial"/>
          <w:sz w:val="15"/>
          <w:szCs w:val="15"/>
          <w:color w:val="auto"/>
        </w:rPr>
        <w:t>These statements may include and be identified by words or phrase such as, without limitation, “would,” “will,” “should,” “expects,” “believes,” “anticipates,” “continues,” “could,” “may,” “might,” “plans,” “possible,” “potential,” “predicts,” “projects,” “forecasts,” “intends,” “assumes,” “estimates,” “approximately,” “shall,” “our planning assumptions,” “future outlook,” “currently,” “target,” “guidance,” and similar expressions (including the negative and plural forms of such words and phrases). These forward-looking statements are based largely on information currently available to our management and on our current expectations, assumptions, plans, estimates, judgments, projections about our business and our industry, and macroeconomic conditions, and are subject to various risks, uncertainties, estimates, contingencies and other factors, many of which are outside our control, that could cause actual results to differ materially from those expressed or implied by such forward-looking statements and could materially adversely affect our business, financial condition, results of operations, cash flows and liquidity. Factors that could cause or contribute to such differences include, but are not limited to, those described in Item 1A, “Risk Factors” in this Annual Report on Form 10-K and the following:</w:t>
      </w:r>
    </w:p>
    <w:p>
      <w:pPr>
        <w:spacing w:after="0" w:line="186" w:lineRule="exact"/>
        <w:rPr>
          <w:sz w:val="20"/>
          <w:szCs w:val="20"/>
          <w:color w:val="auto"/>
        </w:rPr>
      </w:pPr>
    </w:p>
    <w:p>
      <w:pPr>
        <w:ind w:left="540" w:hanging="273"/>
        <w:spacing w:after="0"/>
        <w:tabs>
          <w:tab w:leader="none" w:pos="540" w:val="left"/>
        </w:tabs>
        <w:numPr>
          <w:ilvl w:val="0"/>
          <w:numId w:val="2"/>
        </w:numPr>
        <w:rPr>
          <w:rFonts w:ascii="Arial" w:cs="Arial" w:eastAsia="Arial" w:hAnsi="Arial"/>
          <w:sz w:val="15"/>
          <w:szCs w:val="15"/>
          <w:color w:val="auto"/>
        </w:rPr>
      </w:pPr>
      <w:r>
        <w:rPr>
          <w:rFonts w:ascii="Arial" w:cs="Arial" w:eastAsia="Arial" w:hAnsi="Arial"/>
          <w:sz w:val="15"/>
          <w:szCs w:val="15"/>
          <w:color w:val="auto"/>
        </w:rPr>
        <w:t>changes in applicable laws or regulations;</w:t>
      </w:r>
    </w:p>
    <w:p>
      <w:pPr>
        <w:spacing w:after="0" w:line="21" w:lineRule="exact"/>
        <w:rPr>
          <w:rFonts w:ascii="Arial" w:cs="Arial" w:eastAsia="Arial" w:hAnsi="Arial"/>
          <w:sz w:val="15"/>
          <w:szCs w:val="15"/>
          <w:color w:val="auto"/>
        </w:rPr>
      </w:pPr>
    </w:p>
    <w:p>
      <w:pPr>
        <w:ind w:left="540" w:hanging="273"/>
        <w:spacing w:after="0"/>
        <w:tabs>
          <w:tab w:leader="none" w:pos="540" w:val="left"/>
        </w:tabs>
        <w:numPr>
          <w:ilvl w:val="0"/>
          <w:numId w:val="2"/>
        </w:numPr>
        <w:rPr>
          <w:rFonts w:ascii="Arial" w:cs="Arial" w:eastAsia="Arial" w:hAnsi="Arial"/>
          <w:sz w:val="15"/>
          <w:szCs w:val="15"/>
          <w:color w:val="auto"/>
        </w:rPr>
      </w:pPr>
      <w:r>
        <w:rPr>
          <w:rFonts w:ascii="Arial" w:cs="Arial" w:eastAsia="Arial" w:hAnsi="Arial"/>
          <w:sz w:val="15"/>
          <w:szCs w:val="15"/>
          <w:color w:val="auto"/>
        </w:rPr>
        <w:t>factors relating to our business, operations and financial performance, including:</w:t>
      </w:r>
    </w:p>
    <w:p>
      <w:pPr>
        <w:spacing w:after="0" w:line="11" w:lineRule="exact"/>
        <w:rPr>
          <w:rFonts w:ascii="Arial" w:cs="Arial" w:eastAsia="Arial" w:hAnsi="Arial"/>
          <w:sz w:val="15"/>
          <w:szCs w:val="15"/>
          <w:color w:val="auto"/>
        </w:rPr>
      </w:pPr>
    </w:p>
    <w:p>
      <w:pPr>
        <w:ind w:left="820" w:hanging="278"/>
        <w:spacing w:after="0"/>
        <w:tabs>
          <w:tab w:leader="none" w:pos="820" w:val="left"/>
        </w:tabs>
        <w:numPr>
          <w:ilvl w:val="1"/>
          <w:numId w:val="2"/>
        </w:numPr>
        <w:rPr>
          <w:rFonts w:ascii="Arial" w:cs="Arial" w:eastAsia="Arial" w:hAnsi="Arial"/>
          <w:sz w:val="15"/>
          <w:szCs w:val="15"/>
          <w:color w:val="auto"/>
        </w:rPr>
      </w:pPr>
      <w:r>
        <w:rPr>
          <w:rFonts w:ascii="Arial" w:cs="Arial" w:eastAsia="Arial" w:hAnsi="Arial"/>
          <w:sz w:val="15"/>
          <w:szCs w:val="15"/>
          <w:color w:val="auto"/>
        </w:rPr>
        <w:t>public health conditions, responses thereto and the economic and market effects thereof;</w:t>
      </w:r>
    </w:p>
    <w:p>
      <w:pPr>
        <w:spacing w:after="0" w:line="11" w:lineRule="exact"/>
        <w:rPr>
          <w:rFonts w:ascii="Arial" w:cs="Arial" w:eastAsia="Arial" w:hAnsi="Arial"/>
          <w:sz w:val="15"/>
          <w:szCs w:val="15"/>
          <w:color w:val="auto"/>
        </w:rPr>
      </w:pPr>
    </w:p>
    <w:p>
      <w:pPr>
        <w:ind w:left="820" w:hanging="278"/>
        <w:spacing w:after="0"/>
        <w:tabs>
          <w:tab w:leader="none" w:pos="820" w:val="left"/>
        </w:tabs>
        <w:numPr>
          <w:ilvl w:val="1"/>
          <w:numId w:val="2"/>
        </w:numPr>
        <w:rPr>
          <w:rFonts w:ascii="Arial" w:cs="Arial" w:eastAsia="Arial" w:hAnsi="Arial"/>
          <w:sz w:val="15"/>
          <w:szCs w:val="15"/>
          <w:color w:val="auto"/>
        </w:rPr>
      </w:pPr>
      <w:r>
        <w:rPr>
          <w:rFonts w:ascii="Arial" w:cs="Arial" w:eastAsia="Arial" w:hAnsi="Arial"/>
          <w:sz w:val="15"/>
          <w:szCs w:val="15"/>
          <w:color w:val="auto"/>
        </w:rPr>
        <w:t>competition in the markets in which we operate;</w:t>
      </w:r>
    </w:p>
    <w:p>
      <w:pPr>
        <w:spacing w:after="0" w:line="11" w:lineRule="exact"/>
        <w:rPr>
          <w:rFonts w:ascii="Arial" w:cs="Arial" w:eastAsia="Arial" w:hAnsi="Arial"/>
          <w:sz w:val="15"/>
          <w:szCs w:val="15"/>
          <w:color w:val="auto"/>
        </w:rPr>
      </w:pPr>
    </w:p>
    <w:p>
      <w:pPr>
        <w:ind w:left="820" w:hanging="278"/>
        <w:spacing w:after="0"/>
        <w:tabs>
          <w:tab w:leader="none" w:pos="820" w:val="left"/>
        </w:tabs>
        <w:numPr>
          <w:ilvl w:val="1"/>
          <w:numId w:val="2"/>
        </w:numPr>
        <w:rPr>
          <w:rFonts w:ascii="Arial" w:cs="Arial" w:eastAsia="Arial" w:hAnsi="Arial"/>
          <w:sz w:val="15"/>
          <w:szCs w:val="15"/>
          <w:color w:val="auto"/>
        </w:rPr>
      </w:pPr>
      <w:r>
        <w:rPr>
          <w:rFonts w:ascii="Arial" w:cs="Arial" w:eastAsia="Arial" w:hAnsi="Arial"/>
          <w:sz w:val="15"/>
          <w:szCs w:val="15"/>
          <w:color w:val="auto"/>
        </w:rPr>
        <w:t>volatility in foreign exchange rates that could affect the volume of consumer remittance activity and/or affect our foreign exchange related gains and losses;</w:t>
      </w:r>
    </w:p>
    <w:p>
      <w:pPr>
        <w:spacing w:after="0" w:line="11" w:lineRule="exact"/>
        <w:rPr>
          <w:rFonts w:ascii="Arial" w:cs="Arial" w:eastAsia="Arial" w:hAnsi="Arial"/>
          <w:sz w:val="15"/>
          <w:szCs w:val="15"/>
          <w:color w:val="auto"/>
        </w:rPr>
      </w:pPr>
    </w:p>
    <w:p>
      <w:pPr>
        <w:ind w:left="820" w:hanging="278"/>
        <w:spacing w:after="0"/>
        <w:tabs>
          <w:tab w:leader="none" w:pos="820" w:val="left"/>
        </w:tabs>
        <w:numPr>
          <w:ilvl w:val="1"/>
          <w:numId w:val="2"/>
        </w:numPr>
        <w:rPr>
          <w:rFonts w:ascii="Arial" w:cs="Arial" w:eastAsia="Arial" w:hAnsi="Arial"/>
          <w:sz w:val="15"/>
          <w:szCs w:val="15"/>
          <w:color w:val="auto"/>
        </w:rPr>
      </w:pPr>
      <w:r>
        <w:rPr>
          <w:rFonts w:ascii="Arial" w:cs="Arial" w:eastAsia="Arial" w:hAnsi="Arial"/>
          <w:sz w:val="15"/>
          <w:szCs w:val="15"/>
          <w:color w:val="auto"/>
        </w:rPr>
        <w:t>our ability to maintain favorable agent relationships;</w:t>
      </w:r>
    </w:p>
    <w:p>
      <w:pPr>
        <w:spacing w:after="0" w:line="11" w:lineRule="exact"/>
        <w:rPr>
          <w:rFonts w:ascii="Arial" w:cs="Arial" w:eastAsia="Arial" w:hAnsi="Arial"/>
          <w:sz w:val="15"/>
          <w:szCs w:val="15"/>
          <w:color w:val="auto"/>
        </w:rPr>
      </w:pPr>
    </w:p>
    <w:p>
      <w:pPr>
        <w:ind w:left="820" w:hanging="278"/>
        <w:spacing w:after="0"/>
        <w:tabs>
          <w:tab w:leader="none" w:pos="820" w:val="left"/>
        </w:tabs>
        <w:numPr>
          <w:ilvl w:val="1"/>
          <w:numId w:val="2"/>
        </w:numPr>
        <w:rPr>
          <w:rFonts w:ascii="Arial" w:cs="Arial" w:eastAsia="Arial" w:hAnsi="Arial"/>
          <w:sz w:val="15"/>
          <w:szCs w:val="15"/>
          <w:color w:val="auto"/>
        </w:rPr>
      </w:pPr>
      <w:r>
        <w:rPr>
          <w:rFonts w:ascii="Arial" w:cs="Arial" w:eastAsia="Arial" w:hAnsi="Arial"/>
          <w:sz w:val="15"/>
          <w:szCs w:val="15"/>
          <w:color w:val="auto"/>
        </w:rPr>
        <w:t>credit risks from our agents and the financial institutions with which we do business;</w:t>
      </w:r>
    </w:p>
    <w:p>
      <w:pPr>
        <w:spacing w:after="0" w:line="11" w:lineRule="exact"/>
        <w:rPr>
          <w:rFonts w:ascii="Arial" w:cs="Arial" w:eastAsia="Arial" w:hAnsi="Arial"/>
          <w:sz w:val="15"/>
          <w:szCs w:val="15"/>
          <w:color w:val="auto"/>
        </w:rPr>
      </w:pPr>
    </w:p>
    <w:p>
      <w:pPr>
        <w:ind w:left="820" w:hanging="278"/>
        <w:spacing w:after="0"/>
        <w:tabs>
          <w:tab w:leader="none" w:pos="820" w:val="left"/>
        </w:tabs>
        <w:numPr>
          <w:ilvl w:val="1"/>
          <w:numId w:val="2"/>
        </w:numPr>
        <w:rPr>
          <w:rFonts w:ascii="Arial" w:cs="Arial" w:eastAsia="Arial" w:hAnsi="Arial"/>
          <w:sz w:val="15"/>
          <w:szCs w:val="15"/>
          <w:color w:val="auto"/>
        </w:rPr>
      </w:pPr>
      <w:r>
        <w:rPr>
          <w:rFonts w:ascii="Arial" w:cs="Arial" w:eastAsia="Arial" w:hAnsi="Arial"/>
          <w:sz w:val="15"/>
          <w:szCs w:val="15"/>
          <w:color w:val="auto"/>
        </w:rPr>
        <w:t>bank failures, sustained financial illiquidity, or financial institution illiquidity;</w:t>
      </w:r>
    </w:p>
    <w:p>
      <w:pPr>
        <w:spacing w:after="0" w:line="11" w:lineRule="exact"/>
        <w:rPr>
          <w:rFonts w:ascii="Arial" w:cs="Arial" w:eastAsia="Arial" w:hAnsi="Arial"/>
          <w:sz w:val="15"/>
          <w:szCs w:val="15"/>
          <w:color w:val="auto"/>
        </w:rPr>
      </w:pPr>
    </w:p>
    <w:p>
      <w:pPr>
        <w:ind w:left="820" w:hanging="278"/>
        <w:spacing w:after="0"/>
        <w:tabs>
          <w:tab w:leader="none" w:pos="820" w:val="left"/>
        </w:tabs>
        <w:numPr>
          <w:ilvl w:val="1"/>
          <w:numId w:val="2"/>
        </w:numPr>
        <w:rPr>
          <w:rFonts w:ascii="Arial" w:cs="Arial" w:eastAsia="Arial" w:hAnsi="Arial"/>
          <w:sz w:val="15"/>
          <w:szCs w:val="15"/>
          <w:color w:val="auto"/>
        </w:rPr>
      </w:pPr>
      <w:r>
        <w:rPr>
          <w:rFonts w:ascii="Arial" w:cs="Arial" w:eastAsia="Arial" w:hAnsi="Arial"/>
          <w:sz w:val="15"/>
          <w:szCs w:val="15"/>
          <w:color w:val="auto"/>
        </w:rPr>
        <w:t>new technology or competitors, such as digital platforms;</w:t>
      </w:r>
    </w:p>
    <w:p>
      <w:pPr>
        <w:spacing w:after="0" w:line="11" w:lineRule="exact"/>
        <w:rPr>
          <w:rFonts w:ascii="Arial" w:cs="Arial" w:eastAsia="Arial" w:hAnsi="Arial"/>
          <w:sz w:val="15"/>
          <w:szCs w:val="15"/>
          <w:color w:val="auto"/>
        </w:rPr>
      </w:pPr>
    </w:p>
    <w:p>
      <w:pPr>
        <w:ind w:left="820" w:hanging="278"/>
        <w:spacing w:after="0"/>
        <w:tabs>
          <w:tab w:leader="none" w:pos="820" w:val="left"/>
        </w:tabs>
        <w:numPr>
          <w:ilvl w:val="1"/>
          <w:numId w:val="2"/>
        </w:numPr>
        <w:rPr>
          <w:rFonts w:ascii="Arial" w:cs="Arial" w:eastAsia="Arial" w:hAnsi="Arial"/>
          <w:sz w:val="15"/>
          <w:szCs w:val="15"/>
          <w:color w:val="auto"/>
        </w:rPr>
      </w:pPr>
      <w:r>
        <w:rPr>
          <w:rFonts w:ascii="Arial" w:cs="Arial" w:eastAsia="Arial" w:hAnsi="Arial"/>
          <w:sz w:val="15"/>
          <w:szCs w:val="15"/>
          <w:color w:val="auto"/>
        </w:rPr>
        <w:t>cyber-attacks or disruptions to our information technology, computer network systems, data centers and phone apps;</w:t>
      </w:r>
    </w:p>
    <w:p>
      <w:pPr>
        <w:spacing w:after="0" w:line="11" w:lineRule="exact"/>
        <w:rPr>
          <w:rFonts w:ascii="Arial" w:cs="Arial" w:eastAsia="Arial" w:hAnsi="Arial"/>
          <w:sz w:val="15"/>
          <w:szCs w:val="15"/>
          <w:color w:val="auto"/>
        </w:rPr>
      </w:pPr>
    </w:p>
    <w:p>
      <w:pPr>
        <w:ind w:left="820" w:hanging="278"/>
        <w:spacing w:after="0"/>
        <w:tabs>
          <w:tab w:leader="none" w:pos="820" w:val="left"/>
        </w:tabs>
        <w:numPr>
          <w:ilvl w:val="1"/>
          <w:numId w:val="2"/>
        </w:numPr>
        <w:rPr>
          <w:rFonts w:ascii="Arial" w:cs="Arial" w:eastAsia="Arial" w:hAnsi="Arial"/>
          <w:sz w:val="15"/>
          <w:szCs w:val="15"/>
          <w:color w:val="auto"/>
        </w:rPr>
      </w:pPr>
      <w:r>
        <w:rPr>
          <w:rFonts w:ascii="Arial" w:cs="Arial" w:eastAsia="Arial" w:hAnsi="Arial"/>
          <w:sz w:val="15"/>
          <w:szCs w:val="15"/>
          <w:color w:val="auto"/>
        </w:rPr>
        <w:t>our ability to satisfy our debt obligations and remain in compliance with our credit facility requirements;</w:t>
      </w:r>
    </w:p>
    <w:p>
      <w:pPr>
        <w:spacing w:after="0" w:line="11" w:lineRule="exact"/>
        <w:rPr>
          <w:rFonts w:ascii="Arial" w:cs="Arial" w:eastAsia="Arial" w:hAnsi="Arial"/>
          <w:sz w:val="15"/>
          <w:szCs w:val="15"/>
          <w:color w:val="auto"/>
        </w:rPr>
      </w:pPr>
    </w:p>
    <w:p>
      <w:pPr>
        <w:ind w:left="820" w:hanging="278"/>
        <w:spacing w:after="0"/>
        <w:tabs>
          <w:tab w:leader="none" w:pos="820" w:val="left"/>
        </w:tabs>
        <w:numPr>
          <w:ilvl w:val="1"/>
          <w:numId w:val="2"/>
        </w:numPr>
        <w:rPr>
          <w:rFonts w:ascii="Arial" w:cs="Arial" w:eastAsia="Arial" w:hAnsi="Arial"/>
          <w:sz w:val="15"/>
          <w:szCs w:val="15"/>
          <w:color w:val="auto"/>
        </w:rPr>
      </w:pPr>
      <w:r>
        <w:rPr>
          <w:rFonts w:ascii="Arial" w:cs="Arial" w:eastAsia="Arial" w:hAnsi="Arial"/>
          <w:sz w:val="15"/>
          <w:szCs w:val="15"/>
          <w:color w:val="auto"/>
        </w:rPr>
        <w:t>our success in developing and introducing new products, services and infrastructure;</w:t>
      </w:r>
    </w:p>
    <w:p>
      <w:pPr>
        <w:spacing w:after="0" w:line="11" w:lineRule="exact"/>
        <w:rPr>
          <w:rFonts w:ascii="Arial" w:cs="Arial" w:eastAsia="Arial" w:hAnsi="Arial"/>
          <w:sz w:val="15"/>
          <w:szCs w:val="15"/>
          <w:color w:val="auto"/>
        </w:rPr>
      </w:pPr>
    </w:p>
    <w:p>
      <w:pPr>
        <w:ind w:left="820" w:hanging="278"/>
        <w:spacing w:after="0"/>
        <w:tabs>
          <w:tab w:leader="none" w:pos="820" w:val="left"/>
        </w:tabs>
        <w:numPr>
          <w:ilvl w:val="1"/>
          <w:numId w:val="2"/>
        </w:numPr>
        <w:rPr>
          <w:rFonts w:ascii="Arial" w:cs="Arial" w:eastAsia="Arial" w:hAnsi="Arial"/>
          <w:sz w:val="15"/>
          <w:szCs w:val="15"/>
          <w:color w:val="auto"/>
        </w:rPr>
      </w:pPr>
      <w:r>
        <w:rPr>
          <w:rFonts w:ascii="Arial" w:cs="Arial" w:eastAsia="Arial" w:hAnsi="Arial"/>
          <w:sz w:val="15"/>
          <w:szCs w:val="15"/>
          <w:color w:val="auto"/>
        </w:rPr>
        <w:t>customer confidence in our brand and in consumer money transfers generally;</w:t>
      </w:r>
    </w:p>
    <w:p>
      <w:pPr>
        <w:spacing w:after="0" w:line="11" w:lineRule="exact"/>
        <w:rPr>
          <w:rFonts w:ascii="Arial" w:cs="Arial" w:eastAsia="Arial" w:hAnsi="Arial"/>
          <w:sz w:val="15"/>
          <w:szCs w:val="15"/>
          <w:color w:val="auto"/>
        </w:rPr>
      </w:pPr>
    </w:p>
    <w:p>
      <w:pPr>
        <w:ind w:left="820" w:hanging="278"/>
        <w:spacing w:after="0"/>
        <w:tabs>
          <w:tab w:leader="none" w:pos="820" w:val="left"/>
        </w:tabs>
        <w:numPr>
          <w:ilvl w:val="1"/>
          <w:numId w:val="2"/>
        </w:numPr>
        <w:rPr>
          <w:rFonts w:ascii="Arial" w:cs="Arial" w:eastAsia="Arial" w:hAnsi="Arial"/>
          <w:sz w:val="15"/>
          <w:szCs w:val="15"/>
          <w:color w:val="auto"/>
        </w:rPr>
      </w:pPr>
      <w:r>
        <w:rPr>
          <w:rFonts w:ascii="Arial" w:cs="Arial" w:eastAsia="Arial" w:hAnsi="Arial"/>
          <w:sz w:val="15"/>
          <w:szCs w:val="15"/>
          <w:color w:val="auto"/>
        </w:rPr>
        <w:t>our ability to maintain compliance with applicable regulatory requirements;</w:t>
      </w:r>
    </w:p>
    <w:p>
      <w:pPr>
        <w:spacing w:after="0" w:line="11" w:lineRule="exact"/>
        <w:rPr>
          <w:rFonts w:ascii="Arial" w:cs="Arial" w:eastAsia="Arial" w:hAnsi="Arial"/>
          <w:sz w:val="15"/>
          <w:szCs w:val="15"/>
          <w:color w:val="auto"/>
        </w:rPr>
      </w:pPr>
    </w:p>
    <w:p>
      <w:pPr>
        <w:ind w:left="820" w:hanging="278"/>
        <w:spacing w:after="0"/>
        <w:tabs>
          <w:tab w:leader="none" w:pos="820" w:val="left"/>
        </w:tabs>
        <w:numPr>
          <w:ilvl w:val="1"/>
          <w:numId w:val="2"/>
        </w:numPr>
        <w:rPr>
          <w:rFonts w:ascii="Arial" w:cs="Arial" w:eastAsia="Arial" w:hAnsi="Arial"/>
          <w:sz w:val="15"/>
          <w:szCs w:val="15"/>
          <w:color w:val="auto"/>
        </w:rPr>
      </w:pPr>
      <w:r>
        <w:rPr>
          <w:rFonts w:ascii="Arial" w:cs="Arial" w:eastAsia="Arial" w:hAnsi="Arial"/>
          <w:sz w:val="15"/>
          <w:szCs w:val="15"/>
          <w:color w:val="auto"/>
        </w:rPr>
        <w:t>international political factors, political stability, tariffs, border taxes or restrictions on remittances or transfers;</w:t>
      </w:r>
    </w:p>
    <w:p>
      <w:pPr>
        <w:spacing w:after="0" w:line="11" w:lineRule="exact"/>
        <w:rPr>
          <w:rFonts w:ascii="Arial" w:cs="Arial" w:eastAsia="Arial" w:hAnsi="Arial"/>
          <w:sz w:val="15"/>
          <w:szCs w:val="15"/>
          <w:color w:val="auto"/>
        </w:rPr>
      </w:pPr>
    </w:p>
    <w:p>
      <w:pPr>
        <w:ind w:left="820" w:hanging="278"/>
        <w:spacing w:after="0"/>
        <w:tabs>
          <w:tab w:leader="none" w:pos="820" w:val="left"/>
        </w:tabs>
        <w:numPr>
          <w:ilvl w:val="1"/>
          <w:numId w:val="2"/>
        </w:numPr>
        <w:rPr>
          <w:rFonts w:ascii="Arial" w:cs="Arial" w:eastAsia="Arial" w:hAnsi="Arial"/>
          <w:sz w:val="15"/>
          <w:szCs w:val="15"/>
          <w:color w:val="auto"/>
        </w:rPr>
      </w:pPr>
      <w:r>
        <w:rPr>
          <w:rFonts w:ascii="Arial" w:cs="Arial" w:eastAsia="Arial" w:hAnsi="Arial"/>
          <w:sz w:val="15"/>
          <w:szCs w:val="15"/>
          <w:color w:val="auto"/>
        </w:rPr>
        <w:t>currency restrictions and volatility in countries in which we operate or plan to operate;</w:t>
      </w:r>
    </w:p>
    <w:p>
      <w:pPr>
        <w:spacing w:after="0" w:line="11" w:lineRule="exact"/>
        <w:rPr>
          <w:rFonts w:ascii="Arial" w:cs="Arial" w:eastAsia="Arial" w:hAnsi="Arial"/>
          <w:sz w:val="15"/>
          <w:szCs w:val="15"/>
          <w:color w:val="auto"/>
        </w:rPr>
      </w:pPr>
    </w:p>
    <w:p>
      <w:pPr>
        <w:ind w:left="820" w:hanging="278"/>
        <w:spacing w:after="0"/>
        <w:tabs>
          <w:tab w:leader="none" w:pos="820" w:val="left"/>
        </w:tabs>
        <w:numPr>
          <w:ilvl w:val="1"/>
          <w:numId w:val="2"/>
        </w:numPr>
        <w:rPr>
          <w:rFonts w:ascii="Arial" w:cs="Arial" w:eastAsia="Arial" w:hAnsi="Arial"/>
          <w:sz w:val="15"/>
          <w:szCs w:val="15"/>
          <w:color w:val="auto"/>
        </w:rPr>
      </w:pPr>
      <w:r>
        <w:rPr>
          <w:rFonts w:ascii="Arial" w:cs="Arial" w:eastAsia="Arial" w:hAnsi="Arial"/>
          <w:sz w:val="15"/>
          <w:szCs w:val="15"/>
          <w:color w:val="auto"/>
        </w:rPr>
        <w:t>consumer fraud and other risks relating to the authenticity of customers’ orders;</w:t>
      </w:r>
    </w:p>
    <w:p>
      <w:pPr>
        <w:spacing w:after="0" w:line="11" w:lineRule="exact"/>
        <w:rPr>
          <w:rFonts w:ascii="Arial" w:cs="Arial" w:eastAsia="Arial" w:hAnsi="Arial"/>
          <w:sz w:val="15"/>
          <w:szCs w:val="15"/>
          <w:color w:val="auto"/>
        </w:rPr>
      </w:pPr>
    </w:p>
    <w:p>
      <w:pPr>
        <w:ind w:left="820" w:hanging="278"/>
        <w:spacing w:after="0"/>
        <w:tabs>
          <w:tab w:leader="none" w:pos="820" w:val="left"/>
        </w:tabs>
        <w:numPr>
          <w:ilvl w:val="1"/>
          <w:numId w:val="2"/>
        </w:numPr>
        <w:rPr>
          <w:rFonts w:ascii="Arial" w:cs="Arial" w:eastAsia="Arial" w:hAnsi="Arial"/>
          <w:sz w:val="15"/>
          <w:szCs w:val="15"/>
          <w:color w:val="auto"/>
        </w:rPr>
      </w:pPr>
      <w:r>
        <w:rPr>
          <w:rFonts w:ascii="Arial" w:cs="Arial" w:eastAsia="Arial" w:hAnsi="Arial"/>
          <w:sz w:val="15"/>
          <w:szCs w:val="15"/>
          <w:color w:val="auto"/>
        </w:rPr>
        <w:t>changes in immigration laws and their enforcement;</w:t>
      </w:r>
    </w:p>
    <w:p>
      <w:pPr>
        <w:spacing w:after="0" w:line="11" w:lineRule="exact"/>
        <w:rPr>
          <w:rFonts w:ascii="Arial" w:cs="Arial" w:eastAsia="Arial" w:hAnsi="Arial"/>
          <w:sz w:val="15"/>
          <w:szCs w:val="15"/>
          <w:color w:val="auto"/>
        </w:rPr>
      </w:pPr>
    </w:p>
    <w:p>
      <w:pPr>
        <w:ind w:left="820" w:hanging="278"/>
        <w:spacing w:after="0"/>
        <w:tabs>
          <w:tab w:leader="none" w:pos="820" w:val="left"/>
        </w:tabs>
        <w:numPr>
          <w:ilvl w:val="1"/>
          <w:numId w:val="2"/>
        </w:numPr>
        <w:rPr>
          <w:rFonts w:ascii="Arial" w:cs="Arial" w:eastAsia="Arial" w:hAnsi="Arial"/>
          <w:sz w:val="15"/>
          <w:szCs w:val="15"/>
          <w:color w:val="auto"/>
        </w:rPr>
      </w:pPr>
      <w:r>
        <w:rPr>
          <w:rFonts w:ascii="Arial" w:cs="Arial" w:eastAsia="Arial" w:hAnsi="Arial"/>
          <w:sz w:val="15"/>
          <w:szCs w:val="15"/>
          <w:color w:val="auto"/>
        </w:rPr>
        <w:t>our ability to protect intellectual property rights;</w:t>
      </w:r>
    </w:p>
    <w:p>
      <w:pPr>
        <w:spacing w:after="0" w:line="11" w:lineRule="exact"/>
        <w:rPr>
          <w:rFonts w:ascii="Arial" w:cs="Arial" w:eastAsia="Arial" w:hAnsi="Arial"/>
          <w:sz w:val="15"/>
          <w:szCs w:val="15"/>
          <w:color w:val="auto"/>
        </w:rPr>
      </w:pPr>
    </w:p>
    <w:p>
      <w:pPr>
        <w:ind w:left="820" w:hanging="278"/>
        <w:spacing w:after="0"/>
        <w:tabs>
          <w:tab w:leader="none" w:pos="820" w:val="left"/>
        </w:tabs>
        <w:numPr>
          <w:ilvl w:val="1"/>
          <w:numId w:val="2"/>
        </w:numPr>
        <w:rPr>
          <w:rFonts w:ascii="Arial" w:cs="Arial" w:eastAsia="Arial" w:hAnsi="Arial"/>
          <w:sz w:val="15"/>
          <w:szCs w:val="15"/>
          <w:color w:val="auto"/>
        </w:rPr>
      </w:pPr>
      <w:r>
        <w:rPr>
          <w:rFonts w:ascii="Arial" w:cs="Arial" w:eastAsia="Arial" w:hAnsi="Arial"/>
          <w:sz w:val="15"/>
          <w:szCs w:val="15"/>
          <w:color w:val="auto"/>
        </w:rPr>
        <w:t>our ability to recruit and retain key personnel; and</w:t>
      </w:r>
    </w:p>
    <w:p>
      <w:pPr>
        <w:spacing w:after="0" w:line="11" w:lineRule="exact"/>
        <w:rPr>
          <w:rFonts w:ascii="Arial" w:cs="Arial" w:eastAsia="Arial" w:hAnsi="Arial"/>
          <w:sz w:val="15"/>
          <w:szCs w:val="15"/>
          <w:color w:val="auto"/>
        </w:rPr>
      </w:pPr>
    </w:p>
    <w:p>
      <w:pPr>
        <w:jc w:val="both"/>
        <w:ind w:left="540" w:hanging="273"/>
        <w:spacing w:after="0" w:line="263" w:lineRule="auto"/>
        <w:tabs>
          <w:tab w:leader="none" w:pos="536" w:val="left"/>
        </w:tabs>
        <w:numPr>
          <w:ilvl w:val="0"/>
          <w:numId w:val="2"/>
        </w:numPr>
        <w:rPr>
          <w:rFonts w:ascii="Arial" w:cs="Arial" w:eastAsia="Arial" w:hAnsi="Arial"/>
          <w:sz w:val="15"/>
          <w:szCs w:val="15"/>
          <w:color w:val="auto"/>
        </w:rPr>
      </w:pPr>
      <w:r>
        <w:rPr>
          <w:rFonts w:ascii="Arial" w:cs="Arial" w:eastAsia="Arial" w:hAnsi="Arial"/>
          <w:sz w:val="15"/>
          <w:szCs w:val="15"/>
          <w:color w:val="auto"/>
        </w:rPr>
        <w:t>other economic, business and/or competitive factors, risks and uncertainties, including those described in the “</w:t>
      </w:r>
      <w:r>
        <w:rPr>
          <w:rFonts w:ascii="Arial" w:cs="Arial" w:eastAsia="Arial" w:hAnsi="Arial"/>
          <w:sz w:val="15"/>
          <w:szCs w:val="15"/>
          <w:i w:val="1"/>
          <w:iCs w:val="1"/>
          <w:color w:val="auto"/>
        </w:rPr>
        <w:t>Risk Factors</w:t>
      </w:r>
      <w:r>
        <w:rPr>
          <w:rFonts w:ascii="Arial" w:cs="Arial" w:eastAsia="Arial" w:hAnsi="Arial"/>
          <w:sz w:val="15"/>
          <w:szCs w:val="15"/>
          <w:color w:val="auto"/>
        </w:rPr>
        <w:t>” and “</w:t>
      </w:r>
      <w:r>
        <w:rPr>
          <w:rFonts w:ascii="Arial" w:cs="Arial" w:eastAsia="Arial" w:hAnsi="Arial"/>
          <w:sz w:val="15"/>
          <w:szCs w:val="15"/>
          <w:i w:val="1"/>
          <w:iCs w:val="1"/>
          <w:color w:val="auto"/>
        </w:rPr>
        <w:t>Management’s Discussion and Analysis of</w:t>
      </w:r>
      <w:r>
        <w:rPr>
          <w:rFonts w:ascii="Arial" w:cs="Arial" w:eastAsia="Arial" w:hAnsi="Arial"/>
          <w:sz w:val="15"/>
          <w:szCs w:val="15"/>
          <w:color w:val="auto"/>
        </w:rPr>
        <w:t xml:space="preserve"> </w:t>
      </w:r>
      <w:r>
        <w:rPr>
          <w:rFonts w:ascii="Arial" w:cs="Arial" w:eastAsia="Arial" w:hAnsi="Arial"/>
          <w:sz w:val="15"/>
          <w:szCs w:val="15"/>
          <w:i w:val="1"/>
          <w:iCs w:val="1"/>
          <w:color w:val="auto"/>
        </w:rPr>
        <w:t>Financial Condition and Results of Operations</w:t>
      </w:r>
      <w:r>
        <w:rPr>
          <w:rFonts w:ascii="Arial" w:cs="Arial" w:eastAsia="Arial" w:hAnsi="Arial"/>
          <w:sz w:val="15"/>
          <w:szCs w:val="15"/>
          <w:color w:val="auto"/>
        </w:rPr>
        <w:t>” sections of this Annual Report on Form 10-K, as well as any additional risk factors that may be described herein in our other</w:t>
      </w:r>
      <w:r>
        <w:rPr>
          <w:rFonts w:ascii="Arial" w:cs="Arial" w:eastAsia="Arial" w:hAnsi="Arial"/>
          <w:sz w:val="15"/>
          <w:szCs w:val="15"/>
          <w:i w:val="1"/>
          <w:iCs w:val="1"/>
          <w:color w:val="auto"/>
        </w:rPr>
        <w:t xml:space="preserve"> </w:t>
      </w:r>
      <w:r>
        <w:rPr>
          <w:rFonts w:ascii="Arial" w:cs="Arial" w:eastAsia="Arial" w:hAnsi="Arial"/>
          <w:sz w:val="15"/>
          <w:szCs w:val="15"/>
          <w:color w:val="auto"/>
        </w:rPr>
        <w:t>filings with the SEC from time to time.</w:t>
      </w:r>
    </w:p>
    <w:p>
      <w:pPr>
        <w:spacing w:after="0" w:line="156" w:lineRule="exact"/>
        <w:rPr>
          <w:sz w:val="20"/>
          <w:szCs w:val="20"/>
          <w:color w:val="auto"/>
        </w:rPr>
      </w:pPr>
    </w:p>
    <w:p>
      <w:pPr>
        <w:jc w:val="both"/>
        <w:ind w:firstLine="275"/>
        <w:spacing w:after="0" w:line="218" w:lineRule="auto"/>
        <w:rPr>
          <w:sz w:val="20"/>
          <w:szCs w:val="20"/>
          <w:color w:val="auto"/>
        </w:rPr>
      </w:pPr>
      <w:r>
        <w:rPr>
          <w:rFonts w:ascii="Arial" w:cs="Arial" w:eastAsia="Arial" w:hAnsi="Arial"/>
          <w:sz w:val="15"/>
          <w:szCs w:val="15"/>
          <w:color w:val="auto"/>
        </w:rPr>
        <w:t>Accordingly, there is no assurance that our expectations will, in fact, occur or that our estimates or assumptions will be correct, and we caution investors and all others not to place undue reliance on such forward-looking statements. The forward-looking statements included herein are only made as of the date of this Annual Report on Form 10-K. We undertake no obligation to update or revise any forward-looking statements, whether as a result of new information, future events or otherwise.</w:t>
      </w:r>
    </w:p>
    <w:p>
      <w:pPr>
        <w:spacing w:after="0" w:line="1"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168275</wp:posOffset>
            </wp:positionV>
            <wp:extent cx="717804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 w:name="page4"/>
    <w:bookmarkEnd w:id="3"/>
    <w:p>
      <w:pPr>
        <w:ind w:left="8"/>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0" w:lineRule="exact"/>
        <w:rPr>
          <w:sz w:val="20"/>
          <w:szCs w:val="20"/>
          <w:color w:val="auto"/>
        </w:rPr>
      </w:pPr>
    </w:p>
    <w:p>
      <w:pPr>
        <w:ind w:left="8"/>
        <w:spacing w:after="0"/>
        <w:tabs>
          <w:tab w:leader="none" w:pos="688"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95"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Overview</w:t>
      </w:r>
    </w:p>
    <w:p>
      <w:pPr>
        <w:spacing w:after="0" w:line="199" w:lineRule="exact"/>
        <w:rPr>
          <w:sz w:val="20"/>
          <w:szCs w:val="20"/>
          <w:color w:val="auto"/>
        </w:rPr>
      </w:pPr>
    </w:p>
    <w:p>
      <w:pPr>
        <w:jc w:val="both"/>
        <w:ind w:left="8" w:firstLine="275"/>
        <w:spacing w:after="0" w:line="259" w:lineRule="auto"/>
        <w:rPr>
          <w:sz w:val="20"/>
          <w:szCs w:val="20"/>
          <w:color w:val="auto"/>
        </w:rPr>
      </w:pPr>
      <w:r>
        <w:rPr>
          <w:rFonts w:ascii="Arial" w:cs="Arial" w:eastAsia="Arial" w:hAnsi="Arial"/>
          <w:sz w:val="15"/>
          <w:szCs w:val="15"/>
          <w:color w:val="auto"/>
        </w:rPr>
        <w:t>International Money Express, Inc. (the “Company” or “Intermex”) is a leading omnichannel money remittance services company focused primarily on the United States of America (“United States” or “U.S.”) to Latin America and the Caribbean (“LAC”) corridor, which includes Mexico, Central and South America and the Caribbean. In recent years, we expanded our services to allow remittances to Africa and Asia from the United States and also began offering sending services from Canada to Latin America and Africa. We utilize our proprietary technology to deliver convenient, reliable and value-added services to our customers through a broad network of sending and paying agents. Our remittance services, which include a comprehensive suite of ancillary financial processing solutions and payment services, are available in all 50 states in the U.S., Washington D.C., Puerto Rico and 13 provinces in Canada, where customers can send money to beneficiaries in 17 LAC countries, eight countries in Africa and two countries in Asia. Our services are accessible in person through over 100,000 sending and paying agents and Company-operated stores, as well as online and via Internet-enabled mobile devices. Additionally, our product and service portfolio includes online payment options, pre-paid debit cards and direct deposit payroll cards, which may present different cost, demand, regulatory and risk profiles relative to our core money remittance business.</w:t>
      </w:r>
    </w:p>
    <w:p>
      <w:pPr>
        <w:spacing w:after="0" w:line="160" w:lineRule="exact"/>
        <w:rPr>
          <w:sz w:val="20"/>
          <w:szCs w:val="20"/>
          <w:color w:val="auto"/>
        </w:rPr>
      </w:pPr>
    </w:p>
    <w:p>
      <w:pPr>
        <w:jc w:val="both"/>
        <w:ind w:left="8" w:firstLine="275"/>
        <w:spacing w:after="0" w:line="281" w:lineRule="auto"/>
        <w:rPr>
          <w:sz w:val="20"/>
          <w:szCs w:val="20"/>
          <w:color w:val="auto"/>
        </w:rPr>
      </w:pPr>
      <w:r>
        <w:rPr>
          <w:rFonts w:ascii="Arial" w:cs="Arial" w:eastAsia="Arial" w:hAnsi="Arial"/>
          <w:sz w:val="14"/>
          <w:szCs w:val="14"/>
          <w:color w:val="auto"/>
        </w:rPr>
        <w:t>Money remittance services to LAC countries, primarily Mexico and Guatemala, are the primary source of our revenue. These services involve the movement of funds on behalf of an originating customer for receipt by a designated beneficiary at a designated receiving location. Our remittances to LAC countries are primarily generated in the United States by customers with roots in Latin American and Caribbean countries, many of whom do not have an existing relationship with a traditional full-service financial institution capable of providing the services we offer. We provide these customers with flexibility and convenience to help them meet their financial needs. We believe many of our customers who use our services may have access to traditional banking services, but prefer to use our services based on reliability, convenience and value. We generate money remittance revenue from fees paid by our customers (i.e., the senders of funds), which we share with our sending agents in the originating country and our paying agents in the destination country. Remittances paid in local currencies that are not pegged to the U.S. dollar also generate revenue as a result of our daily management of currency exchange spreads.</w:t>
      </w:r>
    </w:p>
    <w:p>
      <w:pPr>
        <w:spacing w:after="0" w:line="149" w:lineRule="exact"/>
        <w:rPr>
          <w:sz w:val="20"/>
          <w:szCs w:val="20"/>
          <w:color w:val="auto"/>
        </w:rPr>
      </w:pPr>
    </w:p>
    <w:p>
      <w:pPr>
        <w:jc w:val="both"/>
        <w:ind w:left="8" w:firstLine="275"/>
        <w:spacing w:after="0" w:line="283" w:lineRule="auto"/>
        <w:rPr>
          <w:sz w:val="20"/>
          <w:szCs w:val="20"/>
          <w:color w:val="auto"/>
        </w:rPr>
      </w:pPr>
      <w:r>
        <w:rPr>
          <w:rFonts w:ascii="Arial" w:cs="Arial" w:eastAsia="Arial" w:hAnsi="Arial"/>
          <w:sz w:val="14"/>
          <w:szCs w:val="14"/>
          <w:color w:val="auto"/>
        </w:rPr>
        <w:t>Our money remittance services enable our customers to send funds through our broad network of locations in the United States and Canada that are primarily operated by third-party businesses, as well as through 36 Company-operated stores. Transactions are processed and payments are collected by our agent (“sending agent(s)”) and those funds become available for pickup by the beneficiary at the designated destination, usually within minutes, at any Intermex payer location (“paying agent(s)”). We refer to our sending agents and our paying agents collectively as agents. In addition, our services are offered digitally through Intermexonline.com and via Internet-enabled mobile devices. Since January 2019 through December 31, 2021, we have grown our agent network by approximately 35.2% and increased our remittance transactions volume by more than 65.5%. In 2021, we processed approximately 40.1 million remittances, representing over 25.4% growth in transactions as compared to 2020.</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Our Competitive Strengths</w:t>
      </w:r>
    </w:p>
    <w:p>
      <w:pPr>
        <w:spacing w:after="0" w:line="199" w:lineRule="exact"/>
        <w:rPr>
          <w:sz w:val="20"/>
          <w:szCs w:val="20"/>
          <w:color w:val="auto"/>
        </w:rPr>
      </w:pPr>
    </w:p>
    <w:p>
      <w:pPr>
        <w:jc w:val="both"/>
        <w:ind w:left="268" w:hanging="268"/>
        <w:spacing w:after="0" w:line="265" w:lineRule="auto"/>
        <w:tabs>
          <w:tab w:leader="none" w:pos="264"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 xml:space="preserve">Primary focus on the LAC corridor. </w:t>
      </w:r>
      <w:r>
        <w:rPr>
          <w:rFonts w:ascii="Arial" w:cs="Arial" w:eastAsia="Arial" w:hAnsi="Arial"/>
          <w:sz w:val="15"/>
          <w:szCs w:val="15"/>
          <w:color w:val="auto"/>
        </w:rPr>
        <w:t>Unlike many of our competitors, who we believe prioritize global reach over growth and profitability, we are focused on a few geographical</w:t>
      </w:r>
      <w:r>
        <w:rPr>
          <w:rFonts w:ascii="Arial" w:cs="Arial" w:eastAsia="Arial" w:hAnsi="Arial"/>
          <w:sz w:val="15"/>
          <w:szCs w:val="15"/>
          <w:i w:val="1"/>
          <w:iCs w:val="1"/>
          <w:color w:val="auto"/>
        </w:rPr>
        <w:t xml:space="preserve"> </w:t>
      </w:r>
      <w:r>
        <w:rPr>
          <w:rFonts w:ascii="Arial" w:cs="Arial" w:eastAsia="Arial" w:hAnsi="Arial"/>
          <w:sz w:val="15"/>
          <w:szCs w:val="15"/>
          <w:color w:val="auto"/>
        </w:rPr>
        <w:t>regions in which there is a concentration of a significant portion of the world’s money remittance volume. We believe the LAC corridor provides an attractive operating environment with significant opportunity for future growth. According to latest available data published by the World Bank, the LAC corridor continues to be the most rapidly growing remittance corridor in the world.</w:t>
      </w:r>
    </w:p>
    <w:p>
      <w:pPr>
        <w:spacing w:after="0" w:line="155" w:lineRule="exact"/>
        <w:rPr>
          <w:rFonts w:ascii="Arial" w:cs="Arial" w:eastAsia="Arial" w:hAnsi="Arial"/>
          <w:sz w:val="15"/>
          <w:szCs w:val="15"/>
          <w:color w:val="auto"/>
        </w:rPr>
      </w:pPr>
    </w:p>
    <w:p>
      <w:pPr>
        <w:jc w:val="both"/>
        <w:ind w:left="268" w:hanging="268"/>
        <w:spacing w:after="0" w:line="262" w:lineRule="auto"/>
        <w:tabs>
          <w:tab w:leader="none" w:pos="264"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 xml:space="preserve">Highly scalable, proprietary software platform. </w:t>
      </w:r>
      <w:r>
        <w:rPr>
          <w:rFonts w:ascii="Arial" w:cs="Arial" w:eastAsia="Arial" w:hAnsi="Arial"/>
          <w:sz w:val="15"/>
          <w:szCs w:val="15"/>
          <w:color w:val="auto"/>
        </w:rPr>
        <w:t>We provide our money remittance services utilizing our internally developed proprietary software systems, which we believe</w:t>
      </w:r>
      <w:r>
        <w:rPr>
          <w:rFonts w:ascii="Arial" w:cs="Arial" w:eastAsia="Arial" w:hAnsi="Arial"/>
          <w:sz w:val="15"/>
          <w:szCs w:val="15"/>
          <w:i w:val="1"/>
          <w:iCs w:val="1"/>
          <w:color w:val="auto"/>
        </w:rPr>
        <w:t xml:space="preserve"> </w:t>
      </w:r>
      <w:r>
        <w:rPr>
          <w:rFonts w:ascii="Arial" w:cs="Arial" w:eastAsia="Arial" w:hAnsi="Arial"/>
          <w:sz w:val="15"/>
          <w:szCs w:val="15"/>
          <w:color w:val="auto"/>
        </w:rPr>
        <w:t>enhance the productivity of our network of agents, enabling them to quickly, reliably and cost-effectively process remittance transactions. Our proprietary software systems were designed to incorporate real-time compliance functionality, which improves our regulatory compliance and helps to minimize fraud. We have developed a platform that has the capacity to handle traffic well in excess of the number of transactions we currently process. Our money remittance platform has proven reliable, with our 2021 downtime being less than 0.05%.</w:t>
      </w:r>
    </w:p>
    <w:p>
      <w:pPr>
        <w:spacing w:after="0" w:line="159" w:lineRule="exact"/>
        <w:rPr>
          <w:rFonts w:ascii="Arial" w:cs="Arial" w:eastAsia="Arial" w:hAnsi="Arial"/>
          <w:sz w:val="15"/>
          <w:szCs w:val="15"/>
          <w:color w:val="auto"/>
        </w:rPr>
      </w:pPr>
    </w:p>
    <w:p>
      <w:pPr>
        <w:jc w:val="both"/>
        <w:ind w:left="268" w:hanging="268"/>
        <w:spacing w:after="0" w:line="265" w:lineRule="auto"/>
        <w:tabs>
          <w:tab w:leader="none" w:pos="264"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 xml:space="preserve">Highly selective agent recruitment process designed to identify productive long-term partners. </w:t>
      </w:r>
      <w:r>
        <w:rPr>
          <w:rFonts w:ascii="Arial" w:cs="Arial" w:eastAsia="Arial" w:hAnsi="Arial"/>
          <w:sz w:val="15"/>
          <w:szCs w:val="15"/>
          <w:color w:val="auto"/>
        </w:rPr>
        <w:t>We strategically target agents for our network only after a metric-based analysis of</w:t>
      </w:r>
      <w:r>
        <w:rPr>
          <w:rFonts w:ascii="Arial" w:cs="Arial" w:eastAsia="Arial" w:hAnsi="Arial"/>
          <w:sz w:val="15"/>
          <w:szCs w:val="15"/>
          <w:i w:val="1"/>
          <w:iCs w:val="1"/>
          <w:color w:val="auto"/>
        </w:rPr>
        <w:t xml:space="preserve"> </w:t>
      </w:r>
      <w:r>
        <w:rPr>
          <w:rFonts w:ascii="Arial" w:cs="Arial" w:eastAsia="Arial" w:hAnsi="Arial"/>
          <w:sz w:val="15"/>
          <w:szCs w:val="15"/>
          <w:color w:val="auto"/>
        </w:rPr>
        <w:t>potential productivity and a thorough vetting process. In our agent selection process, we focus on geographic locations that we believe are likely to have high customer volume and demand for our services. By closely monitoring individual agent performance and money remittance trends, we can offer our agents real-time technical support and marketing assistance to help increase their productivity and remittance volume.</w:t>
      </w:r>
    </w:p>
    <w:p>
      <w:pPr>
        <w:spacing w:after="0" w:line="155" w:lineRule="exact"/>
        <w:rPr>
          <w:rFonts w:ascii="Arial" w:cs="Arial" w:eastAsia="Arial" w:hAnsi="Arial"/>
          <w:sz w:val="15"/>
          <w:szCs w:val="15"/>
          <w:color w:val="auto"/>
        </w:rPr>
      </w:pPr>
    </w:p>
    <w:p>
      <w:pPr>
        <w:jc w:val="both"/>
        <w:ind w:left="268" w:hanging="268"/>
        <w:spacing w:after="0" w:line="298" w:lineRule="auto"/>
        <w:tabs>
          <w:tab w:leader="none" w:pos="264"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 xml:space="preserve">Strong relationships with major banks and financial institutions. </w:t>
      </w:r>
      <w:r>
        <w:rPr>
          <w:rFonts w:ascii="Arial" w:cs="Arial" w:eastAsia="Arial" w:hAnsi="Arial"/>
          <w:sz w:val="14"/>
          <w:szCs w:val="14"/>
          <w:color w:val="auto"/>
        </w:rPr>
        <w:t>Our relationships with clearing, check processing, trading and exchange rate and cash management banks are</w:t>
      </w:r>
      <w:r>
        <w:rPr>
          <w:rFonts w:ascii="Arial" w:cs="Arial" w:eastAsia="Arial" w:hAnsi="Arial"/>
          <w:sz w:val="14"/>
          <w:szCs w:val="14"/>
          <w:i w:val="1"/>
          <w:iCs w:val="1"/>
          <w:color w:val="auto"/>
        </w:rPr>
        <w:t xml:space="preserve"> </w:t>
      </w:r>
      <w:r>
        <w:rPr>
          <w:rFonts w:ascii="Arial" w:cs="Arial" w:eastAsia="Arial" w:hAnsi="Arial"/>
          <w:sz w:val="14"/>
          <w:szCs w:val="14"/>
          <w:color w:val="auto"/>
        </w:rPr>
        <w:t>critical to an efficient and reliable remittance network. We benefit from our strong and long-term relationships with a number of large banks and financial institutions. We maintain strong relationships with a number of other national and regional banking and financial institutions in the United States, Canada and Latin America. For example, we have</w:t>
      </w:r>
    </w:p>
    <w:p>
      <w:pPr>
        <w:spacing w:after="0" w:line="180"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7804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29" w:right="319" w:bottom="1440" w:gutter="0" w:footer="0" w:header="0"/>
        </w:sectPr>
      </w:pPr>
    </w:p>
    <w:bookmarkStart w:id="4" w:name="page5"/>
    <w:bookmarkEnd w:id="4"/>
    <w:p>
      <w:pPr>
        <w:ind w:left="8"/>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4" w:lineRule="exact"/>
        <w:rPr>
          <w:sz w:val="20"/>
          <w:szCs w:val="20"/>
          <w:color w:val="auto"/>
        </w:rPr>
      </w:pPr>
    </w:p>
    <w:p>
      <w:pPr>
        <w:jc w:val="both"/>
        <w:ind w:left="268"/>
        <w:spacing w:after="0" w:line="270" w:lineRule="auto"/>
        <w:rPr>
          <w:sz w:val="20"/>
          <w:szCs w:val="20"/>
          <w:color w:val="auto"/>
        </w:rPr>
      </w:pPr>
      <w:r>
        <w:rPr>
          <w:rFonts w:ascii="Arial" w:cs="Arial" w:eastAsia="Arial" w:hAnsi="Arial"/>
          <w:sz w:val="15"/>
          <w:szCs w:val="15"/>
          <w:color w:val="auto"/>
        </w:rPr>
        <w:t>maintained a long-term relationship with Wells Fargo, Bank of America and US Bank, among others. Due to increasing regulatory scrutiny of banks and financial institutions, we believe that new banking relationships may be difficult to develop for new, start-up competitors in the industry, hence creating a barrier to entry to new competition and making our existing relationships a competitive advantage.</w:t>
      </w:r>
    </w:p>
    <w:p>
      <w:pPr>
        <w:spacing w:after="0" w:line="152" w:lineRule="exact"/>
        <w:rPr>
          <w:sz w:val="20"/>
          <w:szCs w:val="20"/>
          <w:color w:val="auto"/>
        </w:rPr>
      </w:pPr>
    </w:p>
    <w:p>
      <w:pPr>
        <w:jc w:val="both"/>
        <w:ind w:left="268" w:hanging="268"/>
        <w:spacing w:after="0" w:line="261" w:lineRule="auto"/>
        <w:tabs>
          <w:tab w:leader="none" w:pos="264"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Powerful brand with strong consumer awareness and loyalty in the LAC corridor. </w:t>
      </w:r>
      <w:r>
        <w:rPr>
          <w:rFonts w:ascii="Arial" w:cs="Arial" w:eastAsia="Arial" w:hAnsi="Arial"/>
          <w:sz w:val="15"/>
          <w:szCs w:val="15"/>
          <w:color w:val="auto"/>
        </w:rPr>
        <w:t>We believe we are a leading money remittance provider from the United States to the LAC</w:t>
      </w:r>
      <w:r>
        <w:rPr>
          <w:rFonts w:ascii="Arial" w:cs="Arial" w:eastAsia="Arial" w:hAnsi="Arial"/>
          <w:sz w:val="15"/>
          <w:szCs w:val="15"/>
          <w:i w:val="1"/>
          <w:iCs w:val="1"/>
          <w:color w:val="auto"/>
        </w:rPr>
        <w:t xml:space="preserve"> </w:t>
      </w:r>
      <w:r>
        <w:rPr>
          <w:rFonts w:ascii="Arial" w:cs="Arial" w:eastAsia="Arial" w:hAnsi="Arial"/>
          <w:sz w:val="15"/>
          <w:szCs w:val="15"/>
          <w:color w:val="auto"/>
        </w:rPr>
        <w:t>corridor, processing 20.0% of the aggregate volume of remittances to Mexico according to the latest available data published by the Central Bank of Mexico in 2021 and 28.2% of the aggregate volume of remittances to Guatemala according to the latest available data published by the Central Bank of Guatemala in 2021. We believe that our customers associate the Intermex brand with reliability, strong customer service and the ability to safely and efficiently remit their funds. The information contained in this paragraph is based on “Revenues by Workers’ Remittances” published in the Central Bank of Mexico’s website and “Income from family remittance” published in the Central Bank of Guatemala’s website.</w:t>
      </w:r>
    </w:p>
    <w:p>
      <w:pPr>
        <w:spacing w:after="0" w:line="159" w:lineRule="exact"/>
        <w:rPr>
          <w:rFonts w:ascii="Arial" w:cs="Arial" w:eastAsia="Arial" w:hAnsi="Arial"/>
          <w:sz w:val="15"/>
          <w:szCs w:val="15"/>
          <w:color w:val="auto"/>
        </w:rPr>
      </w:pPr>
    </w:p>
    <w:p>
      <w:pPr>
        <w:jc w:val="both"/>
        <w:ind w:left="268" w:hanging="268"/>
        <w:spacing w:after="0" w:line="265" w:lineRule="auto"/>
        <w:tabs>
          <w:tab w:leader="none" w:pos="264"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Strong compliance processes and procedures. </w:t>
      </w:r>
      <w:r>
        <w:rPr>
          <w:rFonts w:ascii="Arial" w:cs="Arial" w:eastAsia="Arial" w:hAnsi="Arial"/>
          <w:sz w:val="15"/>
          <w:szCs w:val="15"/>
          <w:color w:val="auto"/>
        </w:rPr>
        <w:t>We operate in a highly-regulated environment and are reviewed by regulators and external auditors periodically. We maintain a</w:t>
      </w:r>
      <w:r>
        <w:rPr>
          <w:rFonts w:ascii="Arial" w:cs="Arial" w:eastAsia="Arial" w:hAnsi="Arial"/>
          <w:sz w:val="15"/>
          <w:szCs w:val="15"/>
          <w:i w:val="1"/>
          <w:iCs w:val="1"/>
          <w:color w:val="auto"/>
        </w:rPr>
        <w:t xml:space="preserve"> </w:t>
      </w:r>
      <w:r>
        <w:rPr>
          <w:rFonts w:ascii="Arial" w:cs="Arial" w:eastAsia="Arial" w:hAnsi="Arial"/>
          <w:sz w:val="15"/>
          <w:szCs w:val="15"/>
          <w:color w:val="auto"/>
        </w:rPr>
        <w:t>comprehensive and rigorous compliance process with policies, procedures and internal controls designed to exceed current regulatory requirements. Our software also includes embedded compliance systems that provide real-time transaction alerts and Office of Foreign Assets Control (“OFAC”) screening. Our risk and compliance management tools include programs by Equifax, Experian, LexisNexis and TransUnion, among others.</w:t>
      </w:r>
    </w:p>
    <w:p>
      <w:pPr>
        <w:spacing w:after="0" w:line="155" w:lineRule="exact"/>
        <w:rPr>
          <w:rFonts w:ascii="Arial" w:cs="Arial" w:eastAsia="Arial" w:hAnsi="Arial"/>
          <w:sz w:val="15"/>
          <w:szCs w:val="15"/>
          <w:color w:val="auto"/>
        </w:rPr>
      </w:pPr>
    </w:p>
    <w:p>
      <w:pPr>
        <w:ind w:left="268" w:hanging="268"/>
        <w:spacing w:after="0" w:line="323" w:lineRule="auto"/>
        <w:tabs>
          <w:tab w:leader="none" w:pos="264"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 xml:space="preserve">Experienced and proven management team. </w:t>
      </w:r>
      <w:r>
        <w:rPr>
          <w:rFonts w:ascii="Arial" w:cs="Arial" w:eastAsia="Arial" w:hAnsi="Arial"/>
          <w:sz w:val="14"/>
          <w:szCs w:val="14"/>
          <w:color w:val="auto"/>
        </w:rPr>
        <w:t>Our management team consists of industry veterans with a track record of achieving profitable growth. Our team is led by our Chief</w:t>
      </w:r>
      <w:r>
        <w:rPr>
          <w:rFonts w:ascii="Arial" w:cs="Arial" w:eastAsia="Arial" w:hAnsi="Arial"/>
          <w:sz w:val="14"/>
          <w:szCs w:val="14"/>
          <w:i w:val="1"/>
          <w:iCs w:val="1"/>
          <w:color w:val="auto"/>
        </w:rPr>
        <w:t xml:space="preserve"> </w:t>
      </w:r>
      <w:r>
        <w:rPr>
          <w:rFonts w:ascii="Arial" w:cs="Arial" w:eastAsia="Arial" w:hAnsi="Arial"/>
          <w:sz w:val="14"/>
          <w:szCs w:val="14"/>
          <w:color w:val="auto"/>
        </w:rPr>
        <w:t>Executive Officer and President, Robert Lisy, with a successful 30-plus year track record in the retail financial services and electronic payment processing industry.</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Our Growth Strategy</w:t>
      </w:r>
    </w:p>
    <w:p>
      <w:pPr>
        <w:spacing w:after="0" w:line="199" w:lineRule="exact"/>
        <w:rPr>
          <w:sz w:val="20"/>
          <w:szCs w:val="20"/>
          <w:color w:val="auto"/>
        </w:rPr>
      </w:pPr>
    </w:p>
    <w:p>
      <w:pPr>
        <w:ind w:left="268"/>
        <w:spacing w:after="0"/>
        <w:rPr>
          <w:sz w:val="20"/>
          <w:szCs w:val="20"/>
          <w:color w:val="auto"/>
        </w:rPr>
      </w:pPr>
      <w:r>
        <w:rPr>
          <w:rFonts w:ascii="Arial" w:cs="Arial" w:eastAsia="Arial" w:hAnsi="Arial"/>
          <w:sz w:val="15"/>
          <w:szCs w:val="15"/>
          <w:color w:val="auto"/>
        </w:rPr>
        <w:t>We believe we are well positioned to drive continued growth by executing on the following core strategies:</w:t>
      </w:r>
    </w:p>
    <w:p>
      <w:pPr>
        <w:spacing w:after="0" w:line="195" w:lineRule="exact"/>
        <w:rPr>
          <w:sz w:val="20"/>
          <w:szCs w:val="20"/>
          <w:color w:val="auto"/>
        </w:rPr>
      </w:pPr>
    </w:p>
    <w:p>
      <w:pPr>
        <w:jc w:val="both"/>
        <w:ind w:left="268" w:hanging="268"/>
        <w:spacing w:after="0" w:line="261" w:lineRule="auto"/>
        <w:tabs>
          <w:tab w:leader="none" w:pos="264"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Expand our market share in our largest corridors</w:t>
      </w:r>
      <w:r>
        <w:rPr>
          <w:rFonts w:ascii="Arial" w:cs="Arial" w:eastAsia="Arial" w:hAnsi="Arial"/>
          <w:sz w:val="15"/>
          <w:szCs w:val="15"/>
          <w:color w:val="auto"/>
        </w:rPr>
        <w:t>. The two largest remittance corridors we serve are the United States to Mexico and United States to Guatemala. According to the</w:t>
      </w:r>
      <w:r>
        <w:rPr>
          <w:rFonts w:ascii="Arial" w:cs="Arial" w:eastAsia="Arial" w:hAnsi="Arial"/>
          <w:sz w:val="15"/>
          <w:szCs w:val="15"/>
          <w:i w:val="1"/>
          <w:iCs w:val="1"/>
          <w:color w:val="auto"/>
        </w:rPr>
        <w:t xml:space="preserve"> </w:t>
      </w:r>
      <w:r>
        <w:rPr>
          <w:rFonts w:ascii="Arial" w:cs="Arial" w:eastAsia="Arial" w:hAnsi="Arial"/>
          <w:sz w:val="15"/>
          <w:szCs w:val="15"/>
          <w:color w:val="auto"/>
        </w:rPr>
        <w:t>latest available data in the World Bank Remittance Matrix, the United States to Mexico remittance continues to be one of the largest in the world. We aim to continue to expand our market share in those states where we are currently well-established and poised for continued profitable growth within those markets via targeted regional penetration. We believe that we can leverage our current customer data to increase repeat customer usage, track and effectively recapture one-time users of our service and improve sending agent productivity to drive growth in these states. We are also staging a targeted marketing effort to realize significantly increased market share growth in large states where we are underrepresented.</w:t>
      </w:r>
    </w:p>
    <w:p>
      <w:pPr>
        <w:spacing w:after="0" w:line="159" w:lineRule="exact"/>
        <w:rPr>
          <w:rFonts w:ascii="Arial" w:cs="Arial" w:eastAsia="Arial" w:hAnsi="Arial"/>
          <w:sz w:val="15"/>
          <w:szCs w:val="15"/>
          <w:color w:val="auto"/>
        </w:rPr>
      </w:pPr>
    </w:p>
    <w:p>
      <w:pPr>
        <w:jc w:val="both"/>
        <w:ind w:left="268" w:hanging="268"/>
        <w:spacing w:after="0" w:line="261" w:lineRule="auto"/>
        <w:tabs>
          <w:tab w:leader="none" w:pos="264"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Expand our services into new corridors and emerging markets. </w:t>
      </w:r>
      <w:r>
        <w:rPr>
          <w:rFonts w:ascii="Arial" w:cs="Arial" w:eastAsia="Arial" w:hAnsi="Arial"/>
          <w:sz w:val="15"/>
          <w:szCs w:val="15"/>
          <w:color w:val="auto"/>
        </w:rPr>
        <w:t>We believe that there is significant room to grow our business in underserved geographic regions in the LAC</w:t>
      </w:r>
      <w:r>
        <w:rPr>
          <w:rFonts w:ascii="Arial" w:cs="Arial" w:eastAsia="Arial" w:hAnsi="Arial"/>
          <w:sz w:val="15"/>
          <w:szCs w:val="15"/>
          <w:i w:val="1"/>
          <w:iCs w:val="1"/>
          <w:color w:val="auto"/>
        </w:rPr>
        <w:t xml:space="preserve"> </w:t>
      </w:r>
      <w:r>
        <w:rPr>
          <w:rFonts w:ascii="Arial" w:cs="Arial" w:eastAsia="Arial" w:hAnsi="Arial"/>
          <w:sz w:val="15"/>
          <w:szCs w:val="15"/>
          <w:color w:val="auto"/>
        </w:rPr>
        <w:t>corridor where there is demand from customers and agents for our value-added approach to money remittances. Specifically, we are targeting future growth opportunities via new corridors from the United States to other non-Spanish speaking regions, including the Caribbean and other continents. In recent years, we expanded our services to allow remittances to Africa and Asia from the United States and also began offering sending services from Canada to Latin America and Africa. In 2021, we achieved strong 32.7% growth in remittance transactions to our emerging markets compared to 2020. Our emerging markets include Dominican Republic, Colombia, Ecuador and Nicaragua, among others.</w:t>
      </w:r>
    </w:p>
    <w:p>
      <w:pPr>
        <w:spacing w:after="0" w:line="159" w:lineRule="exact"/>
        <w:rPr>
          <w:rFonts w:ascii="Arial" w:cs="Arial" w:eastAsia="Arial" w:hAnsi="Arial"/>
          <w:sz w:val="15"/>
          <w:szCs w:val="15"/>
          <w:color w:val="auto"/>
        </w:rPr>
      </w:pPr>
    </w:p>
    <w:p>
      <w:pPr>
        <w:jc w:val="both"/>
        <w:ind w:left="268" w:hanging="268"/>
        <w:spacing w:after="0" w:line="290" w:lineRule="auto"/>
        <w:tabs>
          <w:tab w:leader="none" w:pos="264"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 xml:space="preserve">Continue to grow online and mobile remittance channels. </w:t>
      </w:r>
      <w:r>
        <w:rPr>
          <w:rFonts w:ascii="Arial" w:cs="Arial" w:eastAsia="Arial" w:hAnsi="Arial"/>
          <w:sz w:val="14"/>
          <w:szCs w:val="14"/>
          <w:color w:val="auto"/>
        </w:rPr>
        <w:t>Our money remittance platform currently enables our customers to send funds from the United States to the LAC</w:t>
      </w:r>
      <w:r>
        <w:rPr>
          <w:rFonts w:ascii="Arial" w:cs="Arial" w:eastAsia="Arial" w:hAnsi="Arial"/>
          <w:sz w:val="14"/>
          <w:szCs w:val="14"/>
          <w:i w:val="1"/>
          <w:iCs w:val="1"/>
          <w:color w:val="auto"/>
        </w:rPr>
        <w:t xml:space="preserve"> </w:t>
      </w:r>
      <w:r>
        <w:rPr>
          <w:rFonts w:ascii="Arial" w:cs="Arial" w:eastAsia="Arial" w:hAnsi="Arial"/>
          <w:sz w:val="14"/>
          <w:szCs w:val="14"/>
          <w:color w:val="auto"/>
        </w:rPr>
        <w:t>corridor and Africa through the Internet via Intermexonline.com and on their Internet-enabled mobile devices. Also, our enhanced digital mobile money remittance application provides customers with safe, easy-to-use features for remitting funds. We believe these channels not only expand our potential customer base as digital transaction capabilities become more relevant to LAC consumers but also benefit from secular and demographic trends as consumers continue to migrate to conducting financial transactions online.</w:t>
      </w:r>
    </w:p>
    <w:p>
      <w:pPr>
        <w:spacing w:after="0" w:line="162" w:lineRule="exact"/>
        <w:rPr>
          <w:rFonts w:ascii="Arial" w:cs="Arial" w:eastAsia="Arial" w:hAnsi="Arial"/>
          <w:sz w:val="14"/>
          <w:szCs w:val="14"/>
          <w:color w:val="auto"/>
        </w:rPr>
      </w:pPr>
    </w:p>
    <w:p>
      <w:pPr>
        <w:ind w:left="268" w:hanging="268"/>
        <w:spacing w:after="0" w:line="285" w:lineRule="auto"/>
        <w:tabs>
          <w:tab w:leader="none" w:pos="264"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Leverage our technology in the business-to-business market. </w:t>
      </w:r>
      <w:r>
        <w:rPr>
          <w:rFonts w:ascii="Arial" w:cs="Arial" w:eastAsia="Arial" w:hAnsi="Arial"/>
          <w:sz w:val="15"/>
          <w:szCs w:val="15"/>
          <w:color w:val="auto"/>
        </w:rPr>
        <w:t>We believe that our money remittance platform has significant excess capacity. We believe we can leverage this</w:t>
      </w:r>
      <w:r>
        <w:rPr>
          <w:rFonts w:ascii="Arial" w:cs="Arial" w:eastAsia="Arial" w:hAnsi="Arial"/>
          <w:sz w:val="15"/>
          <w:szCs w:val="15"/>
          <w:i w:val="1"/>
          <w:iCs w:val="1"/>
          <w:color w:val="auto"/>
        </w:rPr>
        <w:t xml:space="preserve"> </w:t>
      </w:r>
      <w:r>
        <w:rPr>
          <w:rFonts w:ascii="Arial" w:cs="Arial" w:eastAsia="Arial" w:hAnsi="Arial"/>
          <w:sz w:val="15"/>
          <w:szCs w:val="15"/>
          <w:color w:val="auto"/>
        </w:rPr>
        <w:t>capacity to sell business-to-business solutions to third parties, such as banks and major retailers.</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Segments</w:t>
      </w:r>
    </w:p>
    <w:p>
      <w:pPr>
        <w:spacing w:after="0" w:line="199" w:lineRule="exact"/>
        <w:rPr>
          <w:sz w:val="20"/>
          <w:szCs w:val="20"/>
          <w:color w:val="auto"/>
        </w:rPr>
      </w:pPr>
    </w:p>
    <w:p>
      <w:pPr>
        <w:jc w:val="both"/>
        <w:ind w:left="8" w:firstLine="275"/>
        <w:spacing w:after="0" w:line="265" w:lineRule="auto"/>
        <w:rPr>
          <w:sz w:val="20"/>
          <w:szCs w:val="20"/>
          <w:color w:val="auto"/>
        </w:rPr>
      </w:pPr>
      <w:r>
        <w:rPr>
          <w:rFonts w:ascii="Arial" w:cs="Arial" w:eastAsia="Arial" w:hAnsi="Arial"/>
          <w:sz w:val="15"/>
          <w:szCs w:val="15"/>
          <w:color w:val="auto"/>
        </w:rPr>
        <w:t>Our business is organized around one reportable segment that provides money remittance services primarily between the U.S. and Canada to Mexico, Guatemala and other countries in Latin America, Africa and Asia through a network of authorized agents located in various unaffiliated retail establishments and 36 Company-operated stores throughout the U.S. and Canada. This is based on the objectives of the business and how our chief operating decision maker, the CEO and President, monitors operating performance and allocates resources.</w:t>
      </w:r>
    </w:p>
    <w:p>
      <w:pPr>
        <w:spacing w:after="0" w:line="18"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7804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29" w:right="319" w:bottom="1440" w:gutter="0" w:footer="0" w:header="0"/>
        </w:sectPr>
      </w:pPr>
    </w:p>
    <w:bookmarkStart w:id="5" w:name="page6"/>
    <w:bookmarkEnd w:id="5"/>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Operations and Services</w:t>
      </w:r>
    </w:p>
    <w:p>
      <w:pPr>
        <w:spacing w:after="0" w:line="199" w:lineRule="exact"/>
        <w:rPr>
          <w:sz w:val="20"/>
          <w:szCs w:val="20"/>
          <w:color w:val="auto"/>
        </w:rPr>
      </w:pPr>
    </w:p>
    <w:p>
      <w:pPr>
        <w:jc w:val="both"/>
        <w:ind w:firstLine="275"/>
        <w:spacing w:after="0" w:line="281" w:lineRule="auto"/>
        <w:rPr>
          <w:sz w:val="20"/>
          <w:szCs w:val="20"/>
          <w:color w:val="auto"/>
        </w:rPr>
      </w:pPr>
      <w:r>
        <w:rPr>
          <w:rFonts w:ascii="Arial" w:cs="Arial" w:eastAsia="Arial" w:hAnsi="Arial"/>
          <w:sz w:val="14"/>
          <w:szCs w:val="14"/>
          <w:color w:val="auto"/>
        </w:rPr>
        <w:t>Money remittance services to LAC countries, primarily Mexico and Guatemala, are the primary source of our revenue. These services involve the movement of funds on behalf of an originating customer for receipt by a designated beneficiary at a designated receiving location. Our remittances to LAC countries are primarily generated in the United States by customers with roots in Latin American and Caribbean countries, many of whom do not have an existing relationship with a traditional full-service financial institution capable of providing the services we offer. We provide these customers with flexibility and convenience to help them meet their financial needs. We believe many of our customers who use our services may have access to traditional banking services, but prefer to use our services based on reliability, convenience and value. We generate money remittance revenue from fees paid by our customers (i.e., the senders of funds), which we share with our sending agents in the originating country and our paying agents in the destination country. Remittances paid in local currencies that are not pegged to the U.S. dollar also earn revenue through our daily management of currency exchange spreads.</w:t>
      </w:r>
    </w:p>
    <w:p>
      <w:pPr>
        <w:spacing w:after="0" w:line="149" w:lineRule="exact"/>
        <w:rPr>
          <w:sz w:val="20"/>
          <w:szCs w:val="20"/>
          <w:color w:val="auto"/>
        </w:rPr>
      </w:pPr>
    </w:p>
    <w:p>
      <w:pPr>
        <w:jc w:val="both"/>
        <w:ind w:firstLine="275"/>
        <w:spacing w:after="0" w:line="279" w:lineRule="auto"/>
        <w:rPr>
          <w:sz w:val="20"/>
          <w:szCs w:val="20"/>
          <w:color w:val="auto"/>
        </w:rPr>
      </w:pPr>
      <w:r>
        <w:rPr>
          <w:rFonts w:ascii="Arial" w:cs="Arial" w:eastAsia="Arial" w:hAnsi="Arial"/>
          <w:sz w:val="14"/>
          <w:szCs w:val="14"/>
          <w:color w:val="auto"/>
        </w:rPr>
        <w:t>The majority of our money remittance transactions are generated through our agent network of retail locations and Company-operated stores where the transaction is processed and payment is collected by our sending agent. Those funds become available for pickup by the beneficiary at the designated receiving destination, usually within minutes, at any Intermex payer location. In select countries, the designated recipient may also receive the remitted funds via a deposit directly to the recipient’s bank account, mobile phone account or prepaid card. Our locations in the United States and Canada, also referred to as our sending agents, tend to be individual establishments, such as multi-service stores, grocery stores, convenience stores, bodegas and other retail locations. Our payers in LAC countries are referred to as paying agents, and generally consist of large banks and financial institutions or large retail chains. Grupo Elektra, S.A.B. de C.V. (“Elektra”) is our largest paying agent and processes a significant portion of remittances in the LAC corridor. Each of our sending agents and our paying agents are primarily operated by third-party businesses where our money remittance services are offered. Additionally, we operate a small number of retail locations in the United States, which we refer to as Company-operated stores and where our money remittance services are available. We also operate subsidiary payer networks in Mexico under the Pago Express brand and in Guatemala under the Intermex brand. These networks contribute payer locations that reach some of the most remote areas in those countries, providing increased convenience to our customers in the United States, Canada, Mexico and Guatemala.</w:t>
      </w:r>
    </w:p>
    <w:p>
      <w:pPr>
        <w:spacing w:after="0" w:line="147"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At our agent sending locations, our customers may initiate a transaction directly with an agent, or through a direct-dialed telephone conversation from our agent location to our call centers. Many of our sending agents operate in locations that are open outside of traditional banking hours, including nights and weekends. Our sending agents understand the markets that they serve and coordinate with our sales and marketing teams to develop business plans for those markets. We hold promotional events for our sending agents to help familiarize them with the Intermex brand and to incent the agents to promote our services to customers.</w:t>
      </w:r>
    </w:p>
    <w:p>
      <w:pPr>
        <w:spacing w:after="0" w:line="156"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4"/>
          <w:szCs w:val="14"/>
          <w:color w:val="auto"/>
        </w:rPr>
        <w:t>Our money remittance services are also available on the Internet via Intermexonline.com, enabling customers to send money twenty-four hours a day conveniently from their computer or Internet-enabled mobile device. Those funds can be sent to any of our paying agent locations or to a recipient’s bank account, funding the transaction using debit card, credit card, or through electronic funds transfer processed through the automated clearing house (“ACH”) payment system. Currently, internet-based money transmission services do not comprise a material percentage of the Company’s overall business. On the other hand, some of our peers define a digital transaction where the transactions were initiated as cashless on the send side or settled cashless on the receive side. Based on this definition, Intermex currently processes more than 22.8% of its transactions digitally.</w:t>
      </w:r>
    </w:p>
    <w:p>
      <w:pPr>
        <w:spacing w:after="0" w:line="145" w:lineRule="exact"/>
        <w:rPr>
          <w:sz w:val="20"/>
          <w:szCs w:val="20"/>
          <w:color w:val="auto"/>
        </w:rPr>
      </w:pPr>
    </w:p>
    <w:p>
      <w:pPr>
        <w:jc w:val="both"/>
        <w:ind w:firstLine="275"/>
        <w:spacing w:after="0" w:line="270" w:lineRule="auto"/>
        <w:rPr>
          <w:sz w:val="20"/>
          <w:szCs w:val="20"/>
          <w:color w:val="auto"/>
        </w:rPr>
      </w:pPr>
      <w:r>
        <w:rPr>
          <w:rFonts w:ascii="Arial" w:cs="Arial" w:eastAsia="Arial" w:hAnsi="Arial"/>
          <w:sz w:val="15"/>
          <w:szCs w:val="15"/>
          <w:color w:val="auto"/>
        </w:rPr>
        <w:t>Also, our enhanced digital mobile money remittance application provides customers with safe, easy-to-use features for remitting funds with a debit or credit card, or ACH transfer. Users are able to select a variety of sending methods, including cash pickup at thousands of locations, direct deposit into bank accounts, debit cards, mobile wallets, and home delivery in selected markets.</w:t>
      </w:r>
    </w:p>
    <w:p>
      <w:pPr>
        <w:spacing w:after="0" w:line="152" w:lineRule="exact"/>
        <w:rPr>
          <w:sz w:val="20"/>
          <w:szCs w:val="20"/>
          <w:color w:val="auto"/>
        </w:rPr>
      </w:pPr>
    </w:p>
    <w:p>
      <w:pPr>
        <w:jc w:val="both"/>
        <w:ind w:firstLine="275"/>
        <w:spacing w:after="0" w:line="270" w:lineRule="auto"/>
        <w:rPr>
          <w:sz w:val="20"/>
          <w:szCs w:val="20"/>
          <w:color w:val="auto"/>
        </w:rPr>
      </w:pPr>
      <w:r>
        <w:rPr>
          <w:rFonts w:ascii="Arial" w:cs="Arial" w:eastAsia="Arial" w:hAnsi="Arial"/>
          <w:sz w:val="15"/>
          <w:szCs w:val="15"/>
          <w:color w:val="auto"/>
        </w:rPr>
        <w:t>We maintain call centers in Mexico and Guatemala, providing call center services 365 days per year and customer service in both English and Spanish, as well as the possibility of service in many of the regional dialects that our customers speak. Our call centers are able to provide customer service for inbound customer calls and have technology available for direct calls from customers at our agent locations in processing remittance transactions.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Management Bank Relationships</w:t>
      </w:r>
    </w:p>
    <w:p>
      <w:pPr>
        <w:spacing w:after="0" w:line="199" w:lineRule="exact"/>
        <w:rPr>
          <w:sz w:val="20"/>
          <w:szCs w:val="20"/>
          <w:color w:val="auto"/>
        </w:rPr>
      </w:pPr>
    </w:p>
    <w:p>
      <w:pPr>
        <w:jc w:val="both"/>
        <w:ind w:firstLine="275"/>
        <w:spacing w:after="0" w:line="261" w:lineRule="auto"/>
        <w:rPr>
          <w:sz w:val="20"/>
          <w:szCs w:val="20"/>
          <w:color w:val="auto"/>
        </w:rPr>
      </w:pPr>
      <w:r>
        <w:rPr>
          <w:rFonts w:ascii="Arial" w:cs="Arial" w:eastAsia="Arial" w:hAnsi="Arial"/>
          <w:sz w:val="15"/>
          <w:szCs w:val="15"/>
          <w:color w:val="auto"/>
        </w:rPr>
        <w:t>We buy and sell a number of global currencies and maintain a network of settlement accounts to facilitate the timely funding of money remittances and foreign exchange trades. Our relationships with clearing, check processing, trading and exchange rate and cash management banks are critical to an efficient and reliable remittance network. We benefit from our strong and long-term relationships with a number of large banks and financial institutions. We maintain strong relationships with a number of other national and regional banking and financial institutions in the United States, Canada and Latin America. In addition, we have benefited from our long relationship with US Bank, which manages our main operating account, and from strong relationships with Bancomer, Wells Fargo, Bank of America and KeyBank as our primary banks for exchange rate management with respect to the foreign currencies.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6" w:name="page7"/>
    <w:bookmarkEnd w:id="6"/>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Information Technology</w:t>
      </w:r>
    </w:p>
    <w:p>
      <w:pPr>
        <w:spacing w:after="0" w:line="199" w:lineRule="exact"/>
        <w:rPr>
          <w:sz w:val="20"/>
          <w:szCs w:val="20"/>
          <w:color w:val="auto"/>
        </w:rPr>
      </w:pPr>
    </w:p>
    <w:p>
      <w:pPr>
        <w:jc w:val="both"/>
        <w:ind w:firstLine="275"/>
        <w:spacing w:after="0" w:line="270" w:lineRule="auto"/>
        <w:rPr>
          <w:sz w:val="20"/>
          <w:szCs w:val="20"/>
          <w:color w:val="auto"/>
        </w:rPr>
      </w:pPr>
      <w:r>
        <w:rPr>
          <w:rFonts w:ascii="Arial" w:cs="Arial" w:eastAsia="Arial" w:hAnsi="Arial"/>
          <w:sz w:val="15"/>
          <w:szCs w:val="15"/>
          <w:color w:val="auto"/>
        </w:rPr>
        <w:t>Currently, all of our money processing software is proprietary and has been developed primarily by our internal software development team. Our money processing software acts as a point of sale for our money remittance transactions and incorporates real-time compliance functionality, which improves our regulatory compliance and helps to minimize fraud. Our money processing software is critical to our operations while our back-office software is critical for settling our transactions.</w:t>
      </w:r>
    </w:p>
    <w:p>
      <w:pPr>
        <w:spacing w:after="0" w:line="152"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5"/>
          <w:szCs w:val="15"/>
          <w:color w:val="auto"/>
        </w:rPr>
        <w:t>Also, our money remittance platform enables our customers to send funds through the Internet via Intermexonline.com and on their Internet-enabled mobile devices and our enhanced digital mobile money remittance application provides customers with safe, easy-to-use features for remitting funds.</w:t>
      </w:r>
    </w:p>
    <w:p>
      <w:pPr>
        <w:spacing w:after="0" w:line="141"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In addition to our money remittance software, digital platform and mobile application, we continue to develop programs and defenses against cyber-attacks. We are fully aligned with the National Institute of Standards and Technology cybersecurity framework, which is a voluntary framework that most companies in the financial services industry follow. We utilize a number of third-party vendors that monitor our systems and inform us of any attempted attacks. Our Chief Information Officer and Director of Information Security deliver an annual report to our board of directors regarding our cybersecurity policies and practices at least once during the fiscal year.</w:t>
      </w:r>
    </w:p>
    <w:p>
      <w:pPr>
        <w:spacing w:after="0" w:line="179" w:lineRule="exact"/>
        <w:rPr>
          <w:sz w:val="20"/>
          <w:szCs w:val="20"/>
          <w:color w:val="auto"/>
        </w:rPr>
      </w:pPr>
    </w:p>
    <w:p>
      <w:pPr>
        <w:jc w:val="both"/>
        <w:ind w:right="20" w:firstLine="275"/>
        <w:spacing w:after="0" w:line="285" w:lineRule="auto"/>
        <w:rPr>
          <w:sz w:val="20"/>
          <w:szCs w:val="20"/>
          <w:color w:val="auto"/>
        </w:rPr>
      </w:pPr>
      <w:r>
        <w:rPr>
          <w:rFonts w:ascii="Arial" w:cs="Arial" w:eastAsia="Arial" w:hAnsi="Arial"/>
          <w:sz w:val="15"/>
          <w:szCs w:val="15"/>
          <w:color w:val="auto"/>
        </w:rPr>
        <w:t>In addition to our proprietary and internally developed software systems, we have analytical data which enables us to analyze market trends, performance of market territories, agents’ performance and consumers’ habits in real time.</w:t>
      </w:r>
    </w:p>
    <w:p>
      <w:pPr>
        <w:spacing w:after="0" w:line="141" w:lineRule="exact"/>
        <w:rPr>
          <w:sz w:val="20"/>
          <w:szCs w:val="20"/>
          <w:color w:val="auto"/>
        </w:rPr>
      </w:pPr>
    </w:p>
    <w:p>
      <w:pPr>
        <w:jc w:val="both"/>
        <w:ind w:right="20" w:firstLine="275"/>
        <w:spacing w:after="0" w:line="270" w:lineRule="auto"/>
        <w:rPr>
          <w:sz w:val="20"/>
          <w:szCs w:val="20"/>
          <w:color w:val="auto"/>
        </w:rPr>
      </w:pPr>
      <w:r>
        <w:rPr>
          <w:rFonts w:ascii="Arial" w:cs="Arial" w:eastAsia="Arial" w:hAnsi="Arial"/>
          <w:sz w:val="15"/>
          <w:szCs w:val="15"/>
          <w:color w:val="auto"/>
        </w:rPr>
        <w:t>We continually invest in our technology platform that has the capacity to handle traffic well in excess of the number of transactions we currently process. A load balancing configuration between tier-1 datacenters, in addition to failover redundancy, provide uptime performance. Our technology platform has experienced limited downtime, with our 2021 downtime being less than 0.05%.</w:t>
      </w:r>
    </w:p>
    <w:p>
      <w:pPr>
        <w:spacing w:after="0" w:line="152" w:lineRule="exact"/>
        <w:rPr>
          <w:sz w:val="20"/>
          <w:szCs w:val="20"/>
          <w:color w:val="auto"/>
        </w:rPr>
      </w:pPr>
    </w:p>
    <w:p>
      <w:pPr>
        <w:jc w:val="both"/>
        <w:ind w:firstLine="275"/>
        <w:spacing w:after="0" w:line="270" w:lineRule="auto"/>
        <w:rPr>
          <w:sz w:val="20"/>
          <w:szCs w:val="20"/>
          <w:color w:val="auto"/>
        </w:rPr>
      </w:pPr>
      <w:r>
        <w:rPr>
          <w:rFonts w:ascii="Arial" w:cs="Arial" w:eastAsia="Arial" w:hAnsi="Arial"/>
          <w:sz w:val="15"/>
          <w:szCs w:val="15"/>
          <w:color w:val="auto"/>
        </w:rPr>
        <w:t>Our Transaction Processing Engine (“TPE”), developed through a combination of databases, web services and applications, allows us to process money remittances reliably and quickly by leveraging a proprietary rules engine to apply granular-level product feature customization. The TPE also leverages real-time risk management algorithms to improve our regulatory compliance and helps to minimize fraud.</w:t>
      </w:r>
    </w:p>
    <w:p>
      <w:pPr>
        <w:spacing w:after="0" w:line="152" w:lineRule="exact"/>
        <w:rPr>
          <w:sz w:val="20"/>
          <w:szCs w:val="20"/>
          <w:color w:val="auto"/>
        </w:rPr>
      </w:pPr>
    </w:p>
    <w:p>
      <w:pPr>
        <w:jc w:val="both"/>
        <w:ind w:firstLine="275"/>
        <w:spacing w:after="0" w:line="270" w:lineRule="auto"/>
        <w:rPr>
          <w:sz w:val="20"/>
          <w:szCs w:val="20"/>
          <w:color w:val="auto"/>
        </w:rPr>
      </w:pPr>
      <w:r>
        <w:rPr>
          <w:rFonts w:ascii="Arial" w:cs="Arial" w:eastAsia="Arial" w:hAnsi="Arial"/>
          <w:sz w:val="15"/>
          <w:szCs w:val="15"/>
          <w:color w:val="auto"/>
        </w:rPr>
        <w:t>Our internally developed and proprietary payer Application Programming Interface platform securely and efficiently integrates our TPE directly with the platforms of our paying agents, so that we can deliver money remittances quickly to our paying agents while optimizing the efficiency/speed of adding new payers to our network and integrating payers’ software and systems with our software and systems.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Intellectual Property</w:t>
      </w:r>
    </w:p>
    <w:p>
      <w:pPr>
        <w:spacing w:after="0" w:line="199" w:lineRule="exact"/>
        <w:rPr>
          <w:sz w:val="20"/>
          <w:szCs w:val="20"/>
          <w:color w:val="auto"/>
        </w:rPr>
      </w:pPr>
    </w:p>
    <w:p>
      <w:pPr>
        <w:jc w:val="both"/>
        <w:ind w:firstLine="275"/>
        <w:spacing w:after="0" w:line="318" w:lineRule="auto"/>
        <w:rPr>
          <w:sz w:val="20"/>
          <w:szCs w:val="20"/>
          <w:color w:val="auto"/>
        </w:rPr>
      </w:pPr>
      <w:r>
        <w:rPr>
          <w:rFonts w:ascii="Arial" w:cs="Arial" w:eastAsia="Arial" w:hAnsi="Arial"/>
          <w:sz w:val="13"/>
          <w:szCs w:val="13"/>
          <w:color w:val="auto"/>
        </w:rPr>
        <w:t>The Intermex brand is critical to our business. In the markets in which we compete, we derive benefit from our brand, as we believe the Intermex brand is recognized for its speed, cost effectiveness and reliability for money remittances throughout the United States, the LAC corridor, Canada and Africa. We use various trademarks and service marks in our business, including, but not limited, to Intermex, International Money Express, CheckDirect and Pago Express, some of which are registered in the United States and other countries. In addition, we rely on trade secret protection to protect certain proprietary rights in our information technology. See the section entitled “</w:t>
      </w:r>
      <w:r>
        <w:rPr>
          <w:rFonts w:ascii="Arial" w:cs="Arial" w:eastAsia="Arial" w:hAnsi="Arial"/>
          <w:sz w:val="13"/>
          <w:szCs w:val="13"/>
          <w:i w:val="1"/>
          <w:iCs w:val="1"/>
          <w:color w:val="auto"/>
        </w:rPr>
        <w:t>Information Technology</w:t>
      </w:r>
      <w:r>
        <w:rPr>
          <w:rFonts w:ascii="Arial" w:cs="Arial" w:eastAsia="Arial" w:hAnsi="Arial"/>
          <w:sz w:val="13"/>
          <w:szCs w:val="13"/>
          <w:color w:val="auto"/>
        </w:rPr>
        <w:t>” for more information.</w:t>
      </w:r>
    </w:p>
    <w:p>
      <w:pPr>
        <w:spacing w:after="0" w:line="125" w:lineRule="exact"/>
        <w:rPr>
          <w:sz w:val="20"/>
          <w:szCs w:val="20"/>
          <w:color w:val="auto"/>
        </w:rPr>
      </w:pPr>
    </w:p>
    <w:p>
      <w:pPr>
        <w:jc w:val="both"/>
        <w:ind w:right="20" w:firstLine="275"/>
        <w:spacing w:after="0" w:line="265" w:lineRule="auto"/>
        <w:rPr>
          <w:sz w:val="20"/>
          <w:szCs w:val="20"/>
          <w:color w:val="auto"/>
        </w:rPr>
      </w:pPr>
      <w:r>
        <w:rPr>
          <w:rFonts w:ascii="Arial" w:cs="Arial" w:eastAsia="Arial" w:hAnsi="Arial"/>
          <w:sz w:val="15"/>
          <w:szCs w:val="15"/>
          <w:color w:val="auto"/>
        </w:rPr>
        <w:t>We rely on a combination of patent, trademark and copyright laws and trade secret protection and invention assignment, confidentiality or license agreements to protect our intellectual property rights in products, services, expertise, and information. We believe the intellectual property rights in processing equipment, computer systems, software and business processes held by us and our subsidiaries provide us with a competitive advantage. We take appropriate measures to protect our intellectual property to the extent such intellectual property can be protected.</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Sales and Marketing</w:t>
      </w:r>
    </w:p>
    <w:p>
      <w:pPr>
        <w:spacing w:after="0" w:line="199" w:lineRule="exact"/>
        <w:rPr>
          <w:sz w:val="20"/>
          <w:szCs w:val="20"/>
          <w:color w:val="auto"/>
        </w:rPr>
      </w:pPr>
    </w:p>
    <w:p>
      <w:pPr>
        <w:jc w:val="both"/>
        <w:ind w:firstLine="275"/>
        <w:spacing w:after="0" w:line="281" w:lineRule="auto"/>
        <w:rPr>
          <w:sz w:val="20"/>
          <w:szCs w:val="20"/>
          <w:color w:val="auto"/>
        </w:rPr>
      </w:pPr>
      <w:r>
        <w:rPr>
          <w:rFonts w:ascii="Arial" w:cs="Arial" w:eastAsia="Arial" w:hAnsi="Arial"/>
          <w:sz w:val="14"/>
          <w:szCs w:val="14"/>
          <w:color w:val="auto"/>
        </w:rPr>
        <w:t>The majority of our money remittance transactions are generated through our agent network of retail locations and Company-operated stores where the transaction is processed and payment is collected by our sending agent. Our agent locations include multi-service stores, grocery stores, convenience stores, bodegas and other retail locations. The vast majority of our agents are provided access to our proprietary money remittance software systems, while others have access to our combination telephone and fax/tablet set up, which we call telewire, enabling direct access to our call centers for money remittance services. In all of our independent sending agent locations the agent provides the physical infrastructure and staff required to complete the remittances, while we provide the central operating functions, such as transaction processing, settlement, marketing support, compliance training and support, and customer relationship management. We also maintain 36 Company-operated stores in the United States. We retain customer data, which enables us to increase repeat customer usage, track and effectively recapture one-time users of our service and improve sending agent productivity.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7" w:name="page8"/>
    <w:bookmarkEnd w:id="7"/>
    <w:p>
      <w:pPr>
        <w:ind w:left="8"/>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4" w:lineRule="exact"/>
        <w:rPr>
          <w:sz w:val="20"/>
          <w:szCs w:val="20"/>
          <w:color w:val="auto"/>
        </w:rPr>
      </w:pPr>
    </w:p>
    <w:p>
      <w:pPr>
        <w:jc w:val="both"/>
        <w:ind w:left="8" w:firstLine="275"/>
        <w:spacing w:after="0" w:line="270" w:lineRule="auto"/>
        <w:rPr>
          <w:sz w:val="20"/>
          <w:szCs w:val="20"/>
          <w:color w:val="auto"/>
        </w:rPr>
      </w:pPr>
      <w:r>
        <w:rPr>
          <w:rFonts w:ascii="Arial" w:cs="Arial" w:eastAsia="Arial" w:hAnsi="Arial"/>
          <w:sz w:val="15"/>
          <w:szCs w:val="15"/>
          <w:color w:val="auto"/>
        </w:rPr>
        <w:t>We market our services to customers in a number of ways, directly and indirectly through our sending agents and paying agents, promotional activities, traditional media and digital advertising, and our loyalty program, which we call “Interpuntos”. This loyalty program offers customers faster service at our sending agent locations and the ability to earn points with each transaction that are redeemable for rewards, such as reduced transaction fees or more favorable foreign exchange rates.</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Our Industry</w:t>
      </w:r>
    </w:p>
    <w:p>
      <w:pPr>
        <w:spacing w:after="0" w:line="199" w:lineRule="exact"/>
        <w:rPr>
          <w:sz w:val="20"/>
          <w:szCs w:val="20"/>
          <w:color w:val="auto"/>
        </w:rPr>
      </w:pPr>
    </w:p>
    <w:p>
      <w:pPr>
        <w:jc w:val="both"/>
        <w:ind w:left="8" w:firstLine="275"/>
        <w:spacing w:after="0" w:line="265" w:lineRule="auto"/>
        <w:rPr>
          <w:sz w:val="20"/>
          <w:szCs w:val="20"/>
          <w:color w:val="auto"/>
        </w:rPr>
      </w:pPr>
      <w:r>
        <w:rPr>
          <w:rFonts w:ascii="Arial" w:cs="Arial" w:eastAsia="Arial" w:hAnsi="Arial"/>
          <w:sz w:val="15"/>
          <w:szCs w:val="15"/>
          <w:color w:val="auto"/>
        </w:rPr>
        <w:t>We are a rapidly growing and leading money remittance service company primarily focused on the United States to the LAC corridor. We utilize our proprietary technology to deliver convenient, reliable and value-added services to our customers through a broad network of sending and paying agents. The two largest remittance corridors we serve are United States to Mexico and United States to Guatemala. According to the latest information available from the World Bank Remittance Matrix, the United States to Mexico remittance corridor was the largest in the world in 2021.</w:t>
      </w:r>
    </w:p>
    <w:p>
      <w:pPr>
        <w:spacing w:after="0" w:line="156" w:lineRule="exact"/>
        <w:rPr>
          <w:sz w:val="20"/>
          <w:szCs w:val="20"/>
          <w:color w:val="auto"/>
        </w:rPr>
      </w:pPr>
    </w:p>
    <w:p>
      <w:pPr>
        <w:jc w:val="both"/>
        <w:ind w:left="8" w:firstLine="275"/>
        <w:spacing w:after="0" w:line="285" w:lineRule="auto"/>
        <w:rPr>
          <w:sz w:val="20"/>
          <w:szCs w:val="20"/>
          <w:color w:val="auto"/>
        </w:rPr>
      </w:pPr>
      <w:r>
        <w:rPr>
          <w:rFonts w:ascii="Arial" w:cs="Arial" w:eastAsia="Arial" w:hAnsi="Arial"/>
          <w:sz w:val="15"/>
          <w:szCs w:val="15"/>
          <w:color w:val="auto"/>
        </w:rPr>
        <w:t>Trends in the cross-border money remittance business tend to correlate to immigration trends, global economic opportunity and related employment levels in certain industries such as construction, information, manufacturing, agriculture and certain service industries.</w:t>
      </w:r>
    </w:p>
    <w:p>
      <w:pPr>
        <w:spacing w:after="0" w:line="141" w:lineRule="exact"/>
        <w:rPr>
          <w:sz w:val="20"/>
          <w:szCs w:val="20"/>
          <w:color w:val="auto"/>
        </w:rPr>
      </w:pPr>
    </w:p>
    <w:p>
      <w:pPr>
        <w:jc w:val="both"/>
        <w:ind w:left="8" w:firstLine="275"/>
        <w:spacing w:after="0" w:line="285" w:lineRule="auto"/>
        <w:rPr>
          <w:sz w:val="20"/>
          <w:szCs w:val="20"/>
          <w:color w:val="auto"/>
        </w:rPr>
      </w:pPr>
      <w:r>
        <w:rPr>
          <w:rFonts w:ascii="Arial" w:cs="Arial" w:eastAsia="Arial" w:hAnsi="Arial"/>
          <w:sz w:val="14"/>
          <w:szCs w:val="14"/>
          <w:color w:val="auto"/>
        </w:rPr>
        <w:t>Throughout 2021, Latin American political and economic conditions remained unstable, as evidenced by high unemployment rates in key markets, currency reserves, currency controls, restricted lending activity, weak currencies and low consumer confidence, among other factors, in addition to the effects of the ongoing COVID-19 pandemic. Specifically, continued political and economic unrest in parts of Mexico and some countries in South America contributed to volatility. Our business has generally been resilient during times of economic instability as money remittances are essential to many recipients, with the funds used by the receiving party for their daily needs; however, long-term sustained appreciation of the Mexican Peso or Guatemalan Quetzal as compared to the U.S. Dollar could negatively affect our revenues and profitability.</w:t>
      </w:r>
    </w:p>
    <w:p>
      <w:pPr>
        <w:spacing w:after="0" w:line="145" w:lineRule="exact"/>
        <w:rPr>
          <w:sz w:val="20"/>
          <w:szCs w:val="20"/>
          <w:color w:val="auto"/>
        </w:rPr>
      </w:pPr>
    </w:p>
    <w:p>
      <w:pPr>
        <w:jc w:val="both"/>
        <w:ind w:left="8" w:firstLine="275"/>
        <w:spacing w:after="0" w:line="270" w:lineRule="auto"/>
        <w:rPr>
          <w:sz w:val="20"/>
          <w:szCs w:val="20"/>
          <w:color w:val="auto"/>
        </w:rPr>
      </w:pPr>
      <w:r>
        <w:rPr>
          <w:rFonts w:ascii="Arial" w:cs="Arial" w:eastAsia="Arial" w:hAnsi="Arial"/>
          <w:sz w:val="15"/>
          <w:szCs w:val="15"/>
          <w:color w:val="auto"/>
        </w:rPr>
        <w:t>Another significant trend impacting the money remittance industry is increasing regulation on banks, making it difficult for money remittance companies to have strong banking relationships. Regulations in the United States and elsewhere focus, in part, on cybersecurity and consumer protection. Regulations require money remittance providers, banks and other financial institutions to develop systems to prevent, detect, monitor and report certain transactions.</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Government Regulation</w:t>
      </w:r>
    </w:p>
    <w:p>
      <w:pPr>
        <w:spacing w:after="0" w:line="199" w:lineRule="exact"/>
        <w:rPr>
          <w:sz w:val="20"/>
          <w:szCs w:val="20"/>
          <w:color w:val="auto"/>
        </w:rPr>
      </w:pPr>
    </w:p>
    <w:p>
      <w:pPr>
        <w:jc w:val="both"/>
        <w:ind w:left="8" w:firstLine="275"/>
        <w:spacing w:after="0" w:line="281" w:lineRule="auto"/>
        <w:rPr>
          <w:sz w:val="20"/>
          <w:szCs w:val="20"/>
          <w:color w:val="auto"/>
        </w:rPr>
      </w:pPr>
      <w:r>
        <w:rPr>
          <w:rFonts w:ascii="Arial" w:cs="Arial" w:eastAsia="Arial" w:hAnsi="Arial"/>
          <w:sz w:val="14"/>
          <w:szCs w:val="14"/>
          <w:color w:val="auto"/>
        </w:rPr>
        <w:t>As a non-bank financial institution in the United States, we are regulated by the Department of Treasury, the Internal Revenue Service, the U.S. Department of the Treasury’s Financial Crimes Enforcement Network (“FinCEN”), the Consumer Financial Protection Bureau (“CFPB”), the Department of Banking and Finance of the State of Florida and additionally by the various regulatory institutions of those states in which we hold an operating license. We are duly registered as a Money Services Business (“MSB”) with FinCEN, the financial intelligence unit of the U.S. Department of the Treasury. We are also subject to a wide range of regulations in the United States and other countries, including: minimum capital or capital adequacy requirements; anti-money laundering laws and regulations; financial services regulations; currency control regulations; anti-bribery laws; money transfer and payment instrument licensing laws; escheatment laws; privacy, data protection and information security laws, such as the Gramm-Leach-Bliley Act (“GLBA”); and consumer disclosure and consumer protection laws, such as the California Consumer Privacy Act (“CCPA”).</w:t>
      </w:r>
    </w:p>
    <w:p>
      <w:pPr>
        <w:spacing w:after="0" w:line="172" w:lineRule="exact"/>
        <w:rPr>
          <w:sz w:val="20"/>
          <w:szCs w:val="20"/>
          <w:color w:val="auto"/>
        </w:rPr>
      </w:pPr>
    </w:p>
    <w:p>
      <w:pPr>
        <w:jc w:val="both"/>
        <w:ind w:left="8" w:firstLine="275"/>
        <w:spacing w:after="0" w:line="270" w:lineRule="auto"/>
        <w:rPr>
          <w:sz w:val="20"/>
          <w:szCs w:val="20"/>
          <w:color w:val="auto"/>
        </w:rPr>
      </w:pPr>
      <w:r>
        <w:rPr>
          <w:rFonts w:ascii="Arial" w:cs="Arial" w:eastAsia="Arial" w:hAnsi="Arial"/>
          <w:sz w:val="15"/>
          <w:szCs w:val="15"/>
          <w:color w:val="auto"/>
        </w:rPr>
        <w:t>Regulators worldwide are exercising heightened supervision of money remittance providers and requiring increased efforts to ensure compliance. Failure to comply with any applicable laws and regulations could result in restrictions on our ability to provide our products and services, as well as the potential imposition of civil fines and possibly criminal penalties. We continually monitor and enhance our compliance programs to stay current with legal and regulatory changes.</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Anti-Money Laundering, Counter-Terrorism Financing and Sanctions Compliance</w:t>
      </w:r>
    </w:p>
    <w:p>
      <w:pPr>
        <w:spacing w:after="0" w:line="199" w:lineRule="exact"/>
        <w:rPr>
          <w:sz w:val="20"/>
          <w:szCs w:val="20"/>
          <w:color w:val="auto"/>
        </w:rPr>
      </w:pPr>
    </w:p>
    <w:p>
      <w:pPr>
        <w:jc w:val="both"/>
        <w:ind w:left="8" w:right="20" w:firstLine="275"/>
        <w:spacing w:after="0" w:line="270" w:lineRule="auto"/>
        <w:rPr>
          <w:sz w:val="20"/>
          <w:szCs w:val="20"/>
          <w:color w:val="auto"/>
        </w:rPr>
      </w:pPr>
      <w:r>
        <w:rPr>
          <w:rFonts w:ascii="Arial" w:cs="Arial" w:eastAsia="Arial" w:hAnsi="Arial"/>
          <w:sz w:val="15"/>
          <w:szCs w:val="15"/>
          <w:color w:val="auto"/>
        </w:rPr>
        <w:t>Our money remittance services are subject to anti-money laundering laws and regulations of the United States, including the Bank Secrecy Act (“BSA”), as amended by the USA PATRIOT Act of 2001, as well as state laws and regulations and the anti-money laundering laws and regulations in many of the countries in which we operate. The countries in which we operate may require one or more of the following:</w:t>
      </w:r>
    </w:p>
    <w:p>
      <w:pPr>
        <w:spacing w:after="0" w:line="152" w:lineRule="exact"/>
        <w:rPr>
          <w:sz w:val="20"/>
          <w:szCs w:val="20"/>
          <w:color w:val="auto"/>
        </w:rPr>
      </w:pPr>
    </w:p>
    <w:p>
      <w:pPr>
        <w:ind w:left="268" w:hanging="268"/>
        <w:spacing w:after="0"/>
        <w:tabs>
          <w:tab w:leader="none" w:pos="268" w:val="left"/>
        </w:tabs>
        <w:numPr>
          <w:ilvl w:val="0"/>
          <w:numId w:val="6"/>
        </w:numPr>
        <w:rPr>
          <w:rFonts w:ascii="Arial" w:cs="Arial" w:eastAsia="Arial" w:hAnsi="Arial"/>
          <w:sz w:val="15"/>
          <w:szCs w:val="15"/>
          <w:color w:val="auto"/>
        </w:rPr>
      </w:pPr>
      <w:r>
        <w:rPr>
          <w:rFonts w:ascii="Arial" w:cs="Arial" w:eastAsia="Arial" w:hAnsi="Arial"/>
          <w:sz w:val="15"/>
          <w:szCs w:val="15"/>
          <w:color w:val="auto"/>
        </w:rPr>
        <w:t>reporting of large cash transactions and suspicious activity;</w:t>
      </w:r>
    </w:p>
    <w:p>
      <w:pPr>
        <w:spacing w:after="0" w:line="194" w:lineRule="exact"/>
        <w:rPr>
          <w:rFonts w:ascii="Arial" w:cs="Arial" w:eastAsia="Arial" w:hAnsi="Arial"/>
          <w:sz w:val="15"/>
          <w:szCs w:val="15"/>
          <w:color w:val="auto"/>
        </w:rPr>
      </w:pPr>
    </w:p>
    <w:p>
      <w:pPr>
        <w:ind w:left="268" w:hanging="268"/>
        <w:spacing w:after="0"/>
        <w:tabs>
          <w:tab w:leader="none" w:pos="268" w:val="left"/>
        </w:tabs>
        <w:numPr>
          <w:ilvl w:val="0"/>
          <w:numId w:val="6"/>
        </w:numPr>
        <w:rPr>
          <w:rFonts w:ascii="Arial" w:cs="Arial" w:eastAsia="Arial" w:hAnsi="Arial"/>
          <w:sz w:val="15"/>
          <w:szCs w:val="15"/>
          <w:color w:val="auto"/>
        </w:rPr>
      </w:pPr>
      <w:r>
        <w:rPr>
          <w:rFonts w:ascii="Arial" w:cs="Arial" w:eastAsia="Arial" w:hAnsi="Arial"/>
          <w:sz w:val="15"/>
          <w:szCs w:val="15"/>
          <w:color w:val="auto"/>
        </w:rPr>
        <w:t>transaction screening against government watch-lists, including the sanctions list maintained by OFAC;</w:t>
      </w:r>
    </w:p>
    <w:p>
      <w:pPr>
        <w:spacing w:after="0" w:line="194" w:lineRule="exact"/>
        <w:rPr>
          <w:rFonts w:ascii="Arial" w:cs="Arial" w:eastAsia="Arial" w:hAnsi="Arial"/>
          <w:sz w:val="15"/>
          <w:szCs w:val="15"/>
          <w:color w:val="auto"/>
        </w:rPr>
      </w:pPr>
    </w:p>
    <w:p>
      <w:pPr>
        <w:ind w:left="268" w:hanging="268"/>
        <w:spacing w:after="0"/>
        <w:tabs>
          <w:tab w:leader="none" w:pos="268" w:val="left"/>
        </w:tabs>
        <w:numPr>
          <w:ilvl w:val="0"/>
          <w:numId w:val="6"/>
        </w:numPr>
        <w:rPr>
          <w:rFonts w:ascii="Arial" w:cs="Arial" w:eastAsia="Arial" w:hAnsi="Arial"/>
          <w:sz w:val="15"/>
          <w:szCs w:val="15"/>
          <w:color w:val="auto"/>
        </w:rPr>
      </w:pPr>
      <w:r>
        <w:rPr>
          <w:rFonts w:ascii="Arial" w:cs="Arial" w:eastAsia="Arial" w:hAnsi="Arial"/>
          <w:sz w:val="15"/>
          <w:szCs w:val="15"/>
          <w:color w:val="auto"/>
        </w:rPr>
        <w:t>prohibition of transactions in, to or from certain countries, governments, individuals and entities;</w:t>
      </w:r>
    </w:p>
    <w:p>
      <w:pPr>
        <w:spacing w:after="0" w:line="194" w:lineRule="exact"/>
        <w:rPr>
          <w:rFonts w:ascii="Arial" w:cs="Arial" w:eastAsia="Arial" w:hAnsi="Arial"/>
          <w:sz w:val="15"/>
          <w:szCs w:val="15"/>
          <w:color w:val="auto"/>
        </w:rPr>
      </w:pPr>
    </w:p>
    <w:p>
      <w:pPr>
        <w:ind w:left="268" w:hanging="268"/>
        <w:spacing w:after="0" w:line="285" w:lineRule="auto"/>
        <w:tabs>
          <w:tab w:leader="none" w:pos="264" w:val="left"/>
        </w:tabs>
        <w:numPr>
          <w:ilvl w:val="0"/>
          <w:numId w:val="6"/>
        </w:numPr>
        <w:rPr>
          <w:rFonts w:ascii="Arial" w:cs="Arial" w:eastAsia="Arial" w:hAnsi="Arial"/>
          <w:sz w:val="15"/>
          <w:szCs w:val="15"/>
          <w:color w:val="auto"/>
        </w:rPr>
      </w:pPr>
      <w:r>
        <w:rPr>
          <w:rFonts w:ascii="Arial" w:cs="Arial" w:eastAsia="Arial" w:hAnsi="Arial"/>
          <w:sz w:val="15"/>
          <w:szCs w:val="15"/>
          <w:color w:val="auto"/>
        </w:rPr>
        <w:t>limitations on amounts that may be transferred by a consumer or from a jurisdiction at any one time or over specified periods of time, which require aggregation over multiple transactions;</w:t>
      </w:r>
    </w:p>
    <w:p>
      <w:pPr>
        <w:spacing w:after="0" w:line="18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7804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29" w:right="319" w:bottom="1440" w:gutter="0" w:footer="0" w:header="0"/>
        </w:sectPr>
      </w:pPr>
    </w:p>
    <w:bookmarkStart w:id="8" w:name="page9"/>
    <w:bookmarkEnd w:id="8"/>
    <w:p>
      <w:pPr>
        <w:ind w:left="8"/>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4" w:lineRule="exact"/>
        <w:rPr>
          <w:sz w:val="20"/>
          <w:szCs w:val="20"/>
          <w:color w:val="auto"/>
        </w:rPr>
      </w:pPr>
    </w:p>
    <w:p>
      <w:pPr>
        <w:ind w:left="268" w:hanging="268"/>
        <w:spacing w:after="0"/>
        <w:tabs>
          <w:tab w:leader="none" w:pos="268" w:val="left"/>
        </w:tabs>
        <w:numPr>
          <w:ilvl w:val="0"/>
          <w:numId w:val="7"/>
        </w:numPr>
        <w:rPr>
          <w:rFonts w:ascii="Arial" w:cs="Arial" w:eastAsia="Arial" w:hAnsi="Arial"/>
          <w:sz w:val="15"/>
          <w:szCs w:val="15"/>
          <w:color w:val="auto"/>
        </w:rPr>
      </w:pPr>
      <w:r>
        <w:rPr>
          <w:rFonts w:ascii="Arial" w:cs="Arial" w:eastAsia="Arial" w:hAnsi="Arial"/>
          <w:sz w:val="15"/>
          <w:szCs w:val="15"/>
          <w:color w:val="auto"/>
        </w:rPr>
        <w:t>consumer information gathering and reporting requirements;</w:t>
      </w:r>
    </w:p>
    <w:p>
      <w:pPr>
        <w:spacing w:after="0" w:line="194" w:lineRule="exact"/>
        <w:rPr>
          <w:rFonts w:ascii="Arial" w:cs="Arial" w:eastAsia="Arial" w:hAnsi="Arial"/>
          <w:sz w:val="15"/>
          <w:szCs w:val="15"/>
          <w:color w:val="auto"/>
        </w:rPr>
      </w:pPr>
    </w:p>
    <w:p>
      <w:pPr>
        <w:ind w:left="268" w:hanging="268"/>
        <w:spacing w:after="0"/>
        <w:tabs>
          <w:tab w:leader="none" w:pos="268" w:val="left"/>
        </w:tabs>
        <w:numPr>
          <w:ilvl w:val="0"/>
          <w:numId w:val="7"/>
        </w:numPr>
        <w:rPr>
          <w:rFonts w:ascii="Arial" w:cs="Arial" w:eastAsia="Arial" w:hAnsi="Arial"/>
          <w:sz w:val="15"/>
          <w:szCs w:val="15"/>
          <w:color w:val="auto"/>
        </w:rPr>
      </w:pPr>
      <w:r>
        <w:rPr>
          <w:rFonts w:ascii="Arial" w:cs="Arial" w:eastAsia="Arial" w:hAnsi="Arial"/>
          <w:sz w:val="15"/>
          <w:szCs w:val="15"/>
          <w:color w:val="auto"/>
        </w:rPr>
        <w:t>consumer disclosure requirements, including language requirements and foreign currency restrictions;</w:t>
      </w:r>
    </w:p>
    <w:p>
      <w:pPr>
        <w:spacing w:after="0" w:line="194" w:lineRule="exact"/>
        <w:rPr>
          <w:rFonts w:ascii="Arial" w:cs="Arial" w:eastAsia="Arial" w:hAnsi="Arial"/>
          <w:sz w:val="15"/>
          <w:szCs w:val="15"/>
          <w:color w:val="auto"/>
        </w:rPr>
      </w:pPr>
    </w:p>
    <w:p>
      <w:pPr>
        <w:ind w:left="268" w:right="20" w:hanging="268"/>
        <w:spacing w:after="0" w:line="285" w:lineRule="auto"/>
        <w:tabs>
          <w:tab w:leader="none" w:pos="264" w:val="left"/>
        </w:tabs>
        <w:numPr>
          <w:ilvl w:val="0"/>
          <w:numId w:val="7"/>
        </w:numPr>
        <w:rPr>
          <w:rFonts w:ascii="Arial" w:cs="Arial" w:eastAsia="Arial" w:hAnsi="Arial"/>
          <w:sz w:val="15"/>
          <w:szCs w:val="15"/>
          <w:color w:val="auto"/>
        </w:rPr>
      </w:pPr>
      <w:r>
        <w:rPr>
          <w:rFonts w:ascii="Arial" w:cs="Arial" w:eastAsia="Arial" w:hAnsi="Arial"/>
          <w:sz w:val="15"/>
          <w:szCs w:val="15"/>
          <w:color w:val="auto"/>
        </w:rPr>
        <w:t>notification requirements as to the identity of contracting agents, governmental approval of contracting agents or requirements and limitations on contract terms with our agents; and</w:t>
      </w:r>
    </w:p>
    <w:p>
      <w:pPr>
        <w:spacing w:after="0" w:line="140" w:lineRule="exact"/>
        <w:rPr>
          <w:rFonts w:ascii="Arial" w:cs="Arial" w:eastAsia="Arial" w:hAnsi="Arial"/>
          <w:sz w:val="15"/>
          <w:szCs w:val="15"/>
          <w:color w:val="auto"/>
        </w:rPr>
      </w:pPr>
    </w:p>
    <w:p>
      <w:pPr>
        <w:ind w:left="268" w:hanging="268"/>
        <w:spacing w:after="0"/>
        <w:tabs>
          <w:tab w:leader="none" w:pos="268" w:val="left"/>
        </w:tabs>
        <w:numPr>
          <w:ilvl w:val="0"/>
          <w:numId w:val="7"/>
        </w:numPr>
        <w:rPr>
          <w:rFonts w:ascii="Arial" w:cs="Arial" w:eastAsia="Arial" w:hAnsi="Arial"/>
          <w:sz w:val="15"/>
          <w:szCs w:val="15"/>
          <w:color w:val="auto"/>
        </w:rPr>
      </w:pPr>
      <w:r>
        <w:rPr>
          <w:rFonts w:ascii="Arial" w:cs="Arial" w:eastAsia="Arial" w:hAnsi="Arial"/>
          <w:sz w:val="15"/>
          <w:szCs w:val="15"/>
          <w:color w:val="auto"/>
        </w:rPr>
        <w:t>registration or licensing of us or our agents with a state or federal agency in the United States or with the central bank or other proper authority in a foreign country.</w:t>
      </w:r>
    </w:p>
    <w:p>
      <w:pPr>
        <w:spacing w:after="0" w:line="195" w:lineRule="exact"/>
        <w:rPr>
          <w:sz w:val="20"/>
          <w:szCs w:val="20"/>
          <w:color w:val="auto"/>
        </w:rPr>
      </w:pPr>
    </w:p>
    <w:p>
      <w:pPr>
        <w:jc w:val="both"/>
        <w:ind w:left="8" w:firstLine="275"/>
        <w:spacing w:after="0" w:line="278" w:lineRule="auto"/>
        <w:rPr>
          <w:sz w:val="20"/>
          <w:szCs w:val="20"/>
          <w:color w:val="auto"/>
        </w:rPr>
      </w:pPr>
      <w:r>
        <w:rPr>
          <w:rFonts w:ascii="Arial" w:cs="Arial" w:eastAsia="Arial" w:hAnsi="Arial"/>
          <w:sz w:val="14"/>
          <w:szCs w:val="14"/>
          <w:i w:val="1"/>
          <w:iCs w:val="1"/>
          <w:color w:val="auto"/>
        </w:rPr>
        <w:t xml:space="preserve">Anti-money laundering regulations are constantly evolving and vary from country to country. </w:t>
      </w:r>
      <w:r>
        <w:rPr>
          <w:rFonts w:ascii="Arial" w:cs="Arial" w:eastAsia="Arial" w:hAnsi="Arial"/>
          <w:sz w:val="14"/>
          <w:szCs w:val="14"/>
          <w:color w:val="auto"/>
        </w:rPr>
        <w:t>We continuously monitor our compliance with anti-money laundering regulations and</w:t>
      </w:r>
      <w:r>
        <w:rPr>
          <w:rFonts w:ascii="Arial" w:cs="Arial" w:eastAsia="Arial" w:hAnsi="Arial"/>
          <w:sz w:val="14"/>
          <w:szCs w:val="14"/>
          <w:i w:val="1"/>
          <w:iCs w:val="1"/>
          <w:color w:val="auto"/>
        </w:rPr>
        <w:t xml:space="preserve"> </w:t>
      </w:r>
      <w:r>
        <w:rPr>
          <w:rFonts w:ascii="Arial" w:cs="Arial" w:eastAsia="Arial" w:hAnsi="Arial"/>
          <w:sz w:val="14"/>
          <w:szCs w:val="14"/>
          <w:color w:val="auto"/>
        </w:rPr>
        <w:t>implement policies and procedures to stay current with legal requirements. Our money remittance services are primarily offered through third-party agents under contract with us, but we do not directly control these agents. As a MSB, we and our agents are required to establish anti-money laundering compliance programs that include internal policies and controls; a designated compliance officer; employee training and an independent review function. We have developed an anti-money laundering training manual and a program to assist with the education of our agents and employees on the applicable rules and regulations. We also offer in-person and online training as part of our agent compliance training program, engage in various activities to enable agent oversight and have adopted compliance policies that outline key principles of our compliance program to our agents. We have developed a regulatory compliance department, under the direction of our Chief Compliance Officer, whose foremost responsibility is to monitor transactions, detect suspicious activity, maintain financial records and train our employees and agents. An independent third-party consulting firm periodically reviews our policies and procedures to ensure the efficacy of our anti-money laundering and regulatory compliance programs. Key milestones in the compliance processes include: (1) mandatory fields and identification requirements at the time the sending agents initiate a transaction; (2) the sender and receiver are screened against government-required lists (for OFAC and other purposes); (3) the transaction, before sent to the paying agent, is screened and any flagged exceptions are sent to the compliance unit for investigation and release or rejection; and (4) the transaction is screened for limit restrictions, velocity levels, structuring and identification requirements.</w:t>
      </w:r>
    </w:p>
    <w:p>
      <w:pPr>
        <w:spacing w:after="0" w:line="148" w:lineRule="exact"/>
        <w:rPr>
          <w:sz w:val="20"/>
          <w:szCs w:val="20"/>
          <w:color w:val="auto"/>
        </w:rPr>
      </w:pPr>
    </w:p>
    <w:p>
      <w:pPr>
        <w:jc w:val="both"/>
        <w:ind w:left="8" w:firstLine="275"/>
        <w:spacing w:after="0" w:line="265" w:lineRule="auto"/>
        <w:rPr>
          <w:sz w:val="20"/>
          <w:szCs w:val="20"/>
          <w:color w:val="auto"/>
        </w:rPr>
      </w:pPr>
      <w:r>
        <w:rPr>
          <w:rFonts w:ascii="Arial" w:cs="Arial" w:eastAsia="Arial" w:hAnsi="Arial"/>
          <w:sz w:val="15"/>
          <w:szCs w:val="15"/>
          <w:color w:val="auto"/>
        </w:rPr>
        <w:t>In connection with, and when required by regulatory requirements, we make information available to certain U.S. federal and state, as well as certain foreign, government agencies to assist in the prevention of money laundering, terrorism financing and other illegal activities and pursuant to legal obligations and authorizations. In certain circumstances, we may be required by government agencies to deny transactions that may be related to persons suspected of money laundering, terrorism financing or other illegal activities, and it is possible that we may inadvertently deny transactions from consumers who are making legal money transfers.</w:t>
      </w:r>
    </w:p>
    <w:p>
      <w:pPr>
        <w:spacing w:after="0" w:line="156" w:lineRule="exact"/>
        <w:rPr>
          <w:sz w:val="20"/>
          <w:szCs w:val="20"/>
          <w:color w:val="auto"/>
        </w:rPr>
      </w:pPr>
    </w:p>
    <w:p>
      <w:pPr>
        <w:jc w:val="both"/>
        <w:ind w:left="8" w:firstLine="275"/>
        <w:spacing w:after="0" w:line="283" w:lineRule="auto"/>
        <w:rPr>
          <w:sz w:val="20"/>
          <w:szCs w:val="20"/>
          <w:color w:val="auto"/>
        </w:rPr>
      </w:pPr>
      <w:r>
        <w:rPr>
          <w:rFonts w:ascii="Arial" w:cs="Arial" w:eastAsia="Arial" w:hAnsi="Arial"/>
          <w:sz w:val="14"/>
          <w:szCs w:val="14"/>
          <w:i w:val="1"/>
          <w:iCs w:val="1"/>
          <w:color w:val="auto"/>
        </w:rPr>
        <w:t>Licensing</w:t>
      </w:r>
      <w:r>
        <w:rPr>
          <w:rFonts w:ascii="Arial" w:cs="Arial" w:eastAsia="Arial" w:hAnsi="Arial"/>
          <w:sz w:val="14"/>
          <w:szCs w:val="14"/>
          <w:color w:val="auto"/>
        </w:rPr>
        <w:t>. In most countries, either we or our agents are required to obtain licenses or to register with a government authority in order to offer money transfer services. Almost all</w:t>
      </w:r>
      <w:r>
        <w:rPr>
          <w:rFonts w:ascii="Arial" w:cs="Arial" w:eastAsia="Arial" w:hAnsi="Arial"/>
          <w:sz w:val="14"/>
          <w:szCs w:val="14"/>
          <w:i w:val="1"/>
          <w:iCs w:val="1"/>
          <w:color w:val="auto"/>
        </w:rPr>
        <w:t xml:space="preserve"> </w:t>
      </w:r>
      <w:r>
        <w:rPr>
          <w:rFonts w:ascii="Arial" w:cs="Arial" w:eastAsia="Arial" w:hAnsi="Arial"/>
          <w:sz w:val="14"/>
          <w:szCs w:val="14"/>
          <w:color w:val="auto"/>
        </w:rPr>
        <w:t>states in the United States, the District of Columbia and Puerto Rico, as well as certain provinces in Canada, require us to be licensed to conduct business within their jurisdictions. Licensing requirements may include requirements related to net worth, providing surety bonds and letters of credit, operational procedures, agent oversight and maintenance of reserves to cover outstanding payment obligations. Acceptable forms of such reserves will vary based on jurisdiction and the applicable regulator, but generally include cash and cash equivalents, U.S. government securities and other highly rated debt instruments. Many regulators require us to file reports on a quarterly or more frequent basis to verify our compliance with their requirements. We are also subject to periodic examinations by the governmental agencies with regulatory authority over our business.</w:t>
      </w:r>
    </w:p>
    <w:p>
      <w:pPr>
        <w:spacing w:after="0" w:line="146" w:lineRule="exact"/>
        <w:rPr>
          <w:sz w:val="20"/>
          <w:szCs w:val="20"/>
          <w:color w:val="auto"/>
        </w:rPr>
      </w:pPr>
    </w:p>
    <w:p>
      <w:pPr>
        <w:jc w:val="both"/>
        <w:ind w:left="8" w:firstLine="275"/>
        <w:spacing w:after="0" w:line="262" w:lineRule="auto"/>
        <w:rPr>
          <w:sz w:val="20"/>
          <w:szCs w:val="20"/>
          <w:color w:val="auto"/>
        </w:rPr>
      </w:pPr>
      <w:r>
        <w:rPr>
          <w:rFonts w:ascii="Arial" w:cs="Arial" w:eastAsia="Arial" w:hAnsi="Arial"/>
          <w:sz w:val="15"/>
          <w:szCs w:val="15"/>
          <w:i w:val="1"/>
          <w:iCs w:val="1"/>
          <w:color w:val="auto"/>
        </w:rPr>
        <w:t>Escheatment</w:t>
      </w:r>
      <w:r>
        <w:rPr>
          <w:rFonts w:ascii="Arial" w:cs="Arial" w:eastAsia="Arial" w:hAnsi="Arial"/>
          <w:sz w:val="15"/>
          <w:szCs w:val="15"/>
          <w:color w:val="auto"/>
        </w:rPr>
        <w:t>. Unclaimed property laws of each state in the United States in which we operate, the District of Columbia, and Puerto Rico require us to track certain information for</w:t>
      </w:r>
      <w:r>
        <w:rPr>
          <w:rFonts w:ascii="Arial" w:cs="Arial" w:eastAsia="Arial" w:hAnsi="Arial"/>
          <w:sz w:val="15"/>
          <w:szCs w:val="15"/>
          <w:i w:val="1"/>
          <w:iCs w:val="1"/>
          <w:color w:val="auto"/>
        </w:rPr>
        <w:t xml:space="preserve"> </w:t>
      </w:r>
      <w:r>
        <w:rPr>
          <w:rFonts w:ascii="Arial" w:cs="Arial" w:eastAsia="Arial" w:hAnsi="Arial"/>
          <w:sz w:val="15"/>
          <w:szCs w:val="15"/>
          <w:color w:val="auto"/>
        </w:rPr>
        <w:t>all of our money remittances and payment instruments and, if the funds underlying such remittances and instruments are unclaimed at the end of an applicable statutory abandonment period, require us to remit the proceeds of the unclaimed property to the appropriate jurisdiction. Applicable statutory abandonment periods range from three to seven years. Certain foreign jurisdictions also have unclaimed property laws. These laws are evolving and are often unclear and inconsistent among jurisdictions, making compliance challenging. We have an ongoing program designed to comply with escheatment laws as they apply to our business.</w:t>
      </w:r>
    </w:p>
    <w:p>
      <w:pPr>
        <w:spacing w:after="0" w:line="160" w:lineRule="exact"/>
        <w:rPr>
          <w:sz w:val="20"/>
          <w:szCs w:val="20"/>
          <w:color w:val="auto"/>
        </w:rPr>
      </w:pPr>
    </w:p>
    <w:p>
      <w:pPr>
        <w:jc w:val="both"/>
        <w:ind w:left="8" w:firstLine="275"/>
        <w:spacing w:after="0" w:line="283" w:lineRule="auto"/>
        <w:rPr>
          <w:sz w:val="20"/>
          <w:szCs w:val="20"/>
          <w:color w:val="auto"/>
        </w:rPr>
      </w:pPr>
      <w:r>
        <w:rPr>
          <w:rFonts w:ascii="Arial" w:cs="Arial" w:eastAsia="Arial" w:hAnsi="Arial"/>
          <w:sz w:val="14"/>
          <w:szCs w:val="14"/>
          <w:i w:val="1"/>
          <w:iCs w:val="1"/>
          <w:color w:val="auto"/>
        </w:rPr>
        <w:t>Data Privacy and Cybersecurity</w:t>
      </w:r>
      <w:r>
        <w:rPr>
          <w:rFonts w:ascii="Arial" w:cs="Arial" w:eastAsia="Arial" w:hAnsi="Arial"/>
          <w:sz w:val="14"/>
          <w:szCs w:val="14"/>
          <w:color w:val="auto"/>
        </w:rPr>
        <w:t>. We are subject to federal, state and international laws and regulations relating to the collection, use, retention, security, transfer, storage and</w:t>
      </w:r>
      <w:r>
        <w:rPr>
          <w:rFonts w:ascii="Arial" w:cs="Arial" w:eastAsia="Arial" w:hAnsi="Arial"/>
          <w:sz w:val="14"/>
          <w:szCs w:val="14"/>
          <w:i w:val="1"/>
          <w:iCs w:val="1"/>
          <w:color w:val="auto"/>
        </w:rPr>
        <w:t xml:space="preserve"> </w:t>
      </w:r>
      <w:r>
        <w:rPr>
          <w:rFonts w:ascii="Arial" w:cs="Arial" w:eastAsia="Arial" w:hAnsi="Arial"/>
          <w:sz w:val="14"/>
          <w:szCs w:val="14"/>
          <w:color w:val="auto"/>
        </w:rPr>
        <w:t>disposal of personally identifiable information of our customers, agents and employees. In the United States, we are subject to various federal privacy laws, including the Gramm-Leach-Bliley Act, which requires that financial institutions provide consumers with privacy notices and have in place policies and procedures regarding the safeguarding of personal information. We are also subject to privacy and data breach laws of various states. Outside the United States, we are subject to privacy laws of numerous countries and jurisdictions, which may be more restrictive than the U.S. laws and impose more stringent duties on companies or penalties for non-compliance. Government surveillance laws and data localization laws are evolving to address increased and changing threats and risks and as these laws evolve, they may be, or become, inconsistent from jurisdiction to jurisdiction.</w:t>
      </w:r>
    </w:p>
    <w:p>
      <w:pPr>
        <w:spacing w:after="0" w:line="146" w:lineRule="exact"/>
        <w:rPr>
          <w:sz w:val="20"/>
          <w:szCs w:val="20"/>
          <w:color w:val="auto"/>
        </w:rPr>
      </w:pPr>
    </w:p>
    <w:p>
      <w:pPr>
        <w:jc w:val="both"/>
        <w:ind w:left="8" w:firstLine="275"/>
        <w:spacing w:after="0" w:line="285" w:lineRule="auto"/>
        <w:rPr>
          <w:sz w:val="20"/>
          <w:szCs w:val="20"/>
          <w:color w:val="auto"/>
        </w:rPr>
      </w:pPr>
      <w:r>
        <w:rPr>
          <w:rFonts w:ascii="Arial" w:cs="Arial" w:eastAsia="Arial" w:hAnsi="Arial"/>
          <w:sz w:val="15"/>
          <w:szCs w:val="15"/>
          <w:i w:val="1"/>
          <w:iCs w:val="1"/>
          <w:color w:val="auto"/>
        </w:rPr>
        <w:t>Consumer Protection</w:t>
      </w:r>
      <w:r>
        <w:rPr>
          <w:rFonts w:ascii="Arial" w:cs="Arial" w:eastAsia="Arial" w:hAnsi="Arial"/>
          <w:sz w:val="15"/>
          <w:szCs w:val="15"/>
          <w:color w:val="auto"/>
        </w:rPr>
        <w:t>. The Dodd-Frank Wall Street Reform and Consumer Protection Act (the “Dodd-Frank Act”) imposes additional regulatory requirements and creates</w:t>
      </w:r>
      <w:r>
        <w:rPr>
          <w:rFonts w:ascii="Arial" w:cs="Arial" w:eastAsia="Arial" w:hAnsi="Arial"/>
          <w:sz w:val="15"/>
          <w:szCs w:val="15"/>
          <w:i w:val="1"/>
          <w:iCs w:val="1"/>
          <w:color w:val="auto"/>
        </w:rPr>
        <w:t xml:space="preserve"> </w:t>
      </w:r>
      <w:r>
        <w:rPr>
          <w:rFonts w:ascii="Arial" w:cs="Arial" w:eastAsia="Arial" w:hAnsi="Arial"/>
          <w:sz w:val="15"/>
          <w:szCs w:val="15"/>
          <w:color w:val="auto"/>
        </w:rPr>
        <w:t>additional regulatory oversight over us. The Dodd-Frank Act created the CFPB which issues and</w:t>
      </w:r>
    </w:p>
    <w:p>
      <w:pPr>
        <w:spacing w:after="0" w:line="18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78040"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29" w:right="319" w:bottom="1440" w:gutter="0" w:footer="0" w:header="0"/>
        </w:sectPr>
      </w:pPr>
    </w:p>
    <w:bookmarkStart w:id="9" w:name="page10"/>
    <w:bookmarkEnd w:id="9"/>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enforces consumer protection initiatives governing financial products and services, including money remittance services, in the United States through the CFPB’s Remittance Transfer Rule. Its requirements include: a disclosure requirement to provide consumers sending funds internationally from the United States enhanced pre-transaction written disclosures, an obligation to resolve certain errors, including errors that may be outside our control, and an obligation to cancel transactions that have not been completed at a consumer’s request. As a “larger participant” in the market for international money transfers, we are subject to direct examination and supervision by the CFPB. We have modified our systems and consumer disclosures in light of the requirements of the Remittance Transfer Rule.</w:t>
      </w:r>
    </w:p>
    <w:p>
      <w:pPr>
        <w:spacing w:after="0" w:line="160" w:lineRule="exact"/>
        <w:rPr>
          <w:sz w:val="20"/>
          <w:szCs w:val="20"/>
          <w:color w:val="auto"/>
        </w:rPr>
      </w:pPr>
    </w:p>
    <w:p>
      <w:pPr>
        <w:jc w:val="both"/>
        <w:ind w:firstLine="275"/>
        <w:spacing w:after="0" w:line="303" w:lineRule="auto"/>
        <w:rPr>
          <w:sz w:val="20"/>
          <w:szCs w:val="20"/>
          <w:color w:val="auto"/>
        </w:rPr>
      </w:pPr>
      <w:r>
        <w:rPr>
          <w:rFonts w:ascii="Arial" w:cs="Arial" w:eastAsia="Arial" w:hAnsi="Arial"/>
          <w:sz w:val="13"/>
          <w:szCs w:val="13"/>
          <w:color w:val="auto"/>
        </w:rPr>
        <w:t>In addition, under the Dodd-Frank Act, it is unlawful for any provider of consumer financial products or services to engage in unfair, deceptive, or abusive acts or practices. The CFPB has substantial rule making and enforcement authority to prevent unfair, deceptive, or abusive acts or practices in connection with any transaction with a consumer for a financial product or service. In addition, each state of the United States from time to time, may enact new laws and regulations, such as the CCPA, which creates new consumer rights relating to the access to, deletion of, and sharing of personal information that is collected by businesses. We have taken the necessary steps to review, modify and implement, as needed, policies and procedures designed to comply with the CFPB’s Remittance Transfer Rule. The Company’s communications, advertising and sales practices and that of its agent network are subject to regulation by, among other things, state and federal consumer protection laws including the Telephone Consumer Protection Act (“TCPA”). The FTC and the Federal Communications Commission have issued regulations under the TCPA that place restrictions on, among other things, unsolicited automated telephone calls or text messages to residential and wireless telephone subscribers by means of automatic telephone dialing systems and the use of prerecorded or artificial voice messages. The Company has taken steps to insulate itself from any such wrongful conduct, including conduct engaged in by its agents, by, among other things, requiring its agents to comply with the TCPA and such regulations.</w:t>
      </w:r>
    </w:p>
    <w:p>
      <w:pPr>
        <w:spacing w:after="0" w:line="137" w:lineRule="exact"/>
        <w:rPr>
          <w:sz w:val="20"/>
          <w:szCs w:val="20"/>
          <w:color w:val="auto"/>
        </w:rPr>
      </w:pPr>
    </w:p>
    <w:p>
      <w:pPr>
        <w:jc w:val="both"/>
        <w:ind w:firstLine="275"/>
        <w:spacing w:after="0" w:line="270" w:lineRule="auto"/>
        <w:rPr>
          <w:sz w:val="20"/>
          <w:szCs w:val="20"/>
          <w:color w:val="auto"/>
        </w:rPr>
      </w:pPr>
      <w:r>
        <w:rPr>
          <w:rFonts w:ascii="Arial" w:cs="Arial" w:eastAsia="Arial" w:hAnsi="Arial"/>
          <w:sz w:val="15"/>
          <w:szCs w:val="15"/>
          <w:i w:val="1"/>
          <w:iCs w:val="1"/>
          <w:color w:val="auto"/>
        </w:rPr>
        <w:t>Anti-Bribery Regulation</w:t>
      </w:r>
      <w:r>
        <w:rPr>
          <w:rFonts w:ascii="Arial" w:cs="Arial" w:eastAsia="Arial" w:hAnsi="Arial"/>
          <w:sz w:val="15"/>
          <w:szCs w:val="15"/>
          <w:color w:val="auto"/>
        </w:rPr>
        <w:t>. We are subject to regulations imposed by the Foreign Corrupt Practices Act (the “FCPA”) in the United States and similar anti-bribery laws in other</w:t>
      </w:r>
      <w:r>
        <w:rPr>
          <w:rFonts w:ascii="Arial" w:cs="Arial" w:eastAsia="Arial" w:hAnsi="Arial"/>
          <w:sz w:val="15"/>
          <w:szCs w:val="15"/>
          <w:i w:val="1"/>
          <w:iCs w:val="1"/>
          <w:color w:val="auto"/>
        </w:rPr>
        <w:t xml:space="preserve"> </w:t>
      </w:r>
      <w:r>
        <w:rPr>
          <w:rFonts w:ascii="Arial" w:cs="Arial" w:eastAsia="Arial" w:hAnsi="Arial"/>
          <w:sz w:val="15"/>
          <w:szCs w:val="15"/>
          <w:color w:val="auto"/>
        </w:rPr>
        <w:t>jurisdictions. These laws may impose recordkeeping and other requirements on us. We maintain a compliance program designed to comply with anti-bribery laws and regulations applicable to our business.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Management</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At times, we are exposed to credit risk related to receivable balances from sending agents in the money remittance process if agents do not timely make payments to us.</w:t>
      </w:r>
    </w:p>
    <w:p>
      <w:pPr>
        <w:spacing w:after="0" w:line="206" w:lineRule="exact"/>
        <w:rPr>
          <w:sz w:val="20"/>
          <w:szCs w:val="20"/>
          <w:color w:val="auto"/>
        </w:rPr>
      </w:pPr>
    </w:p>
    <w:p>
      <w:pPr>
        <w:jc w:val="both"/>
        <w:ind w:right="20" w:firstLine="275"/>
        <w:spacing w:after="0" w:line="285" w:lineRule="auto"/>
        <w:rPr>
          <w:sz w:val="20"/>
          <w:szCs w:val="20"/>
          <w:color w:val="auto"/>
        </w:rPr>
      </w:pPr>
      <w:r>
        <w:rPr>
          <w:rFonts w:ascii="Arial" w:cs="Arial" w:eastAsia="Arial" w:hAnsi="Arial"/>
          <w:sz w:val="15"/>
          <w:szCs w:val="15"/>
          <w:color w:val="auto"/>
        </w:rPr>
        <w:t>Through our online and electronic platforms, we also are exposed to credit risk directly from transactions that are originated through means other than cash, such as credit, debit cards and “ACH” transfers, and therefore are subject to “chargebacks” for insufficient funds or other collection impediments, such as fraud.</w:t>
      </w:r>
    </w:p>
    <w:p>
      <w:pPr>
        <w:spacing w:after="0" w:line="141" w:lineRule="exact"/>
        <w:rPr>
          <w:sz w:val="20"/>
          <w:szCs w:val="20"/>
          <w:color w:val="auto"/>
        </w:rPr>
      </w:pPr>
    </w:p>
    <w:p>
      <w:pPr>
        <w:jc w:val="both"/>
        <w:ind w:firstLine="275"/>
        <w:spacing w:after="0" w:line="270" w:lineRule="auto"/>
        <w:rPr>
          <w:sz w:val="20"/>
          <w:szCs w:val="20"/>
          <w:color w:val="auto"/>
        </w:rPr>
      </w:pPr>
      <w:r>
        <w:rPr>
          <w:rFonts w:ascii="Arial" w:cs="Arial" w:eastAsia="Arial" w:hAnsi="Arial"/>
          <w:sz w:val="15"/>
          <w:szCs w:val="15"/>
          <w:color w:val="auto"/>
        </w:rPr>
        <w:t>Given the nature of our business, we are also subject to liquidity risk as the timing of the funds to be remitted by our sending agents may extend in comparison with the timing when we make the funds available to the money transfer beneficiary in the destination country. Our current liquidity sources as well as our ability to generate free cash are mitigating factors in our liquidity management strategy.</w:t>
      </w:r>
    </w:p>
    <w:p>
      <w:pPr>
        <w:spacing w:after="0" w:line="152"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5"/>
          <w:szCs w:val="15"/>
          <w:color w:val="auto"/>
        </w:rPr>
        <w:t>We continually monitor fraud risk, perform credit reviews before adding agents to our network and conduct periodic credit risk analyses of agents and certain other parties that we transact with directly. For the fiscal year ended December 31, 2021, our provision for bad debt was equal to 0.3% of our total revenues.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Seasonality</w:t>
      </w:r>
    </w:p>
    <w:p>
      <w:pPr>
        <w:spacing w:after="0" w:line="199"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5"/>
          <w:szCs w:val="15"/>
          <w:color w:val="auto"/>
        </w:rPr>
        <w:t>We do not experience meaningful seasonality in our business. We may experience, however, increased transaction volume around certain holidays, such as Mother’s Day and the December holidays.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199" w:lineRule="exact"/>
        <w:rPr>
          <w:sz w:val="20"/>
          <w:szCs w:val="20"/>
          <w:color w:val="auto"/>
        </w:rPr>
      </w:pPr>
    </w:p>
    <w:p>
      <w:pPr>
        <w:jc w:val="both"/>
        <w:ind w:firstLine="275"/>
        <w:spacing w:after="0" w:line="260" w:lineRule="auto"/>
        <w:rPr>
          <w:sz w:val="20"/>
          <w:szCs w:val="20"/>
          <w:color w:val="auto"/>
        </w:rPr>
      </w:pPr>
      <w:r>
        <w:rPr>
          <w:rFonts w:ascii="Arial" w:cs="Arial" w:eastAsia="Arial" w:hAnsi="Arial"/>
          <w:sz w:val="15"/>
          <w:szCs w:val="15"/>
          <w:color w:val="auto"/>
        </w:rPr>
        <w:t>The market for money remittance services is very competitive. Our competitors include a small number of large money remittance providers, financial institutions and banks as well as a large number of small niche money remittance service providers that serve select regions. We compete with larger companies, such as The Western Union Company (“Western Union”), MoneyGram International, Inc. (“MoneyGram”) and Euronet Worldwide Inc. (“Euronet”), and a number of other smaller competitors. We generally compete for money remittance agents on the basis of value, service, quality, technical and operational differences, commission, and marketing efforts. As a philosophy, we sell credible solutions to agents, not discounts or higher commissions as is typical for the industry. We compete for money remittance customers on the basis of trust, convenience, service, efficiency of outlets, value, technology and brand recognition. We believe that our ongoing investments in new products and services will help us to remain competitive in our evolving business environment, given the increasing competition from digital platform providers.</w:t>
      </w:r>
    </w:p>
    <w:p>
      <w:pPr>
        <w:spacing w:after="0" w:line="160"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5"/>
          <w:szCs w:val="15"/>
          <w:color w:val="auto"/>
        </w:rPr>
        <w:t>We expect to encounter increasing competition as new technologies emerge that enable customers to send and receive money through a variety of channels, but we do not expect adoption rates to be as significant in the near term for the customer segment we serve.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0" w:name="page11"/>
    <w:bookmarkEnd w:id="10"/>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4"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Regardless, we continue to innovate in the industry by differentiating our money remittance business through programs to foster loyalty among agents as well as customers and have expanded our channels through which our services are accessed to include online and mobile offerings in preparation for customer adoption.</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Human Capital</w:t>
      </w:r>
    </w:p>
    <w:p>
      <w:pPr>
        <w:spacing w:after="0" w:line="199" w:lineRule="exact"/>
        <w:rPr>
          <w:sz w:val="20"/>
          <w:szCs w:val="20"/>
          <w:color w:val="auto"/>
        </w:rPr>
      </w:pPr>
    </w:p>
    <w:p>
      <w:pPr>
        <w:jc w:val="both"/>
        <w:ind w:firstLine="275"/>
        <w:spacing w:after="0" w:line="262" w:lineRule="auto"/>
        <w:rPr>
          <w:sz w:val="20"/>
          <w:szCs w:val="20"/>
          <w:color w:val="auto"/>
        </w:rPr>
      </w:pPr>
      <w:r>
        <w:rPr>
          <w:rFonts w:ascii="Arial" w:cs="Arial" w:eastAsia="Arial" w:hAnsi="Arial"/>
          <w:sz w:val="15"/>
          <w:szCs w:val="15"/>
          <w:color w:val="auto"/>
        </w:rPr>
        <w:t>We invest in our workforce by offering a competitive total rewards package that in addition to a salary, includes performance incentives and comprehensive benefits that are intended to be competitive in the market and focused on the needs of our employees in order to attract and retain highly qualified talent. Our incentives are primarily measurable and performance-based, and are designed to align compensation to our business strategy and goals. We have enhanced our onboarding process and plan to further enhance learning and development programs to drive quicker integration, development and higher productivity of new employees, as well as the ongoing development of team members to ensure robust recruitment and retention.</w:t>
      </w:r>
    </w:p>
    <w:p>
      <w:pPr>
        <w:spacing w:after="0" w:line="160" w:lineRule="exact"/>
        <w:rPr>
          <w:sz w:val="20"/>
          <w:szCs w:val="20"/>
          <w:color w:val="auto"/>
        </w:rPr>
      </w:pPr>
    </w:p>
    <w:p>
      <w:pPr>
        <w:jc w:val="both"/>
        <w:ind w:firstLine="275"/>
        <w:spacing w:after="0" w:line="298" w:lineRule="auto"/>
        <w:rPr>
          <w:sz w:val="20"/>
          <w:szCs w:val="20"/>
          <w:color w:val="auto"/>
        </w:rPr>
      </w:pPr>
      <w:r>
        <w:rPr>
          <w:rFonts w:ascii="Arial" w:cs="Arial" w:eastAsia="Arial" w:hAnsi="Arial"/>
          <w:sz w:val="14"/>
          <w:szCs w:val="14"/>
          <w:color w:val="auto"/>
        </w:rPr>
        <w:t>We value diversity and inclusion and strive to create a work environment where everyone feels valued and devoted to their work. As of December 31, 2021, 96% of our U.S. team members identified themselves as racially or ethnically diverse. Also, 50% of our U.S. team identified themselves as female and females fill 25% of our senior leadership roles. In 2022, we intend to promote greater community involvement through philanthropic and volunteer efforts, with a focus on diversity, community improvement, and STEM programs.</w:t>
      </w:r>
    </w:p>
    <w:p>
      <w:pPr>
        <w:spacing w:after="0" w:line="134"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During 2021, the well-being and health of our employees remained one of our top priorities, especially in light of the COVID-19 pandemic. We adjusted standard operating procedures within our business operations to ensure continued worker safety. These procedures included reconfiguring facilities to reduce employee density, expanding and increasing frequency of cleaning within facilities, adopting appropriate and mandated hybrid-mode work, distancing programs, providing weekly testing and strongly encouraging employees to be vaccinated and to wear recommended personal protective equipment.</w:t>
      </w:r>
    </w:p>
    <w:p>
      <w:pPr>
        <w:spacing w:after="0" w:line="156" w:lineRule="exact"/>
        <w:rPr>
          <w:sz w:val="20"/>
          <w:szCs w:val="20"/>
          <w:color w:val="auto"/>
        </w:rPr>
      </w:pPr>
    </w:p>
    <w:p>
      <w:pPr>
        <w:jc w:val="both"/>
        <w:ind w:right="20" w:firstLine="275"/>
        <w:spacing w:after="0" w:line="285" w:lineRule="auto"/>
        <w:rPr>
          <w:sz w:val="20"/>
          <w:szCs w:val="20"/>
          <w:color w:val="auto"/>
        </w:rPr>
      </w:pPr>
      <w:r>
        <w:rPr>
          <w:rFonts w:ascii="Arial" w:cs="Arial" w:eastAsia="Arial" w:hAnsi="Arial"/>
          <w:sz w:val="15"/>
          <w:szCs w:val="15"/>
          <w:color w:val="auto"/>
        </w:rPr>
        <w:t>As of December 31, 2021, we had 305 employees in the United States, all of whom are full-time. We also have 518 employees in Mexico, of whom 308 are full-time, and 61 employees in Guatemala, all of whom are full time. As of December 31, 2021, 479 of our employees in Mexico were represented by a labor union.</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Available Information</w:t>
      </w:r>
    </w:p>
    <w:p>
      <w:pPr>
        <w:spacing w:after="0" w:line="199"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4"/>
          <w:szCs w:val="14"/>
          <w:color w:val="auto"/>
        </w:rPr>
        <w:t>The Company’s Annual Report on Form 10-K, quarterly reports on Form 10-Q, current reports on Form 8-K, and amendments to those reports are available free of charge through the “Investor Relations” section of the Company’s website, www.intermexonline.com, as soon as reasonably practical after they are filed with the Securities and Exchange Commission (“SEC”). The SEC maintains a website, www.sec.gov, which contains reports, proxy and information statements, and other information filed electronically with the SEC by the Company. In addition, you may automatically receive email alerts and other information when you enroll your email address by visiting the “Investor Relations” section of our website. The content of any website referred to in this document is not incorporated by reference into this document.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1" w:name="page12"/>
    <w:bookmarkEnd w:id="11"/>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0"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 FACTORS</w:t>
      </w:r>
    </w:p>
    <w:p>
      <w:pPr>
        <w:spacing w:after="0" w:line="199" w:lineRule="exact"/>
        <w:rPr>
          <w:sz w:val="20"/>
          <w:szCs w:val="20"/>
          <w:color w:val="auto"/>
        </w:rPr>
      </w:pPr>
    </w:p>
    <w:p>
      <w:pPr>
        <w:jc w:val="both"/>
        <w:ind w:firstLine="275"/>
        <w:spacing w:after="0" w:line="281" w:lineRule="auto"/>
        <w:rPr>
          <w:sz w:val="20"/>
          <w:szCs w:val="20"/>
          <w:color w:val="auto"/>
        </w:rPr>
      </w:pPr>
      <w:r>
        <w:rPr>
          <w:rFonts w:ascii="Arial" w:cs="Arial" w:eastAsia="Arial" w:hAnsi="Arial"/>
          <w:sz w:val="14"/>
          <w:szCs w:val="14"/>
          <w:color w:val="auto"/>
        </w:rPr>
        <w:t>An investment in our securities involves certain risks. The risks and uncertainties described below are not the only risks that may have a material and adverse effect on the Company, and the risks described herein are not listed in order of the potential occurrence or severity. There is no assurance that we have identified, assessed and appropriately addressed all risks affecting our business operations. Additional risks and uncertainties could adversely affect our business and our results. If any of the following risks actually occur, our business, consolidated financial condition or results of operations could be negatively affected, and the market price for our shares could decline. Further, to the extent that any of the information contained in this Annual Report on Form 10-K constitutes forward-looking statements, the risk factors set forth below are cautionary statements, identifying important factors that could cause the Company’s actual results to differ materially from those expressed in or implied by any forward-looking statements made by or on behalf of the Company. There can also be no assurance that the actual future results, performance, benefits or achievements that we expect from our strategies, systems, initiatives or products will occur.</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Relating to Our Business and Industry</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financial condition, results of operations, business and cash flow may be negatively affected by a public health crises, such as the coronavirus (COVID-19) pandemic.</w:t>
      </w:r>
    </w:p>
    <w:p>
      <w:pPr>
        <w:spacing w:after="0" w:line="218" w:lineRule="exact"/>
        <w:rPr>
          <w:sz w:val="20"/>
          <w:szCs w:val="20"/>
          <w:color w:val="auto"/>
        </w:rPr>
      </w:pPr>
    </w:p>
    <w:p>
      <w:pPr>
        <w:jc w:val="both"/>
        <w:ind w:firstLine="275"/>
        <w:spacing w:after="0" w:line="283" w:lineRule="auto"/>
        <w:rPr>
          <w:sz w:val="20"/>
          <w:szCs w:val="20"/>
          <w:color w:val="auto"/>
        </w:rPr>
      </w:pPr>
      <w:r>
        <w:rPr>
          <w:rFonts w:ascii="Arial" w:cs="Arial" w:eastAsia="Arial" w:hAnsi="Arial"/>
          <w:sz w:val="14"/>
          <w:szCs w:val="14"/>
          <w:color w:val="auto"/>
        </w:rPr>
        <w:t>We may face risks related to health epidemics and pandemics or other outbreaks of communicable diseases such as the global COVID-19 pandemic. The global spread of COVID-19 and its variants continues to cause uncertainty and economic disruption, including significant volatility in the capital markets and inflationary effects. The extent to which the COVID-19 pandemic and its variants affect our business, operations, financial results and the trading price of our common stock depends on numerous evolving factors that we may not be able to accurately predict, including: the duration and scope and possible resurgence of the pandemic; governmental and business actions that have been and continue to be taken in response to the pandemic (including mitigation efforts such as limiting the number of people in the workplace and other social distancing recommendations) and the impact of the pandemic on economic activity and actions taken in response (including stimulus efforts such as the Families First Coronavirus Act and the CARES Act).</w:t>
      </w:r>
    </w:p>
    <w:p>
      <w:pPr>
        <w:spacing w:after="0" w:line="146" w:lineRule="exact"/>
        <w:rPr>
          <w:sz w:val="20"/>
          <w:szCs w:val="20"/>
          <w:color w:val="auto"/>
        </w:rPr>
      </w:pPr>
    </w:p>
    <w:p>
      <w:pPr>
        <w:jc w:val="both"/>
        <w:ind w:firstLine="275"/>
        <w:spacing w:after="0" w:line="259" w:lineRule="auto"/>
        <w:rPr>
          <w:sz w:val="20"/>
          <w:szCs w:val="20"/>
          <w:color w:val="auto"/>
        </w:rPr>
      </w:pPr>
      <w:r>
        <w:rPr>
          <w:rFonts w:ascii="Arial" w:cs="Arial" w:eastAsia="Arial" w:hAnsi="Arial"/>
          <w:sz w:val="15"/>
          <w:szCs w:val="15"/>
          <w:color w:val="auto"/>
        </w:rPr>
        <w:t>A public health epidemic or pandemic, such as the COVID-19 pandemic, can have a material adverse effect on the demand for our money remittance services to the extent it impacts the markets in which we operate, and poses the risk that we or our employees, network of agents and consumers and their beneficiaries may be prevented from conducting business activities for an indefinite period of time, including due to shutdowns requested or mandated by governmental authorities, or that such epidemic may otherwise interrupt or impair business activities. Since the beginning of the pandemic, our top priority has been and remains to be to take appropriate actions to protect the health and safety of our employees. We have adjusted standard operating procedures within our business operations to ensure continued worker safety, and are continually monitoring evolving health guidelines and responding to changes as appropriate. These procedures include reconfiguring facilities to reduce employee density, expanded and more frequent cleaning within facilities, implementation of appropriate and mandated hybrid-mode work, distancing programs, employee temperature monitoring, frequent testing and requiring use of certain personal protective equipment at our call centers in Mexico and Guatemala.</w:t>
      </w:r>
    </w:p>
    <w:p>
      <w:pPr>
        <w:spacing w:after="0" w:line="163" w:lineRule="exact"/>
        <w:rPr>
          <w:sz w:val="20"/>
          <w:szCs w:val="20"/>
          <w:color w:val="auto"/>
        </w:rPr>
      </w:pPr>
    </w:p>
    <w:p>
      <w:pPr>
        <w:jc w:val="both"/>
        <w:ind w:firstLine="275"/>
        <w:spacing w:after="0" w:line="261" w:lineRule="auto"/>
        <w:rPr>
          <w:sz w:val="20"/>
          <w:szCs w:val="20"/>
          <w:color w:val="auto"/>
        </w:rPr>
      </w:pPr>
      <w:r>
        <w:rPr>
          <w:rFonts w:ascii="Arial" w:cs="Arial" w:eastAsia="Arial" w:hAnsi="Arial"/>
          <w:sz w:val="15"/>
          <w:szCs w:val="15"/>
          <w:color w:val="auto"/>
        </w:rPr>
        <w:t>Notwithstanding the operational challenges created by the pandemic, our business continues to function and, to date, our customer service has not been adversely affected in any material respect. Any adjustments to our operating procedures as a result of the COVID-19 pandemic did not have a significant adverse effect on the Company’s financial condition, results of operations and cash flows for the year ended December 31, 2021. Nevertheless, the COVID-19 pandemic continues to pose the risk that we or our employees, sending and paying agents, as well as customers and their beneficiaries, are or may become further restricted from conducting business activities, partially or completely, for an indefinite period of time, including due to shutdowns requested or mandated by governmental authorities or imposed by our management, or that the pandemic may otherwise interrupt or impair business activities.</w:t>
      </w:r>
    </w:p>
    <w:p>
      <w:pPr>
        <w:spacing w:after="0" w:line="159" w:lineRule="exact"/>
        <w:rPr>
          <w:sz w:val="20"/>
          <w:szCs w:val="20"/>
          <w:color w:val="auto"/>
        </w:rPr>
      </w:pPr>
    </w:p>
    <w:p>
      <w:pPr>
        <w:jc w:val="both"/>
        <w:ind w:firstLine="275"/>
        <w:spacing w:after="0" w:line="279" w:lineRule="auto"/>
        <w:rPr>
          <w:sz w:val="20"/>
          <w:szCs w:val="20"/>
          <w:color w:val="auto"/>
        </w:rPr>
      </w:pPr>
      <w:r>
        <w:rPr>
          <w:rFonts w:ascii="Arial" w:cs="Arial" w:eastAsia="Arial" w:hAnsi="Arial"/>
          <w:sz w:val="14"/>
          <w:szCs w:val="14"/>
          <w:color w:val="auto"/>
        </w:rPr>
        <w:t>Although certain measures that restrict the normal course of operations of businesses and consumers were still in place during 2021, such measures did not have a material adverse effect on the Company’s financial condition, results of operations and cash flows for the year ended December 31, 2021. Notwithstanding the foregoing, the Company’s business is dependent upon the willingness and ability of its employees, network of agents and customers to use money transfer services and the ultimate effects of the economic disruption caused by the pandemic and responses thereto. Although the Company’s operations continued effectively despite social distancing and other measures taken in response to the pandemic, the ultimate impact of the COVID-19 pandemic on our financial condition, results of operations and cash flows is subject to future developments, including the duration of the pandemic and the related extent of its severity, as well as its impact on the economic conditions, particularly the level of unemployment of our customers, inflation, interest rate levels and foreign exchange volatility, all of which remain uncertain and cannot be predicted at this time. If the global response to contain and remedy the COVID-19 pandemic escalates further or is unsuccessful, or if governmental decisions to ease pandemic related restrictions are ineffective, premature or counterproductive, the Company could experience a material adverse effect on its financial condition, results of operations and cash flows.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2" w:name="page13"/>
    <w:bookmarkEnd w:id="12"/>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85" w:lineRule="auto"/>
        <w:rPr>
          <w:sz w:val="20"/>
          <w:szCs w:val="20"/>
          <w:color w:val="auto"/>
        </w:rPr>
      </w:pPr>
      <w:r>
        <w:rPr>
          <w:rFonts w:ascii="Arial" w:cs="Arial" w:eastAsia="Arial" w:hAnsi="Arial"/>
          <w:sz w:val="15"/>
          <w:szCs w:val="15"/>
          <w:b w:val="1"/>
          <w:bCs w:val="1"/>
          <w:i w:val="1"/>
          <w:iCs w:val="1"/>
          <w:color w:val="auto"/>
        </w:rPr>
        <w:t>If we lose key sending agents, our business with key sending agents is reduced or we are unable to maintain our sending agent network under terms consistent with those currently in place, our business, financial condition and results of operations could be adversely affected.</w:t>
      </w:r>
    </w:p>
    <w:p>
      <w:pPr>
        <w:spacing w:after="0" w:line="141" w:lineRule="exact"/>
        <w:rPr>
          <w:sz w:val="20"/>
          <w:szCs w:val="20"/>
          <w:color w:val="auto"/>
        </w:rPr>
      </w:pPr>
    </w:p>
    <w:p>
      <w:pPr>
        <w:jc w:val="both"/>
        <w:ind w:firstLine="275"/>
        <w:spacing w:after="0" w:line="260" w:lineRule="auto"/>
        <w:rPr>
          <w:sz w:val="20"/>
          <w:szCs w:val="20"/>
          <w:color w:val="auto"/>
        </w:rPr>
      </w:pPr>
      <w:r>
        <w:rPr>
          <w:rFonts w:ascii="Arial" w:cs="Arial" w:eastAsia="Arial" w:hAnsi="Arial"/>
          <w:sz w:val="15"/>
          <w:szCs w:val="15"/>
          <w:color w:val="auto"/>
        </w:rPr>
        <w:t>Most of our revenue is earned through our sending agent network. Sending agents are the persons who generate our customers and provide them with our money remittance services. If sending agents decide to leave our network, our revenue and profits could be adversely affected. The loss of sending agents may occur for a number of reasons, including competition from other money remittance providers, a sending agent’s dissatisfaction with its relationship with us or the revenue earned from the relationship, or a sending agent’s unwillingness or inability to comply with our standards or legal requirements, including those related to compliance with anti-money laundering regulations, anti-fraud measures or agent monitoring. Sending agents also may generate fewer transactions or reduce locations for reasons unrelated to our relationship with them, including increased competition in their business, general economic conditions, regulatory costs or other reasons. In addition, larger sending agents may demand additional financial concessions, which could increase competitive pressure.</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face intense competition, and if we are unable to continue to compete effectively, our business, financial condition and results of operations could be adversely affected.</w:t>
      </w:r>
    </w:p>
    <w:p>
      <w:pPr>
        <w:spacing w:after="0" w:line="218" w:lineRule="exact"/>
        <w:rPr>
          <w:sz w:val="20"/>
          <w:szCs w:val="20"/>
          <w:color w:val="auto"/>
        </w:rPr>
      </w:pPr>
    </w:p>
    <w:p>
      <w:pPr>
        <w:jc w:val="both"/>
        <w:ind w:firstLine="275"/>
        <w:spacing w:after="0" w:line="283" w:lineRule="auto"/>
        <w:rPr>
          <w:sz w:val="20"/>
          <w:szCs w:val="20"/>
          <w:color w:val="auto"/>
        </w:rPr>
      </w:pPr>
      <w:r>
        <w:rPr>
          <w:rFonts w:ascii="Arial" w:cs="Arial" w:eastAsia="Arial" w:hAnsi="Arial"/>
          <w:sz w:val="14"/>
          <w:szCs w:val="14"/>
          <w:color w:val="auto"/>
        </w:rPr>
        <w:t>The markets in which we operate are highly competitive, and we face a variety of competitors across our businesses, some of which have larger and more established customer bases and substantially greater financial, marketing and other resources than we have. We compete in a concentrated industry, with a small number of large competitors and a large number of small, niche competitors, including consumer money remittance companies, banks, card associations, web-based services, payment processors, informal remittance systems and others. We also face competition from new digital and nontraditional remittance service providers within the financial technology industry. We believe our services are differentiated by features and functionalities, including trust, convenience, service, efficiency of outlets, value, technology and brand recognition. Distribution channels and digital platforms such as online, account based and mobile solutions continue to evolve and impact the competitive environment for money remittances.</w:t>
      </w:r>
    </w:p>
    <w:p>
      <w:pPr>
        <w:spacing w:after="0" w:line="146" w:lineRule="exact"/>
        <w:rPr>
          <w:sz w:val="20"/>
          <w:szCs w:val="20"/>
          <w:color w:val="auto"/>
        </w:rPr>
      </w:pPr>
    </w:p>
    <w:p>
      <w:pPr>
        <w:jc w:val="both"/>
        <w:ind w:firstLine="275"/>
        <w:spacing w:after="0" w:line="281" w:lineRule="auto"/>
        <w:rPr>
          <w:sz w:val="20"/>
          <w:szCs w:val="20"/>
          <w:color w:val="auto"/>
        </w:rPr>
      </w:pPr>
      <w:r>
        <w:rPr>
          <w:rFonts w:ascii="Arial" w:cs="Arial" w:eastAsia="Arial" w:hAnsi="Arial"/>
          <w:sz w:val="14"/>
          <w:szCs w:val="14"/>
          <w:color w:val="auto"/>
        </w:rPr>
        <w:t>Our future growth depends on our ability to compete effectively. For example, if our services do not offer competitive features and functionalities, we may lose customers to our competitors, which could adversely affect our business, financial condition and results of operations. In addition, if we fail to price our services appropriately relative to our competitors, consumers may not use our services, which could adversely affect our business and financial results. For example, transaction volume where we face intense competition could be adversely affected by increasing pricing pressures between our money remittance services and those of some of our competitors, which could reduce margins and adversely affect our financial results. We have historically implemented and may continue implementing price adjustments from time to time in response to competition and other factors. If we reduce prices in order to mitigate the actions of competitors, such reductions could adversely affect our financial results in the short term and may also adversely affect our financial results in the long term if transaction volumes do not increase sufficiently or we do not implement other pricing strategies.</w:t>
      </w:r>
    </w:p>
    <w:p>
      <w:pPr>
        <w:spacing w:after="0" w:line="149" w:lineRule="exact"/>
        <w:rPr>
          <w:sz w:val="20"/>
          <w:szCs w:val="20"/>
          <w:color w:val="auto"/>
        </w:rPr>
      </w:pPr>
    </w:p>
    <w:p>
      <w:pPr>
        <w:ind w:right="320"/>
        <w:spacing w:after="0" w:line="285" w:lineRule="auto"/>
        <w:rPr>
          <w:sz w:val="20"/>
          <w:szCs w:val="20"/>
          <w:color w:val="auto"/>
        </w:rPr>
      </w:pPr>
      <w:r>
        <w:rPr>
          <w:rFonts w:ascii="Arial" w:cs="Arial" w:eastAsia="Arial" w:hAnsi="Arial"/>
          <w:sz w:val="15"/>
          <w:szCs w:val="15"/>
          <w:b w:val="1"/>
          <w:bCs w:val="1"/>
          <w:i w:val="1"/>
          <w:iCs w:val="1"/>
          <w:color w:val="auto"/>
        </w:rPr>
        <w:t>If customer confidence in our business or in consumer money remittance providers generally deteriorates, our business, financial condition and results of operations could be adversely affected.</w:t>
      </w:r>
    </w:p>
    <w:p>
      <w:pPr>
        <w:spacing w:after="0" w:line="141" w:lineRule="exact"/>
        <w:rPr>
          <w:sz w:val="20"/>
          <w:szCs w:val="20"/>
          <w:color w:val="auto"/>
        </w:rPr>
      </w:pPr>
    </w:p>
    <w:p>
      <w:pPr>
        <w:jc w:val="both"/>
        <w:ind w:firstLine="275"/>
        <w:spacing w:after="0" w:line="270" w:lineRule="auto"/>
        <w:rPr>
          <w:sz w:val="20"/>
          <w:szCs w:val="20"/>
          <w:color w:val="auto"/>
        </w:rPr>
      </w:pPr>
      <w:r>
        <w:rPr>
          <w:rFonts w:ascii="Arial" w:cs="Arial" w:eastAsia="Arial" w:hAnsi="Arial"/>
          <w:sz w:val="15"/>
          <w:szCs w:val="15"/>
          <w:color w:val="auto"/>
        </w:rPr>
        <w:t>Our business is built on customer confidence in our brand and our ability to provide convenient, reliable and value-added money remittance services. Erosion in customer confidence in our business, or in consumer money remittance service providers as a means to transfer money more generally, could adversely impact transaction volumes which would in turn adversely impact our business, financial condition and results of operations.</w:t>
      </w:r>
    </w:p>
    <w:p>
      <w:pPr>
        <w:spacing w:after="0" w:line="152"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5"/>
          <w:szCs w:val="15"/>
          <w:color w:val="auto"/>
        </w:rPr>
        <w:t>A number of factors could adversely affect customer confidence in our business, or in consumer money remittance providers more generally, many of which are beyond our control, and could have an adverse impact on our business, financial condition and results of operations. These factors include:</w:t>
      </w:r>
    </w:p>
    <w:p>
      <w:pPr>
        <w:spacing w:after="0" w:line="141" w:lineRule="exact"/>
        <w:rPr>
          <w:sz w:val="20"/>
          <w:szCs w:val="20"/>
          <w:color w:val="auto"/>
        </w:rPr>
      </w:pPr>
    </w:p>
    <w:p>
      <w:pPr>
        <w:ind w:left="460" w:hanging="193"/>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quality of our services and our customer experience, and our ability to meet evolving customer needs and preferences;</w:t>
      </w:r>
    </w:p>
    <w:p>
      <w:pPr>
        <w:spacing w:after="0" w:line="194" w:lineRule="exact"/>
        <w:rPr>
          <w:rFonts w:ascii="Arial" w:cs="Arial" w:eastAsia="Arial" w:hAnsi="Arial"/>
          <w:sz w:val="15"/>
          <w:szCs w:val="15"/>
          <w:color w:val="auto"/>
        </w:rPr>
      </w:pPr>
    </w:p>
    <w:p>
      <w:pPr>
        <w:ind w:left="460" w:hanging="193"/>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failure of our agents to deliver services in accordance with our requirements;</w:t>
      </w:r>
    </w:p>
    <w:p>
      <w:pPr>
        <w:spacing w:after="0" w:line="194" w:lineRule="exact"/>
        <w:rPr>
          <w:rFonts w:ascii="Arial" w:cs="Arial" w:eastAsia="Arial" w:hAnsi="Arial"/>
          <w:sz w:val="15"/>
          <w:szCs w:val="15"/>
          <w:color w:val="auto"/>
        </w:rPr>
      </w:pPr>
    </w:p>
    <w:p>
      <w:pPr>
        <w:ind w:left="460" w:hanging="193"/>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reputational concerns resulting from actual or perceived events, including those related to fraud, consumer protection, money laundering, corruption or other matters;</w:t>
      </w:r>
    </w:p>
    <w:p>
      <w:pPr>
        <w:spacing w:after="0" w:line="206" w:lineRule="exact"/>
        <w:rPr>
          <w:rFonts w:ascii="Arial" w:cs="Arial" w:eastAsia="Arial" w:hAnsi="Arial"/>
          <w:sz w:val="14"/>
          <w:szCs w:val="14"/>
          <w:color w:val="auto"/>
        </w:rPr>
      </w:pPr>
    </w:p>
    <w:p>
      <w:pPr>
        <w:ind w:left="480" w:right="20" w:hanging="213"/>
        <w:spacing w:after="0" w:line="323" w:lineRule="auto"/>
        <w:tabs>
          <w:tab w:leader="none" w:pos="476" w:val="left"/>
        </w:tabs>
        <w:numPr>
          <w:ilvl w:val="0"/>
          <w:numId w:val="8"/>
        </w:numPr>
        <w:rPr>
          <w:rFonts w:ascii="Arial" w:cs="Arial" w:eastAsia="Arial" w:hAnsi="Arial"/>
          <w:sz w:val="14"/>
          <w:szCs w:val="14"/>
          <w:color w:val="auto"/>
        </w:rPr>
      </w:pPr>
      <w:r>
        <w:rPr>
          <w:rFonts w:ascii="Arial" w:cs="Arial" w:eastAsia="Arial" w:hAnsi="Arial"/>
          <w:sz w:val="14"/>
          <w:szCs w:val="14"/>
          <w:color w:val="auto"/>
        </w:rPr>
        <w:t>changes or proposed changes in laws or regulations, or regulator or judicial interpretation thereof, that have the effect of making it more difficult or less desirable to transfer money using consumer money remittance service providers, including additional customer due diligence, identification, reporting, and recordkeeping requirements;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3" w:name="page14"/>
    <w:bookmarkEnd w:id="13"/>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4" w:lineRule="exact"/>
        <w:rPr>
          <w:sz w:val="20"/>
          <w:szCs w:val="20"/>
          <w:color w:val="auto"/>
        </w:rPr>
      </w:pPr>
    </w:p>
    <w:p>
      <w:pPr>
        <w:ind w:left="480" w:right="20" w:hanging="213"/>
        <w:spacing w:after="0" w:line="285" w:lineRule="auto"/>
        <w:tabs>
          <w:tab w:leader="none" w:pos="476" w:val="left"/>
        </w:tabs>
        <w:numPr>
          <w:ilvl w:val="0"/>
          <w:numId w:val="9"/>
        </w:numPr>
        <w:rPr>
          <w:rFonts w:ascii="Arial" w:cs="Arial" w:eastAsia="Arial" w:hAnsi="Arial"/>
          <w:sz w:val="15"/>
          <w:szCs w:val="15"/>
          <w:color w:val="auto"/>
        </w:rPr>
      </w:pPr>
      <w:r>
        <w:rPr>
          <w:rFonts w:ascii="Arial" w:cs="Arial" w:eastAsia="Arial" w:hAnsi="Arial"/>
          <w:sz w:val="15"/>
          <w:szCs w:val="15"/>
          <w:color w:val="auto"/>
        </w:rPr>
        <w:t>actions by federal, state or foreign regulators that interfere with our ability to remit customers’ money reliably; for example, attempts to seize money remittance funds, imposition of tariffs or limits on our ability to, or that prohibit us from, remitting money in the corridors in which we operate;</w:t>
      </w:r>
    </w:p>
    <w:p>
      <w:pPr>
        <w:spacing w:after="0" w:line="140" w:lineRule="exact"/>
        <w:rPr>
          <w:rFonts w:ascii="Arial" w:cs="Arial" w:eastAsia="Arial" w:hAnsi="Arial"/>
          <w:sz w:val="15"/>
          <w:szCs w:val="15"/>
          <w:color w:val="auto"/>
        </w:rPr>
      </w:pPr>
    </w:p>
    <w:p>
      <w:pPr>
        <w:ind w:left="480" w:hanging="213"/>
        <w:spacing w:after="0" w:line="285" w:lineRule="auto"/>
        <w:tabs>
          <w:tab w:leader="none" w:pos="476" w:val="left"/>
        </w:tabs>
        <w:numPr>
          <w:ilvl w:val="0"/>
          <w:numId w:val="9"/>
        </w:numPr>
        <w:rPr>
          <w:rFonts w:ascii="Arial" w:cs="Arial" w:eastAsia="Arial" w:hAnsi="Arial"/>
          <w:sz w:val="15"/>
          <w:szCs w:val="15"/>
          <w:color w:val="auto"/>
        </w:rPr>
      </w:pPr>
      <w:r>
        <w:rPr>
          <w:rFonts w:ascii="Arial" w:cs="Arial" w:eastAsia="Arial" w:hAnsi="Arial"/>
          <w:sz w:val="15"/>
          <w:szCs w:val="15"/>
          <w:color w:val="auto"/>
        </w:rPr>
        <w:t>federal, state or foreign legal requirements, including those that require us to provide customer or transaction data, and other requirements or to a greater extent than is currently required;</w:t>
      </w:r>
    </w:p>
    <w:p>
      <w:pPr>
        <w:spacing w:after="0" w:line="140" w:lineRule="exact"/>
        <w:rPr>
          <w:rFonts w:ascii="Arial" w:cs="Arial" w:eastAsia="Arial" w:hAnsi="Arial"/>
          <w:sz w:val="15"/>
          <w:szCs w:val="15"/>
          <w:color w:val="auto"/>
        </w:rPr>
      </w:pPr>
    </w:p>
    <w:p>
      <w:pPr>
        <w:ind w:left="480" w:hanging="213"/>
        <w:spacing w:after="0" w:line="285" w:lineRule="auto"/>
        <w:tabs>
          <w:tab w:leader="none" w:pos="476" w:val="left"/>
        </w:tabs>
        <w:numPr>
          <w:ilvl w:val="0"/>
          <w:numId w:val="9"/>
        </w:numPr>
        <w:rPr>
          <w:rFonts w:ascii="Arial" w:cs="Arial" w:eastAsia="Arial" w:hAnsi="Arial"/>
          <w:sz w:val="15"/>
          <w:szCs w:val="15"/>
          <w:color w:val="auto"/>
        </w:rPr>
      </w:pPr>
      <w:r>
        <w:rPr>
          <w:rFonts w:ascii="Arial" w:cs="Arial" w:eastAsia="Arial" w:hAnsi="Arial"/>
          <w:sz w:val="15"/>
          <w:szCs w:val="15"/>
          <w:color w:val="auto"/>
        </w:rPr>
        <w:t>any interruption or downtime in our systems, including those caused by fire, natural disaster, power loss, telecommunications failure, terrorism, vendor failure, unauthorized entry and computer viruses or disruptions in our workforce; and</w:t>
      </w:r>
    </w:p>
    <w:p>
      <w:pPr>
        <w:spacing w:after="0" w:line="140" w:lineRule="exact"/>
        <w:rPr>
          <w:rFonts w:ascii="Arial" w:cs="Arial" w:eastAsia="Arial" w:hAnsi="Arial"/>
          <w:sz w:val="15"/>
          <w:szCs w:val="15"/>
          <w:color w:val="auto"/>
        </w:rPr>
      </w:pPr>
    </w:p>
    <w:p>
      <w:pPr>
        <w:ind w:left="460" w:hanging="193"/>
        <w:spacing w:after="0"/>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any attack or breach of our computer systems or other data storage facilities resulting in a compromise of personal data.</w:t>
      </w:r>
    </w:p>
    <w:p>
      <w:pPr>
        <w:spacing w:after="0" w:line="195" w:lineRule="exact"/>
        <w:rPr>
          <w:sz w:val="20"/>
          <w:szCs w:val="20"/>
          <w:color w:val="auto"/>
        </w:rPr>
      </w:pPr>
    </w:p>
    <w:p>
      <w:pPr>
        <w:jc w:val="both"/>
        <w:ind w:right="20" w:firstLine="275"/>
        <w:spacing w:after="0" w:line="270" w:lineRule="auto"/>
        <w:rPr>
          <w:sz w:val="20"/>
          <w:szCs w:val="20"/>
          <w:color w:val="auto"/>
        </w:rPr>
      </w:pPr>
      <w:r>
        <w:rPr>
          <w:rFonts w:ascii="Arial" w:cs="Arial" w:eastAsia="Arial" w:hAnsi="Arial"/>
          <w:sz w:val="15"/>
          <w:szCs w:val="15"/>
          <w:color w:val="auto"/>
        </w:rPr>
        <w:t>A significant portion of our customers are migrants. Consumer advocacy groups or governmental agencies could consider migrants to be disadvantaged and entitled to protection, enhanced consumer disclosure, or other different treatment. If consumer advocacy groups are able to generate widespread support for actions that are detrimental to our business, then our business, financial condition and results of operations could be adversely affected.</w:t>
      </w:r>
    </w:p>
    <w:p>
      <w:pPr>
        <w:spacing w:after="0" w:line="152" w:lineRule="exact"/>
        <w:rPr>
          <w:sz w:val="20"/>
          <w:szCs w:val="20"/>
          <w:color w:val="auto"/>
        </w:rPr>
      </w:pPr>
    </w:p>
    <w:p>
      <w:pPr>
        <w:ind w:right="260"/>
        <w:spacing w:after="0" w:line="285" w:lineRule="auto"/>
        <w:rPr>
          <w:sz w:val="20"/>
          <w:szCs w:val="20"/>
          <w:color w:val="auto"/>
        </w:rPr>
      </w:pPr>
      <w:r>
        <w:rPr>
          <w:rFonts w:ascii="Arial" w:cs="Arial" w:eastAsia="Arial" w:hAnsi="Arial"/>
          <w:sz w:val="15"/>
          <w:szCs w:val="15"/>
          <w:b w:val="1"/>
          <w:bCs w:val="1"/>
          <w:i w:val="1"/>
          <w:iCs w:val="1"/>
          <w:color w:val="auto"/>
        </w:rPr>
        <w:t>Our profit margins may be adversely affected by expansion into new geographic or product markets, which we may enter by acquisition or otherwise, that do not have the same profitability as our core markets.</w:t>
      </w:r>
    </w:p>
    <w:p>
      <w:pPr>
        <w:spacing w:after="0" w:line="141" w:lineRule="exact"/>
        <w:rPr>
          <w:sz w:val="20"/>
          <w:szCs w:val="20"/>
          <w:color w:val="auto"/>
        </w:rPr>
      </w:pPr>
    </w:p>
    <w:p>
      <w:pPr>
        <w:jc w:val="both"/>
        <w:ind w:right="20" w:firstLine="275"/>
        <w:spacing w:after="0" w:line="270" w:lineRule="auto"/>
        <w:rPr>
          <w:sz w:val="20"/>
          <w:szCs w:val="20"/>
          <w:color w:val="auto"/>
        </w:rPr>
      </w:pPr>
      <w:r>
        <w:rPr>
          <w:rFonts w:ascii="Arial" w:cs="Arial" w:eastAsia="Arial" w:hAnsi="Arial"/>
          <w:sz w:val="15"/>
          <w:szCs w:val="15"/>
          <w:color w:val="auto"/>
        </w:rPr>
        <w:t>Although expansion of our business into new geographic or product markets may increase our aggregate revenues, such new geographic or product markets may be more expensive to operate in and may require us to receive lower payment per wire or remittance than that which we currently experience in our core geographic markets of Mexico and Guatemala or other more established product markets due to, among other things:</w:t>
      </w:r>
    </w:p>
    <w:p>
      <w:pPr>
        <w:spacing w:after="0" w:line="152" w:lineRule="exact"/>
        <w:rPr>
          <w:sz w:val="20"/>
          <w:szCs w:val="20"/>
          <w:color w:val="auto"/>
        </w:rPr>
      </w:pPr>
    </w:p>
    <w:p>
      <w:pPr>
        <w:ind w:left="460" w:hanging="193"/>
        <w:spacing w:after="0"/>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increased compliance and regulatory costs requiring us to dedicate more expense, time and resources to comply with such regulatory requirements;</w:t>
      </w:r>
    </w:p>
    <w:p>
      <w:pPr>
        <w:spacing w:after="0" w:line="194" w:lineRule="exact"/>
        <w:rPr>
          <w:rFonts w:ascii="Arial" w:cs="Arial" w:eastAsia="Arial" w:hAnsi="Arial"/>
          <w:sz w:val="15"/>
          <w:szCs w:val="15"/>
          <w:color w:val="auto"/>
        </w:rPr>
      </w:pPr>
    </w:p>
    <w:p>
      <w:pPr>
        <w:ind w:left="480" w:hanging="213"/>
        <w:spacing w:after="0" w:line="285" w:lineRule="auto"/>
        <w:tabs>
          <w:tab w:leader="none" w:pos="476" w:val="left"/>
        </w:tabs>
        <w:numPr>
          <w:ilvl w:val="0"/>
          <w:numId w:val="10"/>
        </w:numPr>
        <w:rPr>
          <w:rFonts w:ascii="Arial" w:cs="Arial" w:eastAsia="Arial" w:hAnsi="Arial"/>
          <w:sz w:val="15"/>
          <w:szCs w:val="15"/>
          <w:color w:val="auto"/>
        </w:rPr>
      </w:pPr>
      <w:r>
        <w:rPr>
          <w:rFonts w:ascii="Arial" w:cs="Arial" w:eastAsia="Arial" w:hAnsi="Arial"/>
          <w:sz w:val="15"/>
          <w:szCs w:val="15"/>
          <w:color w:val="auto"/>
        </w:rPr>
        <w:t>potentially higher operational expenses, such as higher agent fees, taxes, fees, technology costs, support costs or other charges and expenses associated with engaging in the money transfer business in different jurisdictions or as a result of new product offerings;</w:t>
      </w:r>
    </w:p>
    <w:p>
      <w:pPr>
        <w:spacing w:after="0" w:line="140" w:lineRule="exact"/>
        <w:rPr>
          <w:rFonts w:ascii="Arial" w:cs="Arial" w:eastAsia="Arial" w:hAnsi="Arial"/>
          <w:sz w:val="15"/>
          <w:szCs w:val="15"/>
          <w:color w:val="auto"/>
        </w:rPr>
      </w:pPr>
    </w:p>
    <w:p>
      <w:pPr>
        <w:ind w:left="480" w:hanging="213"/>
        <w:spacing w:after="0" w:line="285" w:lineRule="auto"/>
        <w:tabs>
          <w:tab w:leader="none" w:pos="476"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reduced pricing models due to more intense competition with entities that may have more experience and resources as well as more established relationships with relevant customers, regulators and industry participants;</w:t>
      </w:r>
    </w:p>
    <w:p>
      <w:pPr>
        <w:spacing w:after="0" w:line="140" w:lineRule="exact"/>
        <w:rPr>
          <w:rFonts w:ascii="Arial" w:cs="Arial" w:eastAsia="Arial" w:hAnsi="Arial"/>
          <w:sz w:val="15"/>
          <w:szCs w:val="15"/>
          <w:color w:val="auto"/>
        </w:rPr>
      </w:pPr>
    </w:p>
    <w:p>
      <w:pPr>
        <w:ind w:left="460" w:hanging="193"/>
        <w:spacing w:after="0"/>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potentially reduced demand for remittance services; and</w:t>
      </w:r>
    </w:p>
    <w:p>
      <w:pPr>
        <w:spacing w:after="0" w:line="194" w:lineRule="exact"/>
        <w:rPr>
          <w:rFonts w:ascii="Arial" w:cs="Arial" w:eastAsia="Arial" w:hAnsi="Arial"/>
          <w:sz w:val="15"/>
          <w:szCs w:val="15"/>
          <w:color w:val="auto"/>
        </w:rPr>
      </w:pPr>
    </w:p>
    <w:p>
      <w:pPr>
        <w:ind w:left="460" w:hanging="193"/>
        <w:spacing w:after="0"/>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difficulty building and maintaining a network of sending and paying agents in a particular geographic area or with respect to a particular product offering.</w:t>
      </w:r>
    </w:p>
    <w:p>
      <w:pPr>
        <w:spacing w:after="0" w:line="195" w:lineRule="exact"/>
        <w:rPr>
          <w:sz w:val="20"/>
          <w:szCs w:val="20"/>
          <w:color w:val="auto"/>
        </w:rPr>
      </w:pPr>
    </w:p>
    <w:p>
      <w:pPr>
        <w:jc w:val="both"/>
        <w:ind w:firstLine="275"/>
        <w:spacing w:after="0" w:line="262" w:lineRule="auto"/>
        <w:rPr>
          <w:sz w:val="20"/>
          <w:szCs w:val="20"/>
          <w:color w:val="auto"/>
        </w:rPr>
      </w:pPr>
      <w:r>
        <w:rPr>
          <w:rFonts w:ascii="Arial" w:cs="Arial" w:eastAsia="Arial" w:hAnsi="Arial"/>
          <w:sz w:val="15"/>
          <w:szCs w:val="15"/>
          <w:color w:val="auto"/>
        </w:rPr>
        <w:t>We process remittances to Latin America, Africa and Asia from the United States and from Canada to Latin America and Africa. Additionally, we have expanded our product and service portfolio to include online payment options, pre-paid debit cards and direct deposit payroll cards, which may present different cost, demand, regulatory and risk profiles relative to our core remittance business. If we are unable to capitalize on these markets, or if we spend significant time and resources on expansion plans that fail or are delayed, our business will be adversely affected. Even if we are successful, we will be exposed to additional risks in these markets that we do not face in the United States or in our core remittance business, which could have an adverse effect on our business, financial condition and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Current and proposed data privacy and cybersecurity laws and regulations could adversely affect our business, financial condition and results of operations.</w:t>
      </w:r>
    </w:p>
    <w:p>
      <w:pPr>
        <w:spacing w:after="0" w:line="195" w:lineRule="exact"/>
        <w:rPr>
          <w:sz w:val="20"/>
          <w:szCs w:val="20"/>
          <w:color w:val="auto"/>
        </w:rPr>
      </w:pPr>
    </w:p>
    <w:p>
      <w:pPr>
        <w:jc w:val="both"/>
        <w:ind w:firstLine="275"/>
        <w:spacing w:after="0" w:line="290" w:lineRule="auto"/>
        <w:rPr>
          <w:sz w:val="20"/>
          <w:szCs w:val="20"/>
          <w:color w:val="auto"/>
        </w:rPr>
      </w:pPr>
      <w:r>
        <w:rPr>
          <w:rFonts w:ascii="Arial" w:cs="Arial" w:eastAsia="Arial" w:hAnsi="Arial"/>
          <w:sz w:val="14"/>
          <w:szCs w:val="14"/>
          <w:color w:val="auto"/>
        </w:rPr>
        <w:t>We are subject to requirements relating to data privacy and cybersecurity under U.S. federal, state and foreign laws. For example, in the U.S. the FTC routinely investigates the privacy practices of companies and has commenced enforcement actions against many, resulting in multi-million dollar settlements and multi-year agreements governing the settling companies’ privacy practices. If we are unable to meet such requirements, we may be subject to significant fines or penalties. Furthermore, certain industry groups require us to adhere to privacy requirements in addition to federal, state and foreign laws, and certain of our business relationships depend upon our compliance with these requirements.</w:t>
      </w:r>
    </w:p>
    <w:p>
      <w:pPr>
        <w:spacing w:after="0" w:line="140"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As the number of jurisdictions enacting privacy and related laws increases and the scope of these laws and enforcement efforts expands, we will increasingly become subject to new and varying requirements. For example, California enacted the CCPA, which became effective in January 2020. The CCPA requires covered companies to provide California consumers with new disclosures and expands the rights afforded to consumers regarding their data. The costs of compliance with, and other burdens imposed by, the CCPA and similar laws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4" w:name="page15"/>
    <w:bookmarkEnd w:id="14"/>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may limit the use and adoption of our products and services and/or require us to incur substantial compliance costs, which could have an adverse impact on our business. Failure to comply with existing or future data privacy and cybersecurity laws, regulations and requirements, including by reason of inadvertent disclosure of personal information, could result in significant adverse consequences, including reputational harm, civil litigation, regulatory enforcement, costs of remediation, increased expenses for security systems and personnel, harm to our consumers and harm to our agents.</w:t>
      </w:r>
    </w:p>
    <w:p>
      <w:pPr>
        <w:spacing w:after="0" w:line="156" w:lineRule="exact"/>
        <w:rPr>
          <w:sz w:val="20"/>
          <w:szCs w:val="20"/>
          <w:color w:val="auto"/>
        </w:rPr>
      </w:pPr>
    </w:p>
    <w:p>
      <w:pPr>
        <w:jc w:val="both"/>
        <w:ind w:firstLine="275"/>
        <w:spacing w:after="0" w:line="306" w:lineRule="auto"/>
        <w:rPr>
          <w:sz w:val="20"/>
          <w:szCs w:val="20"/>
          <w:color w:val="auto"/>
        </w:rPr>
      </w:pPr>
      <w:r>
        <w:rPr>
          <w:rFonts w:ascii="Arial" w:cs="Arial" w:eastAsia="Arial" w:hAnsi="Arial"/>
          <w:sz w:val="13"/>
          <w:szCs w:val="13"/>
          <w:color w:val="auto"/>
        </w:rPr>
        <w:t>In addition, in connection with regulatory requirements to assist in the prevention of money laundering and terrorist financing and pursuant to legal obligations and authorizations, we make information available to certain U.S. federal and state, as well as certain foreign, government agencies. In recent years, we have experienced increasing data sharing requests by these agencies, particularly in connection with efforts to prevent terrorist financing, human traffic or reduce the risk of identity theft. During the same period, there has also been increased public attention to the corporate use and disclosure of personal information, accompanied by legislation and regulations intended to strengthen data protection, information security and consumer privacy. These regulatory goals may conflict, and the law in these areas is not consistent or settled. While we believe that we are compliant with our regulatory responsibilities, the legal, political and business environments in these areas are rapidly changing, and subsequent legislation, regulation, litigation, court rulings or other events could expose us to increased program costs, liability and reputational damage that could have a material and adverse effect on our business, financial condition and results of operations.</w:t>
      </w:r>
    </w:p>
    <w:p>
      <w:pPr>
        <w:spacing w:after="0" w:line="134" w:lineRule="exact"/>
        <w:rPr>
          <w:sz w:val="20"/>
          <w:szCs w:val="20"/>
          <w:color w:val="auto"/>
        </w:rPr>
      </w:pPr>
    </w:p>
    <w:p>
      <w:pPr>
        <w:ind w:right="620"/>
        <w:spacing w:after="0" w:line="285" w:lineRule="auto"/>
        <w:rPr>
          <w:sz w:val="20"/>
          <w:szCs w:val="20"/>
          <w:color w:val="auto"/>
        </w:rPr>
      </w:pPr>
      <w:r>
        <w:rPr>
          <w:rFonts w:ascii="Arial" w:cs="Arial" w:eastAsia="Arial" w:hAnsi="Arial"/>
          <w:sz w:val="15"/>
          <w:szCs w:val="15"/>
          <w:b w:val="1"/>
          <w:bCs w:val="1"/>
          <w:i w:val="1"/>
          <w:iCs w:val="1"/>
          <w:color w:val="auto"/>
        </w:rPr>
        <w:t>Our current risk management and compliance systems may not be able to exhaustively assess or mitigate all risks to which we are exposed from a transaction monitoring perspective.</w:t>
      </w:r>
    </w:p>
    <w:p>
      <w:pPr>
        <w:spacing w:after="0" w:line="141" w:lineRule="exact"/>
        <w:rPr>
          <w:sz w:val="20"/>
          <w:szCs w:val="20"/>
          <w:color w:val="auto"/>
        </w:rPr>
      </w:pPr>
    </w:p>
    <w:p>
      <w:pPr>
        <w:jc w:val="both"/>
        <w:ind w:firstLine="275"/>
        <w:spacing w:after="0" w:line="279" w:lineRule="auto"/>
        <w:rPr>
          <w:sz w:val="20"/>
          <w:szCs w:val="20"/>
          <w:color w:val="auto"/>
        </w:rPr>
      </w:pPr>
      <w:r>
        <w:rPr>
          <w:rFonts w:ascii="Arial" w:cs="Arial" w:eastAsia="Arial" w:hAnsi="Arial"/>
          <w:sz w:val="14"/>
          <w:szCs w:val="14"/>
          <w:color w:val="auto"/>
        </w:rPr>
        <w:t>We are engaged in ongoing efforts to enhance our risk management and compliance policies, procedures and systems to assure compliance with anti-money laundering laws and economic sanctions regulations. We have implemented, and are continuing to implement, policies, procedures and systems designed to address these laws and regulations, including monitoring on an automated and manual basis, the transactions processed through our systems and restricting business involving certain countries or individuals. However, the implementation of such policies, procedures and systems may be subject to human error. Further, we may be exposed to fraud or other misconduct committed by our employees, or other third parties, including but not limited to our customers and agents, or other events that are out of our control. Additionally, our risk management policies, procedures and systems are based upon our experience in the industry, and may not be adequate or effective in managing our future risk exposures or protecting us against unidentified or unanticipated risks, which could be significantly greater than those indicated by our past experience. As a result, we can offer no assurances that these policies, procedures and systems will be adequate to detect or prevent money laundering activity or OFAC violations. If any of these policies, procedures or systems do not operate properly, or are disabled, or are subject to intentional manipulation or inadvertent human error, we could suffer financial loss, a disruption of our business, regulatory intervention or reputational damage.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services might be used for illegal or improper purposes, such as consumer fraud or money laundering, which could expose us to additional liability.</w:t>
      </w:r>
    </w:p>
    <w:p>
      <w:pPr>
        <w:spacing w:after="0" w:line="195"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4"/>
          <w:szCs w:val="14"/>
          <w:color w:val="auto"/>
        </w:rPr>
        <w:t>Our services remain susceptible to potentially illegal or improper uses as criminals are using increasingly sophisticated methods to engage in illegal activities involving internet services and payment services, such as identity theft, fraud and paper instrument counterfeiting. As we make more of our services available online and via Internet-enabled mobile devices, we subject ourselves to new types of consumer fraud risk because requirements relating to consumer authentication are more complex with internet services and such other technologies. Additionally, it is possible that our agents could engage in fraud against consumers. We use a variety of tools to protect against fraud; however, these tools may not always be successful. Allegations of fraud may result in fines, settlements, litigation expenses and reputational damage.</w:t>
      </w:r>
    </w:p>
    <w:p>
      <w:pPr>
        <w:spacing w:after="0" w:line="145" w:lineRule="exact"/>
        <w:rPr>
          <w:sz w:val="20"/>
          <w:szCs w:val="20"/>
          <w:color w:val="auto"/>
        </w:rPr>
      </w:pPr>
    </w:p>
    <w:p>
      <w:pPr>
        <w:jc w:val="both"/>
        <w:ind w:firstLine="275"/>
        <w:spacing w:after="0" w:line="283" w:lineRule="auto"/>
        <w:rPr>
          <w:sz w:val="20"/>
          <w:szCs w:val="20"/>
          <w:color w:val="auto"/>
        </w:rPr>
      </w:pPr>
      <w:r>
        <w:rPr>
          <w:rFonts w:ascii="Arial" w:cs="Arial" w:eastAsia="Arial" w:hAnsi="Arial"/>
          <w:sz w:val="14"/>
          <w:szCs w:val="14"/>
          <w:color w:val="auto"/>
        </w:rPr>
        <w:t>Other illegal or improper uses of our services may include money laundering, terrorist financing, drug trafficking, human trafficking, illegal online gaming, romance and other online scams, illegal sexually-oriented services, prohibited sales of pharmaceuticals, fraudulent sale of goods or services, piracy of software, movies, music and other copyrighted or trademarked goods, unauthorized uses of credit and debit cards or bank accounts and similar misconduct. Users of our services also may encourage, promote, facilitate or instruct others to engage in illegal activities. If the measures we have taken are too restrictive and inadvertently screen proper transactions, this could diminish our customer experience which could harm our business. There is no assurance that the measures we have taken to detect and reduce the risk of this kind of conduct will stop all illegal or improper uses of our services. Our business could be harmed if customers use our system for illegal or improper purposes.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breach of security in the systems on which we rely could adversely affect our reputation, business, financial condition and results of operations.</w:t>
      </w:r>
    </w:p>
    <w:p>
      <w:pPr>
        <w:spacing w:after="0" w:line="195" w:lineRule="exact"/>
        <w:rPr>
          <w:sz w:val="20"/>
          <w:szCs w:val="20"/>
          <w:color w:val="auto"/>
        </w:rPr>
      </w:pPr>
    </w:p>
    <w:p>
      <w:pPr>
        <w:jc w:val="both"/>
        <w:ind w:firstLine="275"/>
        <w:spacing w:after="0" w:line="290" w:lineRule="auto"/>
        <w:rPr>
          <w:sz w:val="20"/>
          <w:szCs w:val="20"/>
          <w:color w:val="auto"/>
        </w:rPr>
      </w:pPr>
      <w:r>
        <w:rPr>
          <w:rFonts w:ascii="Arial" w:cs="Arial" w:eastAsia="Arial" w:hAnsi="Arial"/>
          <w:sz w:val="14"/>
          <w:szCs w:val="14"/>
          <w:color w:val="auto"/>
        </w:rPr>
        <w:t>We rely on a variety of technologies to provide security for our systems. Advances in computer capabilities, new discoveries in the field of cryptography or other events or developments, including improper acts by third parties, may result in a compromise or breach of the security measures we use to protect our systems. We obtain, transmit and store confidential consumer, employer and agent information in connection with some of our services. These activities are subject to laws and regulations in the United States and other jurisdictions. The requirements imposed by these laws and regulations, which often differ materially among the many jurisdictions, are designed 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5" w:name="page16"/>
    <w:bookmarkEnd w:id="15"/>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protect the privacy of personal information and to prevent that information from being inappropriately disclosed. Any security breaches in our computer networks, databases or facilities could lead to the inappropriate use or disclosure of personal information, which could harm our business, adversely affect consumers’ confidence in our or our agents’ business, result in inquiries and fines or penalties from regulatory or governmental authorities, cause a loss of consumers, damage our reputation and subject us to lawsuits and subject us to potential financial losses. In addition, we may be required to expend significant capital and other resources to protect against these security breaches or to alleviate problems caused by these breaches. Our agents and third-party independent contractors may also experience security breaches involving the storage and transmission of our data as well as the ability to initiate unauthorized transactions. If users gain improper access to our, our agents’ or our third-party independent contractors’ computer networks or databases, they may be able to steal, publish, delete or modify confidential customer information or generate unauthorized money remittances. Such a breach could expose us to monetary liability, losses and legal proceedings, lead to reputational harm, cause a disruption in our operations, or make our consumers and agents less confident in our services.</w:t>
      </w:r>
    </w:p>
    <w:p>
      <w:pPr>
        <w:spacing w:after="0" w:line="149" w:lineRule="exact"/>
        <w:rPr>
          <w:sz w:val="20"/>
          <w:szCs w:val="20"/>
          <w:color w:val="auto"/>
        </w:rPr>
      </w:pPr>
    </w:p>
    <w:p>
      <w:pPr>
        <w:ind w:right="300"/>
        <w:spacing w:after="0" w:line="285" w:lineRule="auto"/>
        <w:rPr>
          <w:sz w:val="20"/>
          <w:szCs w:val="20"/>
          <w:color w:val="auto"/>
        </w:rPr>
      </w:pPr>
      <w:r>
        <w:rPr>
          <w:rFonts w:ascii="Arial" w:cs="Arial" w:eastAsia="Arial" w:hAnsi="Arial"/>
          <w:sz w:val="15"/>
          <w:szCs w:val="15"/>
          <w:b w:val="1"/>
          <w:bCs w:val="1"/>
          <w:i w:val="1"/>
          <w:iCs w:val="1"/>
          <w:color w:val="auto"/>
        </w:rPr>
        <w:t>Our business is particularly dependent on the efficient and uninterrupted operation of our information technology, computer network systems and data centers. Disruptions to these systems and data centers could adversely affect our business, financial condition and results of operations.</w:t>
      </w:r>
    </w:p>
    <w:p>
      <w:pPr>
        <w:spacing w:after="0" w:line="141"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Our ability to provide reliable services largely depends on the efficient and uninterrupted operation of our computer network systems and data centers. Our business involves the physical and electronic movement of large sums of money and the management of data necessary to do so. The success of our business particularly depends upon the efficient and error-free handling of transactions and data. We rely on the ability of our employees and our internal systems and procedures to process these transactions in an efficient, uninterrupted and error-free manner.</w:t>
      </w:r>
    </w:p>
    <w:p>
      <w:pPr>
        <w:spacing w:after="0" w:line="156" w:lineRule="exact"/>
        <w:rPr>
          <w:sz w:val="20"/>
          <w:szCs w:val="20"/>
          <w:color w:val="auto"/>
        </w:rPr>
      </w:pPr>
    </w:p>
    <w:p>
      <w:pPr>
        <w:jc w:val="both"/>
        <w:ind w:firstLine="275"/>
        <w:spacing w:after="0" w:line="260" w:lineRule="auto"/>
        <w:rPr>
          <w:sz w:val="20"/>
          <w:szCs w:val="20"/>
          <w:color w:val="auto"/>
        </w:rPr>
      </w:pPr>
      <w:r>
        <w:rPr>
          <w:rFonts w:ascii="Arial" w:cs="Arial" w:eastAsia="Arial" w:hAnsi="Arial"/>
          <w:sz w:val="15"/>
          <w:szCs w:val="15"/>
          <w:color w:val="auto"/>
        </w:rPr>
        <w:t>In the event of a breakdown, catastrophic event (such as fire, natural disaster, power loss, telecommunications failure or physical break-in), security breach, computer virus, improper operation, improper action by our employees, agents, consumers, financial institutions or third-party vendors or any other event impacting our systems or processes or our agents’ or vendors’ systems or processes, we could suffer financial loss, loss of consumers, regulatory sanctions, lawsuits and damage to our reputation or consumers’ confidence in our business. The measures we have enacted, such as the implementation of business continuity and disaster recovery plans and redundant computer systems, may not be successful. We may also experience problems other than system failures, including software defects, development delays and installation difficulties, which would harm our business and reputation and expose us to potential liability and increased operating expenses. In addition, any work stoppages or other labor actions by employees who support our systems or perform any of our major functions could adversely affect our business.</w:t>
      </w:r>
    </w:p>
    <w:p>
      <w:pPr>
        <w:spacing w:after="0" w:line="160" w:lineRule="exact"/>
        <w:rPr>
          <w:sz w:val="20"/>
          <w:szCs w:val="20"/>
          <w:color w:val="auto"/>
        </w:rPr>
      </w:pPr>
    </w:p>
    <w:p>
      <w:pPr>
        <w:jc w:val="both"/>
        <w:ind w:firstLine="275"/>
        <w:spacing w:after="0" w:line="270" w:lineRule="auto"/>
        <w:rPr>
          <w:sz w:val="20"/>
          <w:szCs w:val="20"/>
          <w:color w:val="auto"/>
        </w:rPr>
      </w:pPr>
      <w:r>
        <w:rPr>
          <w:rFonts w:ascii="Arial" w:cs="Arial" w:eastAsia="Arial" w:hAnsi="Arial"/>
          <w:sz w:val="15"/>
          <w:szCs w:val="15"/>
          <w:color w:val="auto"/>
        </w:rPr>
        <w:t>In addition, our ability to continue to provide our services to a growing number of agents and consumers in a growing number of countries, as well as to enhance our existing services and offer new services across new distribution platforms, is dependent on our information technology systems. If we are unable to effectively manage the technology associated with our business, we could experience increased costs, reductions in system availability and loss of agents or consumers.</w:t>
      </w:r>
    </w:p>
    <w:p>
      <w:pPr>
        <w:spacing w:after="0" w:line="152" w:lineRule="exact"/>
        <w:rPr>
          <w:sz w:val="20"/>
          <w:szCs w:val="20"/>
          <w:color w:val="auto"/>
        </w:rPr>
      </w:pPr>
    </w:p>
    <w:p>
      <w:pPr>
        <w:ind w:right="120"/>
        <w:spacing w:after="0" w:line="285" w:lineRule="auto"/>
        <w:rPr>
          <w:sz w:val="20"/>
          <w:szCs w:val="20"/>
          <w:color w:val="auto"/>
        </w:rPr>
      </w:pPr>
      <w:r>
        <w:rPr>
          <w:rFonts w:ascii="Arial" w:cs="Arial" w:eastAsia="Arial" w:hAnsi="Arial"/>
          <w:sz w:val="15"/>
          <w:szCs w:val="15"/>
          <w:b w:val="1"/>
          <w:bCs w:val="1"/>
          <w:i w:val="1"/>
          <w:iCs w:val="1"/>
          <w:color w:val="auto"/>
        </w:rPr>
        <w:t>Weakness in economic conditions, in both the U.S. and international markets, could adversely affect our business, financial condition and results of operations. We are subject to business cycles and other outside factors that may negatively affect our business.</w:t>
      </w:r>
    </w:p>
    <w:p>
      <w:pPr>
        <w:spacing w:after="0" w:line="141" w:lineRule="exact"/>
        <w:rPr>
          <w:sz w:val="20"/>
          <w:szCs w:val="20"/>
          <w:color w:val="auto"/>
        </w:rPr>
      </w:pPr>
    </w:p>
    <w:p>
      <w:pPr>
        <w:jc w:val="both"/>
        <w:ind w:firstLine="275"/>
        <w:spacing w:after="0" w:line="262" w:lineRule="auto"/>
        <w:rPr>
          <w:sz w:val="20"/>
          <w:szCs w:val="20"/>
          <w:color w:val="auto"/>
        </w:rPr>
      </w:pPr>
      <w:r>
        <w:rPr>
          <w:rFonts w:ascii="Arial" w:cs="Arial" w:eastAsia="Arial" w:hAnsi="Arial"/>
          <w:sz w:val="15"/>
          <w:szCs w:val="15"/>
          <w:color w:val="auto"/>
        </w:rPr>
        <w:t>Our money remittance business relies in part on the overall strength of economic conditions. Consumer money remittance transactions are affected by, among other things, employment opportunities and overall economic conditions. Additionally, consumers tend to be employed in industries such as construction, information, manufacturing, agriculture and certain service industries that tend to be cyclical and more significantly impacted by weak economic conditions than other industries. This may result in reduced job opportunities for our customers in the United States or other countries that are important to our business, which could adversely affect our business, financial condition and results of operations. In addition, increases in employment opportunities may lag other elements of any economic recovery.</w:t>
      </w:r>
    </w:p>
    <w:p>
      <w:pPr>
        <w:spacing w:after="0" w:line="160" w:lineRule="exact"/>
        <w:rPr>
          <w:sz w:val="20"/>
          <w:szCs w:val="20"/>
          <w:color w:val="auto"/>
        </w:rPr>
      </w:pPr>
    </w:p>
    <w:p>
      <w:pPr>
        <w:jc w:val="both"/>
        <w:ind w:firstLine="275"/>
        <w:spacing w:after="0" w:line="261" w:lineRule="auto"/>
        <w:rPr>
          <w:sz w:val="20"/>
          <w:szCs w:val="20"/>
          <w:color w:val="auto"/>
        </w:rPr>
      </w:pPr>
      <w:r>
        <w:rPr>
          <w:rFonts w:ascii="Arial" w:cs="Arial" w:eastAsia="Arial" w:hAnsi="Arial"/>
          <w:sz w:val="15"/>
          <w:szCs w:val="15"/>
          <w:color w:val="auto"/>
        </w:rPr>
        <w:t>If general market conditions in the United States or other countries important to our business were to deteriorate, our business, financial condition and results of operations could be adversely impacted. Our agents may have reduced sales or business as a result of weak economic conditions. As a result, our agents may reduce their number of locations, hours of operation, or cease doing business altogether. If our consumer transactions decline due to deteriorating economic conditions, we may be unable to timely and effectively reduce our operating costs or take other actions in response, which could adversely affect our business, financial condition and results of operations. Additionally, economic or political instability, wars, civil unrest, terrorism and natural disasters may make money transfers to, from or within a particular country more difficult. The inability to timely complete money transfers could adversely affect our business.</w:t>
      </w:r>
    </w:p>
    <w:p>
      <w:pPr>
        <w:spacing w:after="0" w:line="159" w:lineRule="exact"/>
        <w:rPr>
          <w:sz w:val="20"/>
          <w:szCs w:val="20"/>
          <w:color w:val="auto"/>
        </w:rPr>
      </w:pPr>
    </w:p>
    <w:p>
      <w:pPr>
        <w:ind w:right="140"/>
        <w:spacing w:after="0" w:line="285" w:lineRule="auto"/>
        <w:rPr>
          <w:sz w:val="20"/>
          <w:szCs w:val="20"/>
          <w:color w:val="auto"/>
        </w:rPr>
      </w:pPr>
      <w:r>
        <w:rPr>
          <w:rFonts w:ascii="Arial" w:cs="Arial" w:eastAsia="Arial" w:hAnsi="Arial"/>
          <w:sz w:val="15"/>
          <w:szCs w:val="15"/>
          <w:b w:val="1"/>
          <w:bCs w:val="1"/>
          <w:i w:val="1"/>
          <w:iCs w:val="1"/>
          <w:color w:val="auto"/>
        </w:rPr>
        <w:t>If we fail to successfully develop and timely introduce new and enhanced services or if we make substantial investments in an unsuccessful new service or infrastructure change, our business, financial condition and results of operations could be adversely affected.</w:t>
      </w:r>
    </w:p>
    <w:p>
      <w:pPr>
        <w:spacing w:after="0" w:line="141" w:lineRule="exact"/>
        <w:rPr>
          <w:sz w:val="20"/>
          <w:szCs w:val="20"/>
          <w:color w:val="auto"/>
        </w:rPr>
      </w:pPr>
    </w:p>
    <w:p>
      <w:pPr>
        <w:ind w:firstLine="275"/>
        <w:spacing w:after="0" w:line="285" w:lineRule="auto"/>
        <w:rPr>
          <w:sz w:val="20"/>
          <w:szCs w:val="20"/>
          <w:color w:val="auto"/>
        </w:rPr>
      </w:pPr>
      <w:r>
        <w:rPr>
          <w:rFonts w:ascii="Arial" w:cs="Arial" w:eastAsia="Arial" w:hAnsi="Arial"/>
          <w:sz w:val="15"/>
          <w:szCs w:val="15"/>
          <w:color w:val="auto"/>
        </w:rPr>
        <w:t>Our future growth will depend, in part, on our ability to continue to develop and successfully introduce new and enhanced methods of providing money remittance services that keep pace with competitive introductions, technological changes, and the demands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6" w:name="page17"/>
    <w:bookmarkEnd w:id="16"/>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preferences of our agents, consumers and the financial institutions with which we conduct our business. Distribution channels such as online, account based, and mobile solutions continue to evolve and impact the competitive environment for money remittances. If alternative payment mechanisms become widely accepted as substitutes for our current services, and we do not develop and offer similar alternative payment mechanisms successfully and on a timely basis, our business, financial condition and results of operations could be adversely affected. We may make future acquisitions and investments or enter into strategic alliances to develop new technologies and services or to implement infrastructure changes to further our strategic objectives, strengthen our existing businesses and remain competitive. Such acquisitions, investments and strategic alliances, however, are inherently risky, and we cannot guarantee that such investments or strategic alliances will be successful.</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significant percentage of our banking relationships are concentrated in a few banks.</w:t>
      </w:r>
    </w:p>
    <w:p>
      <w:pPr>
        <w:spacing w:after="0" w:line="195" w:lineRule="exact"/>
        <w:rPr>
          <w:sz w:val="20"/>
          <w:szCs w:val="20"/>
          <w:color w:val="auto"/>
        </w:rPr>
      </w:pPr>
    </w:p>
    <w:p>
      <w:pPr>
        <w:jc w:val="both"/>
        <w:ind w:firstLine="275"/>
        <w:spacing w:after="0" w:line="270" w:lineRule="auto"/>
        <w:rPr>
          <w:sz w:val="20"/>
          <w:szCs w:val="20"/>
          <w:color w:val="auto"/>
        </w:rPr>
      </w:pPr>
      <w:r>
        <w:rPr>
          <w:rFonts w:ascii="Arial" w:cs="Arial" w:eastAsia="Arial" w:hAnsi="Arial"/>
          <w:sz w:val="15"/>
          <w:szCs w:val="15"/>
          <w:color w:val="auto"/>
        </w:rPr>
        <w:t>A substantial portion of the transactions that we conduct with and through banks are concentrated in a few banks, notably Wells Fargo, Bank of America and US Bank. Because of the current concentration of our major banking relationships, if we lose such a banking relationship, which could be the result of many factors including, but not limited to, changes in regulation, our business, financial condition and results of operations could be adversely affected.</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significant portion of our paying agents are concentrated in a few large banks and financial institutions or large retail chains.</w:t>
      </w:r>
    </w:p>
    <w:p>
      <w:pPr>
        <w:spacing w:after="0" w:line="195"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A substantial portion of our paying agents are concentrated in a few large banks and financial institutions and large retail chains. Because of the current concentration, if we lose an institution as a paying agent, which could be the result of many factors including, but not limited to, changes in regulation, our business, financial condition and results of operations could be adversely affected. Elektra, our largest paying agent by volume, accounted for approximately 22% of Intermex’s total remittance volume in fiscal year 2021. The loss of Elektra as one of our paying agents could have a material adverse impact on our business and results of operations.</w:t>
      </w:r>
    </w:p>
    <w:p>
      <w:pPr>
        <w:spacing w:after="0" w:line="156" w:lineRule="exact"/>
        <w:rPr>
          <w:sz w:val="20"/>
          <w:szCs w:val="20"/>
          <w:color w:val="auto"/>
        </w:rPr>
      </w:pPr>
    </w:p>
    <w:p>
      <w:pPr>
        <w:ind w:right="560"/>
        <w:spacing w:after="0" w:line="285" w:lineRule="auto"/>
        <w:rPr>
          <w:sz w:val="20"/>
          <w:szCs w:val="20"/>
          <w:color w:val="auto"/>
        </w:rPr>
      </w:pPr>
      <w:r>
        <w:rPr>
          <w:rFonts w:ascii="Arial" w:cs="Arial" w:eastAsia="Arial" w:hAnsi="Arial"/>
          <w:sz w:val="15"/>
          <w:szCs w:val="15"/>
          <w:b w:val="1"/>
          <w:bCs w:val="1"/>
          <w:i w:val="1"/>
          <w:iCs w:val="1"/>
          <w:color w:val="auto"/>
        </w:rPr>
        <w:t>Major bank failure or sustained financial market illiquidity, or illiquidity at our clearing, cash management and custodial financial institutions, could adversely affect our business, financial condition and results of operations.</w:t>
      </w:r>
    </w:p>
    <w:p>
      <w:pPr>
        <w:spacing w:after="0" w:line="141" w:lineRule="exact"/>
        <w:rPr>
          <w:sz w:val="20"/>
          <w:szCs w:val="20"/>
          <w:color w:val="auto"/>
        </w:rPr>
      </w:pPr>
    </w:p>
    <w:p>
      <w:pPr>
        <w:ind w:firstLine="275"/>
        <w:spacing w:after="0" w:line="285" w:lineRule="auto"/>
        <w:rPr>
          <w:sz w:val="20"/>
          <w:szCs w:val="20"/>
          <w:color w:val="auto"/>
        </w:rPr>
      </w:pPr>
      <w:r>
        <w:rPr>
          <w:rFonts w:ascii="Arial" w:cs="Arial" w:eastAsia="Arial" w:hAnsi="Arial"/>
          <w:sz w:val="15"/>
          <w:szCs w:val="15"/>
          <w:color w:val="auto"/>
        </w:rPr>
        <w:t>We face certain risks in the event of a sustained deterioration of domestic or international financial market liquidity, as well as in the event of sustained deterioration in the liquidity, or failure, of our clearing, cash management and custodial financial institutions. In particular:</w:t>
      </w:r>
    </w:p>
    <w:p>
      <w:pPr>
        <w:spacing w:after="0" w:line="141" w:lineRule="exact"/>
        <w:rPr>
          <w:sz w:val="20"/>
          <w:szCs w:val="20"/>
          <w:color w:val="auto"/>
        </w:rPr>
      </w:pPr>
    </w:p>
    <w:p>
      <w:pPr>
        <w:jc w:val="both"/>
        <w:ind w:left="480" w:hanging="213"/>
        <w:spacing w:after="0" w:line="270" w:lineRule="auto"/>
        <w:tabs>
          <w:tab w:leader="none" w:pos="476" w:val="left"/>
        </w:tabs>
        <w:numPr>
          <w:ilvl w:val="0"/>
          <w:numId w:val="11"/>
        </w:numPr>
        <w:rPr>
          <w:rFonts w:ascii="Arial" w:cs="Arial" w:eastAsia="Arial" w:hAnsi="Arial"/>
          <w:sz w:val="15"/>
          <w:szCs w:val="15"/>
          <w:color w:val="auto"/>
        </w:rPr>
      </w:pPr>
      <w:r>
        <w:rPr>
          <w:rFonts w:ascii="Arial" w:cs="Arial" w:eastAsia="Arial" w:hAnsi="Arial"/>
          <w:sz w:val="15"/>
          <w:szCs w:val="15"/>
          <w:color w:val="auto"/>
        </w:rPr>
        <w:t>We may be unable to access funds in our deposit accounts and clearing accounts on a timely basis to pay money remittances and make related settlements to agents. Any resulting need to access other sources of liquidity or short-term borrowing would increase our costs. Any delay or inability to pay money remittances or make related settlements with our agents could adversely impact our business, financial condition and results of operations.</w:t>
      </w:r>
    </w:p>
    <w:p>
      <w:pPr>
        <w:spacing w:after="0" w:line="152" w:lineRule="exact"/>
        <w:rPr>
          <w:rFonts w:ascii="Arial" w:cs="Arial" w:eastAsia="Arial" w:hAnsi="Arial"/>
          <w:sz w:val="15"/>
          <w:szCs w:val="15"/>
          <w:color w:val="auto"/>
        </w:rPr>
      </w:pPr>
    </w:p>
    <w:p>
      <w:pPr>
        <w:jc w:val="both"/>
        <w:ind w:left="480" w:hanging="213"/>
        <w:spacing w:after="0" w:line="298" w:lineRule="auto"/>
        <w:tabs>
          <w:tab w:leader="none" w:pos="476"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 the event of a major bank failure, we could face major risks to the recovery of our bank deposits used for the purpose of settling with our agents. A substantial portion of our cash and cash equivalents held at U.S. banks are not subject to federal deposit insurance protection against loss as they exceed the federal deposit insurance limit. Similarly, we hold cash and cash equivalents at foreign banks, which may not enjoy benefits such as the United States’ federal deposit insurance protection.</w:t>
      </w:r>
    </w:p>
    <w:p>
      <w:pPr>
        <w:spacing w:after="0" w:line="134" w:lineRule="exact"/>
        <w:rPr>
          <w:rFonts w:ascii="Arial" w:cs="Arial" w:eastAsia="Arial" w:hAnsi="Arial"/>
          <w:sz w:val="14"/>
          <w:szCs w:val="14"/>
          <w:color w:val="auto"/>
        </w:rPr>
      </w:pPr>
    </w:p>
    <w:p>
      <w:pPr>
        <w:ind w:left="480" w:right="20" w:hanging="213"/>
        <w:spacing w:after="0" w:line="285" w:lineRule="auto"/>
        <w:tabs>
          <w:tab w:leader="none" w:pos="476" w:val="left"/>
        </w:tabs>
        <w:numPr>
          <w:ilvl w:val="0"/>
          <w:numId w:val="11"/>
        </w:numPr>
        <w:rPr>
          <w:rFonts w:ascii="Arial" w:cs="Arial" w:eastAsia="Arial" w:hAnsi="Arial"/>
          <w:sz w:val="15"/>
          <w:szCs w:val="15"/>
          <w:color w:val="auto"/>
        </w:rPr>
      </w:pPr>
      <w:r>
        <w:rPr>
          <w:rFonts w:ascii="Arial" w:cs="Arial" w:eastAsia="Arial" w:hAnsi="Arial"/>
          <w:sz w:val="15"/>
          <w:szCs w:val="15"/>
          <w:color w:val="auto"/>
        </w:rPr>
        <w:t>We may be unable to borrow from financial institutions or institutional investors on favorable terms, or at all, which could adversely impact our ability to pursue our growth strategy and fund key strategic initiatives.</w:t>
      </w:r>
    </w:p>
    <w:p>
      <w:pPr>
        <w:spacing w:after="0" w:line="141"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5"/>
          <w:szCs w:val="15"/>
          <w:color w:val="auto"/>
        </w:rPr>
        <w:t>If financial liquidity deteriorates, there can be no assurance we will not experience an adverse effect, which may be material, on our ability to access capital or contingent liquidity sources.</w:t>
      </w:r>
    </w:p>
    <w:p>
      <w:pPr>
        <w:spacing w:after="0" w:line="141" w:lineRule="exact"/>
        <w:rPr>
          <w:sz w:val="20"/>
          <w:szCs w:val="20"/>
          <w:color w:val="auto"/>
        </w:rPr>
      </w:pPr>
    </w:p>
    <w:p>
      <w:pPr>
        <w:ind w:right="200"/>
        <w:spacing w:after="0" w:line="285" w:lineRule="auto"/>
        <w:rPr>
          <w:sz w:val="20"/>
          <w:szCs w:val="20"/>
          <w:color w:val="auto"/>
        </w:rPr>
      </w:pPr>
      <w:r>
        <w:rPr>
          <w:rFonts w:ascii="Arial" w:cs="Arial" w:eastAsia="Arial" w:hAnsi="Arial"/>
          <w:sz w:val="15"/>
          <w:szCs w:val="15"/>
          <w:b w:val="1"/>
          <w:bCs w:val="1"/>
          <w:i w:val="1"/>
          <w:iCs w:val="1"/>
          <w:color w:val="auto"/>
        </w:rPr>
        <w:t>Changes in banking industry regulation and practice could make it more difficult for us and our sending agents to maintain depository accounts with banks, which would harm our business.</w:t>
      </w:r>
    </w:p>
    <w:p>
      <w:pPr>
        <w:spacing w:after="0" w:line="141" w:lineRule="exact"/>
        <w:rPr>
          <w:sz w:val="20"/>
          <w:szCs w:val="20"/>
          <w:color w:val="auto"/>
        </w:rPr>
      </w:pPr>
    </w:p>
    <w:p>
      <w:pPr>
        <w:jc w:val="both"/>
        <w:ind w:firstLine="275"/>
        <w:spacing w:after="0" w:line="262" w:lineRule="auto"/>
        <w:rPr>
          <w:sz w:val="20"/>
          <w:szCs w:val="20"/>
          <w:color w:val="auto"/>
        </w:rPr>
      </w:pPr>
      <w:r>
        <w:rPr>
          <w:rFonts w:ascii="Arial" w:cs="Arial" w:eastAsia="Arial" w:hAnsi="Arial"/>
          <w:sz w:val="15"/>
          <w:szCs w:val="15"/>
          <w:color w:val="auto"/>
        </w:rPr>
        <w:t>The banking industry, in light of increased regulatory oversight, is continually examining its business relationships with companies that offer money remittance services and with retail agents that collect and remit cash collected from end consumers. Certain major national and international banks have withdrawn from providing service to money remittance services businesses. Should our existing relationship banks decide to not offer depository services to companies engaged in processing money remittance transactions, or to retail agents that collect and remit cash from end customers, our ability to complete money remittances, and to administer and collect fees from money remittance transactions, could be adversely affected.</w:t>
      </w:r>
    </w:p>
    <w:p>
      <w:pPr>
        <w:spacing w:after="0" w:line="160" w:lineRule="exact"/>
        <w:rPr>
          <w:sz w:val="20"/>
          <w:szCs w:val="20"/>
          <w:color w:val="auto"/>
        </w:rPr>
      </w:pPr>
    </w:p>
    <w:p>
      <w:pPr>
        <w:jc w:val="both"/>
        <w:ind w:firstLine="275"/>
        <w:spacing w:after="0" w:line="330" w:lineRule="auto"/>
        <w:rPr>
          <w:sz w:val="20"/>
          <w:szCs w:val="20"/>
          <w:color w:val="auto"/>
        </w:rPr>
      </w:pPr>
      <w:r>
        <w:rPr>
          <w:rFonts w:ascii="Arial" w:cs="Arial" w:eastAsia="Arial" w:hAnsi="Arial"/>
          <w:sz w:val="13"/>
          <w:szCs w:val="13"/>
          <w:color w:val="auto"/>
        </w:rPr>
        <w:t>Our regulatory status and the regulatory status of our agents as MSBs could affect our ability to offer our services. We also rely on bank accounts to provide our payment services. We and some of our agents may in the future have difficulty establishing or maintaining banking relationships due to the banks’ policies, including policies with respect to anti-money laundering. If we or a significant number of our agents are unable to maintain existing or establish new banking relationships, or if we or these agents face higher fees and other costs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7" w:name="page18"/>
    <w:bookmarkEnd w:id="17"/>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to maintain or establish new bank accounts, our ability and the ability of our agents to continue to offer our services may be adversely impacted.</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credit risks from our sending agents and financial institutions with which we do business.</w:t>
      </w:r>
    </w:p>
    <w:p>
      <w:pPr>
        <w:spacing w:after="0" w:line="195" w:lineRule="exact"/>
        <w:rPr>
          <w:sz w:val="20"/>
          <w:szCs w:val="20"/>
          <w:color w:val="auto"/>
        </w:rPr>
      </w:pPr>
    </w:p>
    <w:p>
      <w:pPr>
        <w:jc w:val="both"/>
        <w:ind w:right="20" w:firstLine="275"/>
        <w:spacing w:after="0" w:line="298" w:lineRule="auto"/>
        <w:rPr>
          <w:sz w:val="20"/>
          <w:szCs w:val="20"/>
          <w:color w:val="auto"/>
        </w:rPr>
      </w:pPr>
      <w:r>
        <w:rPr>
          <w:rFonts w:ascii="Arial" w:cs="Arial" w:eastAsia="Arial" w:hAnsi="Arial"/>
          <w:sz w:val="14"/>
          <w:szCs w:val="14"/>
          <w:color w:val="auto"/>
        </w:rPr>
        <w:t>The majority of our business is conducted through independent sending agents that provide our services to consumers at their business locations. Our sending agents receive the proceeds from the sale of our money remittances, and we must then collect these funds from the sending agents. If a sending agent becomes insolvent, files for bankruptcy, commits fraud or otherwise fails to remit money remittance proceeds to us, we must nonetheless complete the money remittance on behalf of the consumer.</w:t>
      </w:r>
    </w:p>
    <w:p>
      <w:pPr>
        <w:spacing w:after="0" w:line="134" w:lineRule="exact"/>
        <w:rPr>
          <w:sz w:val="20"/>
          <w:szCs w:val="20"/>
          <w:color w:val="auto"/>
        </w:rPr>
      </w:pPr>
    </w:p>
    <w:p>
      <w:pPr>
        <w:jc w:val="both"/>
        <w:ind w:firstLine="275"/>
        <w:spacing w:after="0" w:line="270" w:lineRule="auto"/>
        <w:rPr>
          <w:sz w:val="20"/>
          <w:szCs w:val="20"/>
          <w:color w:val="auto"/>
        </w:rPr>
      </w:pPr>
      <w:r>
        <w:rPr>
          <w:rFonts w:ascii="Arial" w:cs="Arial" w:eastAsia="Arial" w:hAnsi="Arial"/>
          <w:sz w:val="15"/>
          <w:szCs w:val="15"/>
          <w:color w:val="auto"/>
        </w:rPr>
        <w:t>We monitor the creditworthiness of our sending agents and the financial institutions with which we do business on an ongoing basis. There can be no assurance that the models and approaches we use to assess and monitor the creditworthiness of our sending agents and these financial institutions will be sufficiently predictive, and we may be unable to detect and take steps to timely mitigate an increased credit risk.</w:t>
      </w:r>
    </w:p>
    <w:p>
      <w:pPr>
        <w:spacing w:after="0" w:line="152" w:lineRule="exact"/>
        <w:rPr>
          <w:sz w:val="20"/>
          <w:szCs w:val="20"/>
          <w:color w:val="auto"/>
        </w:rPr>
      </w:pPr>
    </w:p>
    <w:p>
      <w:pPr>
        <w:jc w:val="both"/>
        <w:ind w:firstLine="275"/>
        <w:spacing w:after="0" w:line="270" w:lineRule="auto"/>
        <w:rPr>
          <w:sz w:val="20"/>
          <w:szCs w:val="20"/>
          <w:color w:val="auto"/>
        </w:rPr>
      </w:pPr>
      <w:r>
        <w:rPr>
          <w:rFonts w:ascii="Arial" w:cs="Arial" w:eastAsia="Arial" w:hAnsi="Arial"/>
          <w:sz w:val="15"/>
          <w:szCs w:val="15"/>
          <w:color w:val="auto"/>
        </w:rPr>
        <w:t>In the event of a sending agent bankruptcy, we would generally be in the position of creditor, possibly with limited security or financial guarantees of performance, and we would therefore be at risk of a reduced recovery. We are not insured against credit losses, except in circumstances of agent theft or fraud. Significant credit losses could have a material and adverse effect on our business, financial condition and results of operations.</w:t>
      </w:r>
    </w:p>
    <w:p>
      <w:pPr>
        <w:spacing w:after="0" w:line="152" w:lineRule="exact"/>
        <w:rPr>
          <w:sz w:val="20"/>
          <w:szCs w:val="20"/>
          <w:color w:val="auto"/>
        </w:rPr>
      </w:pPr>
    </w:p>
    <w:p>
      <w:pPr>
        <w:ind w:right="160"/>
        <w:spacing w:after="0" w:line="285" w:lineRule="auto"/>
        <w:rPr>
          <w:sz w:val="20"/>
          <w:szCs w:val="20"/>
          <w:color w:val="auto"/>
        </w:rPr>
      </w:pPr>
      <w:r>
        <w:rPr>
          <w:rFonts w:ascii="Arial" w:cs="Arial" w:eastAsia="Arial" w:hAnsi="Arial"/>
          <w:sz w:val="15"/>
          <w:szCs w:val="15"/>
          <w:b w:val="1"/>
          <w:bCs w:val="1"/>
          <w:i w:val="1"/>
          <w:iCs w:val="1"/>
          <w:color w:val="auto"/>
        </w:rPr>
        <w:t>Retaining our chief executive officer and other key executives and recruiting and retaining qualified personnel is important to our continued success, and any inability to attract and retain such personnel could harm our operations.</w:t>
      </w:r>
    </w:p>
    <w:p>
      <w:pPr>
        <w:spacing w:after="0" w:line="141" w:lineRule="exact"/>
        <w:rPr>
          <w:sz w:val="20"/>
          <w:szCs w:val="20"/>
          <w:color w:val="auto"/>
        </w:rPr>
      </w:pPr>
    </w:p>
    <w:p>
      <w:pPr>
        <w:jc w:val="both"/>
        <w:ind w:firstLine="275"/>
        <w:spacing w:after="0" w:line="270" w:lineRule="auto"/>
        <w:rPr>
          <w:sz w:val="20"/>
          <w:szCs w:val="20"/>
          <w:color w:val="auto"/>
        </w:rPr>
      </w:pPr>
      <w:r>
        <w:rPr>
          <w:rFonts w:ascii="Arial" w:cs="Arial" w:eastAsia="Arial" w:hAnsi="Arial"/>
          <w:sz w:val="15"/>
          <w:szCs w:val="15"/>
          <w:color w:val="auto"/>
        </w:rPr>
        <w:t>Our ability to successfully operate our business will depend upon the efforts of certain key personnel. The development and implementation of our strategy has depended in large part on our Chief Executive Officer, President and Chairman of the Board of Directors, Robert Lisy. The retention of Mr. Lisy is important to our continued success, and we expect him to remain with the Company for the foreseeable future.</w:t>
      </w:r>
    </w:p>
    <w:p>
      <w:pPr>
        <w:spacing w:after="0" w:line="152" w:lineRule="exact"/>
        <w:rPr>
          <w:sz w:val="20"/>
          <w:szCs w:val="20"/>
          <w:color w:val="auto"/>
        </w:rPr>
      </w:pPr>
    </w:p>
    <w:p>
      <w:pPr>
        <w:jc w:val="both"/>
        <w:ind w:firstLine="275"/>
        <w:spacing w:after="0" w:line="260" w:lineRule="auto"/>
        <w:rPr>
          <w:sz w:val="20"/>
          <w:szCs w:val="20"/>
          <w:color w:val="auto"/>
        </w:rPr>
      </w:pPr>
      <w:r>
        <w:rPr>
          <w:rFonts w:ascii="Arial" w:cs="Arial" w:eastAsia="Arial" w:hAnsi="Arial"/>
          <w:sz w:val="15"/>
          <w:szCs w:val="15"/>
          <w:color w:val="auto"/>
        </w:rPr>
        <w:t>In addition to Mr. Lisy, we have a number of key executives who have a significant impact on our business. The unexpected loss of key personnel may adversely affect the operations and profitability of the Company. Our success also depends to a large extent upon our ability to attract and retain key employees. Qualified individuals with experience in our industry are in high demand. Our IT personnel have designed and implemented key portions of our proprietary software and are crucial to the success of our business. In addition, legal or enforcement actions against compliance and other personnel in the money remittance industry may affect our ability to attract and retain key employees and directors. The lack of management continuity or the loss of one or more members of our executive management team could harm our business and future development. A failure to recruit and retain key personnel including operating, marketing, financial and technical personnel, could also have a material and adverse impact on our business, financial condition and results of operations.</w:t>
      </w:r>
    </w:p>
    <w:p>
      <w:pPr>
        <w:spacing w:after="0" w:line="160"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b w:val="1"/>
          <w:bCs w:val="1"/>
          <w:i w:val="1"/>
          <w:iCs w:val="1"/>
          <w:color w:val="auto"/>
        </w:rPr>
        <w:t>We and our agents are subject to numerous U.S. and international laws and regulations. Failure to comply with these laws and regulations could result in material settlements, fines or penalties and reputational harm, and changes in these laws or regulations could result in increased operating costs or reduced demand for our services, all of which may adversely affect our business, financial condition and results of operations.</w:t>
      </w:r>
    </w:p>
    <w:p>
      <w:pPr>
        <w:spacing w:after="0" w:line="152"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We operate in a highly regulated environment, and our business is subject to a wide range of laws and regulations that vary from jurisdiction to jurisdiction. We are also subject to oversight by various governmental agencies, both in the United States and abroad. Lawmakers and regulators in the United States in particular have increased their focus on the regulation of the financial services industry. New or modified regulations and increased oversight may have unforeseen or unintended adverse effects on the financial services industry, which could affect our business, financial condition and results of operations.</w:t>
      </w:r>
    </w:p>
    <w:p>
      <w:pPr>
        <w:spacing w:after="0" w:line="156" w:lineRule="exact"/>
        <w:rPr>
          <w:sz w:val="20"/>
          <w:szCs w:val="20"/>
          <w:color w:val="auto"/>
        </w:rPr>
      </w:pPr>
    </w:p>
    <w:p>
      <w:pPr>
        <w:jc w:val="both"/>
        <w:ind w:firstLine="275"/>
        <w:spacing w:after="0" w:line="261" w:lineRule="auto"/>
        <w:rPr>
          <w:sz w:val="20"/>
          <w:szCs w:val="20"/>
          <w:color w:val="auto"/>
        </w:rPr>
      </w:pPr>
      <w:r>
        <w:rPr>
          <w:rFonts w:ascii="Arial" w:cs="Arial" w:eastAsia="Arial" w:hAnsi="Arial"/>
          <w:sz w:val="15"/>
          <w:szCs w:val="15"/>
          <w:color w:val="auto"/>
        </w:rPr>
        <w:t>The money transfer business is subject to a variety of regulations aimed at preventing money laundering, human trafficking and terrorism. We are subject to U.S. federal anti-money laundering laws, including the BSA and the requirements of the U.S. Treasury Department’s OFAC, which prohibit us from transmitting money to specified countries or to or from prohibited individuals. Additionally, we are subject to anti-money laundering laws in the other countries in which we operate. We are also subject to financial services regulations, money transfer licensing regulations, consumer protection laws, currency control regulations, escheat laws, privacy and data protection laws and anti-bribery laws. Many of these laws are constantly evolving, unclear and inconsistent across various jurisdictions, making compliance challenging. Subsequent legislation, regulation, litigation, court rulings or other events could expose us to increased program costs, liability and reputational damage.</w:t>
      </w:r>
    </w:p>
    <w:p>
      <w:pPr>
        <w:spacing w:after="0" w:line="159"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As a MSB, we are subject to reporting, recordkeeping and anti-money laundering provisions in the United States as well as many other jurisdictions. In the past few years there have been significant regulatory reviews and actions taken by U.S. and other regulators and law enforcement agencies against banks, MSBs and other financial institutions related to money laundering, and the trend appears to be greater scrutiny by regulators of potential money laundering activity through financial institutions. We are also subject to regulatory oversight and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8" w:name="page19"/>
    <w:bookmarkEnd w:id="18"/>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4"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enforcement by FinCEN. Any determination that we have violated the anti-money-laundering laws could have an adverse effect on our business, financial condition and results of operations.</w:t>
      </w:r>
    </w:p>
    <w:p>
      <w:pPr>
        <w:spacing w:after="0" w:line="141" w:lineRule="exact"/>
        <w:rPr>
          <w:sz w:val="20"/>
          <w:szCs w:val="20"/>
          <w:color w:val="auto"/>
        </w:rPr>
      </w:pPr>
    </w:p>
    <w:p>
      <w:pPr>
        <w:jc w:val="both"/>
        <w:ind w:firstLine="275"/>
        <w:spacing w:after="0" w:line="260" w:lineRule="auto"/>
        <w:rPr>
          <w:sz w:val="20"/>
          <w:szCs w:val="20"/>
          <w:color w:val="auto"/>
        </w:rPr>
      </w:pPr>
      <w:r>
        <w:rPr>
          <w:rFonts w:ascii="Arial" w:cs="Arial" w:eastAsia="Arial" w:hAnsi="Arial"/>
          <w:sz w:val="15"/>
          <w:szCs w:val="15"/>
          <w:color w:val="auto"/>
        </w:rPr>
        <w:t>The Dodd-Frank Act increases the regulation and oversight of the financial services industry. The Dodd-Frank Act requires enforcement by various governmental agencies, including the CFPB. We could be subject to fines or other penalties if we are found to have violated the Dodd-Frank Act’s prohibition against unfair, deceptive or abusive acts or practices. The CFPB’s authority to change regulations adopted in the past by other regulators could increase our compliance costs and litigation exposure. Our litigation exposure may also be increased by the CFPB’s authority to limit or ban pre-dispute arbitration clauses. We may also be liable for failure of our agents to comply with the Dodd-Frank Act. The legislation and implementation of regulations associated with the Dodd-Frank Act have increased our costs of compliance and required changes in the way we and our agents conduct business. In addition, we are subject to periodic examination by the CFPB. These examinations may require us to change the way we conduct business or increase the costs of compliance.</w:t>
      </w:r>
    </w:p>
    <w:p>
      <w:pPr>
        <w:spacing w:after="0" w:line="160"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In addition, we are subject to escheatment laws in the United States and certain foreign jurisdictions in which we conduct business. We are subject to the laws of various states in the United States which from time to time take inconsistent or conflicting positions regarding the requirements to escheat property to a particular state, making compliance challenging. In some instances, we escheat items to states pursuant to statutory requirements and then subsequently pay those items to consumers. For such amounts, we must file claims for reimbursement from the states.</w:t>
      </w:r>
    </w:p>
    <w:p>
      <w:pPr>
        <w:spacing w:after="0" w:line="156" w:lineRule="exact"/>
        <w:rPr>
          <w:sz w:val="20"/>
          <w:szCs w:val="20"/>
          <w:color w:val="auto"/>
        </w:rPr>
      </w:pPr>
    </w:p>
    <w:p>
      <w:pPr>
        <w:jc w:val="both"/>
        <w:ind w:firstLine="275"/>
        <w:spacing w:after="0" w:line="260" w:lineRule="auto"/>
        <w:rPr>
          <w:sz w:val="20"/>
          <w:szCs w:val="20"/>
          <w:color w:val="auto"/>
        </w:rPr>
      </w:pPr>
      <w:r>
        <w:rPr>
          <w:rFonts w:ascii="Arial" w:cs="Arial" w:eastAsia="Arial" w:hAnsi="Arial"/>
          <w:sz w:val="15"/>
          <w:szCs w:val="15"/>
          <w:color w:val="auto"/>
        </w:rPr>
        <w:t>Any violation by us of the laws and regulations set forth above could lead to significant settlements, fines or penalties and could limit our ability to conduct business in some jurisdictions. Our systems, employees and processes may not be sufficient to detect and prevent violations of the laws and regulations set forth above by our agents, which could also lead to us being subject to significant settlements, fines or penalties. In addition to these fines and penalties, a failure by us or our agents to comply with applicable laws and regulations also could seriously damage our reputation, result in diminished revenue and profit and increase our operating costs and could result in, among other things, revocation of required licenses or registrations, loss of approved status, termination of contracts with banks or retail representatives, administrative enforcement actions and fines, class action lawsuits, cease and desist or consent orders and civil and criminal liability. The occurrence of one or more of these events could have a material and adverse effect on our business, financial condition and results of operations.</w:t>
      </w:r>
    </w:p>
    <w:p>
      <w:pPr>
        <w:spacing w:after="0" w:line="160" w:lineRule="exact"/>
        <w:rPr>
          <w:sz w:val="20"/>
          <w:szCs w:val="20"/>
          <w:color w:val="auto"/>
        </w:rPr>
      </w:pPr>
    </w:p>
    <w:p>
      <w:pPr>
        <w:jc w:val="both"/>
        <w:ind w:firstLine="275"/>
        <w:spacing w:after="0" w:line="280" w:lineRule="auto"/>
        <w:rPr>
          <w:sz w:val="20"/>
          <w:szCs w:val="20"/>
          <w:color w:val="auto"/>
        </w:rPr>
      </w:pPr>
      <w:r>
        <w:rPr>
          <w:rFonts w:ascii="Arial" w:cs="Arial" w:eastAsia="Arial" w:hAnsi="Arial"/>
          <w:sz w:val="14"/>
          <w:szCs w:val="14"/>
          <w:color w:val="auto"/>
        </w:rPr>
        <w:t>In certain cases, regulations may provide administrative discretion regarding enforcement. As a result, regulations may be applied inconsistently across the industry, which could result in additional costs for us that may not be required to be incurred by our competitors. If we were required to maintain a price higher than most of our competitors to reflect our regulatory costs, this could harm our ability to compete effectively, which could adversely affect our business, financial condition and results of operations. In addition, changes in laws, regulations or other industry practices and standards, or interpretations of legal or regulatory requirements, may reduce the market for or value of our services or render our services less profitable or obsolete. Changes in the laws affecting the kinds of entities that are permitted to act as money remittance agents (such as changes in requirements for capitalization or ownership) could adversely affect our ability to distribute our services and the cost of providing such services. Many of our sending agents are in the check cashing industry. Any regulatory action that negatively impacts check cashers could also cause this portion of our agent base to decline. If onerous regulatory requirements were imposed on our agents, the requirements could lead to a loss of agents, which, in turn, could adversely affect our business, financial condition or results of operations.</w:t>
      </w:r>
    </w:p>
    <w:p>
      <w:pPr>
        <w:spacing w:after="0" w:line="149" w:lineRule="exact"/>
        <w:rPr>
          <w:sz w:val="20"/>
          <w:szCs w:val="20"/>
          <w:color w:val="auto"/>
        </w:rPr>
      </w:pPr>
    </w:p>
    <w:p>
      <w:pPr>
        <w:jc w:val="both"/>
        <w:ind w:firstLine="275"/>
        <w:spacing w:after="0" w:line="262" w:lineRule="auto"/>
        <w:rPr>
          <w:sz w:val="20"/>
          <w:szCs w:val="20"/>
          <w:color w:val="auto"/>
        </w:rPr>
      </w:pPr>
      <w:r>
        <w:rPr>
          <w:rFonts w:ascii="Arial" w:cs="Arial" w:eastAsia="Arial" w:hAnsi="Arial"/>
          <w:sz w:val="15"/>
          <w:szCs w:val="15"/>
          <w:color w:val="auto"/>
        </w:rPr>
        <w:t>Regulators around the world compare approaches to the regulation of the payments and other industries. Consequently, a development in any one country, state or region may influence regulatory approaches in other jurisdictions. Similarly, new laws and regulations in a country, state or region involving one service may cause lawmakers there to extend the regulations to another service. As a result, the risks created by any new laws or regulations are magnified by the potential that they may be replicated, affecting our business in another market or involving another service. Conversely, if widely varying regulations come into existence worldwide, we may have difficulty adjusting our services, fees, foreign exchange spreads and other important aspects of our business, with the same effect.</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Litigation or investigations involving us or our agents could result in material settlements, fines or penalties.</w:t>
      </w:r>
    </w:p>
    <w:p>
      <w:pPr>
        <w:spacing w:after="0" w:line="195" w:lineRule="exact"/>
        <w:rPr>
          <w:sz w:val="20"/>
          <w:szCs w:val="20"/>
          <w:color w:val="auto"/>
        </w:rPr>
      </w:pPr>
    </w:p>
    <w:p>
      <w:pPr>
        <w:jc w:val="both"/>
        <w:ind w:right="20" w:firstLine="275"/>
        <w:spacing w:after="0" w:line="270" w:lineRule="auto"/>
        <w:rPr>
          <w:sz w:val="20"/>
          <w:szCs w:val="20"/>
          <w:color w:val="auto"/>
        </w:rPr>
      </w:pPr>
      <w:r>
        <w:rPr>
          <w:rFonts w:ascii="Arial" w:cs="Arial" w:eastAsia="Arial" w:hAnsi="Arial"/>
          <w:sz w:val="15"/>
          <w:szCs w:val="15"/>
          <w:color w:val="auto"/>
        </w:rPr>
        <w:t>We have been, and in the future may be, subject to allegations and complaints that individuals or entities have used our money remittance services for fraud-induced money transfers, as well as certain money laundering activities, which may result in fines, penalties, judgments, settlements and litigation expenses. We also are the subject from time to time of litigation related to our business.</w:t>
      </w:r>
    </w:p>
    <w:p>
      <w:pPr>
        <w:spacing w:after="0" w:line="152" w:lineRule="exact"/>
        <w:rPr>
          <w:sz w:val="20"/>
          <w:szCs w:val="20"/>
          <w:color w:val="auto"/>
        </w:rPr>
      </w:pPr>
    </w:p>
    <w:p>
      <w:pPr>
        <w:jc w:val="both"/>
        <w:ind w:firstLine="275"/>
        <w:spacing w:after="0" w:line="261" w:lineRule="auto"/>
        <w:rPr>
          <w:sz w:val="20"/>
          <w:szCs w:val="20"/>
          <w:color w:val="auto"/>
        </w:rPr>
      </w:pPr>
      <w:r>
        <w:rPr>
          <w:rFonts w:ascii="Arial" w:cs="Arial" w:eastAsia="Arial" w:hAnsi="Arial"/>
          <w:sz w:val="15"/>
          <w:szCs w:val="15"/>
          <w:color w:val="auto"/>
        </w:rPr>
        <w:t>Regulatory and judicial proceedings and potential adverse developments in connection with ongoing litigation may adversely affect our business, financial condition and results of operations. There also may be adverse publicity associated with lawsuits and investigations that could decrease agent and consumer acceptance of our services. Additionally, our business has been in the past, and may be in the future, the subject of class action lawsuits, regulatory actions and investigations and other general litigation. The outcome of class action lawsuits, regulatory actions and investigations and other litigation is difficult to assess or quantify but may include substantial fines and expenses, as well as the revocation of required licenses or registrations or the loss of approved status, which could have a material and adverse effect on our business, financial position and results of operations or consumers’ confidence in our business. Plaintiffs 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9" w:name="page20"/>
    <w:bookmarkEnd w:id="19"/>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regulatory agencies in these lawsuits, actions or investigations may seek recovery of very large or indeterminate amounts, and the magnitude of these actions may remain unknown for substantial periods of time. The cost to defend or settle future lawsuits or investigations may be significant. In addition, improper activities, lawsuits or investigations involving our agents may adversely impact our business, financial condition and results of operations or reputation even if we are not directly involved.</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could be adversely affected by violations of the U.S. Foreign Corrupt Practices Act or other similar anti-corruption laws.</w:t>
      </w:r>
    </w:p>
    <w:p>
      <w:pPr>
        <w:spacing w:after="0" w:line="195"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4"/>
          <w:szCs w:val="14"/>
          <w:color w:val="auto"/>
        </w:rPr>
        <w:t>Our operations around the world, particularly in LAC countries and Africa are subject to anti-corruption laws and regulations, including restrictions imposed by the U.S. FCPA. The FCPA and similar anti-corruption laws in other jurisdictions generally prohibit companies and their intermediaries from making improper payments to government officials or employees of commercial enterprises for the purpose of obtaining or retaining business, a business advantage or a governmental approval. We operate in parts of the world that are perceived as having higher incidence of corruption and, in certain circumstances, strict compliance with anti-corruption laws may conflict with local customs and practices. Because of the scope and nature of our operations, we experience a higher risk associated with compliance with the FCPA and similar anti-corruption laws than many other companies.</w:t>
      </w:r>
    </w:p>
    <w:p>
      <w:pPr>
        <w:spacing w:after="0" w:line="145" w:lineRule="exact"/>
        <w:rPr>
          <w:sz w:val="20"/>
          <w:szCs w:val="20"/>
          <w:color w:val="auto"/>
        </w:rPr>
      </w:pPr>
    </w:p>
    <w:p>
      <w:pPr>
        <w:jc w:val="both"/>
        <w:ind w:firstLine="275"/>
        <w:spacing w:after="0" w:line="290" w:lineRule="auto"/>
        <w:rPr>
          <w:sz w:val="20"/>
          <w:szCs w:val="20"/>
          <w:color w:val="auto"/>
        </w:rPr>
      </w:pPr>
      <w:r>
        <w:rPr>
          <w:rFonts w:ascii="Arial" w:cs="Arial" w:eastAsia="Arial" w:hAnsi="Arial"/>
          <w:sz w:val="14"/>
          <w:szCs w:val="14"/>
          <w:color w:val="auto"/>
        </w:rPr>
        <w:t>Our employees and agents interact with government officials on our behalf, including as necessary to obtain licenses and other regulatory approvals necessary to operate our business, employ expatriates and resolve tax disputes. We also have a number of contracts with third-party paying agents that are owned or controlled by non-U.S. governments. These interactions and contracts create a risk of payments or offers of payments by one of our employees or agents that could be in violation of the FCPA or other similar anti-corruption laws. Under the FCPA and other similar anti-corruption laws, we may be held liable for actions taken by our employees or agents.</w:t>
      </w:r>
    </w:p>
    <w:p>
      <w:pPr>
        <w:spacing w:after="0" w:line="140" w:lineRule="exact"/>
        <w:rPr>
          <w:sz w:val="20"/>
          <w:szCs w:val="20"/>
          <w:color w:val="auto"/>
        </w:rPr>
      </w:pPr>
    </w:p>
    <w:p>
      <w:pPr>
        <w:jc w:val="both"/>
        <w:ind w:right="20" w:firstLine="275"/>
        <w:spacing w:after="0" w:line="285" w:lineRule="auto"/>
        <w:rPr>
          <w:sz w:val="20"/>
          <w:szCs w:val="20"/>
          <w:color w:val="auto"/>
        </w:rPr>
      </w:pPr>
      <w:r>
        <w:rPr>
          <w:rFonts w:ascii="Arial" w:cs="Arial" w:eastAsia="Arial" w:hAnsi="Arial"/>
          <w:sz w:val="15"/>
          <w:szCs w:val="15"/>
          <w:color w:val="auto"/>
        </w:rPr>
        <w:t>In recent years, there have been significant regulatory reviews and actions taken by the United States and other governments related to anti-corruption laws, and the trend appears to be greater scrutiny on payments to, and relationships with, foreign entities and individuals.</w:t>
      </w:r>
    </w:p>
    <w:p>
      <w:pPr>
        <w:spacing w:after="0" w:line="141" w:lineRule="exact"/>
        <w:rPr>
          <w:sz w:val="20"/>
          <w:szCs w:val="20"/>
          <w:color w:val="auto"/>
        </w:rPr>
      </w:pPr>
    </w:p>
    <w:p>
      <w:pPr>
        <w:jc w:val="both"/>
        <w:ind w:firstLine="275"/>
        <w:spacing w:after="0" w:line="262" w:lineRule="auto"/>
        <w:rPr>
          <w:sz w:val="20"/>
          <w:szCs w:val="20"/>
          <w:color w:val="auto"/>
        </w:rPr>
      </w:pPr>
      <w:r>
        <w:rPr>
          <w:rFonts w:ascii="Arial" w:cs="Arial" w:eastAsia="Arial" w:hAnsi="Arial"/>
          <w:sz w:val="15"/>
          <w:szCs w:val="15"/>
          <w:color w:val="auto"/>
        </w:rPr>
        <w:t>There can be no assurance that all of our employees and agents will abide by the policies and procedures we have implemented to promote compliance with local laws and regulations as well as U.S. laws and regulations, including FCPA and similar anti-corruption laws. If we are found to be liable for violations of the FCPA or similar anti-corruption laws in other jurisdictions, either due to our own or others’ acts or inadvertence, we could suffer, among other consequences, substantial civil and criminal penalties, including fines, incarceration, prohibitions or limitations on the conduct of our business, the loss of our financing facilities and significant reputational damage, any of which could have a material and adverse effect on our results of business, financial condition or results of operations.</w:t>
      </w:r>
    </w:p>
    <w:p>
      <w:pPr>
        <w:spacing w:after="0" w:line="160" w:lineRule="exact"/>
        <w:rPr>
          <w:sz w:val="20"/>
          <w:szCs w:val="20"/>
          <w:color w:val="auto"/>
        </w:rPr>
      </w:pPr>
    </w:p>
    <w:p>
      <w:pPr>
        <w:jc w:val="both"/>
        <w:ind w:right="20" w:firstLine="275"/>
        <w:spacing w:after="0" w:line="270" w:lineRule="auto"/>
        <w:rPr>
          <w:sz w:val="20"/>
          <w:szCs w:val="20"/>
          <w:color w:val="auto"/>
        </w:rPr>
      </w:pPr>
      <w:r>
        <w:rPr>
          <w:rFonts w:ascii="Arial" w:cs="Arial" w:eastAsia="Arial" w:hAnsi="Arial"/>
          <w:sz w:val="15"/>
          <w:szCs w:val="15"/>
          <w:color w:val="auto"/>
        </w:rPr>
        <w:t>Government or regulatory investigations into potential violations of the FCPA or other similar anti-corruption laws by U.S. agencies or other governments could also have a material and adverse effect on our results of business, financial condition and results of operations. Furthermore, detecting, investigating and resolving actual or alleged violations of the FCPA and other similar anti-corruption laws is expensive and can consume significant time and attention of our senior management.</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conduct money remittance transactions through agents in regions that are politically volatile or, in a limited number of cases, may be subject to certain OFAC restrictions.</w:t>
      </w:r>
    </w:p>
    <w:p>
      <w:pPr>
        <w:spacing w:after="0" w:line="218" w:lineRule="exact"/>
        <w:rPr>
          <w:sz w:val="20"/>
          <w:szCs w:val="20"/>
          <w:color w:val="auto"/>
        </w:rPr>
      </w:pPr>
    </w:p>
    <w:p>
      <w:pPr>
        <w:jc w:val="both"/>
        <w:ind w:firstLine="275"/>
        <w:spacing w:after="0" w:line="262" w:lineRule="auto"/>
        <w:rPr>
          <w:sz w:val="20"/>
          <w:szCs w:val="20"/>
          <w:color w:val="auto"/>
        </w:rPr>
      </w:pPr>
      <w:r>
        <w:rPr>
          <w:rFonts w:ascii="Arial" w:cs="Arial" w:eastAsia="Arial" w:hAnsi="Arial"/>
          <w:sz w:val="15"/>
          <w:szCs w:val="15"/>
          <w:color w:val="auto"/>
        </w:rPr>
        <w:t>We conduct money remittance transactions through agents in regions that are politically volatile or, in a limited number of cases, may be subject to certain OFAC restrictions. It is possible that our money remittance services or other services could be used in contravention of applicable law or regulations. Such circumstances could result in increased compliance costs, regulatory inquiries, suspension or revocation of required licenses or registrations, seizure or forfeiture of assets and the imposition of civil and criminal fines and penalties. In addition to monetary fines or penalties that we could incur, we could be subject to reputational harm that could have an adverse effect on our business, financial condition and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New business initiatives, such as modifications to our current product offerings or the introduction of new products, may modify our risk profile from a regulatory perspective.</w:t>
      </w:r>
    </w:p>
    <w:p>
      <w:pPr>
        <w:spacing w:after="0" w:line="218" w:lineRule="exact"/>
        <w:rPr>
          <w:sz w:val="20"/>
          <w:szCs w:val="20"/>
          <w:color w:val="auto"/>
        </w:rPr>
      </w:pPr>
    </w:p>
    <w:p>
      <w:pPr>
        <w:jc w:val="both"/>
        <w:ind w:firstLine="275"/>
        <w:spacing w:after="0" w:line="262" w:lineRule="auto"/>
        <w:rPr>
          <w:sz w:val="20"/>
          <w:szCs w:val="20"/>
          <w:color w:val="auto"/>
        </w:rPr>
      </w:pPr>
      <w:r>
        <w:rPr>
          <w:rFonts w:ascii="Arial" w:cs="Arial" w:eastAsia="Arial" w:hAnsi="Arial"/>
          <w:sz w:val="15"/>
          <w:szCs w:val="15"/>
          <w:color w:val="auto"/>
        </w:rPr>
        <w:t>A number of our recent and planned business initiatives and expansions of existing businesses may bring us into contact, directly or indirectly, with information, individuals and entities that are not within our traditional customer and agent network and that could expose us to new or enhanced regulatory scrutiny. For example, we are starting to offer services across new distribution platforms, which could expose us to increased anti-money laundering, anti-terrorist financing and consumer protection regulations and compliance requirements. Any change in our risk profile stemming from this or any of our other business initiatives could result in increased compliance costs and litigation exposure, which could adversely impact our business, financial condition and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U.S. tax laws could adversely affect our results of operations.</w:t>
      </w:r>
    </w:p>
    <w:p>
      <w:pPr>
        <w:spacing w:after="0" w:line="195"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5"/>
          <w:szCs w:val="15"/>
          <w:color w:val="auto"/>
        </w:rPr>
        <w:t>Changes in tax legislation by U.S. federal, state and local governments could impact our effective tax rates. If statutory tax rates are increased, our results of operations and cash flows could be adversely affected.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0" w:name="page21"/>
    <w:bookmarkEnd w:id="20"/>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4" w:lineRule="exact"/>
        <w:rPr>
          <w:sz w:val="20"/>
          <w:szCs w:val="20"/>
          <w:color w:val="auto"/>
        </w:rPr>
      </w:pPr>
    </w:p>
    <w:p>
      <w:pPr>
        <w:ind w:right="380"/>
        <w:spacing w:after="0" w:line="285" w:lineRule="auto"/>
        <w:rPr>
          <w:sz w:val="20"/>
          <w:szCs w:val="20"/>
          <w:color w:val="auto"/>
        </w:rPr>
      </w:pPr>
      <w:r>
        <w:rPr>
          <w:rFonts w:ascii="Arial" w:cs="Arial" w:eastAsia="Arial" w:hAnsi="Arial"/>
          <w:sz w:val="15"/>
          <w:szCs w:val="15"/>
          <w:b w:val="1"/>
          <w:bCs w:val="1"/>
          <w:i w:val="1"/>
          <w:iCs w:val="1"/>
          <w:color w:val="auto"/>
        </w:rPr>
        <w:t>Our business and results of operations may be adversely affected by foreign political, economic and social instability risks, foreign currency restrictions and devaluation, and various local laws associated with doing business primarily in LAC countries.</w:t>
      </w:r>
    </w:p>
    <w:p>
      <w:pPr>
        <w:spacing w:after="0" w:line="141" w:lineRule="exact"/>
        <w:rPr>
          <w:sz w:val="20"/>
          <w:szCs w:val="20"/>
          <w:color w:val="auto"/>
        </w:rPr>
      </w:pPr>
    </w:p>
    <w:p>
      <w:pPr>
        <w:jc w:val="both"/>
        <w:ind w:firstLine="275"/>
        <w:spacing w:after="0" w:line="283" w:lineRule="auto"/>
        <w:rPr>
          <w:sz w:val="20"/>
          <w:szCs w:val="20"/>
          <w:color w:val="auto"/>
        </w:rPr>
      </w:pPr>
      <w:r>
        <w:rPr>
          <w:rFonts w:ascii="Arial" w:cs="Arial" w:eastAsia="Arial" w:hAnsi="Arial"/>
          <w:sz w:val="14"/>
          <w:szCs w:val="14"/>
          <w:color w:val="auto"/>
        </w:rPr>
        <w:t>We derive a substantial portion of our revenue from our money remittance transactions from the United States to the LAC corridor, particularly Mexico and Guatemala, and we are exposed to certain political, economic and other uncertainties not encountered in U.S. operations. Consequently, actions or events in LAC countries that are beyond our control could restrict our ability to operate there or otherwise adversely affect the profitability of those operations. Furthermore, changes in the business, regulatory or political climate in any of those countries, or significant fluctuations in currency exchange rates, could affect our ability to expand or continue our operations there, which could have a material and adverse impact on our business, financial condition and results of operations. In addition, we are exposed to new political, economic and other uncertainties as a result of the geographic expansion to Africa and Asia, any of which could adversely impact our business, financial condition and results of operations.</w:t>
      </w:r>
    </w:p>
    <w:p>
      <w:pPr>
        <w:spacing w:after="0" w:line="146" w:lineRule="exact"/>
        <w:rPr>
          <w:sz w:val="20"/>
          <w:szCs w:val="20"/>
          <w:color w:val="auto"/>
        </w:rPr>
      </w:pPr>
    </w:p>
    <w:p>
      <w:pPr>
        <w:jc w:val="both"/>
        <w:ind w:right="20" w:firstLine="275"/>
        <w:spacing w:after="0" w:line="270" w:lineRule="auto"/>
        <w:rPr>
          <w:sz w:val="20"/>
          <w:szCs w:val="20"/>
          <w:color w:val="auto"/>
        </w:rPr>
      </w:pPr>
      <w:r>
        <w:rPr>
          <w:rFonts w:ascii="Arial" w:cs="Arial" w:eastAsia="Arial" w:hAnsi="Arial"/>
          <w:sz w:val="15"/>
          <w:szCs w:val="15"/>
          <w:color w:val="auto"/>
        </w:rPr>
        <w:t>The countries in which we operate may impose or tighten foreign currency exchange control restrictions, taxes or limitations with regard to repatriation of earnings and investments from these countries. If exchange control restrictions, taxes or limitations are imposed or tightened, our ability to receive dividends or other payments from affected jurisdictions could be reduced, which could have an adverse effect on our business, financial condition and results of operations.</w:t>
      </w:r>
    </w:p>
    <w:p>
      <w:pPr>
        <w:spacing w:after="0" w:line="152"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In addition, corporate, contract, property, insolvency, competition, securities and other laws and regulations in many of the countries in which we operate have been, and continue to be, substantially revised. Therefore, the interpretation and procedural safeguards of the new legal and regulatory systems are in the process of being developed and defined, and existing laws and regulations may be applied inconsistently. Also, in some circumstances, it may not be possible to obtain the legal remedies provided for under these laws and regulations in a reasonably timely manner, if at all.</w:t>
      </w:r>
    </w:p>
    <w:p>
      <w:pPr>
        <w:spacing w:after="0" w:line="15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Our ability to grow in international markets and our future results could be adversely affected by a number of factors, including:</w:t>
      </w:r>
    </w:p>
    <w:p>
      <w:pPr>
        <w:spacing w:after="0" w:line="195" w:lineRule="exact"/>
        <w:rPr>
          <w:sz w:val="20"/>
          <w:szCs w:val="20"/>
          <w:color w:val="auto"/>
        </w:rPr>
      </w:pPr>
    </w:p>
    <w:p>
      <w:pPr>
        <w:ind w:left="460" w:hanging="193"/>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changes in political and economic conditions and potential instability in certain regions;</w:t>
      </w:r>
    </w:p>
    <w:p>
      <w:pPr>
        <w:spacing w:after="0" w:line="148" w:lineRule="exact"/>
        <w:rPr>
          <w:rFonts w:ascii="Arial" w:cs="Arial" w:eastAsia="Arial" w:hAnsi="Arial"/>
          <w:sz w:val="15"/>
          <w:szCs w:val="15"/>
          <w:color w:val="auto"/>
        </w:rPr>
      </w:pPr>
    </w:p>
    <w:p>
      <w:pPr>
        <w:ind w:left="460" w:hanging="193"/>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restrictions on money transfers to, from and between certain countries;</w:t>
      </w:r>
    </w:p>
    <w:p>
      <w:pPr>
        <w:spacing w:after="0" w:line="148" w:lineRule="exact"/>
        <w:rPr>
          <w:rFonts w:ascii="Arial" w:cs="Arial" w:eastAsia="Arial" w:hAnsi="Arial"/>
          <w:sz w:val="15"/>
          <w:szCs w:val="15"/>
          <w:color w:val="auto"/>
        </w:rPr>
      </w:pPr>
    </w:p>
    <w:p>
      <w:pPr>
        <w:ind w:left="460" w:hanging="193"/>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inability to recruit and retain paying agents and customers for new corridors;</w:t>
      </w:r>
    </w:p>
    <w:p>
      <w:pPr>
        <w:spacing w:after="0" w:line="148" w:lineRule="exact"/>
        <w:rPr>
          <w:rFonts w:ascii="Arial" w:cs="Arial" w:eastAsia="Arial" w:hAnsi="Arial"/>
          <w:sz w:val="15"/>
          <w:szCs w:val="15"/>
          <w:color w:val="auto"/>
        </w:rPr>
      </w:pPr>
    </w:p>
    <w:p>
      <w:pPr>
        <w:ind w:left="460" w:hanging="193"/>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currency exchange controls, new currency adoptions and repatriation issues;</w:t>
      </w:r>
    </w:p>
    <w:p>
      <w:pPr>
        <w:spacing w:after="0" w:line="148" w:lineRule="exact"/>
        <w:rPr>
          <w:rFonts w:ascii="Arial" w:cs="Arial" w:eastAsia="Arial" w:hAnsi="Arial"/>
          <w:sz w:val="15"/>
          <w:szCs w:val="15"/>
          <w:color w:val="auto"/>
        </w:rPr>
      </w:pPr>
    </w:p>
    <w:p>
      <w:pPr>
        <w:ind w:left="460" w:hanging="193"/>
        <w:spacing w:after="0"/>
        <w:tabs>
          <w:tab w:leader="none" w:pos="4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changes in regulatory requirements or in foreign policy, including the adoption of domestic or foreign laws, regulations and interpretations detrimental to our business;</w:t>
      </w:r>
    </w:p>
    <w:p>
      <w:pPr>
        <w:spacing w:after="0" w:line="160" w:lineRule="exact"/>
        <w:rPr>
          <w:rFonts w:ascii="Arial" w:cs="Arial" w:eastAsia="Arial" w:hAnsi="Arial"/>
          <w:sz w:val="14"/>
          <w:szCs w:val="14"/>
          <w:color w:val="auto"/>
        </w:rPr>
      </w:pPr>
    </w:p>
    <w:p>
      <w:pPr>
        <w:ind w:left="460" w:hanging="193"/>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possible increased costs and additional regulatory burdens imposed on our business;</w:t>
      </w:r>
    </w:p>
    <w:p>
      <w:pPr>
        <w:spacing w:after="0" w:line="148" w:lineRule="exact"/>
        <w:rPr>
          <w:rFonts w:ascii="Arial" w:cs="Arial" w:eastAsia="Arial" w:hAnsi="Arial"/>
          <w:sz w:val="15"/>
          <w:szCs w:val="15"/>
          <w:color w:val="auto"/>
        </w:rPr>
      </w:pPr>
    </w:p>
    <w:p>
      <w:pPr>
        <w:ind w:left="460" w:hanging="193"/>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implementation of U.S. sanctions, resulting in bank closures in certain countries and the ultimate freezing of our assets;</w:t>
      </w:r>
    </w:p>
    <w:p>
      <w:pPr>
        <w:spacing w:after="0" w:line="148" w:lineRule="exact"/>
        <w:rPr>
          <w:rFonts w:ascii="Arial" w:cs="Arial" w:eastAsia="Arial" w:hAnsi="Arial"/>
          <w:sz w:val="15"/>
          <w:szCs w:val="15"/>
          <w:color w:val="auto"/>
        </w:rPr>
      </w:pPr>
    </w:p>
    <w:p>
      <w:pPr>
        <w:ind w:left="460" w:hanging="193"/>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burdens of complying with a wide variety of laws and regulations;</w:t>
      </w:r>
    </w:p>
    <w:p>
      <w:pPr>
        <w:spacing w:after="0" w:line="148" w:lineRule="exact"/>
        <w:rPr>
          <w:rFonts w:ascii="Arial" w:cs="Arial" w:eastAsia="Arial" w:hAnsi="Arial"/>
          <w:sz w:val="15"/>
          <w:szCs w:val="15"/>
          <w:color w:val="auto"/>
        </w:rPr>
      </w:pPr>
    </w:p>
    <w:p>
      <w:pPr>
        <w:ind w:left="480" w:hanging="213"/>
        <w:spacing w:after="0" w:line="285" w:lineRule="auto"/>
        <w:tabs>
          <w:tab w:leader="none" w:pos="476" w:val="left"/>
        </w:tabs>
        <w:numPr>
          <w:ilvl w:val="0"/>
          <w:numId w:val="12"/>
        </w:numPr>
        <w:rPr>
          <w:rFonts w:ascii="Arial" w:cs="Arial" w:eastAsia="Arial" w:hAnsi="Arial"/>
          <w:sz w:val="15"/>
          <w:szCs w:val="15"/>
          <w:color w:val="auto"/>
        </w:rPr>
      </w:pPr>
      <w:r>
        <w:rPr>
          <w:rFonts w:ascii="Arial" w:cs="Arial" w:eastAsia="Arial" w:hAnsi="Arial"/>
          <w:sz w:val="15"/>
          <w:szCs w:val="15"/>
          <w:color w:val="auto"/>
        </w:rPr>
        <w:t>possible fraud or theft losses, and lack of compliance by international representatives in foreign legal jurisdictions where collection and legal enforcement may be difficult or costly;</w:t>
      </w:r>
    </w:p>
    <w:p>
      <w:pPr>
        <w:spacing w:after="0" w:line="95" w:lineRule="exact"/>
        <w:rPr>
          <w:rFonts w:ascii="Arial" w:cs="Arial" w:eastAsia="Arial" w:hAnsi="Arial"/>
          <w:sz w:val="15"/>
          <w:szCs w:val="15"/>
          <w:color w:val="auto"/>
        </w:rPr>
      </w:pPr>
    </w:p>
    <w:p>
      <w:pPr>
        <w:ind w:left="460" w:hanging="193"/>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inability to maintain or improve our software and technology systems;</w:t>
      </w:r>
    </w:p>
    <w:p>
      <w:pPr>
        <w:spacing w:after="0" w:line="148" w:lineRule="exact"/>
        <w:rPr>
          <w:rFonts w:ascii="Arial" w:cs="Arial" w:eastAsia="Arial" w:hAnsi="Arial"/>
          <w:sz w:val="15"/>
          <w:szCs w:val="15"/>
          <w:color w:val="auto"/>
        </w:rPr>
      </w:pPr>
    </w:p>
    <w:p>
      <w:pPr>
        <w:ind w:left="460" w:hanging="193"/>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reduced protection of our intellectual property rights;</w:t>
      </w:r>
    </w:p>
    <w:p>
      <w:pPr>
        <w:spacing w:after="0" w:line="148" w:lineRule="exact"/>
        <w:rPr>
          <w:rFonts w:ascii="Arial" w:cs="Arial" w:eastAsia="Arial" w:hAnsi="Arial"/>
          <w:sz w:val="15"/>
          <w:szCs w:val="15"/>
          <w:color w:val="auto"/>
        </w:rPr>
      </w:pPr>
    </w:p>
    <w:p>
      <w:pPr>
        <w:ind w:left="460" w:hanging="193"/>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unfavorable tax rules or trade barriers; and</w:t>
      </w:r>
    </w:p>
    <w:p>
      <w:pPr>
        <w:spacing w:after="0" w:line="148" w:lineRule="exact"/>
        <w:rPr>
          <w:rFonts w:ascii="Arial" w:cs="Arial" w:eastAsia="Arial" w:hAnsi="Arial"/>
          <w:sz w:val="15"/>
          <w:szCs w:val="15"/>
          <w:color w:val="auto"/>
        </w:rPr>
      </w:pPr>
    </w:p>
    <w:p>
      <w:pPr>
        <w:ind w:left="460" w:hanging="193"/>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inability to secure, train or monitor international agents.</w:t>
      </w:r>
    </w:p>
    <w:p>
      <w:pPr>
        <w:spacing w:after="0" w:line="149" w:lineRule="exact"/>
        <w:rPr>
          <w:sz w:val="20"/>
          <w:szCs w:val="20"/>
          <w:color w:val="auto"/>
        </w:rPr>
      </w:pPr>
    </w:p>
    <w:p>
      <w:pPr>
        <w:ind w:right="280"/>
        <w:spacing w:after="0" w:line="285" w:lineRule="auto"/>
        <w:rPr>
          <w:sz w:val="20"/>
          <w:szCs w:val="20"/>
          <w:color w:val="auto"/>
        </w:rPr>
      </w:pPr>
      <w:r>
        <w:rPr>
          <w:rFonts w:ascii="Arial" w:cs="Arial" w:eastAsia="Arial" w:hAnsi="Arial"/>
          <w:sz w:val="15"/>
          <w:szCs w:val="15"/>
          <w:b w:val="1"/>
          <w:bCs w:val="1"/>
          <w:i w:val="1"/>
          <w:iCs w:val="1"/>
          <w:color w:val="auto"/>
        </w:rPr>
        <w:t>If we are unable to adequately protect our brand and the intellectual property rights related to our existing and any new or enhanced services, or if we infringe on the rights of others, our business, financial condition and results of operations could be adversely affected.</w:t>
      </w:r>
    </w:p>
    <w:p>
      <w:pPr>
        <w:spacing w:after="0" w:line="141"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The Intermex brand is critical to our business. We utilize trademark registrations and other tools to protect our brand. We have not applied for trademark registrations for our name and logo in all geographic markets where we provide services. In those markets where we have applied for trademark registrations, failure to secure those registrations could adversely affect our ability to enforce and defend our trademark rights. Our business would be harmed if we were unable to adequately protect our brand and the value of our brand was to decrease as a result.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1" w:name="page22"/>
    <w:bookmarkEnd w:id="21"/>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4" w:lineRule="exact"/>
        <w:rPr>
          <w:sz w:val="20"/>
          <w:szCs w:val="20"/>
          <w:color w:val="auto"/>
        </w:rPr>
      </w:pPr>
    </w:p>
    <w:p>
      <w:pPr>
        <w:jc w:val="both"/>
        <w:ind w:firstLine="275"/>
        <w:spacing w:after="0" w:line="261" w:lineRule="auto"/>
        <w:rPr>
          <w:sz w:val="20"/>
          <w:szCs w:val="20"/>
          <w:color w:val="auto"/>
        </w:rPr>
      </w:pPr>
      <w:r>
        <w:rPr>
          <w:rFonts w:ascii="Arial" w:cs="Arial" w:eastAsia="Arial" w:hAnsi="Arial"/>
          <w:sz w:val="15"/>
          <w:szCs w:val="15"/>
          <w:color w:val="auto"/>
        </w:rPr>
        <w:t>We rely on a combination of patent, trademark and copyright laws and trade secret protection and invention assignment, confidentiality or license agreements to protect the intellectual property rights related to our services, all of which only offer limited protection. We may be subject to third-party claims alleging that we infringe their intellectual property rights or have misappropriated other proprietary rights. We may be required to spend resources to defend such claims or to protect and police our own rights. Some of our legal rights in information or technology that we deem proprietary may not be protected by intellectual property laws, particularly in foreign jurisdictions. The loss of our intellectual property protection, the inability to secure or enforce intellectual property protection or to successfully defend against claims of intellectual property infringement or misappropriation could have an adverse effect on our business, financial condition and results of operation.</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processes and systems we employ may be subject to patent protection by other parties, and any claims could adversely affect our business and results of operations.</w:t>
      </w:r>
    </w:p>
    <w:p>
      <w:pPr>
        <w:spacing w:after="0" w:line="218" w:lineRule="exact"/>
        <w:rPr>
          <w:sz w:val="20"/>
          <w:szCs w:val="20"/>
          <w:color w:val="auto"/>
        </w:rPr>
      </w:pPr>
    </w:p>
    <w:p>
      <w:pPr>
        <w:jc w:val="both"/>
        <w:ind w:firstLine="275"/>
        <w:spacing w:after="0" w:line="260" w:lineRule="auto"/>
        <w:rPr>
          <w:sz w:val="20"/>
          <w:szCs w:val="20"/>
          <w:color w:val="auto"/>
        </w:rPr>
      </w:pPr>
      <w:r>
        <w:rPr>
          <w:rFonts w:ascii="Arial" w:cs="Arial" w:eastAsia="Arial" w:hAnsi="Arial"/>
          <w:sz w:val="15"/>
          <w:szCs w:val="15"/>
          <w:color w:val="auto"/>
        </w:rPr>
        <w:t>In certain countries, including the United States, patent laws permit the protection of processes and systems. We employ processes and systems in various markets that have been used in the industry by other parties for many years. We or other companies that use these processes and systems consider many of them to be in the public domain. If a person were to assert that it holds a patent covering any of the processes or systems we use, we would be required to defend ourselves against such claim. If unsuccessful, we may be required to pay damages for past infringement, which could be trebled if the infringement was found to be willful. We also may be required to seek a license to continue to use the processes or systems. Such a license may require either a single payment or an ongoing license fee. No assurance can be given that we will be able to obtain a license which is reasonable in fee and scope. If a patent owner is unwilling to grant such a license, or we decide not to obtain such a license, we may be required to modify our processes and systems to avoid future infringement.</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Relating to Our Indebtedness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a substantial amount of indebtedness, which may limit our operating flexibility and could adversely affect our business, financial condition and results of operations.</w:t>
      </w:r>
    </w:p>
    <w:p>
      <w:pPr>
        <w:spacing w:after="0" w:line="218"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5"/>
          <w:szCs w:val="15"/>
          <w:color w:val="auto"/>
        </w:rPr>
        <w:t>We had approximately $85.3 million of indebtedness as of December 31, 2021, consisting of borrowings under the term loan facility. Our indebtedness could have important consequences to our investors, including, but not limited to:</w:t>
      </w:r>
    </w:p>
    <w:p>
      <w:pPr>
        <w:spacing w:after="0" w:line="141" w:lineRule="exact"/>
        <w:rPr>
          <w:sz w:val="20"/>
          <w:szCs w:val="20"/>
          <w:color w:val="auto"/>
        </w:rPr>
      </w:pPr>
    </w:p>
    <w:p>
      <w:pPr>
        <w:ind w:left="460" w:hanging="193"/>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increasing our vulnerability to, and reducing our flexibility to respond to, general adverse economic and industry conditions;</w:t>
      </w:r>
    </w:p>
    <w:p>
      <w:pPr>
        <w:spacing w:after="0" w:line="148" w:lineRule="exact"/>
        <w:rPr>
          <w:rFonts w:ascii="Arial" w:cs="Arial" w:eastAsia="Arial" w:hAnsi="Arial"/>
          <w:sz w:val="15"/>
          <w:szCs w:val="15"/>
          <w:color w:val="auto"/>
        </w:rPr>
      </w:pPr>
    </w:p>
    <w:p>
      <w:pPr>
        <w:ind w:left="460" w:hanging="193"/>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requiring the dedication of a substantial portion of our cash flow from operations to servicing debt;</w:t>
      </w:r>
    </w:p>
    <w:p>
      <w:pPr>
        <w:spacing w:after="0" w:line="148" w:lineRule="exact"/>
        <w:rPr>
          <w:rFonts w:ascii="Arial" w:cs="Arial" w:eastAsia="Arial" w:hAnsi="Arial"/>
          <w:sz w:val="15"/>
          <w:szCs w:val="15"/>
          <w:color w:val="auto"/>
        </w:rPr>
      </w:pPr>
    </w:p>
    <w:p>
      <w:pPr>
        <w:ind w:left="460" w:hanging="193"/>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limiting our flexibility in planning for, or reacting to, changes in our business and the competitive environment; and</w:t>
      </w:r>
    </w:p>
    <w:p>
      <w:pPr>
        <w:spacing w:after="0" w:line="148" w:lineRule="exact"/>
        <w:rPr>
          <w:rFonts w:ascii="Arial" w:cs="Arial" w:eastAsia="Arial" w:hAnsi="Arial"/>
          <w:sz w:val="15"/>
          <w:szCs w:val="15"/>
          <w:color w:val="auto"/>
        </w:rPr>
      </w:pPr>
    </w:p>
    <w:p>
      <w:pPr>
        <w:ind w:left="460" w:hanging="193"/>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limiting our ability to borrow additional funds and increasing the cost of any such borrowing.</w:t>
      </w:r>
    </w:p>
    <w:p>
      <w:pPr>
        <w:spacing w:after="0" w:line="149" w:lineRule="exact"/>
        <w:rPr>
          <w:sz w:val="20"/>
          <w:szCs w:val="20"/>
          <w:color w:val="auto"/>
        </w:rPr>
      </w:pPr>
    </w:p>
    <w:p>
      <w:pPr>
        <w:jc w:val="both"/>
        <w:ind w:firstLine="275"/>
        <w:spacing w:after="0" w:line="261" w:lineRule="auto"/>
        <w:rPr>
          <w:sz w:val="20"/>
          <w:szCs w:val="20"/>
          <w:color w:val="auto"/>
        </w:rPr>
      </w:pPr>
      <w:r>
        <w:rPr>
          <w:rFonts w:ascii="Arial" w:cs="Arial" w:eastAsia="Arial" w:hAnsi="Arial"/>
          <w:sz w:val="15"/>
          <w:szCs w:val="15"/>
          <w:color w:val="auto"/>
        </w:rPr>
        <w:t>At the election of the Company, the interest on the term loan facility and revolving credit facility under our Amended and Restated Credit Agreement (the “A&amp;R Credit Agreement”) is determined by reference to either LIBOR (subject to replacement) or a “base rate”, in each case plus an applicable margin ranging between 2.50% and 3.00% for LIBOR rate loans and 1.50% to 2.00% for base rate loans based upon the Company’s consolidated leverage ratio, as calculated pursuant to the terms of the A&amp;R Credit Agreement, which rates are subject to fluctuation. If interest rates increase, our debt service obligations on such variable rate indebtedness would increase even though the amount borrowed remained the same. Accordingly, an increase in interest rates would adversely affect our profitability. See the section entitled “Management’s Discussion and Analysis of Financial Condition and Results of Operations of Intermex—Liquidity and Capital Resources” for more information.</w:t>
      </w:r>
    </w:p>
    <w:p>
      <w:pPr>
        <w:spacing w:after="0" w:line="182" w:lineRule="exact"/>
        <w:rPr>
          <w:sz w:val="20"/>
          <w:szCs w:val="20"/>
          <w:color w:val="auto"/>
        </w:rPr>
      </w:pPr>
    </w:p>
    <w:p>
      <w:pPr>
        <w:jc w:val="both"/>
        <w:ind w:firstLine="275"/>
        <w:spacing w:after="0" w:line="270" w:lineRule="auto"/>
        <w:rPr>
          <w:sz w:val="20"/>
          <w:szCs w:val="20"/>
          <w:color w:val="auto"/>
        </w:rPr>
      </w:pPr>
      <w:r>
        <w:rPr>
          <w:rFonts w:ascii="Arial" w:cs="Arial" w:eastAsia="Arial" w:hAnsi="Arial"/>
          <w:sz w:val="15"/>
          <w:szCs w:val="15"/>
          <w:color w:val="auto"/>
        </w:rPr>
        <w:t>We also are subject to capital requirements imposed by various regulatory bodies in the jurisdictions in which we operate. We may need access to external capital to support these regulatory requirements in order to maintain our licenses and our ability to earn revenue in these jurisdictions. An interruption of our access to capital could impair our ability to conduct business if our regulatory capital falls below requirements.</w:t>
      </w:r>
    </w:p>
    <w:p>
      <w:pPr>
        <w:spacing w:after="0" w:line="152" w:lineRule="exact"/>
        <w:rPr>
          <w:sz w:val="20"/>
          <w:szCs w:val="20"/>
          <w:color w:val="auto"/>
        </w:rPr>
      </w:pPr>
    </w:p>
    <w:p>
      <w:pPr>
        <w:jc w:val="both"/>
        <w:ind w:firstLine="275"/>
        <w:spacing w:after="0" w:line="261" w:lineRule="auto"/>
        <w:rPr>
          <w:sz w:val="20"/>
          <w:szCs w:val="20"/>
          <w:color w:val="auto"/>
        </w:rPr>
      </w:pPr>
      <w:r>
        <w:rPr>
          <w:rFonts w:ascii="Arial" w:cs="Arial" w:eastAsia="Arial" w:hAnsi="Arial"/>
          <w:sz w:val="15"/>
          <w:szCs w:val="15"/>
          <w:color w:val="auto"/>
        </w:rPr>
        <w:t>In July 2017, the Financial Conduct Authority in the United Kingdom, which regulates the London Inter-bank Offered Rate (“LIBOR”), publicly announced that it will no longer compel or persuade banks to make LIBOR submissions after 2021. Recently, the date for certain LIBOR tenors has been extended to June 2023. These announcements are expected to practically end LIBOR rates beginning in 2022. While other alternatives have been proposed, it is unclear which, if any, alternative to LIBOR will be available and widely accepted in major financial markets. We currently have borrowings that are subject to LIBOR-based interest rates, including borrowings under our credit facility. Any alternative to replace LIBOR beginning in 2022 may increase the costs associated with our credit facility. The A&amp;R Credit Agreement contains provisions for the replacement of the benchmark for interest rates in light of the cessation of the publication of LIBOR rates.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2" w:name="page23"/>
    <w:bookmarkEnd w:id="22"/>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Credit Agreement contains covenants that may impair our ability to conduct business.</w:t>
      </w:r>
    </w:p>
    <w:p>
      <w:pPr>
        <w:spacing w:after="0" w:line="195" w:lineRule="exact"/>
        <w:rPr>
          <w:sz w:val="20"/>
          <w:szCs w:val="20"/>
          <w:color w:val="auto"/>
        </w:rPr>
      </w:pPr>
    </w:p>
    <w:p>
      <w:pPr>
        <w:jc w:val="both"/>
        <w:ind w:firstLine="275"/>
        <w:spacing w:after="0" w:line="260" w:lineRule="auto"/>
        <w:rPr>
          <w:sz w:val="20"/>
          <w:szCs w:val="20"/>
          <w:color w:val="auto"/>
        </w:rPr>
      </w:pPr>
      <w:r>
        <w:rPr>
          <w:rFonts w:ascii="Arial" w:cs="Arial" w:eastAsia="Arial" w:hAnsi="Arial"/>
          <w:sz w:val="15"/>
          <w:szCs w:val="15"/>
          <w:color w:val="auto"/>
        </w:rPr>
        <w:t>The Credit Agreement contains operating covenants and financial covenants that may in each case limit management’s discretion with respect to certain business matters. Among other things, these covenants restrict our and our subsidiaries’ ability to grant additional liens, pay dividends or make cash distributions above certain limits. We are required to comply with a minimum fixed charge coverage ratio and a maximum consolidated leverage ratio. As a result of these covenants, we may be limited in how we conduct our business. Failure to comply with such covenants may lead to default and acceleration under our Credit Agreement and may impair our ability to conduct business. We may not be able to maintain compliance with these covenants in the future and, if we fail to do so, that we will be able to obtain waivers from the lenders and/or amend the covenants, which may result in foreclosure of our assets. See the section entitled “Management’s Discussion and Analysis of Financial Condition and Results of Operations of Intermex—Liquidity and Capital Resources” for more information.</w:t>
      </w:r>
    </w:p>
    <w:p>
      <w:pPr>
        <w:spacing w:after="0" w:line="160"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Under our Credit Agreement, upon the occurrence of an event of default, the lenders will be able to elect to declare all amounts outstanding under the Credit Agreement to be immediately due and payable and terminate all commitments to lend additional funds. If we are unable to repay those amounts, the lenders under the Credit Agreement could proceed to foreclose against our collateral that secures that indebtedness. We have granted the lenders a security interest in substantially all of our assets, including the assets of certain subsidiaries.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Relating to Our Securities</w:t>
      </w:r>
    </w:p>
    <w:p>
      <w:pPr>
        <w:spacing w:after="0" w:line="199" w:lineRule="exact"/>
        <w:rPr>
          <w:sz w:val="20"/>
          <w:szCs w:val="20"/>
          <w:color w:val="auto"/>
        </w:rPr>
      </w:pPr>
    </w:p>
    <w:p>
      <w:pPr>
        <w:ind w:right="280"/>
        <w:spacing w:after="0" w:line="285" w:lineRule="auto"/>
        <w:rPr>
          <w:sz w:val="20"/>
          <w:szCs w:val="20"/>
          <w:color w:val="auto"/>
        </w:rPr>
      </w:pPr>
      <w:r>
        <w:rPr>
          <w:rFonts w:ascii="Arial" w:cs="Arial" w:eastAsia="Arial" w:hAnsi="Arial"/>
          <w:sz w:val="15"/>
          <w:szCs w:val="15"/>
          <w:b w:val="1"/>
          <w:bCs w:val="1"/>
          <w:i w:val="1"/>
          <w:iCs w:val="1"/>
          <w:color w:val="auto"/>
        </w:rPr>
        <w:t>As an “emerging growth company,” we cannot be certain if the reduced disclosure requirements applicable to “emerging growth companies” will make our common stock less attractive to investors.</w:t>
      </w:r>
    </w:p>
    <w:p>
      <w:pPr>
        <w:spacing w:after="0" w:line="141" w:lineRule="exact"/>
        <w:rPr>
          <w:sz w:val="20"/>
          <w:szCs w:val="20"/>
          <w:color w:val="auto"/>
        </w:rPr>
      </w:pPr>
    </w:p>
    <w:p>
      <w:pPr>
        <w:jc w:val="both"/>
        <w:ind w:right="20" w:firstLine="275"/>
        <w:spacing w:after="0" w:line="283" w:lineRule="auto"/>
        <w:rPr>
          <w:sz w:val="20"/>
          <w:szCs w:val="20"/>
          <w:color w:val="auto"/>
        </w:rPr>
      </w:pPr>
      <w:r>
        <w:rPr>
          <w:rFonts w:ascii="Arial" w:cs="Arial" w:eastAsia="Arial" w:hAnsi="Arial"/>
          <w:sz w:val="14"/>
          <w:szCs w:val="14"/>
          <w:color w:val="auto"/>
        </w:rPr>
        <w:t>As an “emerging growth company” as defined in the Jumpstart Our Business Startups Act of 2012 (the “JOBS Act”), we take advantage of certain exemptions from various reporting requirements that are applicable to other public companies that are not “emerging growth companies”, including not being required to obtain an assessment of the effectiveness of our internal controls over financial reporting from our independent registered public accounting firm pursuant to Section 404 of the Sarbanes-Oxley Act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emerging growth company can take advantage of an extended transition period for complying with new or revised accounting standards, which we have elected to do.</w:t>
      </w:r>
    </w:p>
    <w:p>
      <w:pPr>
        <w:spacing w:after="0" w:line="146"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We will remain an “emerging growth company” until the earlier of (1) the earliest of the last day of the fiscal year (a) following January 19, 2022, the fifth anniversary of us becoming a publicly-traded company, (b) in which we have total annual gross revenue of at least $1.07 billion or (c) in which we are deemed to be a large accelerated filer, which means the market value of our common stock that is held by non-affiliates exceeds $700.0 million as of the last business day of our prior second fiscal quarter, and (2) the date on which we have issued more than $1.0 billion in non-convertible debt during the prior three-year period.</w:t>
      </w:r>
    </w:p>
    <w:p>
      <w:pPr>
        <w:spacing w:after="0" w:line="15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We cannot predict if investors will find our common stock less attractive because we rely on these exemptions.</w:t>
      </w:r>
    </w:p>
    <w:p>
      <w:pPr>
        <w:spacing w:after="0" w:line="195" w:lineRule="exact"/>
        <w:rPr>
          <w:sz w:val="20"/>
          <w:szCs w:val="20"/>
          <w:color w:val="auto"/>
        </w:rPr>
      </w:pPr>
    </w:p>
    <w:p>
      <w:pPr>
        <w:ind w:right="460"/>
        <w:spacing w:after="0" w:line="285" w:lineRule="auto"/>
        <w:rPr>
          <w:sz w:val="20"/>
          <w:szCs w:val="20"/>
          <w:color w:val="auto"/>
        </w:rPr>
      </w:pPr>
      <w:r>
        <w:rPr>
          <w:rFonts w:ascii="Arial" w:cs="Arial" w:eastAsia="Arial" w:hAnsi="Arial"/>
          <w:sz w:val="15"/>
          <w:szCs w:val="15"/>
          <w:b w:val="1"/>
          <w:bCs w:val="1"/>
          <w:i w:val="1"/>
          <w:iCs w:val="1"/>
          <w:color w:val="auto"/>
        </w:rPr>
        <w:t>Because we have no current plans to pay cash dividends on our common stock for the foreseeable future, you may not receive any return on investment unless you sell your common stock for a price greater than that which you paid for it.</w:t>
      </w:r>
    </w:p>
    <w:p>
      <w:pPr>
        <w:spacing w:after="0" w:line="141" w:lineRule="exact"/>
        <w:rPr>
          <w:sz w:val="20"/>
          <w:szCs w:val="20"/>
          <w:color w:val="auto"/>
        </w:rPr>
      </w:pPr>
    </w:p>
    <w:p>
      <w:pPr>
        <w:jc w:val="both"/>
        <w:ind w:firstLine="275"/>
        <w:spacing w:after="0" w:line="283" w:lineRule="auto"/>
        <w:rPr>
          <w:sz w:val="20"/>
          <w:szCs w:val="20"/>
          <w:color w:val="auto"/>
        </w:rPr>
      </w:pPr>
      <w:r>
        <w:rPr>
          <w:rFonts w:ascii="Arial" w:cs="Arial" w:eastAsia="Arial" w:hAnsi="Arial"/>
          <w:sz w:val="14"/>
          <w:szCs w:val="14"/>
          <w:color w:val="auto"/>
        </w:rPr>
        <w:t>We have no current plans to pay any cash dividends for the foreseeable future. The declaration, amount, and payment of any future dividends on shares of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is limited by covenants of our existing and outstanding indebtedness and may be limited by covenants of any future indebtedness we or our subsidiaries incur. As a result, you may not receive any return on an investment in our common stock unless you sell our common stock for a price greater than that which you paid for it.</w:t>
      </w:r>
    </w:p>
    <w:p>
      <w:pPr>
        <w:spacing w:after="0" w:line="146" w:lineRule="exact"/>
        <w:rPr>
          <w:sz w:val="20"/>
          <w:szCs w:val="20"/>
          <w:color w:val="auto"/>
        </w:rPr>
      </w:pPr>
    </w:p>
    <w:p>
      <w:pPr>
        <w:ind w:right="320"/>
        <w:spacing w:after="0" w:line="285" w:lineRule="auto"/>
        <w:rPr>
          <w:sz w:val="20"/>
          <w:szCs w:val="20"/>
          <w:color w:val="auto"/>
        </w:rPr>
      </w:pPr>
      <w:r>
        <w:rPr>
          <w:rFonts w:ascii="Arial" w:cs="Arial" w:eastAsia="Arial" w:hAnsi="Arial"/>
          <w:sz w:val="15"/>
          <w:szCs w:val="15"/>
          <w:b w:val="1"/>
          <w:bCs w:val="1"/>
          <w:i w:val="1"/>
          <w:iCs w:val="1"/>
          <w:color w:val="auto"/>
        </w:rPr>
        <w:t>Our ability to meet expectations and projections in any research or reports published by securities or industry analysts, or a lack of coverage by securities or industry analysts, could result in a depressed market price and limited liquidity for our common stock.</w:t>
      </w:r>
    </w:p>
    <w:p>
      <w:pPr>
        <w:spacing w:after="0" w:line="141" w:lineRule="exact"/>
        <w:rPr>
          <w:sz w:val="20"/>
          <w:szCs w:val="20"/>
          <w:color w:val="auto"/>
        </w:rPr>
      </w:pPr>
    </w:p>
    <w:p>
      <w:pPr>
        <w:jc w:val="both"/>
        <w:ind w:firstLine="275"/>
        <w:spacing w:after="0" w:line="262" w:lineRule="auto"/>
        <w:rPr>
          <w:sz w:val="20"/>
          <w:szCs w:val="20"/>
          <w:color w:val="auto"/>
        </w:rPr>
      </w:pPr>
      <w:r>
        <w:rPr>
          <w:rFonts w:ascii="Arial" w:cs="Arial" w:eastAsia="Arial" w:hAnsi="Arial"/>
          <w:sz w:val="15"/>
          <w:szCs w:val="15"/>
          <w:color w:val="auto"/>
        </w:rPr>
        <w:t>The trading market for our common stock will be influenced by the research and reports that industry or securities analysts may publish about us, our business, our market, or our competitors. If no or few securities or industry analysts cover the Company, our stock price would likely be less than that which we would obtain if we had such coverage and the liquidity, or trading volume of our common stock may be limited, making it more difficult for a stockholder to sell shares at an acceptable price or amount. If any analysts do cover the Company, their projections may vary widely and may not accurately predict the results we actually achieve. Our share price may decline if our actual results do not match the projections of research analysts covering us. Similarly, if one or more of the analysts who write reports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3" w:name="page24"/>
    <w:bookmarkEnd w:id="23"/>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4"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spacing w:after="0" w:line="141" w:lineRule="exact"/>
        <w:rPr>
          <w:sz w:val="20"/>
          <w:szCs w:val="20"/>
          <w:color w:val="auto"/>
        </w:rPr>
      </w:pPr>
    </w:p>
    <w:p>
      <w:pPr>
        <w:ind w:right="360"/>
        <w:spacing w:after="0" w:line="285" w:lineRule="auto"/>
        <w:rPr>
          <w:sz w:val="20"/>
          <w:szCs w:val="20"/>
          <w:color w:val="auto"/>
        </w:rPr>
      </w:pPr>
      <w:r>
        <w:rPr>
          <w:rFonts w:ascii="Arial" w:cs="Arial" w:eastAsia="Arial" w:hAnsi="Arial"/>
          <w:sz w:val="15"/>
          <w:szCs w:val="15"/>
          <w:b w:val="1"/>
          <w:bCs w:val="1"/>
          <w:i w:val="1"/>
          <w:iCs w:val="1"/>
          <w:color w:val="auto"/>
        </w:rPr>
        <w:t>Provisions in our charter and Delaware law may inhibit a takeover of us, which could limit the price investors might be willing to pay in the future for our common stock and could entrench management.</w:t>
      </w:r>
    </w:p>
    <w:p>
      <w:pPr>
        <w:spacing w:after="0" w:line="141" w:lineRule="exact"/>
        <w:rPr>
          <w:sz w:val="20"/>
          <w:szCs w:val="20"/>
          <w:color w:val="auto"/>
        </w:rPr>
      </w:pPr>
    </w:p>
    <w:p>
      <w:pPr>
        <w:jc w:val="both"/>
        <w:ind w:firstLine="275"/>
        <w:spacing w:after="0" w:line="270" w:lineRule="auto"/>
        <w:rPr>
          <w:sz w:val="20"/>
          <w:szCs w:val="20"/>
          <w:color w:val="auto"/>
        </w:rPr>
      </w:pPr>
      <w:r>
        <w:rPr>
          <w:rFonts w:ascii="Arial" w:cs="Arial" w:eastAsia="Arial" w:hAnsi="Arial"/>
          <w:sz w:val="15"/>
          <w:szCs w:val="15"/>
          <w:color w:val="auto"/>
        </w:rPr>
        <w:t>Our charter contains provisions that opt out of Section 203 of the Delaware General Corporation Law (the “DGCL”). These provisions include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w:t>
      </w:r>
    </w:p>
    <w:p>
      <w:pPr>
        <w:spacing w:after="0" w:line="152" w:lineRule="exact"/>
        <w:rPr>
          <w:sz w:val="20"/>
          <w:szCs w:val="20"/>
          <w:color w:val="auto"/>
        </w:rPr>
      </w:pPr>
    </w:p>
    <w:p>
      <w:pPr>
        <w:jc w:val="both"/>
        <w:ind w:right="20" w:firstLine="275"/>
        <w:spacing w:after="0" w:line="285" w:lineRule="auto"/>
        <w:rPr>
          <w:sz w:val="20"/>
          <w:szCs w:val="20"/>
          <w:color w:val="auto"/>
        </w:rPr>
      </w:pPr>
      <w:r>
        <w:rPr>
          <w:rFonts w:ascii="Arial" w:cs="Arial" w:eastAsia="Arial" w:hAnsi="Arial"/>
          <w:sz w:val="15"/>
          <w:szCs w:val="15"/>
          <w:color w:val="auto"/>
        </w:rPr>
        <w:t>In addition, while we have opted out of Section 203 of the DGCL, our charter contains similar provisions providing that we may not engage in certain “business combinations” with any “interested stockholder” for a three-year period following the time that the stockholder became an interested stockholder, unless:</w:t>
      </w:r>
    </w:p>
    <w:p>
      <w:pPr>
        <w:spacing w:after="0" w:line="141" w:lineRule="exact"/>
        <w:rPr>
          <w:sz w:val="20"/>
          <w:szCs w:val="20"/>
          <w:color w:val="auto"/>
        </w:rPr>
      </w:pPr>
    </w:p>
    <w:p>
      <w:pPr>
        <w:ind w:left="460" w:hanging="193"/>
        <w:spacing w:after="0"/>
        <w:tabs>
          <w:tab w:leader="none" w:pos="4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prior to such time, our board of directors approved either the business combination or the transaction that resulted in the stockholder becoming an interested stockholder;</w:t>
      </w:r>
    </w:p>
    <w:p>
      <w:pPr>
        <w:spacing w:after="0" w:line="160" w:lineRule="exact"/>
        <w:rPr>
          <w:rFonts w:ascii="Arial" w:cs="Arial" w:eastAsia="Arial" w:hAnsi="Arial"/>
          <w:sz w:val="14"/>
          <w:szCs w:val="14"/>
          <w:color w:val="auto"/>
        </w:rPr>
      </w:pPr>
    </w:p>
    <w:p>
      <w:pPr>
        <w:ind w:left="480" w:hanging="213"/>
        <w:spacing w:after="0" w:line="285" w:lineRule="auto"/>
        <w:tabs>
          <w:tab w:leader="none" w:pos="476" w:val="left"/>
        </w:tabs>
        <w:numPr>
          <w:ilvl w:val="0"/>
          <w:numId w:val="14"/>
        </w:numPr>
        <w:rPr>
          <w:rFonts w:ascii="Arial" w:cs="Arial" w:eastAsia="Arial" w:hAnsi="Arial"/>
          <w:sz w:val="15"/>
          <w:szCs w:val="15"/>
          <w:color w:val="auto"/>
        </w:rPr>
      </w:pPr>
      <w:r>
        <w:rPr>
          <w:rFonts w:ascii="Arial" w:cs="Arial" w:eastAsia="Arial" w:hAnsi="Arial"/>
          <w:sz w:val="15"/>
          <w:szCs w:val="15"/>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95" w:lineRule="exact"/>
        <w:rPr>
          <w:rFonts w:ascii="Arial" w:cs="Arial" w:eastAsia="Arial" w:hAnsi="Arial"/>
          <w:sz w:val="15"/>
          <w:szCs w:val="15"/>
          <w:color w:val="auto"/>
        </w:rPr>
      </w:pPr>
    </w:p>
    <w:p>
      <w:pPr>
        <w:ind w:left="480" w:right="20" w:hanging="213"/>
        <w:spacing w:after="0" w:line="285" w:lineRule="auto"/>
        <w:tabs>
          <w:tab w:leader="none" w:pos="476" w:val="left"/>
        </w:tabs>
        <w:numPr>
          <w:ilvl w:val="0"/>
          <w:numId w:val="14"/>
        </w:numPr>
        <w:rPr>
          <w:rFonts w:ascii="Arial" w:cs="Arial" w:eastAsia="Arial" w:hAnsi="Arial"/>
          <w:sz w:val="15"/>
          <w:szCs w:val="15"/>
          <w:color w:val="auto"/>
        </w:rPr>
      </w:pPr>
      <w:r>
        <w:rPr>
          <w:rFonts w:ascii="Arial" w:cs="Arial" w:eastAsia="Arial" w:hAnsi="Arial"/>
          <w:sz w:val="15"/>
          <w:szCs w:val="15"/>
          <w:color w:val="auto"/>
        </w:rPr>
        <w:t>at or subsequent to that time, the business combination is approved by our board of directors and by the affirmative vote of holders of at least two-thirds of our outstanding voting stock that is not owned by the interested stockholder.</w:t>
      </w:r>
    </w:p>
    <w:p>
      <w:pPr>
        <w:spacing w:after="0" w:line="95"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5"/>
          <w:szCs w:val="15"/>
          <w:color w:val="auto"/>
        </w:rPr>
        <w:t>These anti-takeover defenses could discourage, delay or prevent a transaction involving a change in control of us. These provisions could also discourage proxy contests and make it more difficult for you and other stockholders to elect directors of your choosing and cause us to take corporate actions other than those you desire.</w:t>
      </w:r>
    </w:p>
    <w:p>
      <w:pPr>
        <w:spacing w:after="0" w:line="141" w:lineRule="exact"/>
        <w:rPr>
          <w:sz w:val="20"/>
          <w:szCs w:val="20"/>
          <w:color w:val="auto"/>
        </w:rPr>
      </w:pPr>
    </w:p>
    <w:p>
      <w:pPr>
        <w:jc w:val="both"/>
        <w:ind w:right="20"/>
        <w:spacing w:after="0" w:line="285" w:lineRule="auto"/>
        <w:rPr>
          <w:sz w:val="20"/>
          <w:szCs w:val="20"/>
          <w:color w:val="auto"/>
        </w:rPr>
      </w:pPr>
      <w:r>
        <w:rPr>
          <w:rFonts w:ascii="Arial" w:cs="Arial" w:eastAsia="Arial" w:hAnsi="Arial"/>
          <w:sz w:val="15"/>
          <w:szCs w:val="15"/>
          <w:b w:val="1"/>
          <w:bCs w:val="1"/>
          <w:i w:val="1"/>
          <w:iCs w:val="1"/>
          <w:color w:val="auto"/>
        </w:rPr>
        <w:t>Our charter designates the Court of Chancery of the State of Delaware as the exclusive forum for certain litigation that may be initiated by our stockholders, which could limit our stockholders’ ability to obtain a favorable judicial forum for disputes with us.</w:t>
      </w:r>
    </w:p>
    <w:p>
      <w:pPr>
        <w:spacing w:after="0" w:line="141" w:lineRule="exact"/>
        <w:rPr>
          <w:sz w:val="20"/>
          <w:szCs w:val="20"/>
          <w:color w:val="auto"/>
        </w:rPr>
      </w:pPr>
    </w:p>
    <w:p>
      <w:pPr>
        <w:jc w:val="both"/>
        <w:ind w:right="20" w:firstLine="275"/>
        <w:spacing w:after="0" w:line="283" w:lineRule="auto"/>
        <w:rPr>
          <w:sz w:val="20"/>
          <w:szCs w:val="20"/>
          <w:color w:val="auto"/>
        </w:rPr>
      </w:pPr>
      <w:r>
        <w:rPr>
          <w:rFonts w:ascii="Arial" w:cs="Arial" w:eastAsia="Arial" w:hAnsi="Arial"/>
          <w:sz w:val="14"/>
          <w:szCs w:val="14"/>
          <w:color w:val="auto"/>
        </w:rPr>
        <w:t>Our charter provides that the Court of Chancery of the State of Delaware will be the sole and exclusive forum for (i) any derivative action or proceeding brought on our behalf, (ii) any action asserting a claim of breach of a fiduciary duty owed to us or our stockholders by any of our directors, officers, employees or agents, (iii) any action asserting a claim against us arising under the DGCL or (iv) any action asserting a claim against us that is governed by the internal affairs doctrine. The exclusive forum provision of our bylaws does not establish exclusive jurisdiction in the Court of Chancery of the State of Delaware for claims that arise under the Securities Act, the Exchange Act or other federal securities laws if there is exclusive or concurrent jurisdiction in the federal courts. By becoming our stockholder, you will be deemed to have notice of and have consented to the provisions of our charter related to choice of forum. The choice of forum provision in our charter may limit our stockholders’ ability to obtain a favorable judicial forum for disputes with us.</w:t>
      </w:r>
    </w:p>
    <w:p>
      <w:pPr>
        <w:spacing w:after="0" w:line="146"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b w:val="1"/>
          <w:bCs w:val="1"/>
          <w:i w:val="1"/>
          <w:iCs w:val="1"/>
          <w:color w:val="auto"/>
        </w:rPr>
        <w:t>SPC Intermex LP (“SPC Intermex”), an affiliate of Stella Point Capital (“Stella Point”), has controlled a significant percentage of our common stock, and has had the ability to influence our major corporate decisions. Although SPC Intermex owns significantly fewer shares of our common stock after the Company’s secondary offering in 2020, it remains a significant stockholder the interests of which may conflict with the interests of other holders of our common stock.</w:t>
      </w:r>
    </w:p>
    <w:p>
      <w:pPr>
        <w:spacing w:after="0" w:line="152" w:lineRule="exact"/>
        <w:rPr>
          <w:sz w:val="20"/>
          <w:szCs w:val="20"/>
          <w:color w:val="auto"/>
        </w:rPr>
      </w:pPr>
    </w:p>
    <w:p>
      <w:pPr>
        <w:jc w:val="both"/>
        <w:ind w:firstLine="275"/>
        <w:spacing w:after="0" w:line="278" w:lineRule="auto"/>
        <w:rPr>
          <w:sz w:val="20"/>
          <w:szCs w:val="20"/>
          <w:color w:val="auto"/>
        </w:rPr>
      </w:pPr>
      <w:r>
        <w:rPr>
          <w:rFonts w:ascii="Arial" w:cs="Arial" w:eastAsia="Arial" w:hAnsi="Arial"/>
          <w:sz w:val="14"/>
          <w:szCs w:val="14"/>
          <w:color w:val="auto"/>
        </w:rPr>
        <w:t>SPC Intermex, an affiliate of Stella Point, beneficially owns and has voting power over approximately 8.4% of our outstanding common stock as of December 31, 2021. Pursuant to the Shareholders Agreement, dated July 26, 2018, as amended on December 12, 2018 (as amended, the “Shareholders Agreement”), entered into with the Company and certain of the Company’s stockholders, SPC Intermex Representative LLC (“SPC Representative”) has the right to designate eight of our directors for so long as certain former equity owners of Intermex Holdings II, Inc. party thereto (the “Intermex Legacy Stockholders”) hold, in the aggregate, at least 10% of our outstanding shares of common stock. Following such times as the collective ownership of the Intermex Legacy Stockholders is less than 10% of the outstanding shares of our common stock, SPC Representative will be entitled to designate one person for election to our board of directors, which designation right will lapse at such time as the Intermex Legacy Stockholders’ collective ownership is less than 5% of the outstanding shares of our common stock. As of February 25, 2022, the Intermex Legacy Stockholders continued to own more than 10% of our outstanding shares of common stock. Accordingly, SPC Intermex continues to be able to exert a significant degree of influence over the Company’s management and affairs and over matters requiring stockholder approval, including the election of directors and the approval of business combinations or dispositions and other extraordinary transactions. SPC Intermex also may have interests that differ from the interests of other holders of our common stock and may vote in a way with which you disagree and which may be adverse to your interests. The concentration of ownership may have the effect of delaying, preventing or deterring a change of control of the Company and may materially and adversely affect the market price of our common stock. In addition, Stella Point may in the future own businesses that directly compete with the business of the Company.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4" w:name="page25"/>
    <w:bookmarkEnd w:id="24"/>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Certain of our directors have relationships with Stella Point, which may cause conflicts of interest with respect to our business.</w:t>
      </w:r>
    </w:p>
    <w:p>
      <w:pPr>
        <w:spacing w:after="0" w:line="195" w:lineRule="exact"/>
        <w:rPr>
          <w:sz w:val="20"/>
          <w:szCs w:val="20"/>
          <w:color w:val="auto"/>
        </w:rPr>
      </w:pPr>
    </w:p>
    <w:p>
      <w:pPr>
        <w:jc w:val="both"/>
        <w:ind w:right="20" w:firstLine="275"/>
        <w:spacing w:after="0" w:line="270" w:lineRule="auto"/>
        <w:rPr>
          <w:sz w:val="20"/>
          <w:szCs w:val="20"/>
          <w:color w:val="auto"/>
        </w:rPr>
      </w:pPr>
      <w:r>
        <w:rPr>
          <w:rFonts w:ascii="Arial" w:cs="Arial" w:eastAsia="Arial" w:hAnsi="Arial"/>
          <w:sz w:val="15"/>
          <w:szCs w:val="15"/>
          <w:color w:val="auto"/>
        </w:rPr>
        <w:t>As of the filing date of this Annual Report on Form 10-K, two of our eight directors are affiliated with Stella Point. Stella Point affiliated directors have fiduciary duties to us and, in addition, have duties to their respective funds. As a result, these directors may face real or apparent conflicts of interest with respect to matters affecting both us and their funds, whose interests may be adverse to ours in some circumstances.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subject to securities litigation, which is expensive and could divert management’s attention.</w:t>
      </w:r>
    </w:p>
    <w:p>
      <w:pPr>
        <w:spacing w:after="0" w:line="195" w:lineRule="exact"/>
        <w:rPr>
          <w:sz w:val="20"/>
          <w:szCs w:val="20"/>
          <w:color w:val="auto"/>
        </w:rPr>
      </w:pPr>
    </w:p>
    <w:p>
      <w:pPr>
        <w:jc w:val="both"/>
        <w:ind w:firstLine="275"/>
        <w:spacing w:after="0" w:line="330" w:lineRule="auto"/>
        <w:rPr>
          <w:sz w:val="20"/>
          <w:szCs w:val="20"/>
          <w:color w:val="auto"/>
        </w:rPr>
      </w:pPr>
      <w:r>
        <w:rPr>
          <w:rFonts w:ascii="Arial" w:cs="Arial" w:eastAsia="Arial" w:hAnsi="Arial"/>
          <w:sz w:val="13"/>
          <w:szCs w:val="13"/>
          <w:color w:val="auto"/>
        </w:rPr>
        <w:t>Our share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and adverse effect on our business, financial condition and results of operations. Any adverse determination in litigation could also subject us to significant liabilities.</w:t>
      </w:r>
    </w:p>
    <w:p>
      <w:pPr>
        <w:spacing w:after="0" w:line="136"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1B.</w:t>
        <w:tab/>
        <w:t>UNRESOLVED STAFF COMMENTS</w:t>
      </w:r>
    </w:p>
    <w:p>
      <w:pPr>
        <w:spacing w:after="0" w:line="19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None.</w:t>
      </w:r>
    </w:p>
    <w:p>
      <w:pPr>
        <w:spacing w:after="0" w:line="214"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b w:val="1"/>
          <w:bCs w:val="1"/>
          <w:color w:val="auto"/>
        </w:rPr>
        <w:t>ITEM 2.</w:t>
        <w:tab/>
        <w:t>PROPERTIES</w:t>
      </w:r>
    </w:p>
    <w:p>
      <w:pPr>
        <w:spacing w:after="0" w:line="199"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Our leased corporate offices are located at 9480 South Dixie Highway, Miami, Florida 33156. In addition, we lease three other facilities in Miami, Florida. As of December 31, 2021, we lease 36 Company-operated stores all located in the United States. We have two international customer service centers located in Guatemala City, Guatemala and Puebla, Mexico where our employees answer operational questions from agents and customers. Our leased facilities are used for operational, sales and administrative purposes in support of our business, and are all currently being utilized as intended.</w:t>
      </w:r>
    </w:p>
    <w:p>
      <w:pPr>
        <w:spacing w:after="0" w:line="179"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5"/>
          <w:szCs w:val="15"/>
          <w:color w:val="auto"/>
        </w:rPr>
        <w:t>We believe that our properties are sufficient to meet our current and projected business needs. We periodically review our facility requirements and may acquire new facilities, or modify, update, consolidate, dispose of or sublet existing facilities, based on evolving business needs.</w:t>
      </w:r>
    </w:p>
    <w:p>
      <w:pPr>
        <w:spacing w:after="0" w:line="160"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b w:val="1"/>
          <w:bCs w:val="1"/>
          <w:color w:val="auto"/>
        </w:rPr>
        <w:t>ITEM 3.</w:t>
        <w:tab/>
        <w:t>LEGAL PROCEEDINGS</w:t>
      </w:r>
    </w:p>
    <w:p>
      <w:pPr>
        <w:spacing w:after="0" w:line="199" w:lineRule="exact"/>
        <w:rPr>
          <w:sz w:val="20"/>
          <w:szCs w:val="20"/>
          <w:color w:val="auto"/>
        </w:rPr>
      </w:pPr>
    </w:p>
    <w:p>
      <w:pPr>
        <w:jc w:val="both"/>
        <w:ind w:firstLine="275"/>
        <w:spacing w:after="0" w:line="298" w:lineRule="auto"/>
        <w:rPr>
          <w:sz w:val="20"/>
          <w:szCs w:val="20"/>
          <w:color w:val="auto"/>
        </w:rPr>
      </w:pPr>
      <w:r>
        <w:rPr>
          <w:rFonts w:ascii="Arial" w:cs="Arial" w:eastAsia="Arial" w:hAnsi="Arial"/>
          <w:sz w:val="14"/>
          <w:szCs w:val="14"/>
          <w:color w:val="auto"/>
        </w:rPr>
        <w:t>From time to time, we are subject to various claims, charges and litigation matters that arise in the ordinary course of business. We believe these actions are a normal incident of the nature and kind of business in which we are engaged. While it is not feasible to predict the outcome of these matters with certainty, we do not believe that any asserted or unasserted legal claims or proceedings, individually or in the aggregate, will have a material and adverse effect on our business, financial condition and results of operations.</w:t>
      </w:r>
    </w:p>
    <w:p>
      <w:pPr>
        <w:spacing w:after="0" w:line="157" w:lineRule="exact"/>
        <w:rPr>
          <w:sz w:val="20"/>
          <w:szCs w:val="20"/>
          <w:color w:val="auto"/>
        </w:rPr>
      </w:pPr>
    </w:p>
    <w:p>
      <w:pPr>
        <w:jc w:val="both"/>
        <w:ind w:right="20" w:firstLine="275"/>
        <w:spacing w:after="0" w:line="323" w:lineRule="auto"/>
        <w:rPr>
          <w:sz w:val="20"/>
          <w:szCs w:val="20"/>
          <w:color w:val="auto"/>
        </w:rPr>
      </w:pPr>
      <w:r>
        <w:rPr>
          <w:rFonts w:ascii="Arial" w:cs="Arial" w:eastAsia="Arial" w:hAnsi="Arial"/>
          <w:sz w:val="14"/>
          <w:szCs w:val="14"/>
          <w:color w:val="auto"/>
        </w:rPr>
        <w:t>Reference is made to Note 16 – Commitments and Contingencies in the Consolidated Financial Statements of International Money Express, Inc. contained elsewhere in this Annual Report on Form 10–K for information regarding certain legal proceedings to which we are a party, which information is incorporated by reference herein.</w:t>
      </w:r>
    </w:p>
    <w:p>
      <w:pPr>
        <w:spacing w:after="0" w:line="136"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b w:val="1"/>
          <w:bCs w:val="1"/>
          <w:color w:val="auto"/>
        </w:rPr>
        <w:t>ITEM 4.</w:t>
        <w:tab/>
        <w:t>MINE SAFETY DISCLOSURES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Not Applicable.</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5" w:name="page26"/>
    <w:bookmarkEnd w:id="25"/>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PART II</w:t>
      </w:r>
    </w:p>
    <w:p>
      <w:pPr>
        <w:spacing w:after="0" w:line="195" w:lineRule="exact"/>
        <w:rPr>
          <w:sz w:val="20"/>
          <w:szCs w:val="20"/>
          <w:color w:val="auto"/>
        </w:rPr>
      </w:pPr>
    </w:p>
    <w:p>
      <w:pPr>
        <w:spacing w:after="0"/>
        <w:tabs>
          <w:tab w:leader="none" w:pos="720" w:val="left"/>
        </w:tabs>
        <w:rPr>
          <w:sz w:val="20"/>
          <w:szCs w:val="20"/>
          <w:color w:val="auto"/>
        </w:rPr>
      </w:pPr>
      <w:r>
        <w:rPr>
          <w:rFonts w:ascii="Arial" w:cs="Arial" w:eastAsia="Arial" w:hAnsi="Arial"/>
          <w:sz w:val="15"/>
          <w:szCs w:val="15"/>
          <w:b w:val="1"/>
          <w:bCs w:val="1"/>
          <w:color w:val="auto"/>
        </w:rPr>
        <w:t>ITEM 5.</w:t>
        <w:tab/>
        <w:t>MARKET FOR REGISTRANT’S COMMON EQUITY, RELATED STOCKHOLDER MATTERS AND ISSUER PURCHASES OF EQUITY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Market for the Company’s Common Stock</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Our common stock trades on the Nasdaq Capital Market under the symbol “IMXI”.</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 xml:space="preserve">As of </w:t>
      </w:r>
      <w:r>
        <w:rPr>
          <w:rFonts w:ascii="Arial" w:cs="Arial" w:eastAsia="Arial" w:hAnsi="Arial"/>
          <w:sz w:val="13"/>
          <w:szCs w:val="13"/>
          <w:color w:val="auto"/>
        </w:rPr>
        <w:t>February 25, 2022</w:t>
      </w:r>
      <w:r>
        <w:rPr>
          <w:rFonts w:ascii="Arial" w:cs="Arial" w:eastAsia="Arial" w:hAnsi="Arial"/>
          <w:sz w:val="15"/>
          <w:szCs w:val="15"/>
          <w:color w:val="auto"/>
        </w:rPr>
        <w:t>, there were 143 holders of record of our common stock.</w:t>
      </w:r>
    </w:p>
    <w:p>
      <w:pPr>
        <w:spacing w:after="0" w:line="218" w:lineRule="exact"/>
        <w:rPr>
          <w:sz w:val="20"/>
          <w:szCs w:val="20"/>
          <w:color w:val="auto"/>
        </w:rPr>
      </w:pPr>
    </w:p>
    <w:p>
      <w:pPr>
        <w:jc w:val="both"/>
        <w:ind w:right="100" w:firstLine="275"/>
        <w:spacing w:after="0" w:line="265" w:lineRule="auto"/>
        <w:rPr>
          <w:sz w:val="20"/>
          <w:szCs w:val="20"/>
          <w:color w:val="auto"/>
        </w:rPr>
      </w:pPr>
      <w:r>
        <w:rPr>
          <w:rFonts w:ascii="Arial" w:cs="Arial" w:eastAsia="Arial" w:hAnsi="Arial"/>
          <w:sz w:val="15"/>
          <w:szCs w:val="15"/>
          <w:color w:val="auto"/>
        </w:rPr>
        <w:t>We have not declared or paid, and do not anticipate declaring or paying in the foreseeable future, any cash dividends on our common stock. In addition, the terms of our credit facility include restrictions on our ability to pay dividends to our common stockholders. Any payment of future dividends will be at the discretion of the Company’s Board of Directors and will depend upon, among other factors, the Company’s earnings, financial condition, current and anticipated capital requirements, plans for expansion, level of indebtedness and contractual restrictions. The payment of future cash dividends, if any, would be made only from assets legally available.</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Compensation Plan Information</w:t>
      </w:r>
    </w:p>
    <w:p>
      <w:pPr>
        <w:spacing w:after="0" w:line="222" w:lineRule="exact"/>
        <w:rPr>
          <w:sz w:val="20"/>
          <w:szCs w:val="20"/>
          <w:color w:val="auto"/>
        </w:rPr>
      </w:pPr>
    </w:p>
    <w:p>
      <w:pPr>
        <w:jc w:val="both"/>
        <w:ind w:right="100" w:firstLine="275"/>
        <w:spacing w:after="0" w:line="285" w:lineRule="auto"/>
        <w:rPr>
          <w:sz w:val="20"/>
          <w:szCs w:val="20"/>
          <w:color w:val="auto"/>
        </w:rPr>
      </w:pPr>
      <w:r>
        <w:rPr>
          <w:rFonts w:ascii="Arial" w:cs="Arial" w:eastAsia="Arial" w:hAnsi="Arial"/>
          <w:sz w:val="15"/>
          <w:szCs w:val="15"/>
          <w:color w:val="auto"/>
        </w:rPr>
        <w:t>The information required by Item 5 with respect to securities authorized for issuance under equity compensation plans is incorporated herein by reference to Part III, Item 12 of this Form 10-K.</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Performance Graph</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Company’s peer group (“Peer Group”) consists of publicly-traded companies that are in the money remittance and payment industries and is comprised of the following:</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MoneyGram, Euronet, and Western Union.</w:t>
      </w:r>
    </w:p>
    <w:p>
      <w:pPr>
        <w:spacing w:after="0" w:line="207" w:lineRule="exact"/>
        <w:rPr>
          <w:sz w:val="20"/>
          <w:szCs w:val="20"/>
          <w:color w:val="auto"/>
        </w:rPr>
      </w:pPr>
    </w:p>
    <w:p>
      <w:pPr>
        <w:jc w:val="both"/>
        <w:ind w:right="80" w:firstLine="275"/>
        <w:spacing w:after="0" w:line="285" w:lineRule="auto"/>
        <w:rPr>
          <w:sz w:val="20"/>
          <w:szCs w:val="20"/>
          <w:color w:val="auto"/>
        </w:rPr>
      </w:pPr>
      <w:r>
        <w:rPr>
          <w:rFonts w:ascii="Arial" w:cs="Arial" w:eastAsia="Arial" w:hAnsi="Arial"/>
          <w:sz w:val="14"/>
          <w:szCs w:val="14"/>
          <w:color w:val="auto"/>
        </w:rPr>
        <w:t>The following graph shows a comparison of cumulative total shareholder return, calculated on a dividend-reinvested basis, for (1) the Company’s common stock, (2) the NASDAQ US Benchmark TR Index and (3) our Peer Group, for the period from July 27, 2018 (the first day our common stock was separately traded) through December 31, 2021. The graph assumes the value of the investment in our common stock and each index was $100 on July 27, 2018 and that all dividends were reinvested. The graph plots the value of the initial $100 investment at quarterly intervals for the fiscal years shown. We have not paid any cash dividends and, therefore, the cumulative total return calculation for us is based solely upon stock price appreciation and not upon reinvestment of cash dividends. Historic stock price performance is not necessarily indicative of future stock price performance.</w:t>
      </w:r>
    </w:p>
    <w:p>
      <w:pPr>
        <w:spacing w:after="0" w:line="168" w:lineRule="exact"/>
        <w:rPr>
          <w:sz w:val="20"/>
          <w:szCs w:val="20"/>
          <w:color w:val="auto"/>
        </w:rPr>
      </w:pPr>
    </w:p>
    <w:p>
      <w:pPr>
        <w:jc w:val="both"/>
        <w:ind w:right="100" w:firstLine="275"/>
        <w:spacing w:after="0" w:line="323" w:lineRule="auto"/>
        <w:rPr>
          <w:sz w:val="20"/>
          <w:szCs w:val="20"/>
          <w:color w:val="auto"/>
        </w:rPr>
      </w:pPr>
      <w:r>
        <w:rPr>
          <w:rFonts w:ascii="Arial" w:cs="Arial" w:eastAsia="Arial" w:hAnsi="Arial"/>
          <w:sz w:val="14"/>
          <w:szCs w:val="14"/>
          <w:color w:val="auto"/>
        </w:rPr>
        <w:t>The prior years’ graph included the CRSP NASDAQ Stock Market (US Companies) Index; the NASDAQ US Benchmark TR Index replaces the CRSP NASDAQ Stock Market (US Companies) Index in this analysis and going forward, as the CRSP Index data is no longer accessible. The CRSP index has been included with data through 2020.</w:t>
      </w:r>
    </w:p>
    <w:p>
      <w:pPr>
        <w:spacing w:after="0" w:line="343"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COMPARISON OF CUMULATIVE TOTAL RETURN</w:t>
      </w:r>
    </w:p>
    <w:p>
      <w:pPr>
        <w:spacing w:after="0" w:line="26"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AMONG INTERNATIONAL MONEY EXPRESS, INC.,</w:t>
      </w:r>
    </w:p>
    <w:p>
      <w:pPr>
        <w:spacing w:after="0" w:line="11"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NASDAQ INDEX AND PEER GROUP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1021715</wp:posOffset>
            </wp:positionH>
            <wp:positionV relativeFrom="paragraph">
              <wp:posOffset>137795</wp:posOffset>
            </wp:positionV>
            <wp:extent cx="5099050" cy="29133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099050" cy="291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following table is a summary of the monthly cumulative total return for the day our stock began trading on the Nasdaq through each of the dates shown below:</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820" w:type="dxa"/>
            <w:vAlign w:val="bottom"/>
            <w:tcBorders>
              <w:top w:val="single" w:sz="8" w:color="auto"/>
              <w:left w:val="single" w:sz="8" w:color="auto"/>
              <w:bottom w:val="single" w:sz="8" w:color="auto"/>
              <w:right w:val="single" w:sz="8" w:color="auto"/>
            </w:tcBorders>
          </w:tcPr>
          <w:p>
            <w:pPr>
              <w:spacing w:after="0"/>
              <w:rPr>
                <w:sz w:val="15"/>
                <w:szCs w:val="15"/>
                <w:color w:val="auto"/>
              </w:rPr>
            </w:pPr>
          </w:p>
        </w:tc>
        <w:tc>
          <w:tcPr>
            <w:tcW w:w="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7/27/2018</w:t>
            </w:r>
          </w:p>
        </w:tc>
        <w:tc>
          <w:tcPr>
            <w:tcW w:w="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9/30/2018</w:t>
            </w:r>
          </w:p>
        </w:tc>
        <w:tc>
          <w:tcPr>
            <w:tcW w:w="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12/31/2018</w:t>
            </w:r>
          </w:p>
        </w:tc>
        <w:tc>
          <w:tcPr>
            <w:tcW w:w="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3/31/2019</w:t>
            </w:r>
          </w:p>
        </w:tc>
        <w:tc>
          <w:tcPr>
            <w:tcW w:w="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6/30/2019</w:t>
            </w:r>
          </w:p>
        </w:tc>
        <w:tc>
          <w:tcPr>
            <w:tcW w:w="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9/30/2019</w:t>
            </w:r>
          </w:p>
        </w:tc>
        <w:tc>
          <w:tcPr>
            <w:tcW w:w="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12/31/2019</w:t>
            </w:r>
          </w:p>
        </w:tc>
        <w:tc>
          <w:tcPr>
            <w:tcW w:w="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3/31/2020</w:t>
            </w:r>
          </w:p>
        </w:tc>
        <w:tc>
          <w:tcPr>
            <w:tcW w:w="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6/30/2020</w:t>
            </w:r>
          </w:p>
        </w:tc>
        <w:tc>
          <w:tcPr>
            <w:tcW w:w="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9/30/2020</w:t>
            </w:r>
          </w:p>
        </w:tc>
        <w:tc>
          <w:tcPr>
            <w:tcW w:w="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12/31/2020</w:t>
            </w:r>
          </w:p>
        </w:tc>
        <w:tc>
          <w:tcPr>
            <w:tcW w:w="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03/31/2021</w:t>
            </w:r>
          </w:p>
        </w:tc>
        <w:tc>
          <w:tcPr>
            <w:tcW w:w="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0"/>
              </w:rPr>
              <w:t>06/30/2021</w:t>
            </w:r>
          </w:p>
        </w:tc>
        <w:tc>
          <w:tcPr>
            <w:tcW w:w="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09/30/2021</w:t>
            </w:r>
          </w:p>
        </w:tc>
        <w:tc>
          <w:tcPr>
            <w:tcW w:w="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12/31/2021</w:t>
            </w:r>
          </w:p>
        </w:tc>
      </w:tr>
      <w:tr>
        <w:trPr>
          <w:trHeight w:val="209"/>
        </w:trPr>
        <w:tc>
          <w:tcPr>
            <w:tcW w:w="8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IMXI</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7"/>
              </w:rPr>
              <w:t>100</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120.20</w:t>
            </w:r>
          </w:p>
        </w:tc>
        <w:tc>
          <w:tcPr>
            <w:tcW w:w="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119.60</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116.60</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141.00</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137.40</w:t>
            </w:r>
          </w:p>
        </w:tc>
        <w:tc>
          <w:tcPr>
            <w:tcW w:w="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120.40</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0"/>
              </w:rPr>
              <w:t>91.30</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124.60</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143.65</w:t>
            </w:r>
          </w:p>
        </w:tc>
        <w:tc>
          <w:tcPr>
            <w:tcW w:w="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155.20</w:t>
            </w:r>
          </w:p>
        </w:tc>
        <w:tc>
          <w:tcPr>
            <w:tcW w:w="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150.10</w:t>
            </w:r>
          </w:p>
        </w:tc>
        <w:tc>
          <w:tcPr>
            <w:tcW w:w="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148.50</w:t>
            </w:r>
          </w:p>
        </w:tc>
        <w:tc>
          <w:tcPr>
            <w:tcW w:w="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167.00</w:t>
            </w:r>
          </w:p>
        </w:tc>
        <w:tc>
          <w:tcPr>
            <w:tcW w:w="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159.60</w:t>
            </w:r>
          </w:p>
        </w:tc>
      </w:tr>
      <w:tr>
        <w:trPr>
          <w:trHeight w:val="176"/>
        </w:trPr>
        <w:tc>
          <w:tcPr>
            <w:tcW w:w="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NASDAQ</w:t>
            </w:r>
          </w:p>
        </w:tc>
        <w:tc>
          <w:tcPr>
            <w:tcW w:w="66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r>
      <w:tr>
        <w:trPr>
          <w:trHeight w:val="172"/>
        </w:trPr>
        <w:tc>
          <w:tcPr>
            <w:tcW w:w="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Stock</w:t>
            </w:r>
          </w:p>
        </w:tc>
        <w:tc>
          <w:tcPr>
            <w:tcW w:w="66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r>
      <w:tr>
        <w:trPr>
          <w:trHeight w:val="172"/>
        </w:trPr>
        <w:tc>
          <w:tcPr>
            <w:tcW w:w="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Market (US</w:t>
            </w:r>
          </w:p>
        </w:tc>
        <w:tc>
          <w:tcPr>
            <w:tcW w:w="66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r>
      <w:tr>
        <w:trPr>
          <w:trHeight w:val="206"/>
        </w:trPr>
        <w:tc>
          <w:tcPr>
            <w:tcW w:w="8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w w:val="93"/>
              </w:rPr>
              <w:t>Companies)</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100</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104.50</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0"/>
              </w:rPr>
              <w:t>86.94</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100.98</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105.35</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5"/>
              </w:rPr>
              <w:t>105.68</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118.33</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102.60</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133.26</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148.15</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170.32</w:t>
            </w:r>
          </w:p>
        </w:tc>
        <w:tc>
          <w:tcPr>
            <w:tcW w:w="74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r>
      <w:tr>
        <w:trPr>
          <w:trHeight w:val="176"/>
        </w:trPr>
        <w:tc>
          <w:tcPr>
            <w:tcW w:w="8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NASDAQ</w:t>
            </w:r>
          </w:p>
        </w:tc>
        <w:tc>
          <w:tcPr>
            <w:tcW w:w="660" w:type="dxa"/>
            <w:vAlign w:val="bottom"/>
            <w:tcBorders>
              <w:right w:val="single" w:sz="8" w:color="auto"/>
            </w:tcBorders>
            <w:shd w:val="clear" w:color="auto" w:fill="CCEEFF"/>
          </w:tcPr>
          <w:p>
            <w:pPr>
              <w:spacing w:after="0"/>
              <w:rPr>
                <w:sz w:val="15"/>
                <w:szCs w:val="15"/>
                <w:color w:val="auto"/>
              </w:rPr>
            </w:pPr>
          </w:p>
        </w:tc>
        <w:tc>
          <w:tcPr>
            <w:tcW w:w="660" w:type="dxa"/>
            <w:vAlign w:val="bottom"/>
            <w:tcBorders>
              <w:right w:val="single" w:sz="8" w:color="auto"/>
            </w:tcBorders>
            <w:shd w:val="clear" w:color="auto" w:fill="CCEEFF"/>
          </w:tcPr>
          <w:p>
            <w:pPr>
              <w:spacing w:after="0"/>
              <w:rPr>
                <w:sz w:val="15"/>
                <w:szCs w:val="15"/>
                <w:color w:val="auto"/>
              </w:rPr>
            </w:pPr>
          </w:p>
        </w:tc>
        <w:tc>
          <w:tcPr>
            <w:tcW w:w="760" w:type="dxa"/>
            <w:vAlign w:val="bottom"/>
            <w:tcBorders>
              <w:right w:val="single" w:sz="8" w:color="auto"/>
            </w:tcBorders>
            <w:shd w:val="clear" w:color="auto" w:fill="CCEEFF"/>
          </w:tcPr>
          <w:p>
            <w:pPr>
              <w:spacing w:after="0"/>
              <w:rPr>
                <w:sz w:val="15"/>
                <w:szCs w:val="15"/>
                <w:color w:val="auto"/>
              </w:rPr>
            </w:pPr>
          </w:p>
        </w:tc>
        <w:tc>
          <w:tcPr>
            <w:tcW w:w="660" w:type="dxa"/>
            <w:vAlign w:val="bottom"/>
            <w:tcBorders>
              <w:right w:val="single" w:sz="8" w:color="auto"/>
            </w:tcBorders>
            <w:shd w:val="clear" w:color="auto" w:fill="CCEEFF"/>
          </w:tcPr>
          <w:p>
            <w:pPr>
              <w:spacing w:after="0"/>
              <w:rPr>
                <w:sz w:val="15"/>
                <w:szCs w:val="15"/>
                <w:color w:val="auto"/>
              </w:rPr>
            </w:pPr>
          </w:p>
        </w:tc>
        <w:tc>
          <w:tcPr>
            <w:tcW w:w="660" w:type="dxa"/>
            <w:vAlign w:val="bottom"/>
            <w:tcBorders>
              <w:right w:val="single" w:sz="8" w:color="auto"/>
            </w:tcBorders>
            <w:shd w:val="clear" w:color="auto" w:fill="CCEEFF"/>
          </w:tcPr>
          <w:p>
            <w:pPr>
              <w:spacing w:after="0"/>
              <w:rPr>
                <w:sz w:val="15"/>
                <w:szCs w:val="15"/>
                <w:color w:val="auto"/>
              </w:rPr>
            </w:pPr>
          </w:p>
        </w:tc>
        <w:tc>
          <w:tcPr>
            <w:tcW w:w="660" w:type="dxa"/>
            <w:vAlign w:val="bottom"/>
            <w:tcBorders>
              <w:right w:val="single" w:sz="8" w:color="auto"/>
            </w:tcBorders>
            <w:shd w:val="clear" w:color="auto" w:fill="CCEEFF"/>
          </w:tcPr>
          <w:p>
            <w:pPr>
              <w:spacing w:after="0"/>
              <w:rPr>
                <w:sz w:val="15"/>
                <w:szCs w:val="15"/>
                <w:color w:val="auto"/>
              </w:rPr>
            </w:pPr>
          </w:p>
        </w:tc>
        <w:tc>
          <w:tcPr>
            <w:tcW w:w="760" w:type="dxa"/>
            <w:vAlign w:val="bottom"/>
            <w:tcBorders>
              <w:right w:val="single" w:sz="8" w:color="auto"/>
            </w:tcBorders>
            <w:shd w:val="clear" w:color="auto" w:fill="CCEEFF"/>
          </w:tcPr>
          <w:p>
            <w:pPr>
              <w:spacing w:after="0"/>
              <w:rPr>
                <w:sz w:val="15"/>
                <w:szCs w:val="15"/>
                <w:color w:val="auto"/>
              </w:rPr>
            </w:pPr>
          </w:p>
        </w:tc>
        <w:tc>
          <w:tcPr>
            <w:tcW w:w="660" w:type="dxa"/>
            <w:vAlign w:val="bottom"/>
            <w:tcBorders>
              <w:right w:val="single" w:sz="8" w:color="auto"/>
            </w:tcBorders>
            <w:shd w:val="clear" w:color="auto" w:fill="CCEEFF"/>
          </w:tcPr>
          <w:p>
            <w:pPr>
              <w:spacing w:after="0"/>
              <w:rPr>
                <w:sz w:val="15"/>
                <w:szCs w:val="15"/>
                <w:color w:val="auto"/>
              </w:rPr>
            </w:pPr>
          </w:p>
        </w:tc>
        <w:tc>
          <w:tcPr>
            <w:tcW w:w="660" w:type="dxa"/>
            <w:vAlign w:val="bottom"/>
            <w:tcBorders>
              <w:right w:val="single" w:sz="8" w:color="auto"/>
            </w:tcBorders>
            <w:shd w:val="clear" w:color="auto" w:fill="CCEEFF"/>
          </w:tcPr>
          <w:p>
            <w:pPr>
              <w:spacing w:after="0"/>
              <w:rPr>
                <w:sz w:val="15"/>
                <w:szCs w:val="15"/>
                <w:color w:val="auto"/>
              </w:rPr>
            </w:pPr>
          </w:p>
        </w:tc>
        <w:tc>
          <w:tcPr>
            <w:tcW w:w="660" w:type="dxa"/>
            <w:vAlign w:val="bottom"/>
            <w:tcBorders>
              <w:right w:val="single" w:sz="8" w:color="auto"/>
            </w:tcBorders>
            <w:shd w:val="clear" w:color="auto" w:fill="CCEEFF"/>
          </w:tcPr>
          <w:p>
            <w:pPr>
              <w:spacing w:after="0"/>
              <w:rPr>
                <w:sz w:val="15"/>
                <w:szCs w:val="15"/>
                <w:color w:val="auto"/>
              </w:rPr>
            </w:pPr>
          </w:p>
        </w:tc>
        <w:tc>
          <w:tcPr>
            <w:tcW w:w="760" w:type="dxa"/>
            <w:vAlign w:val="bottom"/>
            <w:tcBorders>
              <w:right w:val="single" w:sz="8" w:color="auto"/>
            </w:tcBorders>
            <w:shd w:val="clear" w:color="auto" w:fill="CCEEFF"/>
          </w:tcPr>
          <w:p>
            <w:pPr>
              <w:spacing w:after="0"/>
              <w:rPr>
                <w:sz w:val="15"/>
                <w:szCs w:val="15"/>
                <w:color w:val="auto"/>
              </w:rPr>
            </w:pPr>
          </w:p>
        </w:tc>
        <w:tc>
          <w:tcPr>
            <w:tcW w:w="740" w:type="dxa"/>
            <w:vAlign w:val="bottom"/>
            <w:tcBorders>
              <w:right w:val="single" w:sz="8" w:color="auto"/>
            </w:tcBorders>
            <w:shd w:val="clear" w:color="auto" w:fill="CCEEFF"/>
          </w:tcPr>
          <w:p>
            <w:pPr>
              <w:spacing w:after="0"/>
              <w:rPr>
                <w:sz w:val="15"/>
                <w:szCs w:val="15"/>
                <w:color w:val="auto"/>
              </w:rPr>
            </w:pPr>
          </w:p>
        </w:tc>
        <w:tc>
          <w:tcPr>
            <w:tcW w:w="740" w:type="dxa"/>
            <w:vAlign w:val="bottom"/>
            <w:tcBorders>
              <w:right w:val="single" w:sz="8" w:color="auto"/>
            </w:tcBorders>
            <w:shd w:val="clear" w:color="auto" w:fill="CCEEFF"/>
          </w:tcPr>
          <w:p>
            <w:pPr>
              <w:spacing w:after="0"/>
              <w:rPr>
                <w:sz w:val="15"/>
                <w:szCs w:val="15"/>
                <w:color w:val="auto"/>
              </w:rPr>
            </w:pPr>
          </w:p>
        </w:tc>
        <w:tc>
          <w:tcPr>
            <w:tcW w:w="760" w:type="dxa"/>
            <w:vAlign w:val="bottom"/>
            <w:tcBorders>
              <w:right w:val="single" w:sz="8" w:color="auto"/>
            </w:tcBorders>
            <w:shd w:val="clear" w:color="auto" w:fill="CCEEFF"/>
          </w:tcPr>
          <w:p>
            <w:pPr>
              <w:spacing w:after="0"/>
              <w:rPr>
                <w:sz w:val="15"/>
                <w:szCs w:val="15"/>
                <w:color w:val="auto"/>
              </w:rPr>
            </w:pPr>
          </w:p>
        </w:tc>
        <w:tc>
          <w:tcPr>
            <w:tcW w:w="740" w:type="dxa"/>
            <w:vAlign w:val="bottom"/>
            <w:tcBorders>
              <w:right w:val="single" w:sz="8" w:color="auto"/>
            </w:tcBorders>
            <w:shd w:val="clear" w:color="auto" w:fill="CCEEFF"/>
          </w:tcPr>
          <w:p>
            <w:pPr>
              <w:spacing w:after="0"/>
              <w:rPr>
                <w:sz w:val="15"/>
                <w:szCs w:val="15"/>
                <w:color w:val="auto"/>
              </w:rPr>
            </w:pPr>
          </w:p>
        </w:tc>
      </w:tr>
      <w:tr>
        <w:trPr>
          <w:trHeight w:val="172"/>
        </w:trPr>
        <w:tc>
          <w:tcPr>
            <w:tcW w:w="8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US</w:t>
            </w:r>
          </w:p>
        </w:tc>
        <w:tc>
          <w:tcPr>
            <w:tcW w:w="660" w:type="dxa"/>
            <w:vAlign w:val="bottom"/>
            <w:tcBorders>
              <w:right w:val="single" w:sz="8" w:color="auto"/>
            </w:tcBorders>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spacing w:after="0"/>
              <w:rPr>
                <w:sz w:val="14"/>
                <w:szCs w:val="14"/>
                <w:color w:val="auto"/>
              </w:rPr>
            </w:pPr>
          </w:p>
        </w:tc>
        <w:tc>
          <w:tcPr>
            <w:tcW w:w="760" w:type="dxa"/>
            <w:vAlign w:val="bottom"/>
            <w:tcBorders>
              <w:right w:val="single" w:sz="8" w:color="auto"/>
            </w:tcBorders>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spacing w:after="0"/>
              <w:rPr>
                <w:sz w:val="14"/>
                <w:szCs w:val="14"/>
                <w:color w:val="auto"/>
              </w:rPr>
            </w:pPr>
          </w:p>
        </w:tc>
        <w:tc>
          <w:tcPr>
            <w:tcW w:w="760" w:type="dxa"/>
            <w:vAlign w:val="bottom"/>
            <w:tcBorders>
              <w:right w:val="single" w:sz="8" w:color="auto"/>
            </w:tcBorders>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spacing w:after="0"/>
              <w:rPr>
                <w:sz w:val="14"/>
                <w:szCs w:val="14"/>
                <w:color w:val="auto"/>
              </w:rPr>
            </w:pPr>
          </w:p>
        </w:tc>
        <w:tc>
          <w:tcPr>
            <w:tcW w:w="760" w:type="dxa"/>
            <w:vAlign w:val="bottom"/>
            <w:tcBorders>
              <w:right w:val="single" w:sz="8" w:color="auto"/>
            </w:tcBorders>
            <w:shd w:val="clear" w:color="auto" w:fill="CCEEFF"/>
          </w:tcPr>
          <w:p>
            <w:pPr>
              <w:spacing w:after="0"/>
              <w:rPr>
                <w:sz w:val="14"/>
                <w:szCs w:val="14"/>
                <w:color w:val="auto"/>
              </w:rPr>
            </w:pPr>
          </w:p>
        </w:tc>
        <w:tc>
          <w:tcPr>
            <w:tcW w:w="740" w:type="dxa"/>
            <w:vAlign w:val="bottom"/>
            <w:tcBorders>
              <w:right w:val="single" w:sz="8" w:color="auto"/>
            </w:tcBorders>
            <w:shd w:val="clear" w:color="auto" w:fill="CCEEFF"/>
          </w:tcPr>
          <w:p>
            <w:pPr>
              <w:spacing w:after="0"/>
              <w:rPr>
                <w:sz w:val="14"/>
                <w:szCs w:val="14"/>
                <w:color w:val="auto"/>
              </w:rPr>
            </w:pPr>
          </w:p>
        </w:tc>
        <w:tc>
          <w:tcPr>
            <w:tcW w:w="740" w:type="dxa"/>
            <w:vAlign w:val="bottom"/>
            <w:tcBorders>
              <w:right w:val="single" w:sz="8" w:color="auto"/>
            </w:tcBorders>
            <w:shd w:val="clear" w:color="auto" w:fill="CCEEFF"/>
          </w:tcPr>
          <w:p>
            <w:pPr>
              <w:spacing w:after="0"/>
              <w:rPr>
                <w:sz w:val="14"/>
                <w:szCs w:val="14"/>
                <w:color w:val="auto"/>
              </w:rPr>
            </w:pPr>
          </w:p>
        </w:tc>
        <w:tc>
          <w:tcPr>
            <w:tcW w:w="760" w:type="dxa"/>
            <w:vAlign w:val="bottom"/>
            <w:tcBorders>
              <w:right w:val="single" w:sz="8" w:color="auto"/>
            </w:tcBorders>
            <w:shd w:val="clear" w:color="auto" w:fill="CCEEFF"/>
          </w:tcPr>
          <w:p>
            <w:pPr>
              <w:spacing w:after="0"/>
              <w:rPr>
                <w:sz w:val="14"/>
                <w:szCs w:val="14"/>
                <w:color w:val="auto"/>
              </w:rPr>
            </w:pPr>
          </w:p>
        </w:tc>
        <w:tc>
          <w:tcPr>
            <w:tcW w:w="740" w:type="dxa"/>
            <w:vAlign w:val="bottom"/>
            <w:tcBorders>
              <w:right w:val="single" w:sz="8" w:color="auto"/>
            </w:tcBorders>
            <w:shd w:val="clear" w:color="auto" w:fill="CCEEFF"/>
          </w:tcPr>
          <w:p>
            <w:pPr>
              <w:spacing w:after="0"/>
              <w:rPr>
                <w:sz w:val="14"/>
                <w:szCs w:val="14"/>
                <w:color w:val="auto"/>
              </w:rPr>
            </w:pPr>
          </w:p>
        </w:tc>
      </w:tr>
      <w:tr>
        <w:trPr>
          <w:trHeight w:val="172"/>
        </w:trPr>
        <w:tc>
          <w:tcPr>
            <w:tcW w:w="8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Benchmark</w:t>
            </w:r>
          </w:p>
        </w:tc>
        <w:tc>
          <w:tcPr>
            <w:tcW w:w="660" w:type="dxa"/>
            <w:vAlign w:val="bottom"/>
            <w:tcBorders>
              <w:right w:val="single" w:sz="8" w:color="auto"/>
            </w:tcBorders>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spacing w:after="0"/>
              <w:rPr>
                <w:sz w:val="14"/>
                <w:szCs w:val="14"/>
                <w:color w:val="auto"/>
              </w:rPr>
            </w:pPr>
          </w:p>
        </w:tc>
        <w:tc>
          <w:tcPr>
            <w:tcW w:w="760" w:type="dxa"/>
            <w:vAlign w:val="bottom"/>
            <w:tcBorders>
              <w:right w:val="single" w:sz="8" w:color="auto"/>
            </w:tcBorders>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spacing w:after="0"/>
              <w:rPr>
                <w:sz w:val="14"/>
                <w:szCs w:val="14"/>
                <w:color w:val="auto"/>
              </w:rPr>
            </w:pPr>
          </w:p>
        </w:tc>
        <w:tc>
          <w:tcPr>
            <w:tcW w:w="760" w:type="dxa"/>
            <w:vAlign w:val="bottom"/>
            <w:tcBorders>
              <w:right w:val="single" w:sz="8" w:color="auto"/>
            </w:tcBorders>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spacing w:after="0"/>
              <w:rPr>
                <w:sz w:val="14"/>
                <w:szCs w:val="14"/>
                <w:color w:val="auto"/>
              </w:rPr>
            </w:pPr>
          </w:p>
        </w:tc>
        <w:tc>
          <w:tcPr>
            <w:tcW w:w="760" w:type="dxa"/>
            <w:vAlign w:val="bottom"/>
            <w:tcBorders>
              <w:right w:val="single" w:sz="8" w:color="auto"/>
            </w:tcBorders>
            <w:shd w:val="clear" w:color="auto" w:fill="CCEEFF"/>
          </w:tcPr>
          <w:p>
            <w:pPr>
              <w:spacing w:after="0"/>
              <w:rPr>
                <w:sz w:val="14"/>
                <w:szCs w:val="14"/>
                <w:color w:val="auto"/>
              </w:rPr>
            </w:pPr>
          </w:p>
        </w:tc>
        <w:tc>
          <w:tcPr>
            <w:tcW w:w="740" w:type="dxa"/>
            <w:vAlign w:val="bottom"/>
            <w:tcBorders>
              <w:right w:val="single" w:sz="8" w:color="auto"/>
            </w:tcBorders>
            <w:shd w:val="clear" w:color="auto" w:fill="CCEEFF"/>
          </w:tcPr>
          <w:p>
            <w:pPr>
              <w:spacing w:after="0"/>
              <w:rPr>
                <w:sz w:val="14"/>
                <w:szCs w:val="14"/>
                <w:color w:val="auto"/>
              </w:rPr>
            </w:pPr>
          </w:p>
        </w:tc>
        <w:tc>
          <w:tcPr>
            <w:tcW w:w="740" w:type="dxa"/>
            <w:vAlign w:val="bottom"/>
            <w:tcBorders>
              <w:right w:val="single" w:sz="8" w:color="auto"/>
            </w:tcBorders>
            <w:shd w:val="clear" w:color="auto" w:fill="CCEEFF"/>
          </w:tcPr>
          <w:p>
            <w:pPr>
              <w:spacing w:after="0"/>
              <w:rPr>
                <w:sz w:val="14"/>
                <w:szCs w:val="14"/>
                <w:color w:val="auto"/>
              </w:rPr>
            </w:pPr>
          </w:p>
        </w:tc>
        <w:tc>
          <w:tcPr>
            <w:tcW w:w="760" w:type="dxa"/>
            <w:vAlign w:val="bottom"/>
            <w:tcBorders>
              <w:right w:val="single" w:sz="8" w:color="auto"/>
            </w:tcBorders>
            <w:shd w:val="clear" w:color="auto" w:fill="CCEEFF"/>
          </w:tcPr>
          <w:p>
            <w:pPr>
              <w:spacing w:after="0"/>
              <w:rPr>
                <w:sz w:val="14"/>
                <w:szCs w:val="14"/>
                <w:color w:val="auto"/>
              </w:rPr>
            </w:pPr>
          </w:p>
        </w:tc>
        <w:tc>
          <w:tcPr>
            <w:tcW w:w="740" w:type="dxa"/>
            <w:vAlign w:val="bottom"/>
            <w:tcBorders>
              <w:right w:val="single" w:sz="8" w:color="auto"/>
            </w:tcBorders>
            <w:shd w:val="clear" w:color="auto" w:fill="CCEEFF"/>
          </w:tcPr>
          <w:p>
            <w:pPr>
              <w:spacing w:after="0"/>
              <w:rPr>
                <w:sz w:val="14"/>
                <w:szCs w:val="14"/>
                <w:color w:val="auto"/>
              </w:rPr>
            </w:pPr>
          </w:p>
        </w:tc>
      </w:tr>
      <w:tr>
        <w:trPr>
          <w:trHeight w:val="206"/>
        </w:trPr>
        <w:tc>
          <w:tcPr>
            <w:tcW w:w="8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TR Index</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7"/>
              </w:rPr>
              <w:t>100</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103.57</w:t>
            </w:r>
          </w:p>
        </w:tc>
        <w:tc>
          <w:tcPr>
            <w:tcW w:w="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0"/>
              </w:rPr>
              <w:t>88.63</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101.17</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105.29</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106.65</w:t>
            </w:r>
          </w:p>
        </w:tc>
        <w:tc>
          <w:tcPr>
            <w:tcW w:w="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116.26</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0"/>
              </w:rPr>
              <w:t>92.20</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112.62</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123.14</w:t>
            </w:r>
          </w:p>
        </w:tc>
        <w:tc>
          <w:tcPr>
            <w:tcW w:w="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140.99</w:t>
            </w:r>
          </w:p>
        </w:tc>
        <w:tc>
          <w:tcPr>
            <w:tcW w:w="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149.97</w:t>
            </w:r>
          </w:p>
        </w:tc>
        <w:tc>
          <w:tcPr>
            <w:tcW w:w="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162.70</w:t>
            </w:r>
          </w:p>
        </w:tc>
        <w:tc>
          <w:tcPr>
            <w:tcW w:w="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162.56</w:t>
            </w:r>
          </w:p>
        </w:tc>
        <w:tc>
          <w:tcPr>
            <w:tcW w:w="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177.49</w:t>
            </w:r>
          </w:p>
        </w:tc>
      </w:tr>
      <w:tr>
        <w:trPr>
          <w:trHeight w:val="209"/>
        </w:trPr>
        <w:tc>
          <w:tcPr>
            <w:tcW w:w="8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w w:val="97"/>
              </w:rPr>
              <w:t>Peer Group</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100</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5"/>
              </w:rPr>
              <w:t>98.76</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0"/>
              </w:rPr>
              <w:t>92.46</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112.47</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127.38</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5"/>
              </w:rPr>
              <w:t>130.10</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145.31</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0"/>
              </w:rPr>
              <w:t>90.61</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107.00</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105.02</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130.19</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137.41</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133.75</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121.14</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110.98</w:t>
            </w:r>
          </w:p>
        </w:tc>
      </w:tr>
    </w:tbl>
    <w:p>
      <w:pPr>
        <w:spacing w:after="0" w:line="265" w:lineRule="exact"/>
        <w:rPr>
          <w:sz w:val="20"/>
          <w:szCs w:val="20"/>
          <w:color w:val="auto"/>
        </w:rPr>
      </w:pPr>
    </w:p>
    <w:p>
      <w:pPr>
        <w:ind w:right="80" w:firstLine="275"/>
        <w:spacing w:after="0" w:line="285" w:lineRule="auto"/>
        <w:rPr>
          <w:sz w:val="20"/>
          <w:szCs w:val="20"/>
          <w:color w:val="auto"/>
        </w:rPr>
      </w:pPr>
      <w:r>
        <w:rPr>
          <w:rFonts w:ascii="Arial" w:cs="Arial" w:eastAsia="Arial" w:hAnsi="Arial"/>
          <w:sz w:val="15"/>
          <w:szCs w:val="15"/>
          <w:color w:val="auto"/>
        </w:rPr>
        <w:t>NOTE: Index Data: Calculated (or Derived) based from CRSP NASDAQ Stock Market (US Companies), Center for Research in Security Prices (CRSP®), Graduate School of Business, The University of Chicago. Copyright 2022. Used with permission. All rights reserved.</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NOTE: Index Data: Copyright NASDAQ OMX, Inc. Used with permission. All rights reserved.</w:t>
      </w:r>
    </w:p>
    <w:p>
      <w:pPr>
        <w:sectPr>
          <w:pgSz w:w="11900" w:h="16838" w:orient="portrait"/>
          <w:cols w:equalWidth="0" w:num="1">
            <w:col w:w="11340"/>
          </w:cols>
          <w:pgMar w:left="320" w:top="129" w:right="239" w:bottom="0" w:gutter="0" w:footer="0" w:header="0"/>
        </w:sectPr>
      </w:pPr>
    </w:p>
    <w:bookmarkStart w:id="26" w:name="page27"/>
    <w:bookmarkEnd w:id="26"/>
    <w:p>
      <w:pPr>
        <w:ind w:left="260"/>
        <w:spacing w:after="0"/>
        <w:rPr>
          <w:sz w:val="20"/>
          <w:szCs w:val="20"/>
          <w:color w:val="auto"/>
        </w:rPr>
      </w:pPr>
      <w:r>
        <w:rPr>
          <w:rFonts w:ascii="Arial" w:cs="Arial" w:eastAsia="Arial" w:hAnsi="Arial"/>
          <w:sz w:val="15"/>
          <w:szCs w:val="15"/>
          <w:color w:val="auto"/>
        </w:rPr>
        <w:t>NOTE: Corporate Performance Graph with peer group uses peer group only performance (excludes only company).</w:t>
      </w:r>
    </w:p>
    <w:p>
      <w:pPr>
        <w:spacing w:after="0" w:line="218" w:lineRule="exact"/>
        <w:rPr>
          <w:sz w:val="20"/>
          <w:szCs w:val="20"/>
          <w:color w:val="auto"/>
        </w:rPr>
      </w:pPr>
    </w:p>
    <w:p>
      <w:pPr>
        <w:ind w:firstLine="275"/>
        <w:spacing w:after="0" w:line="323" w:lineRule="auto"/>
        <w:rPr>
          <w:sz w:val="20"/>
          <w:szCs w:val="20"/>
          <w:color w:val="auto"/>
        </w:rPr>
      </w:pPr>
      <w:r>
        <w:rPr>
          <w:rFonts w:ascii="Arial" w:cs="Arial" w:eastAsia="Arial" w:hAnsi="Arial"/>
          <w:sz w:val="14"/>
          <w:szCs w:val="14"/>
          <w:color w:val="auto"/>
        </w:rPr>
        <w:t>The graph is furnished and shall not be deemed “filed” with the SEC or subject to Section 18 of the Securities Exchange Act of 1934, as amended (the “Exchange Act”), and is not to be incorporated by reference into any filing of the Company, whether made before or after the date hereof, regardless of any general incorporation language in such filing.</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Sales of Unregistered Securities</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5"/>
          <w:szCs w:val="15"/>
          <w:color w:val="auto"/>
        </w:rPr>
        <w:t>None.</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Repurchases of Equity Securities of the Issuer</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following table provides information about repurchases of our common stock during the quarter ended December 31, 2021: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Total Number of Shares</w:t>
            </w:r>
          </w:p>
        </w:tc>
        <w:tc>
          <w:tcPr>
            <w:tcW w:w="80" w:type="dxa"/>
            <w:vAlign w:val="bottom"/>
          </w:tcPr>
          <w:p>
            <w:pPr>
              <w:spacing w:after="0"/>
              <w:rPr>
                <w:sz w:val="14"/>
                <w:szCs w:val="14"/>
                <w:color w:val="auto"/>
              </w:rPr>
            </w:pPr>
          </w:p>
        </w:tc>
        <w:tc>
          <w:tcPr>
            <w:tcW w:w="1720" w:type="dxa"/>
            <w:vAlign w:val="bottom"/>
            <w:gridSpan w:val="3"/>
            <w:vMerge w:val="restart"/>
          </w:tcPr>
          <w:p>
            <w:pPr>
              <w:jc w:val="right"/>
              <w:ind w:right="160"/>
              <w:spacing w:after="0"/>
              <w:rPr>
                <w:sz w:val="20"/>
                <w:szCs w:val="20"/>
                <w:color w:val="auto"/>
              </w:rPr>
            </w:pPr>
            <w:r>
              <w:rPr>
                <w:rFonts w:ascii="Arial" w:cs="Arial" w:eastAsia="Arial" w:hAnsi="Arial"/>
                <w:sz w:val="15"/>
                <w:szCs w:val="15"/>
                <w:b w:val="1"/>
                <w:bCs w:val="1"/>
                <w:color w:val="auto"/>
                <w:w w:val="94"/>
              </w:rPr>
              <w:t>Average Price Paid per</w:t>
            </w:r>
          </w:p>
        </w:tc>
        <w:tc>
          <w:tcPr>
            <w:tcW w:w="1980" w:type="dxa"/>
            <w:vAlign w:val="bottom"/>
          </w:tcPr>
          <w:p>
            <w:pPr>
              <w:jc w:val="center"/>
              <w:spacing w:after="0"/>
              <w:rPr>
                <w:sz w:val="20"/>
                <w:szCs w:val="20"/>
                <w:color w:val="auto"/>
              </w:rPr>
            </w:pPr>
            <w:r>
              <w:rPr>
                <w:rFonts w:ascii="Arial" w:cs="Arial" w:eastAsia="Arial" w:hAnsi="Arial"/>
                <w:sz w:val="15"/>
                <w:szCs w:val="15"/>
                <w:b w:val="1"/>
                <w:bCs w:val="1"/>
                <w:color w:val="auto"/>
                <w:w w:val="92"/>
              </w:rPr>
              <w:t>Total Number of 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tcPr>
          <w:p>
            <w:pPr>
              <w:jc w:val="right"/>
              <w:ind w:right="164"/>
              <w:spacing w:after="0"/>
              <w:rPr>
                <w:sz w:val="20"/>
                <w:szCs w:val="20"/>
                <w:color w:val="auto"/>
              </w:rPr>
            </w:pPr>
            <w:r>
              <w:rPr>
                <w:rFonts w:ascii="Arial" w:cs="Arial" w:eastAsia="Arial" w:hAnsi="Arial"/>
                <w:sz w:val="15"/>
                <w:szCs w:val="15"/>
                <w:b w:val="1"/>
                <w:bCs w:val="1"/>
                <w:color w:val="auto"/>
                <w:w w:val="97"/>
              </w:rPr>
              <w:t>Approximate Dollar Value of</w:t>
            </w:r>
          </w:p>
        </w:tc>
        <w:tc>
          <w:tcPr>
            <w:tcW w:w="0" w:type="dxa"/>
            <w:vAlign w:val="bottom"/>
          </w:tcPr>
          <w:p>
            <w:pPr>
              <w:spacing w:after="0"/>
              <w:rPr>
                <w:sz w:val="1"/>
                <w:szCs w:val="1"/>
                <w:color w:val="auto"/>
              </w:rPr>
            </w:pPr>
          </w:p>
        </w:tc>
      </w:tr>
      <w:tr>
        <w:trPr>
          <w:trHeight w:val="149"/>
        </w:trPr>
        <w:tc>
          <w:tcPr>
            <w:tcW w:w="2920" w:type="dxa"/>
            <w:vAlign w:val="bottom"/>
            <w:vMerge w:val="restart"/>
          </w:tcPr>
          <w:p>
            <w:pPr>
              <w:spacing w:after="0"/>
              <w:rPr>
                <w:sz w:val="20"/>
                <w:szCs w:val="20"/>
                <w:color w:val="auto"/>
              </w:rPr>
            </w:pPr>
            <w:r>
              <w:rPr>
                <w:rFonts w:ascii="Arial" w:cs="Arial" w:eastAsia="Arial" w:hAnsi="Arial"/>
                <w:sz w:val="15"/>
                <w:szCs w:val="15"/>
                <w:b w:val="1"/>
                <w:bCs w:val="1"/>
                <w:color w:val="auto"/>
              </w:rPr>
              <w:t>Period</w:t>
            </w:r>
          </w:p>
        </w:tc>
        <w:tc>
          <w:tcPr>
            <w:tcW w:w="80" w:type="dxa"/>
            <w:vAlign w:val="bottom"/>
            <w:vMerge w:val="restart"/>
          </w:tcPr>
          <w:p>
            <w:pPr>
              <w:spacing w:after="0"/>
              <w:rPr>
                <w:sz w:val="12"/>
                <w:szCs w:val="12"/>
                <w:color w:val="auto"/>
              </w:rPr>
            </w:pPr>
          </w:p>
        </w:tc>
        <w:tc>
          <w:tcPr>
            <w:tcW w:w="2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1"/>
              </w:rPr>
              <w:t>Purchased as Part of Publicly</w:t>
            </w:r>
          </w:p>
        </w:tc>
        <w:tc>
          <w:tcPr>
            <w:tcW w:w="100" w:type="dxa"/>
            <w:vAlign w:val="bottom"/>
          </w:tcPr>
          <w:p>
            <w:pPr>
              <w:spacing w:after="0"/>
              <w:rPr>
                <w:sz w:val="12"/>
                <w:szCs w:val="12"/>
                <w:color w:val="auto"/>
              </w:rPr>
            </w:pPr>
          </w:p>
        </w:tc>
        <w:tc>
          <w:tcPr>
            <w:tcW w:w="2380" w:type="dxa"/>
            <w:vAlign w:val="bottom"/>
            <w:gridSpan w:val="2"/>
          </w:tcPr>
          <w:p>
            <w:pPr>
              <w:jc w:val="right"/>
              <w:ind w:right="4"/>
              <w:spacing w:after="0" w:line="149" w:lineRule="exact"/>
              <w:rPr>
                <w:sz w:val="20"/>
                <w:szCs w:val="20"/>
                <w:color w:val="auto"/>
              </w:rPr>
            </w:pPr>
            <w:r>
              <w:rPr>
                <w:rFonts w:ascii="Arial" w:cs="Arial" w:eastAsia="Arial" w:hAnsi="Arial"/>
                <w:sz w:val="15"/>
                <w:szCs w:val="15"/>
                <w:b w:val="1"/>
                <w:bCs w:val="1"/>
                <w:color w:val="auto"/>
                <w:w w:val="93"/>
              </w:rPr>
              <w:t>Shares that May Yet be Purchased</w:t>
            </w:r>
          </w:p>
        </w:tc>
        <w:tc>
          <w:tcPr>
            <w:tcW w:w="0" w:type="dxa"/>
            <w:vAlign w:val="bottom"/>
          </w:tcPr>
          <w:p>
            <w:pPr>
              <w:spacing w:after="0"/>
              <w:rPr>
                <w:sz w:val="1"/>
                <w:szCs w:val="1"/>
                <w:color w:val="auto"/>
              </w:rPr>
            </w:pPr>
          </w:p>
        </w:tc>
      </w:tr>
      <w:tr>
        <w:trPr>
          <w:trHeight w:val="198"/>
        </w:trPr>
        <w:tc>
          <w:tcPr>
            <w:tcW w:w="29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000" w:type="dxa"/>
            <w:vAlign w:val="bottom"/>
            <w:tcBorders>
              <w:bottom w:val="single" w:sz="8" w:color="auto"/>
            </w:tcBorders>
          </w:tcPr>
          <w:p>
            <w:pPr>
              <w:jc w:val="right"/>
              <w:ind w:right="584"/>
              <w:spacing w:after="0"/>
              <w:rPr>
                <w:sz w:val="20"/>
                <w:szCs w:val="20"/>
                <w:color w:val="auto"/>
              </w:rPr>
            </w:pPr>
            <w:r>
              <w:rPr>
                <w:rFonts w:ascii="Arial" w:cs="Arial" w:eastAsia="Arial" w:hAnsi="Arial"/>
                <w:sz w:val="15"/>
                <w:szCs w:val="15"/>
                <w:b w:val="1"/>
                <w:bCs w:val="1"/>
                <w:color w:val="auto"/>
              </w:rPr>
              <w:t>Purchased</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Share</w:t>
            </w:r>
          </w:p>
        </w:tc>
        <w:tc>
          <w:tcPr>
            <w:tcW w:w="100" w:type="dxa"/>
            <w:vAlign w:val="bottom"/>
            <w:tcBorders>
              <w:bottom w:val="single" w:sz="8" w:color="CCEEFF"/>
            </w:tcBorders>
          </w:tcPr>
          <w:p>
            <w:pPr>
              <w:spacing w:after="0"/>
              <w:rPr>
                <w:sz w:val="17"/>
                <w:szCs w:val="17"/>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Announced Program (a)</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rPr>
              <w:t>under the Program</w:t>
            </w:r>
          </w:p>
        </w:tc>
        <w:tc>
          <w:tcPr>
            <w:tcW w:w="0" w:type="dxa"/>
            <w:vAlign w:val="bottom"/>
          </w:tcPr>
          <w:p>
            <w:pPr>
              <w:spacing w:after="0"/>
              <w:rPr>
                <w:sz w:val="1"/>
                <w:szCs w:val="1"/>
                <w:color w:val="auto"/>
              </w:rPr>
            </w:pPr>
          </w:p>
        </w:tc>
      </w:tr>
      <w:tr>
        <w:trPr>
          <w:trHeight w:val="195"/>
        </w:trPr>
        <w:tc>
          <w:tcPr>
            <w:tcW w:w="3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October 1 through October 31</w:t>
            </w: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62,447</w:t>
            </w:r>
          </w:p>
        </w:tc>
        <w:tc>
          <w:tcPr>
            <w:tcW w:w="440" w:type="dxa"/>
            <w:vAlign w:val="bottom"/>
            <w:gridSpan w:val="2"/>
            <w:shd w:val="clear" w:color="auto" w:fill="CCEEFF"/>
          </w:tcPr>
          <w:p>
            <w:pPr>
              <w:jc w:val="right"/>
              <w:ind w:right="184"/>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16.81</w:t>
            </w: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62,447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37,744,939</w:t>
            </w:r>
          </w:p>
        </w:tc>
        <w:tc>
          <w:tcPr>
            <w:tcW w:w="0" w:type="dxa"/>
            <w:vAlign w:val="bottom"/>
          </w:tcPr>
          <w:p>
            <w:pPr>
              <w:spacing w:after="0"/>
              <w:rPr>
                <w:sz w:val="1"/>
                <w:szCs w:val="1"/>
                <w:color w:val="auto"/>
              </w:rPr>
            </w:pPr>
          </w:p>
        </w:tc>
      </w:tr>
      <w:tr>
        <w:trPr>
          <w:trHeight w:val="195"/>
        </w:trPr>
        <w:tc>
          <w:tcPr>
            <w:tcW w:w="3000" w:type="dxa"/>
            <w:vAlign w:val="bottom"/>
            <w:gridSpan w:val="2"/>
          </w:tcPr>
          <w:p>
            <w:pPr>
              <w:spacing w:after="0"/>
              <w:rPr>
                <w:sz w:val="20"/>
                <w:szCs w:val="20"/>
                <w:color w:val="auto"/>
              </w:rPr>
            </w:pPr>
            <w:r>
              <w:rPr>
                <w:rFonts w:ascii="Arial" w:cs="Arial" w:eastAsia="Arial" w:hAnsi="Arial"/>
                <w:sz w:val="15"/>
                <w:szCs w:val="15"/>
                <w:color w:val="auto"/>
              </w:rPr>
              <w:t>November 1 through November 30</w:t>
            </w:r>
          </w:p>
        </w:tc>
        <w:tc>
          <w:tcPr>
            <w:tcW w:w="2000" w:type="dxa"/>
            <w:vAlign w:val="bottom"/>
          </w:tcPr>
          <w:p>
            <w:pPr>
              <w:jc w:val="right"/>
              <w:spacing w:after="0"/>
              <w:rPr>
                <w:sz w:val="20"/>
                <w:szCs w:val="20"/>
                <w:color w:val="auto"/>
              </w:rPr>
            </w:pPr>
            <w:r>
              <w:rPr>
                <w:rFonts w:ascii="Arial" w:cs="Arial" w:eastAsia="Arial" w:hAnsi="Arial"/>
                <w:sz w:val="15"/>
                <w:szCs w:val="15"/>
                <w:color w:val="auto"/>
              </w:rPr>
              <w:t>84,418</w:t>
            </w:r>
          </w:p>
        </w:tc>
        <w:tc>
          <w:tcPr>
            <w:tcW w:w="440" w:type="dxa"/>
            <w:vAlign w:val="bottom"/>
            <w:gridSpan w:val="2"/>
          </w:tcPr>
          <w:p>
            <w:pPr>
              <w:jc w:val="right"/>
              <w:ind w:right="184"/>
              <w:spacing w:after="0"/>
              <w:rPr>
                <w:sz w:val="20"/>
                <w:szCs w:val="20"/>
                <w:color w:val="auto"/>
              </w:rPr>
            </w:pPr>
            <w:r>
              <w:rPr>
                <w:rFonts w:ascii="Arial" w:cs="Arial" w:eastAsia="Arial" w:hAnsi="Arial"/>
                <w:sz w:val="15"/>
                <w:szCs w:val="15"/>
                <w:color w:val="auto"/>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15.83</w:t>
            </w:r>
          </w:p>
        </w:tc>
        <w:tc>
          <w:tcPr>
            <w:tcW w:w="1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5"/>
                <w:szCs w:val="15"/>
                <w:color w:val="auto"/>
              </w:rPr>
              <w:t>84,418</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220" w:type="dxa"/>
            <w:vAlign w:val="bottom"/>
          </w:tcPr>
          <w:p>
            <w:pPr>
              <w:jc w:val="right"/>
              <w:spacing w:after="0"/>
              <w:rPr>
                <w:sz w:val="20"/>
                <w:szCs w:val="20"/>
                <w:color w:val="auto"/>
              </w:rPr>
            </w:pPr>
            <w:r>
              <w:rPr>
                <w:rFonts w:ascii="Arial" w:cs="Arial" w:eastAsia="Arial" w:hAnsi="Arial"/>
                <w:sz w:val="15"/>
                <w:szCs w:val="15"/>
                <w:color w:val="auto"/>
              </w:rPr>
              <w:t>36,408,986</w:t>
            </w:r>
          </w:p>
        </w:tc>
        <w:tc>
          <w:tcPr>
            <w:tcW w:w="0" w:type="dxa"/>
            <w:vAlign w:val="bottom"/>
          </w:tcPr>
          <w:p>
            <w:pPr>
              <w:spacing w:after="0"/>
              <w:rPr>
                <w:sz w:val="1"/>
                <w:szCs w:val="1"/>
                <w:color w:val="auto"/>
              </w:rPr>
            </w:pPr>
          </w:p>
        </w:tc>
      </w:tr>
      <w:tr>
        <w:trPr>
          <w:trHeight w:val="198"/>
        </w:trPr>
        <w:tc>
          <w:tcPr>
            <w:tcW w:w="3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December 1 through December 31</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124,217</w:t>
            </w:r>
          </w:p>
        </w:tc>
        <w:tc>
          <w:tcPr>
            <w:tcW w:w="440" w:type="dxa"/>
            <w:vAlign w:val="bottom"/>
            <w:tcBorders>
              <w:bottom w:val="single" w:sz="8" w:color="CCEEFF"/>
            </w:tcBorders>
            <w:gridSpan w:val="2"/>
            <w:shd w:val="clear" w:color="auto" w:fill="CCEEFF"/>
          </w:tcPr>
          <w:p>
            <w:pPr>
              <w:jc w:val="right"/>
              <w:ind w:right="184"/>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15.90</w:t>
            </w:r>
          </w:p>
        </w:tc>
        <w:tc>
          <w:tcPr>
            <w:tcW w:w="10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124,217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34,434,199</w:t>
            </w:r>
          </w:p>
        </w:tc>
        <w:tc>
          <w:tcPr>
            <w:tcW w:w="0" w:type="dxa"/>
            <w:vAlign w:val="bottom"/>
          </w:tcPr>
          <w:p>
            <w:pPr>
              <w:spacing w:after="0"/>
              <w:rPr>
                <w:sz w:val="1"/>
                <w:szCs w:val="1"/>
                <w:color w:val="auto"/>
              </w:rPr>
            </w:pPr>
          </w:p>
        </w:tc>
      </w:tr>
      <w:tr>
        <w:trPr>
          <w:trHeight w:val="195"/>
        </w:trPr>
        <w:tc>
          <w:tcPr>
            <w:tcW w:w="3000" w:type="dxa"/>
            <w:vAlign w:val="bottom"/>
            <w:gridSpan w:val="2"/>
          </w:tcPr>
          <w:p>
            <w:pPr>
              <w:spacing w:after="0"/>
              <w:rPr>
                <w:sz w:val="20"/>
                <w:szCs w:val="20"/>
                <w:color w:val="auto"/>
              </w:rPr>
            </w:pPr>
            <w:r>
              <w:rPr>
                <w:rFonts w:ascii="Arial" w:cs="Arial" w:eastAsia="Arial" w:hAnsi="Arial"/>
                <w:sz w:val="15"/>
                <w:szCs w:val="15"/>
                <w:color w:val="auto"/>
              </w:rPr>
              <w:t>Total</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271,082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271,082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ind w:left="540" w:right="20" w:hanging="273"/>
        <w:spacing w:after="0" w:line="285" w:lineRule="auto"/>
        <w:tabs>
          <w:tab w:leader="none" w:pos="537" w:val="left"/>
        </w:tabs>
        <w:numPr>
          <w:ilvl w:val="0"/>
          <w:numId w:val="15"/>
        </w:numPr>
        <w:rPr>
          <w:rFonts w:ascii="Arial" w:cs="Arial" w:eastAsia="Arial" w:hAnsi="Arial"/>
          <w:sz w:val="15"/>
          <w:szCs w:val="15"/>
          <w:color w:val="auto"/>
        </w:rPr>
      </w:pPr>
      <w:r>
        <w:rPr>
          <w:rFonts w:ascii="Arial" w:cs="Arial" w:eastAsia="Arial" w:hAnsi="Arial"/>
          <w:sz w:val="15"/>
          <w:szCs w:val="15"/>
          <w:color w:val="auto"/>
        </w:rPr>
        <w:t>On August 18, 2021, the Company’s Board of Directors approved a stock repurchase program (the “Repurchase Program”) that authorizes the Company to purchase up to $40.0 million. The Repurchase Program does not have an expiration date.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335" w:right="319" w:bottom="1440" w:gutter="0" w:footer="0" w:header="0"/>
        </w:sectPr>
      </w:pPr>
    </w:p>
    <w:bookmarkStart w:id="27" w:name="page28"/>
    <w:bookmarkEnd w:id="27"/>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0"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b w:val="1"/>
          <w:bCs w:val="1"/>
          <w:color w:val="auto"/>
        </w:rPr>
        <w:t>ITEM 6.</w:t>
        <w:tab/>
        <w:t>SELECTED FINANCIAL DATA</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Reserved.</w:t>
      </w:r>
    </w:p>
    <w:p>
      <w:pPr>
        <w:spacing w:after="0" w:line="240" w:lineRule="exact"/>
        <w:rPr>
          <w:sz w:val="20"/>
          <w:szCs w:val="20"/>
          <w:color w:val="auto"/>
        </w:rPr>
      </w:pPr>
    </w:p>
    <w:p>
      <w:pPr>
        <w:jc w:val="right"/>
        <w:ind w:right="443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0139"/>
          </w:cols>
          <w:pgMar w:left="320" w:top="129" w:right="1440" w:bottom="1440" w:gutter="0" w:footer="0" w:header="0"/>
        </w:sectPr>
      </w:pPr>
    </w:p>
    <w:bookmarkStart w:id="28" w:name="page29"/>
    <w:bookmarkEnd w:id="28"/>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0"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b w:val="1"/>
          <w:bCs w:val="1"/>
          <w:color w:val="auto"/>
        </w:rPr>
        <w:t>ITEM 7.</w:t>
        <w:tab/>
        <w:t>MANAGEMENT’S DISCUSSION AND ANALYSIS OF FINANCIAL CONDITION AND RESULTS OF OPERATIONS</w:t>
      </w:r>
    </w:p>
    <w:p>
      <w:pPr>
        <w:spacing w:after="0" w:line="199" w:lineRule="exact"/>
        <w:rPr>
          <w:sz w:val="20"/>
          <w:szCs w:val="20"/>
          <w:color w:val="auto"/>
        </w:rPr>
      </w:pPr>
    </w:p>
    <w:p>
      <w:pPr>
        <w:jc w:val="both"/>
        <w:ind w:firstLine="275"/>
        <w:spacing w:after="0" w:line="280" w:lineRule="auto"/>
        <w:rPr>
          <w:sz w:val="20"/>
          <w:szCs w:val="20"/>
          <w:color w:val="auto"/>
        </w:rPr>
      </w:pPr>
      <w:r>
        <w:rPr>
          <w:rFonts w:ascii="Arial" w:cs="Arial" w:eastAsia="Arial" w:hAnsi="Arial"/>
          <w:sz w:val="14"/>
          <w:szCs w:val="14"/>
          <w:i w:val="1"/>
          <w:iCs w:val="1"/>
          <w:color w:val="auto"/>
        </w:rPr>
        <w:t>The objectives of our Management’s Discussion and Analysis of Financial Condition and Results of Operations are to provide users of our consolidated financial statements with a narrative explanation from the perspective of management of our financial condition, results of operations, cash flows, liquidity and certain other factors that may affect future results. This Management’s Discussion and Analysis of Financial Condition and Results of Operations should be read in conjunction with our Consolidated Financial Statements and related Notes included elsewhere in this Annual Report on Form 10-K. This Annual Report on Form 10-K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other sections of this Annual Report on Form 10-K. See “Special Note Regarding Forward-Looking Statements” for additional factors relating to such statements and see “Risk Factors” included in Item 1A of this Annual Report on Form 10-K. Our past operating results are not necessarily indicative of operating results in any future periods.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99" w:lineRule="exact"/>
        <w:rPr>
          <w:sz w:val="20"/>
          <w:szCs w:val="20"/>
          <w:color w:val="auto"/>
        </w:rPr>
      </w:pPr>
    </w:p>
    <w:p>
      <w:pPr>
        <w:jc w:val="both"/>
        <w:ind w:firstLine="275"/>
        <w:spacing w:after="0" w:line="280" w:lineRule="auto"/>
        <w:rPr>
          <w:sz w:val="20"/>
          <w:szCs w:val="20"/>
          <w:color w:val="auto"/>
        </w:rPr>
      </w:pPr>
      <w:r>
        <w:rPr>
          <w:rFonts w:ascii="Arial" w:cs="Arial" w:eastAsia="Arial" w:hAnsi="Arial"/>
          <w:sz w:val="14"/>
          <w:szCs w:val="14"/>
          <w:color w:val="auto"/>
        </w:rPr>
        <w:t>We are a leading omnichannel money remittance service company focused primarily on the United States of America (“United States” or “U.S.”) to Latin America and the Caribbean (“LAC”) corridor, which includes Mexico, Central and South America and the Caribbean. In recent years, we expanded our services to allow remittances to Africa and Asia from the United States and from Canada to Latin America and Africa. We utilize our proprietary technology to deliver convenient, reliable and value-added services to our customers through a broad network of sending and paying agents. Our remittance services, which include a comprehensive suite of ancillary financial processing solutions and payment services, are available in all 50 states in the U.S., Washington D.C., Puerto Rico and 13 provinces in Canada, where customers can send money to beneficiaries in 17 LAC countries, eight countries in Africa and two countries in Asia. Our services are accessible in person through over 100,000 independent sending and paying agents and 36 Company-operated stores, as well as online and via Internet-enabled mobile devices. Additionally, our product and service portfolio include online payment options, pre-paid debit cards and direct deposit payroll cards, which may present different cost, demand, regulatory and risk profiles relative to our core money remittance business.</w:t>
      </w:r>
    </w:p>
    <w:p>
      <w:pPr>
        <w:spacing w:after="0" w:line="172" w:lineRule="exact"/>
        <w:rPr>
          <w:sz w:val="20"/>
          <w:szCs w:val="20"/>
          <w:color w:val="auto"/>
        </w:rPr>
      </w:pPr>
    </w:p>
    <w:p>
      <w:pPr>
        <w:jc w:val="both"/>
        <w:ind w:firstLine="275"/>
        <w:spacing w:after="0" w:line="281" w:lineRule="auto"/>
        <w:rPr>
          <w:sz w:val="20"/>
          <w:szCs w:val="20"/>
          <w:color w:val="auto"/>
        </w:rPr>
      </w:pPr>
      <w:r>
        <w:rPr>
          <w:rFonts w:ascii="Arial" w:cs="Arial" w:eastAsia="Arial" w:hAnsi="Arial"/>
          <w:sz w:val="14"/>
          <w:szCs w:val="14"/>
          <w:color w:val="auto"/>
        </w:rPr>
        <w:t>Money remittance services to LAC countries, mainly Mexico and Guatemala, are the primary source of our revenue. These services involve the movement of funds on behalf of an originating customer for receipt by a designated beneficiary at a designated receiving location. Our remittances to LAC countries are primarily generated in the United States by customers with roots in Latin American and Caribbean countries, many of whom do not have an existing relationship with a traditional full-service financial institution capable of providing the services we offer. We provide these customers with flexibility and convenience to help them meet their financial needs. We believe many of our customers who use our services may have access to traditional banking services, but prefer to use our services based on reliability, convenience and value. We generate money remittance revenue from fees paid by our customers (i.e., the senders of funds), which we share with our sending agents in the originating country and our paying agents in the destination country. Remittances paid in local currencies that are not pegged to the U.S. dollar can also generate revenue if we are successful in our daily management of currency exchange spreads.</w:t>
      </w:r>
    </w:p>
    <w:p>
      <w:pPr>
        <w:spacing w:after="0" w:line="172" w:lineRule="exact"/>
        <w:rPr>
          <w:sz w:val="20"/>
          <w:szCs w:val="20"/>
          <w:color w:val="auto"/>
        </w:rPr>
      </w:pPr>
    </w:p>
    <w:p>
      <w:pPr>
        <w:jc w:val="both"/>
        <w:ind w:firstLine="275"/>
        <w:spacing w:after="0" w:line="283" w:lineRule="auto"/>
        <w:rPr>
          <w:sz w:val="20"/>
          <w:szCs w:val="20"/>
          <w:color w:val="auto"/>
        </w:rPr>
      </w:pPr>
      <w:r>
        <w:rPr>
          <w:rFonts w:ascii="Arial" w:cs="Arial" w:eastAsia="Arial" w:hAnsi="Arial"/>
          <w:sz w:val="14"/>
          <w:szCs w:val="14"/>
          <w:color w:val="auto"/>
        </w:rPr>
        <w:t>Our money remittance services enable our customers to send funds through our broad network of locations in the United States and Canada that are primarily operated by third-party businesses, as well as through our Company-operated stores. Transactions are processed and payment is collected by our agent (“sending agent(s)”) and those funds become available for pickup by the beneficiary at the designated destination, usually within minutes, at any Intermex payer location (“paying agent(s)”). We refer to our sending agents and our paying agents collectively as agents. In addition, our services are offered digitally through Intermexonline.com and via Internet-enabled mobile devices. During the three years ended December 31, 2021, we have grown our agent network by approximately 35.2% and increased our principal amount sent by more than 65.5%. In 2021, we processed approximately 40.1 million remittances, representing over 25.4% growth in transactions as compared to 2020.</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COVID-19 Update</w:t>
      </w:r>
    </w:p>
    <w:p>
      <w:pPr>
        <w:spacing w:after="0" w:line="199" w:lineRule="exact"/>
        <w:rPr>
          <w:sz w:val="20"/>
          <w:szCs w:val="20"/>
          <w:color w:val="auto"/>
        </w:rPr>
      </w:pPr>
    </w:p>
    <w:p>
      <w:pPr>
        <w:jc w:val="both"/>
        <w:ind w:firstLine="275"/>
        <w:spacing w:after="0" w:line="260" w:lineRule="auto"/>
        <w:rPr>
          <w:sz w:val="20"/>
          <w:szCs w:val="20"/>
          <w:color w:val="auto"/>
        </w:rPr>
      </w:pPr>
      <w:r>
        <w:rPr>
          <w:rFonts w:ascii="Arial" w:cs="Arial" w:eastAsia="Arial" w:hAnsi="Arial"/>
          <w:sz w:val="15"/>
          <w:szCs w:val="15"/>
          <w:color w:val="auto"/>
        </w:rPr>
        <w:t>During March 2020, a global pandemic was declared by the World Health Organization related to the rapidly growing outbreak of a novel strain of coronavirus (“COVID-19”). The pandemic has had and continues to have a significant effect on economic conditions in the United States, as the efforts of federal, state, local and foreign governments to react to the public health crisis with mitigation measures have created and continue to cause significant uncertainties in the U.S. and global economy, particularly as new variants of COVID-19 appear to be causing an increase in COVID-19 cases in certain places around the world. The extent to which the COVID-19 pandemic and its variants affect our business, operations and financial results depends, and will continue to depend, on numerous evolving factors that we may not be able to accurately predict such as the reduction or reimposition by government and health authorities of restrictions and progress in and effectiveness of vaccination efforts in the United States or in the countries in which we operate and conduct business.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9" w:name="page30"/>
    <w:bookmarkEnd w:id="29"/>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4" w:lineRule="exact"/>
        <w:rPr>
          <w:sz w:val="20"/>
          <w:szCs w:val="20"/>
          <w:color w:val="auto"/>
        </w:rPr>
      </w:pPr>
    </w:p>
    <w:p>
      <w:pPr>
        <w:jc w:val="both"/>
        <w:ind w:firstLine="275"/>
        <w:spacing w:after="0" w:line="261" w:lineRule="auto"/>
        <w:rPr>
          <w:sz w:val="20"/>
          <w:szCs w:val="20"/>
          <w:color w:val="auto"/>
        </w:rPr>
      </w:pPr>
      <w:r>
        <w:rPr>
          <w:rFonts w:ascii="Arial" w:cs="Arial" w:eastAsia="Arial" w:hAnsi="Arial"/>
          <w:sz w:val="15"/>
          <w:szCs w:val="15"/>
          <w:color w:val="auto"/>
        </w:rPr>
        <w:t>In response to the pandemic, our top priority continues being to take appropriate actions to protect the health and safety of our employees. We have adjusted standard operating procedures within our business operations to ensure continued worker safety, and are continually monitoring evolving health guidelines and responding to changes as appropriate. These procedures include reconfiguring facilities to reduce employee density, expanded and more frequent cleaning within facilities, implementation of appropriate and mandated hybrid-mode work, distancing programs, employee temperature monitoring, frequent testing and requiring use of certain personal protective equipment at our call centers in Mexico and Guatemala. As of December 31, 2021, all of our facilities are open and operating with adjustments to ensure compliance with social distancing and facial covering recommendations and requirements established by state and local regulations.</w:t>
      </w:r>
    </w:p>
    <w:p>
      <w:pPr>
        <w:spacing w:after="0" w:line="182" w:lineRule="exact"/>
        <w:rPr>
          <w:sz w:val="20"/>
          <w:szCs w:val="20"/>
          <w:color w:val="auto"/>
        </w:rPr>
      </w:pPr>
    </w:p>
    <w:p>
      <w:pPr>
        <w:jc w:val="both"/>
        <w:ind w:firstLine="275"/>
        <w:spacing w:after="0" w:line="290" w:lineRule="auto"/>
        <w:rPr>
          <w:sz w:val="20"/>
          <w:szCs w:val="20"/>
          <w:color w:val="auto"/>
        </w:rPr>
      </w:pPr>
      <w:r>
        <w:rPr>
          <w:rFonts w:ascii="Arial" w:cs="Arial" w:eastAsia="Arial" w:hAnsi="Arial"/>
          <w:sz w:val="14"/>
          <w:szCs w:val="14"/>
          <w:color w:val="auto"/>
        </w:rPr>
        <w:t>Notwithstanding the operational challenges created by the pandemic, our business continues to function and, to date, our customer service has not been adversely affected in any material respect. Nevertheless, the COVID-19 pandemic continues to pose the risk that we or our employees, sending and paying agents, as well as consumers and their beneficiaries, are or may become further restricted from conducting business activities, partially or completely, for an indefinite period of time, including due to shutdowns requested or mandated by governmental authorities or imposed by our management, or that the pandemic may otherwise interrupt or impair business activities.</w:t>
      </w:r>
    </w:p>
    <w:p>
      <w:pPr>
        <w:spacing w:after="0" w:line="162" w:lineRule="exact"/>
        <w:rPr>
          <w:sz w:val="20"/>
          <w:szCs w:val="20"/>
          <w:color w:val="auto"/>
        </w:rPr>
      </w:pPr>
    </w:p>
    <w:p>
      <w:pPr>
        <w:jc w:val="both"/>
        <w:ind w:firstLine="275"/>
        <w:spacing w:after="0" w:line="279" w:lineRule="auto"/>
        <w:rPr>
          <w:sz w:val="20"/>
          <w:szCs w:val="20"/>
          <w:color w:val="auto"/>
        </w:rPr>
      </w:pPr>
      <w:r>
        <w:rPr>
          <w:rFonts w:ascii="Arial" w:cs="Arial" w:eastAsia="Arial" w:hAnsi="Arial"/>
          <w:sz w:val="14"/>
          <w:szCs w:val="14"/>
          <w:color w:val="auto"/>
        </w:rPr>
        <w:t>Although certain measures that restrict the normal course of operations of businesses and consumers were still in place for the year ended December 31, 2021, such measures did not have a material adverse effect on the Company’s financial condition, results of operations and cash flows for the year ended December 31, 2021. Notwithstanding the foregoing, the Company’s business is dependent upon the willingness and ability of its employees, network of agents and consumers to conduct money transfer services and the ultimate effects of the economic disruption caused by the pandemic and responses thereto. Although the Company’s operations continued effectively despite social distancing and other measures taken in response to the pandemic, the ultimate impact of the COVID-19 pandemic on our financial condition, results of operations and cash flows is subject to future developments, including the duration of the pandemic and the related extent of its severity, as well as its impact on the economic conditions, particularly the level of unemployment of our customers, inflation, interest rate levels and foreign exchange volatility, all of which remain uncertain and cannot be predicted at this time. If the global response to contain and remedy the COVID-19 pandemic escalates further or is unsuccessful, or if governmental decisions to ease pandemic related restrictions are ineffective, premature or counterproductive, the Company could experience a material adverse effect on its financial condition, results of operations and cash flows.</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Further quantification and discussion of these pandemic related effects, to the extent relevant and material, are included in the discussion of results of operations below.</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Factors and Trends Affecting our Business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Various trends and other factors have affected and may continue to affect our business, financial condition and operating results, including, but not limited to:</w:t>
      </w:r>
    </w:p>
    <w:p>
      <w:pPr>
        <w:spacing w:after="0" w:line="218" w:lineRule="exact"/>
        <w:rPr>
          <w:sz w:val="20"/>
          <w:szCs w:val="20"/>
          <w:color w:val="auto"/>
        </w:rPr>
      </w:pPr>
    </w:p>
    <w:p>
      <w:pPr>
        <w:ind w:left="740" w:hanging="198"/>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public health conditions, including the COVID-19 pandemic, responses thereto and the economic and market effects thereof;</w:t>
      </w:r>
    </w:p>
    <w:p>
      <w:pPr>
        <w:spacing w:after="0" w:line="217" w:lineRule="exact"/>
        <w:rPr>
          <w:rFonts w:ascii="Arial" w:cs="Arial" w:eastAsia="Arial" w:hAnsi="Arial"/>
          <w:sz w:val="15"/>
          <w:szCs w:val="15"/>
          <w:color w:val="auto"/>
        </w:rPr>
      </w:pPr>
    </w:p>
    <w:p>
      <w:pPr>
        <w:ind w:left="740" w:hanging="198"/>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competition in the markets in which we operate;</w:t>
      </w:r>
    </w:p>
    <w:p>
      <w:pPr>
        <w:spacing w:after="0" w:line="217" w:lineRule="exact"/>
        <w:rPr>
          <w:rFonts w:ascii="Arial" w:cs="Arial" w:eastAsia="Arial" w:hAnsi="Arial"/>
          <w:sz w:val="15"/>
          <w:szCs w:val="15"/>
          <w:color w:val="auto"/>
        </w:rPr>
      </w:pPr>
    </w:p>
    <w:p>
      <w:pPr>
        <w:ind w:left="740" w:hanging="198"/>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volatility in foreign exchange rates that could affect the volume of consumer remittance activity and/or affect our foreign exchange related gains and losses;</w:t>
      </w:r>
    </w:p>
    <w:p>
      <w:pPr>
        <w:spacing w:after="0" w:line="217" w:lineRule="exact"/>
        <w:rPr>
          <w:rFonts w:ascii="Arial" w:cs="Arial" w:eastAsia="Arial" w:hAnsi="Arial"/>
          <w:sz w:val="15"/>
          <w:szCs w:val="15"/>
          <w:color w:val="auto"/>
        </w:rPr>
      </w:pPr>
    </w:p>
    <w:p>
      <w:pPr>
        <w:ind w:left="740" w:hanging="198"/>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maintain favorable banking and agent relationships necessary to conduct our business;</w:t>
      </w:r>
    </w:p>
    <w:p>
      <w:pPr>
        <w:spacing w:after="0" w:line="217" w:lineRule="exact"/>
        <w:rPr>
          <w:rFonts w:ascii="Arial" w:cs="Arial" w:eastAsia="Arial" w:hAnsi="Arial"/>
          <w:sz w:val="15"/>
          <w:szCs w:val="15"/>
          <w:color w:val="auto"/>
        </w:rPr>
      </w:pPr>
    </w:p>
    <w:p>
      <w:pPr>
        <w:ind w:left="740" w:hanging="198"/>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credit risks from our agents and the financial institutions with which we do business;</w:t>
      </w:r>
    </w:p>
    <w:p>
      <w:pPr>
        <w:spacing w:after="0" w:line="217" w:lineRule="exact"/>
        <w:rPr>
          <w:rFonts w:ascii="Arial" w:cs="Arial" w:eastAsia="Arial" w:hAnsi="Arial"/>
          <w:sz w:val="15"/>
          <w:szCs w:val="15"/>
          <w:color w:val="auto"/>
        </w:rPr>
      </w:pPr>
    </w:p>
    <w:p>
      <w:pPr>
        <w:ind w:left="740" w:hanging="198"/>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bank failures, sustained financial illiquidity, or illiquidity at our clearing, cash management or custodial financial institutions;</w:t>
      </w:r>
    </w:p>
    <w:p>
      <w:pPr>
        <w:spacing w:after="0" w:line="217" w:lineRule="exact"/>
        <w:rPr>
          <w:rFonts w:ascii="Arial" w:cs="Arial" w:eastAsia="Arial" w:hAnsi="Arial"/>
          <w:sz w:val="15"/>
          <w:szCs w:val="15"/>
          <w:color w:val="auto"/>
        </w:rPr>
      </w:pPr>
    </w:p>
    <w:p>
      <w:pPr>
        <w:ind w:left="740" w:hanging="198"/>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new technology or competitors that disrupt the current ecosystem, including by introducing digital platforms;</w:t>
      </w:r>
    </w:p>
    <w:p>
      <w:pPr>
        <w:spacing w:after="0" w:line="217" w:lineRule="exact"/>
        <w:rPr>
          <w:rFonts w:ascii="Arial" w:cs="Arial" w:eastAsia="Arial" w:hAnsi="Arial"/>
          <w:sz w:val="15"/>
          <w:szCs w:val="15"/>
          <w:color w:val="auto"/>
        </w:rPr>
      </w:pPr>
    </w:p>
    <w:p>
      <w:pPr>
        <w:ind w:left="740" w:hanging="198"/>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cyber-attacks or disruptions to our information technology, computer network systems, data centers and phone apps;</w:t>
      </w:r>
    </w:p>
    <w:p>
      <w:pPr>
        <w:spacing w:after="0" w:line="217" w:lineRule="exact"/>
        <w:rPr>
          <w:rFonts w:ascii="Arial" w:cs="Arial" w:eastAsia="Arial" w:hAnsi="Arial"/>
          <w:sz w:val="15"/>
          <w:szCs w:val="15"/>
          <w:color w:val="auto"/>
        </w:rPr>
      </w:pPr>
    </w:p>
    <w:p>
      <w:pPr>
        <w:ind w:left="740" w:hanging="198"/>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satisfy our debt obligations and remain in compliance with our credit facility requirements;</w:t>
      </w:r>
    </w:p>
    <w:p>
      <w:pPr>
        <w:spacing w:after="0" w:line="217" w:lineRule="exact"/>
        <w:rPr>
          <w:rFonts w:ascii="Arial" w:cs="Arial" w:eastAsia="Arial" w:hAnsi="Arial"/>
          <w:sz w:val="15"/>
          <w:szCs w:val="15"/>
          <w:color w:val="auto"/>
        </w:rPr>
      </w:pPr>
    </w:p>
    <w:p>
      <w:pPr>
        <w:ind w:left="740" w:hanging="198"/>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success in developing and introducing new products, services and infrastructure;</w:t>
      </w:r>
    </w:p>
    <w:p>
      <w:pPr>
        <w:spacing w:after="0" w:line="217" w:lineRule="exact"/>
        <w:rPr>
          <w:rFonts w:ascii="Arial" w:cs="Arial" w:eastAsia="Arial" w:hAnsi="Arial"/>
          <w:sz w:val="15"/>
          <w:szCs w:val="15"/>
          <w:color w:val="auto"/>
        </w:rPr>
      </w:pPr>
    </w:p>
    <w:p>
      <w:pPr>
        <w:ind w:left="740" w:hanging="198"/>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customer confidence in our brand and in consumer money transfers generally;</w:t>
      </w:r>
    </w:p>
    <w:p>
      <w:pPr>
        <w:spacing w:after="0" w:line="217" w:lineRule="exact"/>
        <w:rPr>
          <w:rFonts w:ascii="Arial" w:cs="Arial" w:eastAsia="Arial" w:hAnsi="Arial"/>
          <w:sz w:val="15"/>
          <w:szCs w:val="15"/>
          <w:color w:val="auto"/>
        </w:rPr>
      </w:pPr>
    </w:p>
    <w:p>
      <w:pPr>
        <w:ind w:left="740" w:hanging="198"/>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maintain compliance with applicable regulatory requirements;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0" w:name="page31"/>
    <w:bookmarkEnd w:id="30"/>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4" w:lineRule="exact"/>
        <w:rPr>
          <w:sz w:val="20"/>
          <w:szCs w:val="20"/>
          <w:color w:val="auto"/>
        </w:rPr>
      </w:pPr>
    </w:p>
    <w:p>
      <w:pPr>
        <w:ind w:left="740" w:hanging="198"/>
        <w:spacing w:after="0"/>
        <w:tabs>
          <w:tab w:leader="none" w:pos="7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international political factors, political stability, tariffs, border taxes or restrictions on remittances or transfers of money out of the United States and Canada;</w:t>
      </w:r>
    </w:p>
    <w:p>
      <w:pPr>
        <w:spacing w:after="0" w:line="217" w:lineRule="exact"/>
        <w:rPr>
          <w:rFonts w:ascii="Arial" w:cs="Arial" w:eastAsia="Arial" w:hAnsi="Arial"/>
          <w:sz w:val="15"/>
          <w:szCs w:val="15"/>
          <w:color w:val="auto"/>
        </w:rPr>
      </w:pPr>
    </w:p>
    <w:p>
      <w:pPr>
        <w:ind w:left="740" w:hanging="198"/>
        <w:spacing w:after="0"/>
        <w:tabs>
          <w:tab w:leader="none" w:pos="7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currency restrictions and volatility in countries in which we operate or plan to operate;</w:t>
      </w:r>
    </w:p>
    <w:p>
      <w:pPr>
        <w:spacing w:after="0" w:line="217" w:lineRule="exact"/>
        <w:rPr>
          <w:rFonts w:ascii="Arial" w:cs="Arial" w:eastAsia="Arial" w:hAnsi="Arial"/>
          <w:sz w:val="15"/>
          <w:szCs w:val="15"/>
          <w:color w:val="auto"/>
        </w:rPr>
      </w:pPr>
    </w:p>
    <w:p>
      <w:pPr>
        <w:ind w:left="740" w:hanging="198"/>
        <w:spacing w:after="0"/>
        <w:tabs>
          <w:tab w:leader="none" w:pos="7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consumer fraud and other risks relating to the authenticity of customers’ orders;</w:t>
      </w:r>
    </w:p>
    <w:p>
      <w:pPr>
        <w:spacing w:after="0" w:line="217" w:lineRule="exact"/>
        <w:rPr>
          <w:rFonts w:ascii="Arial" w:cs="Arial" w:eastAsia="Arial" w:hAnsi="Arial"/>
          <w:sz w:val="15"/>
          <w:szCs w:val="15"/>
          <w:color w:val="auto"/>
        </w:rPr>
      </w:pPr>
    </w:p>
    <w:p>
      <w:pPr>
        <w:ind w:left="740" w:hanging="198"/>
        <w:spacing w:after="0"/>
        <w:tabs>
          <w:tab w:leader="none" w:pos="7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changes in immigration laws and their enforcement;</w:t>
      </w:r>
    </w:p>
    <w:p>
      <w:pPr>
        <w:spacing w:after="0" w:line="217" w:lineRule="exact"/>
        <w:rPr>
          <w:rFonts w:ascii="Arial" w:cs="Arial" w:eastAsia="Arial" w:hAnsi="Arial"/>
          <w:sz w:val="15"/>
          <w:szCs w:val="15"/>
          <w:color w:val="auto"/>
        </w:rPr>
      </w:pPr>
    </w:p>
    <w:p>
      <w:pPr>
        <w:ind w:left="740" w:hanging="198"/>
        <w:spacing w:after="0"/>
        <w:tabs>
          <w:tab w:leader="none" w:pos="7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ability to protect our brand and intellectual property rights;</w:t>
      </w:r>
    </w:p>
    <w:p>
      <w:pPr>
        <w:spacing w:after="0" w:line="217" w:lineRule="exact"/>
        <w:rPr>
          <w:rFonts w:ascii="Arial" w:cs="Arial" w:eastAsia="Arial" w:hAnsi="Arial"/>
          <w:sz w:val="15"/>
          <w:szCs w:val="15"/>
          <w:color w:val="auto"/>
        </w:rPr>
      </w:pPr>
    </w:p>
    <w:p>
      <w:pPr>
        <w:ind w:left="740" w:hanging="198"/>
        <w:spacing w:after="0"/>
        <w:tabs>
          <w:tab w:leader="none" w:pos="7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weakness in U.S. or international economic conditions;</w:t>
      </w:r>
    </w:p>
    <w:p>
      <w:pPr>
        <w:spacing w:after="0" w:line="217" w:lineRule="exact"/>
        <w:rPr>
          <w:rFonts w:ascii="Arial" w:cs="Arial" w:eastAsia="Arial" w:hAnsi="Arial"/>
          <w:sz w:val="15"/>
          <w:szCs w:val="15"/>
          <w:color w:val="auto"/>
        </w:rPr>
      </w:pPr>
    </w:p>
    <w:p>
      <w:pPr>
        <w:ind w:left="740" w:hanging="198"/>
        <w:spacing w:after="0"/>
        <w:tabs>
          <w:tab w:leader="none" w:pos="7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changes in tax laws; and</w:t>
      </w:r>
    </w:p>
    <w:p>
      <w:pPr>
        <w:spacing w:after="0" w:line="217" w:lineRule="exact"/>
        <w:rPr>
          <w:rFonts w:ascii="Arial" w:cs="Arial" w:eastAsia="Arial" w:hAnsi="Arial"/>
          <w:sz w:val="15"/>
          <w:szCs w:val="15"/>
          <w:color w:val="auto"/>
        </w:rPr>
      </w:pPr>
    </w:p>
    <w:p>
      <w:pPr>
        <w:ind w:left="740" w:hanging="198"/>
        <w:spacing w:after="0"/>
        <w:tabs>
          <w:tab w:leader="none" w:pos="7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ability to recruit and retain key personnel.</w:t>
      </w:r>
    </w:p>
    <w:p>
      <w:pPr>
        <w:spacing w:after="0" w:line="218"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4"/>
          <w:szCs w:val="14"/>
          <w:color w:val="auto"/>
        </w:rPr>
        <w:t>Latin American political and economic conditions continue being unstable, as evidenced by high unemployment rates in key markets, currency reserves, currency controls, restricted lending activity, weak currencies and low consumer confidence, some of which reflects the impact of the COVID-19 pandemic, among other factors. Specifically, continued political and economic unrest in parts of Mexico and some countries in South America contributed to volatility. Our business has generally been resilient during times of economic instability as money remittances are essential to many recipients, with the funds used by the receiving parties for their daily needs; however, long-term sustained appreciation of the Mexican peso or Guatemalan quetzal as compared to the U.S. dollar could negatively affect our revenues and profitability.</w:t>
      </w:r>
    </w:p>
    <w:p>
      <w:pPr>
        <w:spacing w:after="0" w:line="168" w:lineRule="exact"/>
        <w:rPr>
          <w:sz w:val="20"/>
          <w:szCs w:val="20"/>
          <w:color w:val="auto"/>
        </w:rPr>
      </w:pPr>
    </w:p>
    <w:p>
      <w:pPr>
        <w:jc w:val="both"/>
        <w:ind w:firstLine="275"/>
        <w:spacing w:after="0" w:line="261" w:lineRule="auto"/>
        <w:rPr>
          <w:sz w:val="20"/>
          <w:szCs w:val="20"/>
          <w:color w:val="auto"/>
        </w:rPr>
      </w:pPr>
      <w:r>
        <w:rPr>
          <w:rFonts w:ascii="Arial" w:cs="Arial" w:eastAsia="Arial" w:hAnsi="Arial"/>
          <w:sz w:val="15"/>
          <w:szCs w:val="15"/>
          <w:color w:val="auto"/>
        </w:rPr>
        <w:t>Money remittance businesses have continued to be subject to strict legal and regulatory requirements, and we continue to focus on and regularly review our compliance programs. In connection with these reviews, and in light of regulatory complexity and heightened attention of governmental and regulatory authorities related to cybersecurity and compliance activities, we have made, and continue to make, enhancements to our processes and systems designed to detect and prevent cyber-attacks, consumer fraud, money laundering, terrorist financing and other illicit activities, along with enhancements to improve consumer protection, including the Dodd-Frank Wall Street Reform and Consumer Protection Act and similar regulations outside the United States. In coming periods, we expect these and future enhancements will continue to result in changes to certain of our business practices and may result in increased costs.</w:t>
      </w:r>
    </w:p>
    <w:p>
      <w:pPr>
        <w:spacing w:after="0" w:line="182"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We maintain a compliance department, the responsibility of which is to monitor transactions, detect and report suspicious activity, maintain appropriate records and train our employees and agents. An independent third-party periodically reviews our policies and procedures and performs independent testing to assess the effectiveness of our anti-money laundering and Bank Secrecy Act compliance program. We also maintain a regulatory affairs and licensing department, under the direction of our Chief Operating Officer, whose responsibility is to manage regulatory affairs and licensing.</w:t>
      </w:r>
    </w:p>
    <w:p>
      <w:pPr>
        <w:spacing w:after="0" w:line="179"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4"/>
          <w:szCs w:val="14"/>
          <w:color w:val="auto"/>
        </w:rPr>
        <w:t>The market for money remittance services is very competitive. Our competitors include a small number of large money remittance providers, financial institutions, banks and a large number of small niche money remittance service providers that serve select regions. We compete with larger companies, such as Western Union, MoneyGram and Euronet, and a number of other smaller MSB entities. We generally compete for money remittance agents on the basis of value, service, quality, technical and operational differences, commission structure and marketing efforts. As a philosophy, we sell credible solutions to our sending agents, not discounts or higher commissions, as is typical for the industry. We compete for money remittance customers on the basis of trust, convenience, service, efficiency of outlets, value, technology and brand recognition.</w:t>
      </w:r>
    </w:p>
    <w:p>
      <w:pPr>
        <w:spacing w:after="0" w:line="168"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We have encountered and continue to expect to encounter increasing competition as new electronic platforms emerge that enable customers to send and receive money through a variety of channels, but we do not expect adoption rates to be as significant in the near term for the customer segment we serve. Regardless, we continue to innovate in the industry by differentiating our money remittance business through programs to foster loyalty among agents as well as customers and have expanded our channels through which our services are accessed to include online and mobile offerings which are experiencing customer adoption.</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We Assess the Performance of Our Business</w:t>
      </w:r>
    </w:p>
    <w:p>
      <w:pPr>
        <w:spacing w:after="0" w:line="199" w:lineRule="exact"/>
        <w:rPr>
          <w:sz w:val="20"/>
          <w:szCs w:val="20"/>
          <w:color w:val="auto"/>
        </w:rPr>
      </w:pPr>
    </w:p>
    <w:p>
      <w:pPr>
        <w:jc w:val="both"/>
        <w:ind w:firstLine="275"/>
        <w:spacing w:after="0" w:line="262" w:lineRule="auto"/>
        <w:rPr>
          <w:sz w:val="20"/>
          <w:szCs w:val="20"/>
          <w:color w:val="auto"/>
        </w:rPr>
      </w:pPr>
      <w:r>
        <w:rPr>
          <w:rFonts w:ascii="Arial" w:cs="Arial" w:eastAsia="Arial" w:hAnsi="Arial"/>
          <w:sz w:val="15"/>
          <w:szCs w:val="15"/>
          <w:color w:val="auto"/>
        </w:rPr>
        <w:t>In assessing the performance of our business, we consider a variety of performance and financial measures. The key indicators of the financial condition and operating performance of our business are revenues, service charges from agents and banks, salaries and benefits, other selling, general and administrative expenses and net income. To help us assess our performance with these key indicators, we use Adjusted Net Income, Adjusted Earnings per Share and Adjusted EBITDA as non-GAAP financial measures. We believe these non-GAAP measures provide useful information to investors and expanded insight to measure our revenue and cost performance as a supplement to our U.S. GAAP consolidated financial statements. See the “Adjusted Net Income and Adjusted Earnings per Share” and “Adjusted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1" w:name="page32"/>
    <w:bookmarkEnd w:id="31"/>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EBITDA” sections below for reconciliations of these non-GAAP financial measures to net income and earnings per share, our closest GAAP measures.</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Revenues</w:t>
      </w:r>
    </w:p>
    <w:p>
      <w:pPr>
        <w:spacing w:after="0" w:line="195" w:lineRule="exact"/>
        <w:rPr>
          <w:sz w:val="20"/>
          <w:szCs w:val="20"/>
          <w:color w:val="auto"/>
        </w:rPr>
      </w:pPr>
    </w:p>
    <w:p>
      <w:pPr>
        <w:jc w:val="both"/>
        <w:ind w:firstLine="275"/>
        <w:spacing w:after="0" w:line="298" w:lineRule="auto"/>
        <w:rPr>
          <w:sz w:val="20"/>
          <w:szCs w:val="20"/>
          <w:color w:val="auto"/>
        </w:rPr>
      </w:pPr>
      <w:r>
        <w:rPr>
          <w:rFonts w:ascii="Arial" w:cs="Arial" w:eastAsia="Arial" w:hAnsi="Arial"/>
          <w:sz w:val="14"/>
          <w:szCs w:val="14"/>
          <w:color w:val="auto"/>
        </w:rPr>
        <w:t>Transaction volume is the primary generator of revenue in our business. Revenue on transactions is derived primarily from transaction fees paid by customers to transfer money. Revenues per transaction vary based upon send and receive locations and the amount sent. In certain transactions involving different send and receive currencies, we generate foreign exchange gains based on the difference between the set exchange rate charged by us to the sender and the rate available to us in the wholesale foreign exchange market.</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Service Charges from Agents and Banks</w:t>
      </w:r>
    </w:p>
    <w:p>
      <w:pPr>
        <w:spacing w:after="0" w:line="218"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Service charges primarily consist of agent commissions and bank fees. Service charges vary based on agent commission percentages and the amount of fees charged by the banks. Sending agents earn a commission on each transaction they process of approximately 50% of the transaction fee. Service charges may increase if banks or payer organizations increase their fee structure or sending agents use higher fee methods to remit funds to us. Service charges also vary based on the method the customer selects to send the transfer and the payer organization that facilitates the transaction.</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Salaries and Benefits</w:t>
      </w:r>
    </w:p>
    <w:p>
      <w:pPr>
        <w:spacing w:after="0" w:line="218" w:lineRule="exact"/>
        <w:rPr>
          <w:sz w:val="20"/>
          <w:szCs w:val="20"/>
          <w:color w:val="auto"/>
        </w:rPr>
      </w:pPr>
    </w:p>
    <w:p>
      <w:pPr>
        <w:jc w:val="both"/>
        <w:ind w:firstLine="275"/>
        <w:spacing w:after="0" w:line="262" w:lineRule="auto"/>
        <w:rPr>
          <w:sz w:val="20"/>
          <w:szCs w:val="20"/>
          <w:color w:val="auto"/>
        </w:rPr>
      </w:pPr>
      <w:r>
        <w:rPr>
          <w:rFonts w:ascii="Arial" w:cs="Arial" w:eastAsia="Arial" w:hAnsi="Arial"/>
          <w:sz w:val="15"/>
          <w:szCs w:val="15"/>
          <w:color w:val="auto"/>
        </w:rPr>
        <w:t>Salaries and benefits include cash and share-based compensation associated with our corporate employees and sales team as well as employees at our Company-operated stores. Corporate employees include management, customer service, compliance, information technology, operations, finance and human resources. Our sales team, located throughout the United States and Canada, is focused on supporting and growing our sending agent network. Share-based compensation is recognized as an expense on a straight-line basis over the requisite service period; unrecognized compensation expense related to options, restricted stock units (“RSUs”), restricted stock awards (“RSAs”) and performance stock units (“PSUs”) of approximately $8.4 million is expected to be recognized over a weighted-average period of 1.75 years.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Other Selling, General and Administrative</w:t>
      </w:r>
    </w:p>
    <w:p>
      <w:pPr>
        <w:spacing w:after="0" w:line="218" w:lineRule="exact"/>
        <w:rPr>
          <w:sz w:val="20"/>
          <w:szCs w:val="20"/>
          <w:color w:val="auto"/>
        </w:rPr>
      </w:pPr>
    </w:p>
    <w:p>
      <w:pPr>
        <w:jc w:val="both"/>
        <w:ind w:firstLine="275"/>
        <w:spacing w:after="0" w:line="262" w:lineRule="auto"/>
        <w:rPr>
          <w:sz w:val="20"/>
          <w:szCs w:val="20"/>
          <w:color w:val="auto"/>
        </w:rPr>
      </w:pPr>
      <w:r>
        <w:rPr>
          <w:rFonts w:ascii="Arial" w:cs="Arial" w:eastAsia="Arial" w:hAnsi="Arial"/>
          <w:sz w:val="15"/>
          <w:szCs w:val="15"/>
          <w:color w:val="auto"/>
        </w:rPr>
        <w:t>General and administrative expenses primarily consist of fixed overhead expenses associated with our operations, such as information technology, telecommunications, rent, insurance, professional services, non-income taxes, facilities maintenance and other similar types of operating expenses. A portion of these expenses relate to our Company-operated stores; however, the majority relate to the overall business and compliance requirements of a regulated publicly traded financial services company. Selling expenses include expenses such as advertising and promotion, provision for credit losses and expenses associated with increasing our network of agents. These expenses are expected to continue to increase at a slower pace than the increase in our revenues.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Depreciation and Amortization</w:t>
      </w:r>
    </w:p>
    <w:p>
      <w:pPr>
        <w:spacing w:after="0" w:line="218"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5"/>
          <w:szCs w:val="15"/>
          <w:color w:val="auto"/>
        </w:rPr>
        <w:t>Depreciation largely consists of depreciation of computer equipment and software that supports our technology platform. Amortization of intangible assets is primarily related to our agent relationships, trade name and developed technology.</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Non-Operating Expenses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Interest Expense</w:t>
      </w:r>
    </w:p>
    <w:p>
      <w:pPr>
        <w:spacing w:after="0" w:line="195" w:lineRule="exact"/>
        <w:rPr>
          <w:sz w:val="20"/>
          <w:szCs w:val="20"/>
          <w:color w:val="auto"/>
        </w:rPr>
      </w:pPr>
    </w:p>
    <w:p>
      <w:pPr>
        <w:jc w:val="both"/>
        <w:ind w:firstLine="275"/>
        <w:spacing w:after="0" w:line="283" w:lineRule="auto"/>
        <w:rPr>
          <w:sz w:val="20"/>
          <w:szCs w:val="20"/>
          <w:color w:val="auto"/>
        </w:rPr>
      </w:pPr>
      <w:r>
        <w:rPr>
          <w:rFonts w:ascii="Arial" w:cs="Arial" w:eastAsia="Arial" w:hAnsi="Arial"/>
          <w:sz w:val="14"/>
          <w:szCs w:val="14"/>
          <w:color w:val="auto"/>
        </w:rPr>
        <w:t>Interest expense consists primarily of interest associated with our debt, which consists of a term loan facility and a revolving credit facility. The effective average interest rates for the year ended December 31, 2021 for the term loan facility and revolving credit facility, which related to the Original Credit Agreement (as defined herein) and A&amp;R Credit Agreement (as defined herein), were 4.23% and 0.78%, respectively. Interest on the term loan and revolving credit facilities is determined by reference to either LIBOR (subject to replacement) or a “base rate”, in each case plus an applicable margin, under the A&amp;R Credit Agreement, of between 2.50% and 3.00% per annum for LIBOR loans and between 1.50% and 2.00% per annum for base rate loans depending on the level of our consolidated leverage ratio, as calculated pursuant to the terms of the A&amp;R Credit Agreement. The Company is also required to pay a fee on the unused portion of the revolving credit facility equal to 0.35% per annum.</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Income tax provision</w:t>
      </w:r>
    </w:p>
    <w:p>
      <w:pPr>
        <w:spacing w:after="0" w:line="195"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5"/>
          <w:szCs w:val="15"/>
          <w:color w:val="auto"/>
        </w:rPr>
        <w:t>Our income tax provision includes the expected benefit of all deferred tax assets, including our net operating loss carryforwards. With few exceptions, our net operating loss carryforwards will expire from 2030 through 2041. After consideration of all evidence, both positive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2" w:name="page33"/>
    <w:bookmarkEnd w:id="32"/>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and negative, management has determined that no valuation allowance is required at December 31, 2021 on the Company’s U.S. federal or state deferred tax assets; however, a valuation allowance has been recorded as of December 31, 2021 on deferred tax assets associated with Canadian net operating loss carryforwards. Our income tax provision reflects the effects of state taxes, non-deductible expenses, share-based compensation expense, and foreign tax rates applicable to the Company’s foreign subsidiaries that are higher or lower than the U.S. statutory rate.</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Net Income</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Net income is determined by subtracting operating and non-operating expenses from revenues.</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Earnings per Share</w:t>
      </w:r>
    </w:p>
    <w:p>
      <w:pPr>
        <w:spacing w:after="0" w:line="195" w:lineRule="exact"/>
        <w:rPr>
          <w:sz w:val="20"/>
          <w:szCs w:val="20"/>
          <w:color w:val="auto"/>
        </w:rPr>
      </w:pPr>
    </w:p>
    <w:p>
      <w:pPr>
        <w:jc w:val="both"/>
        <w:ind w:firstLine="275"/>
        <w:spacing w:after="0" w:line="262" w:lineRule="auto"/>
        <w:rPr>
          <w:sz w:val="20"/>
          <w:szCs w:val="20"/>
          <w:color w:val="auto"/>
        </w:rPr>
      </w:pPr>
      <w:r>
        <w:rPr>
          <w:rFonts w:ascii="Arial" w:cs="Arial" w:eastAsia="Arial" w:hAnsi="Arial"/>
          <w:sz w:val="15"/>
          <w:szCs w:val="15"/>
          <w:color w:val="auto"/>
        </w:rPr>
        <w:t>Basic earnings per share is calculated by dividing net income by the weighted-average number of common shares outstanding for each period. Diluted earnings per share is calculated by dividing net income by the weighted-average number of common shares and common share equivalents outstanding for each period. Diluted earnings per share reflects the potential dilution that could occur if outstanding stock options at the presented dates are exercised and shares of restricted stock units, restricted stock awards and performance stock units have vested, using the treasury stock method. Shares of treasury stock are not considered outstanding and therefore are excluded from the weighted average number of common shares outstanding calculation.</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Segments</w:t>
      </w:r>
    </w:p>
    <w:p>
      <w:pPr>
        <w:spacing w:after="0" w:line="195"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Our business is organized around one reportable segment that provides money transmittal services between the United States and Canada to Mexico, Guatemala and other countries in Latin America, Africa and Asia through a network of authorized agents located in various unaffiliated retail establishments and 36 Company-operated stores throughout the United States and Canada. This is based on the objectives of the business and how our chief operating decision maker, the CEO and President, monitors operating performance and allocates resources.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3" w:name="page34"/>
    <w:bookmarkEnd w:id="33"/>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following table summarizes key components of our results of operations for the periods indicated:</w:t>
      </w:r>
    </w:p>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45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ind w:left="100"/>
              <w:spacing w:after="0"/>
              <w:rPr>
                <w:sz w:val="20"/>
                <w:szCs w:val="20"/>
                <w:color w:val="auto"/>
              </w:rPr>
            </w:pPr>
            <w:r>
              <w:rPr>
                <w:rFonts w:ascii="Arial" w:cs="Arial" w:eastAsia="Arial" w:hAnsi="Arial"/>
                <w:sz w:val="15"/>
                <w:szCs w:val="15"/>
                <w:color w:val="auto"/>
                <w:w w:val="94"/>
              </w:rPr>
              <w:t>Year Ended December 31,</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98"/>
        </w:trPr>
        <w:tc>
          <w:tcPr>
            <w:tcW w:w="4580" w:type="dxa"/>
            <w:vAlign w:val="bottom"/>
            <w:tcBorders>
              <w:bottom w:val="single" w:sz="8" w:color="CCEEFF"/>
            </w:tcBorders>
          </w:tcPr>
          <w:p>
            <w:pPr>
              <w:ind w:left="300"/>
              <w:spacing w:after="0"/>
              <w:rPr>
                <w:sz w:val="20"/>
                <w:szCs w:val="20"/>
                <w:color w:val="auto"/>
              </w:rPr>
            </w:pPr>
            <w:r>
              <w:rPr>
                <w:rFonts w:ascii="Arial" w:cs="Arial" w:eastAsia="Arial" w:hAnsi="Arial"/>
                <w:sz w:val="15"/>
                <w:szCs w:val="15"/>
                <w:i w:val="1"/>
                <w:iCs w:val="1"/>
                <w:color w:val="auto"/>
              </w:rPr>
              <w:t>(in thousands, except for share data)</w:t>
            </w:r>
          </w:p>
        </w:tc>
        <w:tc>
          <w:tcPr>
            <w:tcW w:w="5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color w:val="auto"/>
              </w:rPr>
              <w:t>2021</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color w:val="auto"/>
              </w:rPr>
              <w:t>2020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color w:val="auto"/>
              </w:rPr>
              <w:t>2019</w:t>
            </w:r>
          </w:p>
        </w:tc>
      </w:tr>
      <w:tr>
        <w:trPr>
          <w:trHeight w:val="184"/>
        </w:trPr>
        <w:tc>
          <w:tcPr>
            <w:tcW w:w="45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Revenues:</w:t>
            </w: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95"/>
        </w:trPr>
        <w:tc>
          <w:tcPr>
            <w:tcW w:w="4580" w:type="dxa"/>
            <w:vAlign w:val="bottom"/>
          </w:tcPr>
          <w:p>
            <w:pPr>
              <w:ind w:left="400"/>
              <w:spacing w:after="0"/>
              <w:rPr>
                <w:sz w:val="20"/>
                <w:szCs w:val="20"/>
                <w:color w:val="auto"/>
              </w:rPr>
            </w:pPr>
            <w:r>
              <w:rPr>
                <w:rFonts w:ascii="Arial" w:cs="Arial" w:eastAsia="Arial" w:hAnsi="Arial"/>
                <w:sz w:val="15"/>
                <w:szCs w:val="15"/>
                <w:color w:val="auto"/>
              </w:rPr>
              <w:t>Wire transfer and money order fees, net</w:t>
            </w:r>
          </w:p>
        </w:tc>
        <w:tc>
          <w:tcPr>
            <w:tcW w:w="5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393,241</w:t>
            </w:r>
          </w:p>
        </w:tc>
        <w:tc>
          <w:tcPr>
            <w:tcW w:w="100" w:type="dxa"/>
            <w:vAlign w:val="bottom"/>
          </w:tcPr>
          <w:p>
            <w:pPr>
              <w:spacing w:after="0"/>
              <w:rPr>
                <w:sz w:val="16"/>
                <w:szCs w:val="16"/>
                <w:color w:val="auto"/>
              </w:rPr>
            </w:pPr>
          </w:p>
        </w:tc>
        <w:tc>
          <w:tcPr>
            <w:tcW w:w="5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307,909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273,081</w:t>
            </w:r>
          </w:p>
        </w:tc>
      </w:tr>
      <w:tr>
        <w:trPr>
          <w:trHeight w:val="195"/>
        </w:trPr>
        <w:tc>
          <w:tcPr>
            <w:tcW w:w="4580" w:type="dxa"/>
            <w:vAlign w:val="bottom"/>
            <w:shd w:val="clear" w:color="auto" w:fill="CCEEFF"/>
          </w:tcPr>
          <w:p>
            <w:pPr>
              <w:ind w:left="400"/>
              <w:spacing w:after="0"/>
              <w:rPr>
                <w:sz w:val="20"/>
                <w:szCs w:val="20"/>
                <w:color w:val="auto"/>
              </w:rPr>
            </w:pPr>
            <w:r>
              <w:rPr>
                <w:rFonts w:ascii="Arial" w:cs="Arial" w:eastAsia="Arial" w:hAnsi="Arial"/>
                <w:sz w:val="15"/>
                <w:szCs w:val="15"/>
                <w:color w:val="auto"/>
              </w:rPr>
              <w:t>Foreign exchange gain, net</w:t>
            </w: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62,832</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46,763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44,268</w:t>
            </w:r>
          </w:p>
        </w:tc>
      </w:tr>
      <w:tr>
        <w:trPr>
          <w:trHeight w:val="198"/>
        </w:trPr>
        <w:tc>
          <w:tcPr>
            <w:tcW w:w="4580" w:type="dxa"/>
            <w:vAlign w:val="bottom"/>
            <w:tcBorders>
              <w:bottom w:val="single" w:sz="8" w:color="CCEEFF"/>
            </w:tcBorders>
          </w:tcPr>
          <w:p>
            <w:pPr>
              <w:ind w:left="400"/>
              <w:spacing w:after="0"/>
              <w:rPr>
                <w:sz w:val="20"/>
                <w:szCs w:val="20"/>
                <w:color w:val="auto"/>
              </w:rPr>
            </w:pPr>
            <w:r>
              <w:rPr>
                <w:rFonts w:ascii="Arial" w:cs="Arial" w:eastAsia="Arial" w:hAnsi="Arial"/>
                <w:sz w:val="15"/>
                <w:szCs w:val="15"/>
                <w:color w:val="auto"/>
              </w:rPr>
              <w:t>Other income</w:t>
            </w:r>
          </w:p>
        </w:tc>
        <w:tc>
          <w:tcPr>
            <w:tcW w:w="5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3,133</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2,537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2,252</w:t>
            </w:r>
          </w:p>
        </w:tc>
      </w:tr>
      <w:tr>
        <w:trPr>
          <w:trHeight w:val="195"/>
        </w:trPr>
        <w:tc>
          <w:tcPr>
            <w:tcW w:w="4580" w:type="dxa"/>
            <w:vAlign w:val="bottom"/>
            <w:shd w:val="clear" w:color="auto" w:fill="CCEEFF"/>
          </w:tcPr>
          <w:p>
            <w:pPr>
              <w:ind w:left="580"/>
              <w:spacing w:after="0"/>
              <w:rPr>
                <w:sz w:val="20"/>
                <w:szCs w:val="20"/>
                <w:color w:val="auto"/>
              </w:rPr>
            </w:pPr>
            <w:r>
              <w:rPr>
                <w:rFonts w:ascii="Arial" w:cs="Arial" w:eastAsia="Arial" w:hAnsi="Arial"/>
                <w:sz w:val="15"/>
                <w:szCs w:val="15"/>
                <w:color w:val="auto"/>
              </w:rPr>
              <w:t>Total revenues</w:t>
            </w: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459,206</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357,209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319,601</w:t>
            </w:r>
          </w:p>
        </w:tc>
      </w:tr>
      <w:tr>
        <w:trPr>
          <w:trHeight w:val="229"/>
        </w:trPr>
        <w:tc>
          <w:tcPr>
            <w:tcW w:w="4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95"/>
        </w:trPr>
        <w:tc>
          <w:tcPr>
            <w:tcW w:w="45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Operating expenses:</w:t>
            </w: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95"/>
        </w:trPr>
        <w:tc>
          <w:tcPr>
            <w:tcW w:w="4580" w:type="dxa"/>
            <w:vAlign w:val="bottom"/>
          </w:tcPr>
          <w:p>
            <w:pPr>
              <w:ind w:left="400"/>
              <w:spacing w:after="0"/>
              <w:rPr>
                <w:sz w:val="20"/>
                <w:szCs w:val="20"/>
                <w:color w:val="auto"/>
              </w:rPr>
            </w:pPr>
            <w:r>
              <w:rPr>
                <w:rFonts w:ascii="Arial" w:cs="Arial" w:eastAsia="Arial" w:hAnsi="Arial"/>
                <w:sz w:val="15"/>
                <w:szCs w:val="15"/>
                <w:color w:val="auto"/>
              </w:rPr>
              <w:t>Service charges from agents and banks</w:t>
            </w:r>
          </w:p>
        </w:tc>
        <w:tc>
          <w:tcPr>
            <w:tcW w:w="5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307,458</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238,597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212,670</w:t>
            </w:r>
          </w:p>
        </w:tc>
      </w:tr>
      <w:tr>
        <w:trPr>
          <w:trHeight w:val="195"/>
        </w:trPr>
        <w:tc>
          <w:tcPr>
            <w:tcW w:w="4580" w:type="dxa"/>
            <w:vAlign w:val="bottom"/>
            <w:shd w:val="clear" w:color="auto" w:fill="CCEEFF"/>
          </w:tcPr>
          <w:p>
            <w:pPr>
              <w:ind w:left="400"/>
              <w:spacing w:after="0"/>
              <w:rPr>
                <w:sz w:val="20"/>
                <w:szCs w:val="20"/>
                <w:color w:val="auto"/>
              </w:rPr>
            </w:pPr>
            <w:r>
              <w:rPr>
                <w:rFonts w:ascii="Arial" w:cs="Arial" w:eastAsia="Arial" w:hAnsi="Arial"/>
                <w:sz w:val="15"/>
                <w:szCs w:val="15"/>
                <w:color w:val="auto"/>
              </w:rPr>
              <w:t>Salaries and benefits</w:t>
            </w: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43,065</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32,831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30,705</w:t>
            </w:r>
          </w:p>
        </w:tc>
      </w:tr>
      <w:tr>
        <w:trPr>
          <w:trHeight w:val="195"/>
        </w:trPr>
        <w:tc>
          <w:tcPr>
            <w:tcW w:w="4580" w:type="dxa"/>
            <w:vAlign w:val="bottom"/>
          </w:tcPr>
          <w:p>
            <w:pPr>
              <w:ind w:left="160"/>
              <w:spacing w:after="0"/>
              <w:rPr>
                <w:sz w:val="20"/>
                <w:szCs w:val="20"/>
                <w:color w:val="auto"/>
              </w:rPr>
            </w:pPr>
            <w:r>
              <w:rPr>
                <w:rFonts w:ascii="Arial" w:cs="Arial" w:eastAsia="Arial" w:hAnsi="Arial"/>
                <w:sz w:val="15"/>
                <w:szCs w:val="15"/>
                <w:color w:val="auto"/>
              </w:rPr>
              <w:t>Other selling, general and administrative expenses</w:t>
            </w:r>
          </w:p>
        </w:tc>
        <w:tc>
          <w:tcPr>
            <w:tcW w:w="5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31,340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22,086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27,095</w:t>
            </w:r>
          </w:p>
        </w:tc>
      </w:tr>
      <w:tr>
        <w:trPr>
          <w:trHeight w:val="215"/>
        </w:trPr>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5"/>
                <w:szCs w:val="15"/>
                <w:color w:val="auto"/>
              </w:rPr>
              <w:t>Depreciation and amortization</w:t>
            </w: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9,491</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10,828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12,689</w:t>
            </w:r>
          </w:p>
        </w:tc>
      </w:tr>
      <w:tr>
        <w:trPr>
          <w:trHeight w:val="178"/>
        </w:trPr>
        <w:tc>
          <w:tcPr>
            <w:tcW w:w="4580" w:type="dxa"/>
            <w:vAlign w:val="bottom"/>
          </w:tcPr>
          <w:p>
            <w:pPr>
              <w:ind w:left="580"/>
              <w:spacing w:after="0"/>
              <w:rPr>
                <w:sz w:val="20"/>
                <w:szCs w:val="20"/>
                <w:color w:val="auto"/>
              </w:rPr>
            </w:pPr>
            <w:r>
              <w:rPr>
                <w:rFonts w:ascii="Arial" w:cs="Arial" w:eastAsia="Arial" w:hAnsi="Arial"/>
                <w:sz w:val="15"/>
                <w:szCs w:val="15"/>
                <w:color w:val="auto"/>
              </w:rPr>
              <w:t>Total operating expenses</w:t>
            </w: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391,354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304,342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283,159</w:t>
            </w:r>
          </w:p>
        </w:tc>
      </w:tr>
      <w:tr>
        <w:trPr>
          <w:trHeight w:val="229"/>
        </w:trPr>
        <w:tc>
          <w:tcPr>
            <w:tcW w:w="4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195"/>
        </w:trPr>
        <w:tc>
          <w:tcPr>
            <w:tcW w:w="4580" w:type="dxa"/>
            <w:vAlign w:val="bottom"/>
          </w:tcPr>
          <w:p>
            <w:pPr>
              <w:ind w:left="400"/>
              <w:spacing w:after="0"/>
              <w:rPr>
                <w:sz w:val="20"/>
                <w:szCs w:val="20"/>
                <w:color w:val="auto"/>
              </w:rPr>
            </w:pPr>
            <w:r>
              <w:rPr>
                <w:rFonts w:ascii="Arial" w:cs="Arial" w:eastAsia="Arial" w:hAnsi="Arial"/>
                <w:sz w:val="15"/>
                <w:szCs w:val="15"/>
                <w:color w:val="auto"/>
              </w:rPr>
              <w:t>Operating income</w:t>
            </w:r>
          </w:p>
        </w:tc>
        <w:tc>
          <w:tcPr>
            <w:tcW w:w="5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67,852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52,867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36,442</w:t>
            </w:r>
          </w:p>
        </w:tc>
      </w:tr>
      <w:tr>
        <w:trPr>
          <w:trHeight w:val="229"/>
        </w:trPr>
        <w:tc>
          <w:tcPr>
            <w:tcW w:w="4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198"/>
        </w:trPr>
        <w:tc>
          <w:tcPr>
            <w:tcW w:w="4580" w:type="dxa"/>
            <w:vAlign w:val="bottom"/>
            <w:tcBorders>
              <w:bottom w:val="single" w:sz="8" w:color="CCEEFF"/>
            </w:tcBorders>
          </w:tcPr>
          <w:p>
            <w:pPr>
              <w:ind w:left="400"/>
              <w:spacing w:after="0"/>
              <w:rPr>
                <w:sz w:val="20"/>
                <w:szCs w:val="20"/>
                <w:color w:val="auto"/>
              </w:rPr>
            </w:pPr>
            <w:r>
              <w:rPr>
                <w:rFonts w:ascii="Arial" w:cs="Arial" w:eastAsia="Arial" w:hAnsi="Arial"/>
                <w:sz w:val="15"/>
                <w:szCs w:val="15"/>
                <w:color w:val="auto"/>
              </w:rPr>
              <w:t>Interest expense</w:t>
            </w:r>
          </w:p>
        </w:tc>
        <w:tc>
          <w:tcPr>
            <w:tcW w:w="5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4,537</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6,566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8,510</w:t>
            </w:r>
          </w:p>
        </w:tc>
      </w:tr>
      <w:tr>
        <w:trPr>
          <w:trHeight w:val="218"/>
        </w:trPr>
        <w:tc>
          <w:tcPr>
            <w:tcW w:w="4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95"/>
        </w:trPr>
        <w:tc>
          <w:tcPr>
            <w:tcW w:w="4580" w:type="dxa"/>
            <w:vAlign w:val="bottom"/>
          </w:tcPr>
          <w:p>
            <w:pPr>
              <w:ind w:left="580"/>
              <w:spacing w:after="0"/>
              <w:rPr>
                <w:sz w:val="20"/>
                <w:szCs w:val="20"/>
                <w:color w:val="auto"/>
              </w:rPr>
            </w:pPr>
            <w:r>
              <w:rPr>
                <w:rFonts w:ascii="Arial" w:cs="Arial" w:eastAsia="Arial" w:hAnsi="Arial"/>
                <w:sz w:val="15"/>
                <w:szCs w:val="15"/>
                <w:color w:val="auto"/>
              </w:rPr>
              <w:t>Income before income taxes</w:t>
            </w:r>
          </w:p>
        </w:tc>
        <w:tc>
          <w:tcPr>
            <w:tcW w:w="5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63,315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46,301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27,932</w:t>
            </w:r>
          </w:p>
        </w:tc>
      </w:tr>
      <w:tr>
        <w:trPr>
          <w:trHeight w:val="229"/>
        </w:trPr>
        <w:tc>
          <w:tcPr>
            <w:tcW w:w="4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198"/>
        </w:trPr>
        <w:tc>
          <w:tcPr>
            <w:tcW w:w="4580" w:type="dxa"/>
            <w:vAlign w:val="bottom"/>
            <w:tcBorders>
              <w:bottom w:val="single" w:sz="8" w:color="CCEEFF"/>
            </w:tcBorders>
          </w:tcPr>
          <w:p>
            <w:pPr>
              <w:ind w:left="400"/>
              <w:spacing w:after="0"/>
              <w:rPr>
                <w:sz w:val="20"/>
                <w:szCs w:val="20"/>
                <w:color w:val="auto"/>
              </w:rPr>
            </w:pPr>
            <w:r>
              <w:rPr>
                <w:rFonts w:ascii="Arial" w:cs="Arial" w:eastAsia="Arial" w:hAnsi="Arial"/>
                <w:sz w:val="15"/>
                <w:szCs w:val="15"/>
                <w:color w:val="auto"/>
              </w:rPr>
              <w:t>Income tax provision</w:t>
            </w:r>
          </w:p>
        </w:tc>
        <w:tc>
          <w:tcPr>
            <w:tcW w:w="5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16,472</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12,517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8,323</w:t>
            </w:r>
          </w:p>
        </w:tc>
      </w:tr>
      <w:tr>
        <w:trPr>
          <w:trHeight w:val="218"/>
        </w:trPr>
        <w:tc>
          <w:tcPr>
            <w:tcW w:w="4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95"/>
        </w:trPr>
        <w:tc>
          <w:tcPr>
            <w:tcW w:w="4580" w:type="dxa"/>
            <w:vAlign w:val="bottom"/>
          </w:tcPr>
          <w:p>
            <w:pPr>
              <w:ind w:left="580"/>
              <w:spacing w:after="0"/>
              <w:rPr>
                <w:sz w:val="20"/>
                <w:szCs w:val="20"/>
                <w:color w:val="auto"/>
              </w:rPr>
            </w:pPr>
            <w:r>
              <w:rPr>
                <w:rFonts w:ascii="Arial" w:cs="Arial" w:eastAsia="Arial" w:hAnsi="Arial"/>
                <w:sz w:val="15"/>
                <w:szCs w:val="15"/>
                <w:color w:val="auto"/>
              </w:rPr>
              <w:t>Net income</w:t>
            </w:r>
          </w:p>
        </w:tc>
        <w:tc>
          <w:tcPr>
            <w:tcW w:w="5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46,843</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33,784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19,609</w:t>
            </w:r>
          </w:p>
        </w:tc>
      </w:tr>
      <w:tr>
        <w:trPr>
          <w:trHeight w:val="20"/>
        </w:trPr>
        <w:tc>
          <w:tcPr>
            <w:tcW w:w="4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 Ended December 31, 2021 Compared to the Year Ended December 31,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4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Revenues</w:t>
            </w: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7"/>
        </w:trPr>
        <w:tc>
          <w:tcPr>
            <w:tcW w:w="4040" w:type="dxa"/>
            <w:vAlign w:val="bottom"/>
            <w:gridSpan w:val="2"/>
          </w:tcPr>
          <w:p>
            <w:pPr>
              <w:ind w:left="260"/>
              <w:spacing w:after="0"/>
              <w:rPr>
                <w:sz w:val="20"/>
                <w:szCs w:val="20"/>
                <w:color w:val="auto"/>
              </w:rPr>
            </w:pPr>
            <w:r>
              <w:rPr>
                <w:rFonts w:ascii="Arial" w:cs="Arial" w:eastAsia="Arial" w:hAnsi="Arial"/>
                <w:sz w:val="15"/>
                <w:szCs w:val="15"/>
                <w:color w:val="auto"/>
              </w:rPr>
              <w:t>Revenues for the above periods are presented below:</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464"/>
              <w:spacing w:after="0"/>
              <w:rPr>
                <w:sz w:val="20"/>
                <w:szCs w:val="20"/>
                <w:color w:val="auto"/>
              </w:rPr>
            </w:pPr>
            <w:r>
              <w:rPr>
                <w:rFonts w:ascii="Arial" w:cs="Arial" w:eastAsia="Arial" w:hAnsi="Arial"/>
                <w:sz w:val="15"/>
                <w:szCs w:val="15"/>
                <w:color w:val="auto"/>
              </w:rPr>
              <w:t>Year Ended December 31,</w:t>
            </w: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3780" w:type="dxa"/>
            <w:vAlign w:val="bottom"/>
            <w:vMerge w:val="restart"/>
          </w:tcPr>
          <w:p>
            <w:pPr>
              <w:ind w:left="300"/>
              <w:spacing w:after="0"/>
              <w:rPr>
                <w:sz w:val="20"/>
                <w:szCs w:val="20"/>
                <w:color w:val="auto"/>
              </w:rPr>
            </w:pPr>
            <w:r>
              <w:rPr>
                <w:rFonts w:ascii="Arial" w:cs="Arial" w:eastAsia="Arial" w:hAnsi="Arial"/>
                <w:sz w:val="15"/>
                <w:szCs w:val="15"/>
                <w:i w:val="1"/>
                <w:iCs w:val="1"/>
                <w:color w:val="auto"/>
              </w:rPr>
              <w:t>($ in thousands)</w:t>
            </w:r>
          </w:p>
        </w:tc>
        <w:tc>
          <w:tcPr>
            <w:tcW w:w="540" w:type="dxa"/>
            <w:vAlign w:val="bottom"/>
          </w:tcPr>
          <w:p>
            <w:pPr>
              <w:spacing w:after="0"/>
              <w:rPr>
                <w:sz w:val="13"/>
                <w:szCs w:val="13"/>
                <w:color w:val="auto"/>
              </w:rPr>
            </w:pPr>
          </w:p>
        </w:tc>
        <w:tc>
          <w:tcPr>
            <w:tcW w:w="900" w:type="dxa"/>
            <w:vAlign w:val="bottom"/>
            <w:vMerge w:val="restart"/>
          </w:tcPr>
          <w:p>
            <w:pPr>
              <w:jc w:val="right"/>
              <w:ind w:right="344"/>
              <w:spacing w:after="0"/>
              <w:rPr>
                <w:sz w:val="20"/>
                <w:szCs w:val="20"/>
                <w:color w:val="auto"/>
              </w:rPr>
            </w:pPr>
            <w:r>
              <w:rPr>
                <w:rFonts w:ascii="Arial" w:cs="Arial" w:eastAsia="Arial" w:hAnsi="Arial"/>
                <w:sz w:val="15"/>
                <w:szCs w:val="15"/>
                <w:color w:val="auto"/>
              </w:rPr>
              <w:t>2021</w:t>
            </w:r>
          </w:p>
        </w:tc>
        <w:tc>
          <w:tcPr>
            <w:tcW w:w="1120" w:type="dxa"/>
            <w:vAlign w:val="bottom"/>
          </w:tcPr>
          <w:p>
            <w:pPr>
              <w:jc w:val="right"/>
              <w:ind w:right="44"/>
              <w:spacing w:after="0" w:line="150" w:lineRule="exact"/>
              <w:rPr>
                <w:sz w:val="20"/>
                <w:szCs w:val="20"/>
                <w:color w:val="auto"/>
              </w:rPr>
            </w:pPr>
            <w:r>
              <w:rPr>
                <w:rFonts w:ascii="Arial" w:cs="Arial" w:eastAsia="Arial" w:hAnsi="Arial"/>
                <w:sz w:val="15"/>
                <w:szCs w:val="15"/>
                <w:color w:val="auto"/>
              </w:rPr>
              <w:t>% of</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vMerge w:val="restart"/>
          </w:tcPr>
          <w:p>
            <w:pPr>
              <w:jc w:val="right"/>
              <w:ind w:right="364"/>
              <w:spacing w:after="0"/>
              <w:rPr>
                <w:sz w:val="20"/>
                <w:szCs w:val="20"/>
                <w:color w:val="auto"/>
              </w:rPr>
            </w:pPr>
            <w:r>
              <w:rPr>
                <w:rFonts w:ascii="Arial" w:cs="Arial" w:eastAsia="Arial" w:hAnsi="Arial"/>
                <w:sz w:val="15"/>
                <w:szCs w:val="15"/>
                <w:color w:val="auto"/>
              </w:rPr>
              <w:t>2020</w:t>
            </w:r>
          </w:p>
        </w:tc>
        <w:tc>
          <w:tcPr>
            <w:tcW w:w="1100" w:type="dxa"/>
            <w:vAlign w:val="bottom"/>
          </w:tcPr>
          <w:p>
            <w:pPr>
              <w:jc w:val="right"/>
              <w:ind w:right="24"/>
              <w:spacing w:after="0" w:line="150" w:lineRule="exact"/>
              <w:rPr>
                <w:sz w:val="20"/>
                <w:szCs w:val="20"/>
                <w:color w:val="auto"/>
              </w:rPr>
            </w:pPr>
            <w:r>
              <w:rPr>
                <w:rFonts w:ascii="Arial" w:cs="Arial" w:eastAsia="Arial" w:hAnsi="Arial"/>
                <w:sz w:val="15"/>
                <w:szCs w:val="15"/>
                <w:color w:val="auto"/>
              </w:rPr>
              <w:t>% of</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3780" w:type="dxa"/>
            <w:vAlign w:val="bottom"/>
            <w:tcBorders>
              <w:bottom w:val="single" w:sz="8" w:color="CCEEFF"/>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CCEEFF"/>
            </w:tcBorders>
          </w:tcPr>
          <w:p>
            <w:pPr>
              <w:jc w:val="right"/>
              <w:ind w:right="24"/>
              <w:spacing w:after="0"/>
              <w:rPr>
                <w:sz w:val="20"/>
                <w:szCs w:val="20"/>
                <w:color w:val="auto"/>
              </w:rPr>
            </w:pPr>
            <w:r>
              <w:rPr>
                <w:rFonts w:ascii="Arial" w:cs="Arial" w:eastAsia="Arial" w:hAnsi="Arial"/>
                <w:sz w:val="15"/>
                <w:szCs w:val="15"/>
                <w:color w:val="auto"/>
              </w:rPr>
              <w:t>Revenues</w:t>
            </w:r>
          </w:p>
        </w:tc>
        <w:tc>
          <w:tcPr>
            <w:tcW w:w="3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CCEEFF"/>
            </w:tcBorders>
          </w:tcPr>
          <w:p>
            <w:pPr>
              <w:jc w:val="right"/>
              <w:ind w:right="4"/>
              <w:spacing w:after="0"/>
              <w:rPr>
                <w:sz w:val="20"/>
                <w:szCs w:val="20"/>
                <w:color w:val="auto"/>
              </w:rPr>
            </w:pPr>
            <w:r>
              <w:rPr>
                <w:rFonts w:ascii="Arial" w:cs="Arial" w:eastAsia="Arial" w:hAnsi="Arial"/>
                <w:sz w:val="15"/>
                <w:szCs w:val="15"/>
                <w:color w:val="auto"/>
              </w:rPr>
              <w:t>Revenues</w:t>
            </w:r>
          </w:p>
        </w:tc>
        <w:tc>
          <w:tcPr>
            <w:tcW w:w="2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60" w:type="dxa"/>
            <w:vAlign w:val="bottom"/>
          </w:tcPr>
          <w:p>
            <w:pPr>
              <w:spacing w:after="0"/>
              <w:rPr>
                <w:sz w:val="15"/>
                <w:szCs w:val="15"/>
                <w:color w:val="auto"/>
              </w:rPr>
            </w:pPr>
          </w:p>
        </w:tc>
        <w:tc>
          <w:tcPr>
            <w:tcW w:w="37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Revenues:</w:t>
            </w: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60" w:type="dxa"/>
            <w:vAlign w:val="bottom"/>
          </w:tcPr>
          <w:p>
            <w:pPr>
              <w:spacing w:after="0"/>
              <w:rPr>
                <w:sz w:val="16"/>
                <w:szCs w:val="16"/>
                <w:color w:val="auto"/>
              </w:rPr>
            </w:pPr>
          </w:p>
        </w:tc>
        <w:tc>
          <w:tcPr>
            <w:tcW w:w="3780" w:type="dxa"/>
            <w:vAlign w:val="bottom"/>
          </w:tcPr>
          <w:p>
            <w:pPr>
              <w:ind w:left="400"/>
              <w:spacing w:after="0"/>
              <w:rPr>
                <w:sz w:val="20"/>
                <w:szCs w:val="20"/>
                <w:color w:val="auto"/>
              </w:rPr>
            </w:pPr>
            <w:r>
              <w:rPr>
                <w:rFonts w:ascii="Arial" w:cs="Arial" w:eastAsia="Arial" w:hAnsi="Arial"/>
                <w:sz w:val="15"/>
                <w:szCs w:val="15"/>
                <w:color w:val="auto"/>
              </w:rPr>
              <w:t>Wire transfer and money order fees, net</w:t>
            </w:r>
          </w:p>
        </w:tc>
        <w:tc>
          <w:tcPr>
            <w:tcW w:w="54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393,241</w:t>
            </w:r>
          </w:p>
        </w:tc>
        <w:tc>
          <w:tcPr>
            <w:tcW w:w="1120" w:type="dxa"/>
            <w:vAlign w:val="bottom"/>
          </w:tcPr>
          <w:p>
            <w:pPr>
              <w:jc w:val="right"/>
              <w:ind w:right="164"/>
              <w:spacing w:after="0"/>
              <w:rPr>
                <w:sz w:val="20"/>
                <w:szCs w:val="20"/>
                <w:color w:val="auto"/>
              </w:rPr>
            </w:pPr>
            <w:r>
              <w:rPr>
                <w:rFonts w:ascii="Arial" w:cs="Arial" w:eastAsia="Arial" w:hAnsi="Arial"/>
                <w:sz w:val="15"/>
                <w:szCs w:val="15"/>
                <w:color w:val="auto"/>
              </w:rPr>
              <w:t>85</w:t>
            </w:r>
          </w:p>
        </w:tc>
        <w:tc>
          <w:tcPr>
            <w:tcW w:w="3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5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307,909</w:t>
            </w:r>
          </w:p>
        </w:tc>
        <w:tc>
          <w:tcPr>
            <w:tcW w:w="1100" w:type="dxa"/>
            <w:vAlign w:val="bottom"/>
          </w:tcPr>
          <w:p>
            <w:pPr>
              <w:jc w:val="right"/>
              <w:ind w:right="144"/>
              <w:spacing w:after="0"/>
              <w:rPr>
                <w:sz w:val="20"/>
                <w:szCs w:val="20"/>
                <w:color w:val="auto"/>
              </w:rPr>
            </w:pPr>
            <w:r>
              <w:rPr>
                <w:rFonts w:ascii="Arial" w:cs="Arial" w:eastAsia="Arial" w:hAnsi="Arial"/>
                <w:sz w:val="15"/>
                <w:szCs w:val="15"/>
                <w:color w:val="auto"/>
              </w:rPr>
              <w:t>86</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60" w:type="dxa"/>
            <w:vAlign w:val="bottom"/>
          </w:tcPr>
          <w:p>
            <w:pPr>
              <w:spacing w:after="0"/>
              <w:rPr>
                <w:sz w:val="16"/>
                <w:szCs w:val="16"/>
                <w:color w:val="auto"/>
              </w:rPr>
            </w:pPr>
          </w:p>
        </w:tc>
        <w:tc>
          <w:tcPr>
            <w:tcW w:w="3780" w:type="dxa"/>
            <w:vAlign w:val="bottom"/>
            <w:shd w:val="clear" w:color="auto" w:fill="CCEEFF"/>
          </w:tcPr>
          <w:p>
            <w:pPr>
              <w:ind w:left="400"/>
              <w:spacing w:after="0"/>
              <w:rPr>
                <w:sz w:val="20"/>
                <w:szCs w:val="20"/>
                <w:color w:val="auto"/>
              </w:rPr>
            </w:pPr>
            <w:r>
              <w:rPr>
                <w:rFonts w:ascii="Arial" w:cs="Arial" w:eastAsia="Arial" w:hAnsi="Arial"/>
                <w:sz w:val="15"/>
                <w:szCs w:val="15"/>
                <w:color w:val="auto"/>
              </w:rPr>
              <w:t>Foreign exchange gain, net</w:t>
            </w:r>
          </w:p>
        </w:tc>
        <w:tc>
          <w:tcPr>
            <w:tcW w:w="5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62,832</w:t>
            </w:r>
          </w:p>
        </w:tc>
        <w:tc>
          <w:tcPr>
            <w:tcW w:w="11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14</w:t>
            </w:r>
          </w:p>
        </w:tc>
        <w:tc>
          <w:tcPr>
            <w:tcW w:w="3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46,763</w:t>
            </w:r>
          </w:p>
        </w:tc>
        <w:tc>
          <w:tcPr>
            <w:tcW w:w="11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13</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3780" w:type="dxa"/>
            <w:vAlign w:val="bottom"/>
            <w:tcBorders>
              <w:bottom w:val="single" w:sz="8" w:color="CCEEFF"/>
            </w:tcBorders>
          </w:tcPr>
          <w:p>
            <w:pPr>
              <w:ind w:left="400"/>
              <w:spacing w:after="0"/>
              <w:rPr>
                <w:sz w:val="20"/>
                <w:szCs w:val="20"/>
                <w:color w:val="auto"/>
              </w:rPr>
            </w:pPr>
            <w:r>
              <w:rPr>
                <w:rFonts w:ascii="Arial" w:cs="Arial" w:eastAsia="Arial" w:hAnsi="Arial"/>
                <w:sz w:val="15"/>
                <w:szCs w:val="15"/>
                <w:color w:val="auto"/>
              </w:rPr>
              <w:t>Other income</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3,133</w:t>
            </w:r>
          </w:p>
        </w:tc>
        <w:tc>
          <w:tcPr>
            <w:tcW w:w="1120" w:type="dxa"/>
            <w:vAlign w:val="bottom"/>
            <w:tcBorders>
              <w:bottom w:val="single" w:sz="8" w:color="CCEEFF"/>
            </w:tcBorders>
          </w:tcPr>
          <w:p>
            <w:pPr>
              <w:jc w:val="right"/>
              <w:ind w:right="164"/>
              <w:spacing w:after="0"/>
              <w:rPr>
                <w:sz w:val="20"/>
                <w:szCs w:val="20"/>
                <w:color w:val="auto"/>
              </w:rPr>
            </w:pPr>
            <w:r>
              <w:rPr>
                <w:rFonts w:ascii="Arial" w:cs="Arial" w:eastAsia="Arial" w:hAnsi="Arial"/>
                <w:sz w:val="15"/>
                <w:szCs w:val="15"/>
                <w:color w:val="auto"/>
              </w:rPr>
              <w:t>1</w:t>
            </w:r>
          </w:p>
        </w:tc>
        <w:tc>
          <w:tcPr>
            <w:tcW w:w="300" w:type="dxa"/>
            <w:vAlign w:val="bottom"/>
            <w:tcBorders>
              <w:bottom w:val="single" w:sz="8" w:color="CCEEFF"/>
            </w:tcBorders>
          </w:tcPr>
          <w:p>
            <w:pPr>
              <w:jc w:val="right"/>
              <w:ind w:right="4"/>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2,537</w:t>
            </w:r>
          </w:p>
        </w:tc>
        <w:tc>
          <w:tcPr>
            <w:tcW w:w="1100" w:type="dxa"/>
            <w:vAlign w:val="bottom"/>
            <w:tcBorders>
              <w:bottom w:val="single" w:sz="8" w:color="CCEEFF"/>
            </w:tcBorders>
          </w:tcPr>
          <w:p>
            <w:pPr>
              <w:jc w:val="right"/>
              <w:ind w:right="144"/>
              <w:spacing w:after="0"/>
              <w:rPr>
                <w:sz w:val="20"/>
                <w:szCs w:val="20"/>
                <w:color w:val="auto"/>
              </w:rPr>
            </w:pPr>
            <w:r>
              <w:rPr>
                <w:rFonts w:ascii="Arial" w:cs="Arial" w:eastAsia="Arial" w:hAnsi="Arial"/>
                <w:sz w:val="15"/>
                <w:szCs w:val="15"/>
                <w:color w:val="auto"/>
              </w:rPr>
              <w:t>1</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260" w:type="dxa"/>
            <w:vAlign w:val="bottom"/>
          </w:tcPr>
          <w:p>
            <w:pPr>
              <w:spacing w:after="0"/>
              <w:rPr>
                <w:sz w:val="18"/>
                <w:szCs w:val="18"/>
                <w:color w:val="auto"/>
              </w:rPr>
            </w:pPr>
          </w:p>
        </w:tc>
        <w:tc>
          <w:tcPr>
            <w:tcW w:w="37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revenues</w:t>
            </w:r>
          </w:p>
        </w:tc>
        <w:tc>
          <w:tcPr>
            <w:tcW w:w="5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459,206</w:t>
            </w:r>
          </w:p>
        </w:tc>
        <w:tc>
          <w:tcPr>
            <w:tcW w:w="1120" w:type="dxa"/>
            <w:vAlign w:val="bottom"/>
            <w:tcBorders>
              <w:bottom w:val="single" w:sz="8" w:color="CCEEFF"/>
            </w:tcBorders>
            <w:shd w:val="clear" w:color="auto" w:fill="CCEEFF"/>
          </w:tcPr>
          <w:p>
            <w:pPr>
              <w:jc w:val="right"/>
              <w:ind w:right="164"/>
              <w:spacing w:after="0"/>
              <w:rPr>
                <w:sz w:val="20"/>
                <w:szCs w:val="20"/>
                <w:color w:val="auto"/>
              </w:rPr>
            </w:pPr>
            <w:r>
              <w:rPr>
                <w:rFonts w:ascii="Arial" w:cs="Arial" w:eastAsia="Arial" w:hAnsi="Arial"/>
                <w:sz w:val="15"/>
                <w:szCs w:val="15"/>
                <w:color w:val="auto"/>
              </w:rPr>
              <w:t>100</w:t>
            </w:r>
          </w:p>
        </w:tc>
        <w:tc>
          <w:tcPr>
            <w:tcW w:w="3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357,209</w:t>
            </w:r>
          </w:p>
        </w:tc>
        <w:tc>
          <w:tcPr>
            <w:tcW w:w="110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5"/>
                <w:szCs w:val="15"/>
                <w:color w:val="auto"/>
              </w:rPr>
              <w:t>100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275"/>
        <w:spacing w:after="0" w:line="298" w:lineRule="auto"/>
        <w:rPr>
          <w:sz w:val="20"/>
          <w:szCs w:val="20"/>
          <w:color w:val="auto"/>
        </w:rPr>
      </w:pPr>
      <w:r>
        <w:rPr>
          <w:rFonts w:ascii="Arial" w:cs="Arial" w:eastAsia="Arial" w:hAnsi="Arial"/>
          <w:sz w:val="14"/>
          <w:szCs w:val="14"/>
          <w:color w:val="auto"/>
        </w:rPr>
        <w:t>Wire transfer and money order fees, net of $393.2 million, for the year ended December 31, 2021 increased by $85.3 million, or 27.7%, from $307.9 million for the year ended December 31, 2020. This increase was primarily due to a 25.4% increase in transaction volume compared to the year ended December 31, 2020, largely due to the continued growth in our agent network, which increased by 11.7% from December 2020 to December 2021, as our average price per transaction has remained stable as compared to the prior year.</w:t>
      </w:r>
    </w:p>
    <w:p>
      <w:pPr>
        <w:spacing w:after="0" w:line="157" w:lineRule="exact"/>
        <w:rPr>
          <w:sz w:val="20"/>
          <w:szCs w:val="20"/>
          <w:color w:val="auto"/>
        </w:rPr>
      </w:pPr>
    </w:p>
    <w:p>
      <w:pPr>
        <w:jc w:val="both"/>
        <w:ind w:right="20" w:firstLine="275"/>
        <w:spacing w:after="0" w:line="285" w:lineRule="auto"/>
        <w:rPr>
          <w:sz w:val="20"/>
          <w:szCs w:val="20"/>
          <w:color w:val="auto"/>
        </w:rPr>
      </w:pPr>
      <w:r>
        <w:rPr>
          <w:rFonts w:ascii="Arial" w:cs="Arial" w:eastAsia="Arial" w:hAnsi="Arial"/>
          <w:sz w:val="15"/>
          <w:szCs w:val="15"/>
          <w:color w:val="auto"/>
        </w:rPr>
        <w:t>Revenues from foreign exchange gain, net of $62.8 million for the year ended December 31, 2021, increased by $16.0 million, or 34.4%, from $46.8 million for the year ended December 31, 2020. This increase was primarily due to higher transaction volume achieved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4" w:name="page35"/>
    <w:bookmarkEnd w:id="34"/>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by growth in our agent network and a higher average amount sent by our customers, as well as, increased foreign exchange volatility in the Mexican peso during the year.</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200" w:lineRule="exact"/>
        <w:rPr>
          <w:sz w:val="20"/>
          <w:szCs w:val="20"/>
          <w:color w:val="auto"/>
        </w:rPr>
      </w:pPr>
    </w:p>
    <w:p>
      <w:pPr>
        <w:spacing w:after="0" w:line="20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Operating expenses for the above periods are presented below:</w:t>
      </w:r>
    </w:p>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38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484"/>
              <w:spacing w:after="0"/>
              <w:rPr>
                <w:sz w:val="20"/>
                <w:szCs w:val="20"/>
                <w:color w:val="auto"/>
              </w:rPr>
            </w:pPr>
            <w:r>
              <w:rPr>
                <w:rFonts w:ascii="Arial" w:cs="Arial" w:eastAsia="Arial" w:hAnsi="Arial"/>
                <w:sz w:val="15"/>
                <w:szCs w:val="15"/>
                <w:color w:val="auto"/>
              </w:rPr>
              <w:t>Year Ended December 31,</w:t>
            </w:r>
          </w:p>
        </w:tc>
        <w:tc>
          <w:tcPr>
            <w:tcW w:w="1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800" w:type="dxa"/>
            <w:vAlign w:val="bottom"/>
            <w:vMerge w:val="restart"/>
          </w:tcPr>
          <w:p>
            <w:pPr>
              <w:ind w:left="300"/>
              <w:spacing w:after="0"/>
              <w:rPr>
                <w:sz w:val="20"/>
                <w:szCs w:val="20"/>
                <w:color w:val="auto"/>
              </w:rPr>
            </w:pPr>
            <w:r>
              <w:rPr>
                <w:rFonts w:ascii="Arial" w:cs="Arial" w:eastAsia="Arial" w:hAnsi="Arial"/>
                <w:sz w:val="15"/>
                <w:szCs w:val="15"/>
                <w:i w:val="1"/>
                <w:iCs w:val="1"/>
                <w:color w:val="auto"/>
              </w:rPr>
              <w:t>($ in thousands)</w:t>
            </w:r>
          </w:p>
        </w:tc>
        <w:tc>
          <w:tcPr>
            <w:tcW w:w="540" w:type="dxa"/>
            <w:vAlign w:val="bottom"/>
          </w:tcPr>
          <w:p>
            <w:pPr>
              <w:spacing w:after="0"/>
              <w:rPr>
                <w:sz w:val="13"/>
                <w:szCs w:val="13"/>
                <w:color w:val="auto"/>
              </w:rPr>
            </w:pPr>
          </w:p>
        </w:tc>
        <w:tc>
          <w:tcPr>
            <w:tcW w:w="900" w:type="dxa"/>
            <w:vAlign w:val="bottom"/>
            <w:vMerge w:val="restart"/>
          </w:tcPr>
          <w:p>
            <w:pPr>
              <w:jc w:val="right"/>
              <w:ind w:right="344"/>
              <w:spacing w:after="0"/>
              <w:rPr>
                <w:sz w:val="20"/>
                <w:szCs w:val="20"/>
                <w:color w:val="auto"/>
              </w:rPr>
            </w:pPr>
            <w:r>
              <w:rPr>
                <w:rFonts w:ascii="Arial" w:cs="Arial" w:eastAsia="Arial" w:hAnsi="Arial"/>
                <w:sz w:val="15"/>
                <w:szCs w:val="15"/>
                <w:color w:val="auto"/>
              </w:rPr>
              <w:t>2021</w:t>
            </w:r>
          </w:p>
        </w:tc>
        <w:tc>
          <w:tcPr>
            <w:tcW w:w="1100" w:type="dxa"/>
            <w:vAlign w:val="bottom"/>
          </w:tcPr>
          <w:p>
            <w:pPr>
              <w:jc w:val="right"/>
              <w:ind w:right="24"/>
              <w:spacing w:after="0" w:line="150" w:lineRule="exact"/>
              <w:rPr>
                <w:sz w:val="20"/>
                <w:szCs w:val="20"/>
                <w:color w:val="auto"/>
              </w:rPr>
            </w:pPr>
            <w:r>
              <w:rPr>
                <w:rFonts w:ascii="Arial" w:cs="Arial" w:eastAsia="Arial" w:hAnsi="Arial"/>
                <w:sz w:val="15"/>
                <w:szCs w:val="15"/>
                <w:color w:val="auto"/>
              </w:rPr>
              <w:t>% of</w:t>
            </w: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vMerge w:val="restart"/>
          </w:tcPr>
          <w:p>
            <w:pPr>
              <w:jc w:val="right"/>
              <w:ind w:right="364"/>
              <w:spacing w:after="0"/>
              <w:rPr>
                <w:sz w:val="20"/>
                <w:szCs w:val="20"/>
                <w:color w:val="auto"/>
              </w:rPr>
            </w:pPr>
            <w:r>
              <w:rPr>
                <w:rFonts w:ascii="Arial" w:cs="Arial" w:eastAsia="Arial" w:hAnsi="Arial"/>
                <w:sz w:val="15"/>
                <w:szCs w:val="15"/>
                <w:color w:val="auto"/>
              </w:rPr>
              <w:t>2020</w:t>
            </w:r>
          </w:p>
        </w:tc>
        <w:tc>
          <w:tcPr>
            <w:tcW w:w="1100" w:type="dxa"/>
            <w:vAlign w:val="bottom"/>
          </w:tcPr>
          <w:p>
            <w:pPr>
              <w:jc w:val="right"/>
              <w:ind w:right="24"/>
              <w:spacing w:after="0" w:line="150" w:lineRule="exact"/>
              <w:rPr>
                <w:sz w:val="20"/>
                <w:szCs w:val="20"/>
                <w:color w:val="auto"/>
              </w:rPr>
            </w:pPr>
            <w:r>
              <w:rPr>
                <w:rFonts w:ascii="Arial" w:cs="Arial" w:eastAsia="Arial" w:hAnsi="Arial"/>
                <w:sz w:val="15"/>
                <w:szCs w:val="15"/>
                <w:color w:val="auto"/>
              </w:rPr>
              <w:t>% of</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800" w:type="dxa"/>
            <w:vAlign w:val="bottom"/>
            <w:tcBorders>
              <w:bottom w:val="single" w:sz="8" w:color="CCEEFF"/>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CCEEFF"/>
            </w:tcBorders>
          </w:tcPr>
          <w:p>
            <w:pPr>
              <w:jc w:val="right"/>
              <w:ind w:right="4"/>
              <w:spacing w:after="0"/>
              <w:rPr>
                <w:sz w:val="20"/>
                <w:szCs w:val="20"/>
                <w:color w:val="auto"/>
              </w:rPr>
            </w:pPr>
            <w:r>
              <w:rPr>
                <w:rFonts w:ascii="Arial" w:cs="Arial" w:eastAsia="Arial" w:hAnsi="Arial"/>
                <w:sz w:val="15"/>
                <w:szCs w:val="15"/>
                <w:color w:val="auto"/>
              </w:rPr>
              <w:t>Revenues</w:t>
            </w:r>
          </w:p>
        </w:tc>
        <w:tc>
          <w:tcPr>
            <w:tcW w:w="34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CCEEFF"/>
            </w:tcBorders>
          </w:tcPr>
          <w:p>
            <w:pPr>
              <w:jc w:val="right"/>
              <w:ind w:right="24"/>
              <w:spacing w:after="0"/>
              <w:rPr>
                <w:sz w:val="20"/>
                <w:szCs w:val="20"/>
                <w:color w:val="auto"/>
              </w:rPr>
            </w:pPr>
            <w:r>
              <w:rPr>
                <w:rFonts w:ascii="Arial" w:cs="Arial" w:eastAsia="Arial" w:hAnsi="Arial"/>
                <w:sz w:val="15"/>
                <w:szCs w:val="15"/>
                <w:color w:val="auto"/>
              </w:rPr>
              <w:t>Revenues</w:t>
            </w:r>
          </w:p>
        </w:tc>
        <w:tc>
          <w:tcPr>
            <w:tcW w:w="2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8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Operating expenses:</w:t>
            </w: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800" w:type="dxa"/>
            <w:vAlign w:val="bottom"/>
          </w:tcPr>
          <w:p>
            <w:pPr>
              <w:ind w:left="400"/>
              <w:spacing w:after="0"/>
              <w:rPr>
                <w:sz w:val="20"/>
                <w:szCs w:val="20"/>
                <w:color w:val="auto"/>
              </w:rPr>
            </w:pPr>
            <w:r>
              <w:rPr>
                <w:rFonts w:ascii="Arial" w:cs="Arial" w:eastAsia="Arial" w:hAnsi="Arial"/>
                <w:sz w:val="15"/>
                <w:szCs w:val="15"/>
                <w:color w:val="auto"/>
              </w:rPr>
              <w:t>Service charges from agents and banks</w:t>
            </w:r>
          </w:p>
        </w:tc>
        <w:tc>
          <w:tcPr>
            <w:tcW w:w="5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307,458</w:t>
            </w:r>
          </w:p>
        </w:tc>
        <w:tc>
          <w:tcPr>
            <w:tcW w:w="1100" w:type="dxa"/>
            <w:vAlign w:val="bottom"/>
          </w:tcPr>
          <w:p>
            <w:pPr>
              <w:jc w:val="right"/>
              <w:ind w:right="144"/>
              <w:spacing w:after="0"/>
              <w:rPr>
                <w:sz w:val="20"/>
                <w:szCs w:val="20"/>
                <w:color w:val="auto"/>
              </w:rPr>
            </w:pPr>
            <w:r>
              <w:rPr>
                <w:rFonts w:ascii="Arial" w:cs="Arial" w:eastAsia="Arial" w:hAnsi="Arial"/>
                <w:sz w:val="15"/>
                <w:szCs w:val="15"/>
                <w:color w:val="auto"/>
              </w:rPr>
              <w:t>67</w:t>
            </w:r>
          </w:p>
        </w:tc>
        <w:tc>
          <w:tcPr>
            <w:tcW w:w="3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238,597</w:t>
            </w:r>
          </w:p>
        </w:tc>
        <w:tc>
          <w:tcPr>
            <w:tcW w:w="1100" w:type="dxa"/>
            <w:vAlign w:val="bottom"/>
          </w:tcPr>
          <w:p>
            <w:pPr>
              <w:jc w:val="right"/>
              <w:ind w:right="164"/>
              <w:spacing w:after="0"/>
              <w:rPr>
                <w:sz w:val="20"/>
                <w:szCs w:val="20"/>
                <w:color w:val="auto"/>
              </w:rPr>
            </w:pPr>
            <w:r>
              <w:rPr>
                <w:rFonts w:ascii="Arial" w:cs="Arial" w:eastAsia="Arial" w:hAnsi="Arial"/>
                <w:sz w:val="15"/>
                <w:szCs w:val="15"/>
                <w:color w:val="auto"/>
              </w:rPr>
              <w:t>67</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38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Salaries and benefits</w:t>
            </w:r>
          </w:p>
        </w:tc>
        <w:tc>
          <w:tcPr>
            <w:tcW w:w="5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43,065</w:t>
            </w:r>
          </w:p>
        </w:tc>
        <w:tc>
          <w:tcPr>
            <w:tcW w:w="11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9</w:t>
            </w:r>
          </w:p>
        </w:tc>
        <w:tc>
          <w:tcPr>
            <w:tcW w:w="3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32,831</w:t>
            </w:r>
          </w:p>
        </w:tc>
        <w:tc>
          <w:tcPr>
            <w:tcW w:w="11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9</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3800" w:type="dxa"/>
            <w:vAlign w:val="bottom"/>
          </w:tcPr>
          <w:p>
            <w:pPr>
              <w:ind w:left="400"/>
              <w:spacing w:after="0"/>
              <w:rPr>
                <w:sz w:val="20"/>
                <w:szCs w:val="20"/>
                <w:color w:val="auto"/>
              </w:rPr>
            </w:pPr>
            <w:r>
              <w:rPr>
                <w:rFonts w:ascii="Arial" w:cs="Arial" w:eastAsia="Arial" w:hAnsi="Arial"/>
                <w:sz w:val="15"/>
                <w:szCs w:val="15"/>
                <w:color w:val="auto"/>
              </w:rPr>
              <w:t>Other selling, general and administrative expenses</w:t>
            </w:r>
          </w:p>
        </w:tc>
        <w:tc>
          <w:tcPr>
            <w:tcW w:w="5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31,340</w:t>
            </w:r>
          </w:p>
        </w:tc>
        <w:tc>
          <w:tcPr>
            <w:tcW w:w="1100" w:type="dxa"/>
            <w:vAlign w:val="bottom"/>
          </w:tcPr>
          <w:p>
            <w:pPr>
              <w:jc w:val="right"/>
              <w:ind w:right="144"/>
              <w:spacing w:after="0"/>
              <w:rPr>
                <w:sz w:val="20"/>
                <w:szCs w:val="20"/>
                <w:color w:val="auto"/>
              </w:rPr>
            </w:pPr>
            <w:r>
              <w:rPr>
                <w:rFonts w:ascii="Arial" w:cs="Arial" w:eastAsia="Arial" w:hAnsi="Arial"/>
                <w:sz w:val="15"/>
                <w:szCs w:val="15"/>
                <w:color w:val="auto"/>
              </w:rPr>
              <w:t>7</w:t>
            </w:r>
          </w:p>
        </w:tc>
        <w:tc>
          <w:tcPr>
            <w:tcW w:w="3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22,086</w:t>
            </w:r>
          </w:p>
        </w:tc>
        <w:tc>
          <w:tcPr>
            <w:tcW w:w="1100" w:type="dxa"/>
            <w:vAlign w:val="bottom"/>
          </w:tcPr>
          <w:p>
            <w:pPr>
              <w:jc w:val="right"/>
              <w:ind w:right="164"/>
              <w:spacing w:after="0"/>
              <w:rPr>
                <w:sz w:val="20"/>
                <w:szCs w:val="20"/>
                <w:color w:val="auto"/>
              </w:rPr>
            </w:pPr>
            <w:r>
              <w:rPr>
                <w:rFonts w:ascii="Arial" w:cs="Arial" w:eastAsia="Arial" w:hAnsi="Arial"/>
                <w:sz w:val="15"/>
                <w:szCs w:val="15"/>
                <w:color w:val="auto"/>
              </w:rPr>
              <w:t>6</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8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5"/>
                <w:szCs w:val="15"/>
                <w:color w:val="auto"/>
              </w:rPr>
              <w:t>Depreciation and amortization</w:t>
            </w:r>
          </w:p>
        </w:tc>
        <w:tc>
          <w:tcPr>
            <w:tcW w:w="5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9,491</w:t>
            </w:r>
          </w:p>
        </w:tc>
        <w:tc>
          <w:tcPr>
            <w:tcW w:w="110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5"/>
                <w:szCs w:val="15"/>
                <w:color w:val="auto"/>
              </w:rPr>
              <w:t>2</w:t>
            </w:r>
          </w:p>
        </w:tc>
        <w:tc>
          <w:tcPr>
            <w:tcW w:w="3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10,828</w:t>
            </w:r>
          </w:p>
        </w:tc>
        <w:tc>
          <w:tcPr>
            <w:tcW w:w="1100" w:type="dxa"/>
            <w:vAlign w:val="bottom"/>
            <w:tcBorders>
              <w:bottom w:val="single" w:sz="8" w:color="CCEEFF"/>
            </w:tcBorders>
            <w:shd w:val="clear" w:color="auto" w:fill="CCEEFF"/>
          </w:tcPr>
          <w:p>
            <w:pPr>
              <w:jc w:val="right"/>
              <w:ind w:right="164"/>
              <w:spacing w:after="0"/>
              <w:rPr>
                <w:sz w:val="20"/>
                <w:szCs w:val="20"/>
                <w:color w:val="auto"/>
              </w:rPr>
            </w:pPr>
            <w:r>
              <w:rPr>
                <w:rFonts w:ascii="Arial" w:cs="Arial" w:eastAsia="Arial" w:hAnsi="Arial"/>
                <w:sz w:val="15"/>
                <w:szCs w:val="15"/>
                <w:color w:val="auto"/>
              </w:rPr>
              <w:t>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3800" w:type="dxa"/>
            <w:vAlign w:val="bottom"/>
          </w:tcPr>
          <w:p>
            <w:pPr>
              <w:ind w:left="300"/>
              <w:spacing w:after="0"/>
              <w:rPr>
                <w:sz w:val="20"/>
                <w:szCs w:val="20"/>
                <w:color w:val="auto"/>
              </w:rPr>
            </w:pPr>
            <w:r>
              <w:rPr>
                <w:rFonts w:ascii="Arial" w:cs="Arial" w:eastAsia="Arial" w:hAnsi="Arial"/>
                <w:sz w:val="15"/>
                <w:szCs w:val="15"/>
                <w:color w:val="auto"/>
              </w:rPr>
              <w:t>Total operating expenses</w:t>
            </w:r>
          </w:p>
        </w:tc>
        <w:tc>
          <w:tcPr>
            <w:tcW w:w="5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391,354</w:t>
            </w:r>
          </w:p>
        </w:tc>
        <w:tc>
          <w:tcPr>
            <w:tcW w:w="1100" w:type="dxa"/>
            <w:vAlign w:val="bottom"/>
          </w:tcPr>
          <w:p>
            <w:pPr>
              <w:jc w:val="right"/>
              <w:ind w:right="144"/>
              <w:spacing w:after="0"/>
              <w:rPr>
                <w:sz w:val="20"/>
                <w:szCs w:val="20"/>
                <w:color w:val="auto"/>
              </w:rPr>
            </w:pPr>
            <w:r>
              <w:rPr>
                <w:rFonts w:ascii="Arial" w:cs="Arial" w:eastAsia="Arial" w:hAnsi="Arial"/>
                <w:sz w:val="15"/>
                <w:szCs w:val="15"/>
                <w:color w:val="auto"/>
              </w:rPr>
              <w:t>85</w:t>
            </w:r>
          </w:p>
        </w:tc>
        <w:tc>
          <w:tcPr>
            <w:tcW w:w="3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304,342</w:t>
            </w:r>
          </w:p>
        </w:tc>
        <w:tc>
          <w:tcPr>
            <w:tcW w:w="1100" w:type="dxa"/>
            <w:vAlign w:val="bottom"/>
          </w:tcPr>
          <w:p>
            <w:pPr>
              <w:jc w:val="right"/>
              <w:ind w:right="164"/>
              <w:spacing w:after="0"/>
              <w:rPr>
                <w:sz w:val="20"/>
                <w:szCs w:val="20"/>
                <w:color w:val="auto"/>
              </w:rPr>
            </w:pPr>
            <w:r>
              <w:rPr>
                <w:rFonts w:ascii="Arial" w:cs="Arial" w:eastAsia="Arial" w:hAnsi="Arial"/>
                <w:sz w:val="15"/>
                <w:szCs w:val="15"/>
                <w:color w:val="auto"/>
              </w:rPr>
              <w:t>85</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jc w:val="both"/>
        <w:ind w:right="20" w:firstLine="275"/>
        <w:spacing w:after="0" w:line="285" w:lineRule="auto"/>
        <w:rPr>
          <w:sz w:val="20"/>
          <w:szCs w:val="20"/>
          <w:color w:val="auto"/>
        </w:rPr>
      </w:pPr>
      <w:r>
        <w:rPr>
          <w:rFonts w:ascii="Arial" w:cs="Arial" w:eastAsia="Arial" w:hAnsi="Arial"/>
          <w:sz w:val="15"/>
          <w:szCs w:val="15"/>
          <w:i w:val="1"/>
          <w:iCs w:val="1"/>
          <w:color w:val="auto"/>
        </w:rPr>
        <w:t>Service charges from agents and banks</w:t>
      </w:r>
      <w:r>
        <w:rPr>
          <w:rFonts w:ascii="Arial" w:cs="Arial" w:eastAsia="Arial" w:hAnsi="Arial"/>
          <w:sz w:val="15"/>
          <w:szCs w:val="15"/>
          <w:color w:val="auto"/>
        </w:rPr>
        <w:t>— Service charges from agents and banks were $307.5 million for the year ended December 31, 2021 compared to $238.6 million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year ended December 31, 2020. The increase of $68.9 million, or 28.9%, was primarily due to the increase in transaction volume described above.</w:t>
      </w:r>
    </w:p>
    <w:p>
      <w:pPr>
        <w:spacing w:after="0" w:line="164"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i w:val="1"/>
          <w:iCs w:val="1"/>
          <w:color w:val="auto"/>
        </w:rPr>
        <w:t>Salaries and benefits</w:t>
      </w:r>
      <w:r>
        <w:rPr>
          <w:rFonts w:ascii="Arial" w:cs="Arial" w:eastAsia="Arial" w:hAnsi="Arial"/>
          <w:sz w:val="15"/>
          <w:szCs w:val="15"/>
          <w:color w:val="auto"/>
        </w:rPr>
        <w:t>— Salaries and benefits were $43.1 million for the year ended December 31, 2021, an increase of $10.3 million, or 31.2%, from $32.8 million for the year</w:t>
      </w:r>
      <w:r>
        <w:rPr>
          <w:rFonts w:ascii="Arial" w:cs="Arial" w:eastAsia="Arial" w:hAnsi="Arial"/>
          <w:sz w:val="15"/>
          <w:szCs w:val="15"/>
          <w:i w:val="1"/>
          <w:iCs w:val="1"/>
          <w:color w:val="auto"/>
        </w:rPr>
        <w:t xml:space="preserve"> </w:t>
      </w:r>
      <w:r>
        <w:rPr>
          <w:rFonts w:ascii="Arial" w:cs="Arial" w:eastAsia="Arial" w:hAnsi="Arial"/>
          <w:sz w:val="15"/>
          <w:szCs w:val="15"/>
          <w:color w:val="auto"/>
        </w:rPr>
        <w:t>ended December 31, 2020. The increase was primarily due to $7.7 million spent in talent acquisition and retention to support the continued growth of our business, increased wages and bonuses to recognize performance, a $1.1 million increase in commission expense for our sales representatives and a $1.4 million increase in share-based compensation as a result of new awards granted during 2021.</w:t>
      </w:r>
    </w:p>
    <w:p>
      <w:pPr>
        <w:spacing w:after="0" w:line="179"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5"/>
          <w:szCs w:val="15"/>
          <w:i w:val="1"/>
          <w:iCs w:val="1"/>
          <w:color w:val="auto"/>
        </w:rPr>
        <w:t>Other selling, general and administrative expenses</w:t>
      </w:r>
      <w:r>
        <w:rPr>
          <w:rFonts w:ascii="Arial" w:cs="Arial" w:eastAsia="Arial" w:hAnsi="Arial"/>
          <w:sz w:val="15"/>
          <w:szCs w:val="15"/>
          <w:color w:val="auto"/>
        </w:rPr>
        <w:t>— Other selling, general and administrative expenses of $31.3 million for the year ended December 31, 2021 increased by $9.2</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or 41.9%, from $22.1 million for the year ended December 31, 2020.</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The increase was primarily the result of:</w:t>
      </w:r>
    </w:p>
    <w:p>
      <w:pPr>
        <w:spacing w:after="0" w:line="218" w:lineRule="exact"/>
        <w:rPr>
          <w:sz w:val="20"/>
          <w:szCs w:val="20"/>
          <w:color w:val="auto"/>
        </w:rPr>
      </w:pPr>
    </w:p>
    <w:p>
      <w:pPr>
        <w:ind w:left="620" w:right="20" w:hanging="215"/>
        <w:spacing w:after="0" w:line="262" w:lineRule="auto"/>
        <w:tabs>
          <w:tab w:leader="none" w:pos="616" w:val="left"/>
        </w:tabs>
        <w:numPr>
          <w:ilvl w:val="0"/>
          <w:numId w:val="18"/>
        </w:numPr>
        <w:rPr>
          <w:rFonts w:ascii="Arial" w:cs="Arial" w:eastAsia="Arial" w:hAnsi="Arial"/>
          <w:sz w:val="15"/>
          <w:szCs w:val="15"/>
          <w:color w:val="auto"/>
        </w:rPr>
      </w:pPr>
      <w:r>
        <w:rPr>
          <w:rFonts w:ascii="Arial" w:cs="Arial" w:eastAsia="Arial" w:hAnsi="Arial"/>
          <w:sz w:val="15"/>
          <w:szCs w:val="15"/>
          <w:color w:val="auto"/>
        </w:rPr>
        <w:t>$1.7 million - relating to the losses from two separate closures of financial institutions in Mexico. These amounted to $2.0 million and $0.3 million (pre-tax) in 2021 and 2020, respectively;</w:t>
      </w:r>
    </w:p>
    <w:p>
      <w:pPr>
        <w:spacing w:after="0" w:line="1" w:lineRule="exact"/>
        <w:rPr>
          <w:rFonts w:ascii="Arial" w:cs="Arial" w:eastAsia="Arial" w:hAnsi="Arial"/>
          <w:sz w:val="15"/>
          <w:szCs w:val="15"/>
          <w:color w:val="auto"/>
        </w:rPr>
      </w:pPr>
    </w:p>
    <w:p>
      <w:pPr>
        <w:ind w:left="600" w:hanging="195"/>
        <w:spacing w:after="0"/>
        <w:tabs>
          <w:tab w:leader="none" w:pos="6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$2.1 million - increase in advertising and promotion expenses as compared to 2020 during which we curtailed these activities because of the COVID-19 pandemic;</w:t>
      </w:r>
    </w:p>
    <w:p>
      <w:pPr>
        <w:spacing w:after="0" w:line="22" w:lineRule="exact"/>
        <w:rPr>
          <w:rFonts w:ascii="Arial" w:cs="Arial" w:eastAsia="Arial" w:hAnsi="Arial"/>
          <w:sz w:val="14"/>
          <w:szCs w:val="14"/>
          <w:color w:val="auto"/>
        </w:rPr>
      </w:pPr>
    </w:p>
    <w:p>
      <w:pPr>
        <w:ind w:left="600" w:hanging="195"/>
        <w:spacing w:after="0"/>
        <w:tabs>
          <w:tab w:leader="none" w:pos="6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$1.0 million in a write-off of software development expenditures in the third quarter of 2021;</w:t>
      </w:r>
    </w:p>
    <w:p>
      <w:pPr>
        <w:spacing w:after="0" w:line="11" w:lineRule="exact"/>
        <w:rPr>
          <w:rFonts w:ascii="Arial" w:cs="Arial" w:eastAsia="Arial" w:hAnsi="Arial"/>
          <w:sz w:val="15"/>
          <w:szCs w:val="15"/>
          <w:color w:val="auto"/>
        </w:rPr>
      </w:pPr>
    </w:p>
    <w:p>
      <w:pPr>
        <w:ind w:left="600" w:hanging="195"/>
        <w:spacing w:after="0"/>
        <w:tabs>
          <w:tab w:leader="none" w:pos="6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$1.0 million of professional and legal fees directly attributable to potential acquisitions;</w:t>
      </w:r>
    </w:p>
    <w:p>
      <w:pPr>
        <w:spacing w:after="0" w:line="11" w:lineRule="exact"/>
        <w:rPr>
          <w:rFonts w:ascii="Arial" w:cs="Arial" w:eastAsia="Arial" w:hAnsi="Arial"/>
          <w:sz w:val="15"/>
          <w:szCs w:val="15"/>
          <w:color w:val="auto"/>
        </w:rPr>
      </w:pPr>
    </w:p>
    <w:p>
      <w:pPr>
        <w:ind w:left="600" w:hanging="195"/>
        <w:spacing w:after="0"/>
        <w:tabs>
          <w:tab w:leader="none" w:pos="6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$2.0 million - higher other operating expenses to support our business growth, some of which expenses were reduced last year due to the COVID-19 pandemic; and</w:t>
      </w:r>
    </w:p>
    <w:p>
      <w:pPr>
        <w:spacing w:after="0" w:line="22" w:lineRule="exact"/>
        <w:rPr>
          <w:rFonts w:ascii="Arial" w:cs="Arial" w:eastAsia="Arial" w:hAnsi="Arial"/>
          <w:sz w:val="14"/>
          <w:szCs w:val="14"/>
          <w:color w:val="auto"/>
        </w:rPr>
      </w:pPr>
    </w:p>
    <w:p>
      <w:pPr>
        <w:ind w:left="600" w:hanging="195"/>
        <w:spacing w:after="0"/>
        <w:tabs>
          <w:tab w:leader="none" w:pos="6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$1.3 million - higher IT related expenses incurred to sustain our business expansion and improve our technology environment.</w:t>
      </w:r>
    </w:p>
    <w:p>
      <w:pPr>
        <w:spacing w:after="0" w:line="207" w:lineRule="exact"/>
        <w:rPr>
          <w:sz w:val="20"/>
          <w:szCs w:val="20"/>
          <w:color w:val="auto"/>
        </w:rPr>
      </w:pPr>
    </w:p>
    <w:p>
      <w:pPr>
        <w:jc w:val="both"/>
        <w:ind w:right="20" w:firstLine="275"/>
        <w:spacing w:after="0" w:line="290" w:lineRule="auto"/>
        <w:rPr>
          <w:sz w:val="20"/>
          <w:szCs w:val="20"/>
          <w:color w:val="auto"/>
        </w:rPr>
      </w:pPr>
      <w:r>
        <w:rPr>
          <w:rFonts w:ascii="Arial" w:cs="Arial" w:eastAsia="Arial" w:hAnsi="Arial"/>
          <w:sz w:val="14"/>
          <w:szCs w:val="14"/>
          <w:i w:val="1"/>
          <w:iCs w:val="1"/>
          <w:color w:val="auto"/>
        </w:rPr>
        <w:t>Depreciation and amortization</w:t>
      </w:r>
      <w:r>
        <w:rPr>
          <w:rFonts w:ascii="Arial" w:cs="Arial" w:eastAsia="Arial" w:hAnsi="Arial"/>
          <w:sz w:val="14"/>
          <w:szCs w:val="14"/>
          <w:color w:val="auto"/>
        </w:rPr>
        <w:t>— Depreciation and amortization of $9.5 million for the year ended December 31, 2021 decreased by $1.3 million, or 12.3%, from $10.8 million for</w:t>
      </w:r>
      <w:r>
        <w:rPr>
          <w:rFonts w:ascii="Arial" w:cs="Arial" w:eastAsia="Arial" w:hAnsi="Arial"/>
          <w:sz w:val="14"/>
          <w:szCs w:val="14"/>
          <w:i w:val="1"/>
          <w:iCs w:val="1"/>
          <w:color w:val="auto"/>
        </w:rPr>
        <w:t xml:space="preserve"> </w:t>
      </w:r>
      <w:r>
        <w:rPr>
          <w:rFonts w:ascii="Arial" w:cs="Arial" w:eastAsia="Arial" w:hAnsi="Arial"/>
          <w:sz w:val="14"/>
          <w:szCs w:val="14"/>
          <w:color w:val="auto"/>
        </w:rPr>
        <w:t>the year ended December 31, 2020. This decrease is mainly due to $1.8 million less amortization related to trade name, developed technology and agent relationships during the year ended December 31, 2021 as these intangibles are being amortized on an accelerated basis, which declines over time. This decrease was partially offset by an increase in depreciation of $0.5 million associated primarily with additional computer equipment to support our growing business and agent network.</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Non-Operating Expenses</w:t>
      </w:r>
    </w:p>
    <w:p>
      <w:pPr>
        <w:spacing w:after="0" w:line="195" w:lineRule="exact"/>
        <w:rPr>
          <w:sz w:val="20"/>
          <w:szCs w:val="20"/>
          <w:color w:val="auto"/>
        </w:rPr>
      </w:pPr>
    </w:p>
    <w:p>
      <w:pPr>
        <w:jc w:val="both"/>
        <w:ind w:firstLine="275"/>
        <w:spacing w:after="0" w:line="270" w:lineRule="auto"/>
        <w:rPr>
          <w:sz w:val="20"/>
          <w:szCs w:val="20"/>
          <w:color w:val="auto"/>
        </w:rPr>
      </w:pPr>
      <w:r>
        <w:rPr>
          <w:rFonts w:ascii="Arial" w:cs="Arial" w:eastAsia="Arial" w:hAnsi="Arial"/>
          <w:sz w:val="15"/>
          <w:szCs w:val="15"/>
          <w:i w:val="1"/>
          <w:iCs w:val="1"/>
          <w:color w:val="auto"/>
        </w:rPr>
        <w:t>Interest expense</w:t>
      </w:r>
      <w:r>
        <w:rPr>
          <w:rFonts w:ascii="Arial" w:cs="Arial" w:eastAsia="Arial" w:hAnsi="Arial"/>
          <w:sz w:val="15"/>
          <w:szCs w:val="15"/>
          <w:color w:val="auto"/>
        </w:rPr>
        <w:t>— Interest expense was $4.5 million for the year ended December 31, 2021, a decrease of $2.1 million, or 30.9%, from $6.6 million for the year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2020. The decrease was primarily due to lower market interest rates paid under the credit agreements (as described below) and lower drawings under our revolving credit facility.</w:t>
      </w:r>
    </w:p>
    <w:p>
      <w:pPr>
        <w:spacing w:after="0" w:line="175" w:lineRule="exact"/>
        <w:rPr>
          <w:sz w:val="20"/>
          <w:szCs w:val="20"/>
          <w:color w:val="auto"/>
        </w:rPr>
      </w:pPr>
    </w:p>
    <w:p>
      <w:pPr>
        <w:jc w:val="both"/>
        <w:ind w:firstLine="275"/>
        <w:spacing w:after="0" w:line="270" w:lineRule="auto"/>
        <w:rPr>
          <w:sz w:val="20"/>
          <w:szCs w:val="20"/>
          <w:color w:val="auto"/>
        </w:rPr>
      </w:pPr>
      <w:r>
        <w:rPr>
          <w:rFonts w:ascii="Arial" w:cs="Arial" w:eastAsia="Arial" w:hAnsi="Arial"/>
          <w:sz w:val="15"/>
          <w:szCs w:val="15"/>
          <w:i w:val="1"/>
          <w:iCs w:val="1"/>
          <w:color w:val="auto"/>
        </w:rPr>
        <w:t>Income tax provision</w:t>
      </w:r>
      <w:r>
        <w:rPr>
          <w:rFonts w:ascii="Arial" w:cs="Arial" w:eastAsia="Arial" w:hAnsi="Arial"/>
          <w:sz w:val="15"/>
          <w:szCs w:val="15"/>
          <w:color w:val="auto"/>
        </w:rPr>
        <w:t>— Income tax provision was $16.5 million for the year ended December 31, 2021, an increase of $4.0 million, or 31.6%, from an income tax provision of</w:t>
      </w:r>
      <w:r>
        <w:rPr>
          <w:rFonts w:ascii="Arial" w:cs="Arial" w:eastAsia="Arial" w:hAnsi="Arial"/>
          <w:sz w:val="15"/>
          <w:szCs w:val="15"/>
          <w:i w:val="1"/>
          <w:iCs w:val="1"/>
          <w:color w:val="auto"/>
        </w:rPr>
        <w:t xml:space="preserve"> </w:t>
      </w:r>
      <w:r>
        <w:rPr>
          <w:rFonts w:ascii="Arial" w:cs="Arial" w:eastAsia="Arial" w:hAnsi="Arial"/>
          <w:sz w:val="15"/>
          <w:szCs w:val="15"/>
          <w:color w:val="auto"/>
        </w:rPr>
        <w:t>$12.5 million for the year ended December 31, 2020. The increase in the income tax provision was mainly attributable to higher taxable income resulting from our growth as discussed above.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5" w:name="page36"/>
    <w:bookmarkEnd w:id="35"/>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Income</w:t>
      </w:r>
    </w:p>
    <w:p>
      <w:pPr>
        <w:spacing w:after="0" w:line="195"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5"/>
          <w:szCs w:val="15"/>
          <w:color w:val="auto"/>
        </w:rPr>
        <w:t>We reported net income of $46.8 million for the year ended December 31, 2021 compared to net income of $33.8 million for the year ended December 31, 2020, which resulted in an increase of $13.0 million due to the same factors discussed above.</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Earnings Per Share</w:t>
      </w:r>
    </w:p>
    <w:p>
      <w:pPr>
        <w:spacing w:after="0" w:line="195" w:lineRule="exact"/>
        <w:rPr>
          <w:sz w:val="20"/>
          <w:szCs w:val="20"/>
          <w:color w:val="auto"/>
        </w:rPr>
      </w:pPr>
    </w:p>
    <w:p>
      <w:pPr>
        <w:jc w:val="both"/>
        <w:ind w:right="20" w:firstLine="275"/>
        <w:spacing w:after="0" w:line="285" w:lineRule="auto"/>
        <w:rPr>
          <w:sz w:val="20"/>
          <w:szCs w:val="20"/>
          <w:color w:val="auto"/>
        </w:rPr>
      </w:pPr>
      <w:r>
        <w:rPr>
          <w:rFonts w:ascii="Arial" w:cs="Arial" w:eastAsia="Arial" w:hAnsi="Arial"/>
          <w:sz w:val="15"/>
          <w:szCs w:val="15"/>
          <w:color w:val="auto"/>
        </w:rPr>
        <w:t>Earnings per Share - Basic for the year ended December 31, 2021 was $1.22, representing an increase of $0.33, or 37.1%, compared to $0.89 for the year ended December 31, 2020.</w:t>
      </w:r>
    </w:p>
    <w:p>
      <w:pPr>
        <w:spacing w:after="0" w:line="164"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5"/>
          <w:szCs w:val="15"/>
          <w:color w:val="auto"/>
        </w:rPr>
        <w:t>Earnings per Share - Diluted for the year ended December 31, 2021 was $1.20, representing an increase of $0.32, or 36.4%, compared to $0.88 for the year ended December 31, 2020.</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increase in both basic and diluted EPS largely reflect the increased net income discussed above.</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Non-GAAP Financial Measures</w:t>
      </w:r>
    </w:p>
    <w:p>
      <w:pPr>
        <w:spacing w:after="0" w:line="195" w:lineRule="exact"/>
        <w:rPr>
          <w:sz w:val="20"/>
          <w:szCs w:val="20"/>
          <w:color w:val="auto"/>
        </w:rPr>
      </w:pPr>
    </w:p>
    <w:p>
      <w:pPr>
        <w:jc w:val="both"/>
        <w:ind w:firstLine="275"/>
        <w:spacing w:after="0" w:line="262" w:lineRule="auto"/>
        <w:rPr>
          <w:sz w:val="20"/>
          <w:szCs w:val="20"/>
          <w:color w:val="auto"/>
        </w:rPr>
      </w:pPr>
      <w:r>
        <w:rPr>
          <w:rFonts w:ascii="Arial" w:cs="Arial" w:eastAsia="Arial" w:hAnsi="Arial"/>
          <w:sz w:val="15"/>
          <w:szCs w:val="15"/>
          <w:color w:val="auto"/>
        </w:rPr>
        <w:t>We use Adjusted Net Income, Adjusted Earnings per Share and Adjusted EBITDA to evaluate our performance, both internally and as compared with our peers, because these measures exclude certain items that may not be indicative of our core operating results, as well as items that can vary widely among companies within our industry. For example, non-cash compensation costs can be subject to volatility from changes in the market price per share of our common stock or variations in the value and number of shares granted, and amortization of intangible assets is subject to acquisition activity, which varies from period to period and amortization of intangibles expense is primarily related to the effects of push down accounting resulting from acquisitions.</w:t>
      </w:r>
    </w:p>
    <w:p>
      <w:pPr>
        <w:spacing w:after="0" w:line="183"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4"/>
          <w:szCs w:val="14"/>
          <w:color w:val="auto"/>
        </w:rPr>
        <w:t>We present these non-GAAP financial measures because we believe they are frequently used by analysts, investors and other interested parties to evaluate companies in our industry. Furthermore, we believe they are helpful in highlighting trends in our operating results by focusing on our core operating results and are useful to evaluate our performance in conjunction with our GAAP financial measures. Adjusted Net Income, Adjusted Earnings per Share and Adjusted EBITDA are non-GAAP financial measures and should not be considered as an alternative to operating income, net income or earnings per share as a measure of operating performance or cash flows or as a measure of liquidity. Non-GAAP financial measures are not necessarily calculated the same way by different companies and should not be considered a substitute for or superior to GAAP measures.</w:t>
      </w:r>
    </w:p>
    <w:p>
      <w:pPr>
        <w:spacing w:after="0" w:line="168" w:lineRule="exact"/>
        <w:rPr>
          <w:sz w:val="20"/>
          <w:szCs w:val="20"/>
          <w:color w:val="auto"/>
        </w:rPr>
      </w:pPr>
    </w:p>
    <w:p>
      <w:pPr>
        <w:jc w:val="both"/>
        <w:ind w:firstLine="275"/>
        <w:spacing w:after="0" w:line="270" w:lineRule="auto"/>
        <w:rPr>
          <w:sz w:val="20"/>
          <w:szCs w:val="20"/>
          <w:color w:val="auto"/>
        </w:rPr>
      </w:pPr>
      <w:r>
        <w:rPr>
          <w:rFonts w:ascii="Arial" w:cs="Arial" w:eastAsia="Arial" w:hAnsi="Arial"/>
          <w:sz w:val="15"/>
          <w:szCs w:val="15"/>
          <w:color w:val="auto"/>
        </w:rPr>
        <w:t>Adjusted EBITDA is one of the primary metrics used by management to evaluate the financial performance of our business because it excludes, among other things, the effects of certain transactions that are outside the control of management, while other measures can differ significantly depending on long-term strategic decisions regarding capital structure, the jurisdictions in which we operate and capital investments.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In particular, Adjusted EBITDA is subject to certain limitations, including the following:</w:t>
      </w:r>
    </w:p>
    <w:p>
      <w:pPr>
        <w:spacing w:after="0" w:line="218" w:lineRule="exact"/>
        <w:rPr>
          <w:sz w:val="20"/>
          <w:szCs w:val="20"/>
          <w:color w:val="auto"/>
        </w:rPr>
      </w:pPr>
    </w:p>
    <w:p>
      <w:pPr>
        <w:ind w:left="540" w:hanging="204"/>
        <w:spacing w:after="0"/>
        <w:tabs>
          <w:tab w:leader="none" w:pos="5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Adjusted EBITDA does not reflect interest expense, or the amounts necessary to service interest or principal payments on our Credit Agreement;</w:t>
      </w:r>
    </w:p>
    <w:p>
      <w:pPr>
        <w:spacing w:after="0" w:line="217" w:lineRule="exact"/>
        <w:rPr>
          <w:rFonts w:ascii="Arial" w:cs="Arial" w:eastAsia="Arial" w:hAnsi="Arial"/>
          <w:sz w:val="15"/>
          <w:szCs w:val="15"/>
          <w:color w:val="auto"/>
        </w:rPr>
      </w:pPr>
    </w:p>
    <w:p>
      <w:pPr>
        <w:ind w:left="540" w:hanging="204"/>
        <w:spacing w:after="0" w:line="285" w:lineRule="auto"/>
        <w:tabs>
          <w:tab w:leader="none" w:pos="536" w:val="left"/>
        </w:tabs>
        <w:numPr>
          <w:ilvl w:val="0"/>
          <w:numId w:val="19"/>
        </w:numPr>
        <w:rPr>
          <w:rFonts w:ascii="Arial" w:cs="Arial" w:eastAsia="Arial" w:hAnsi="Arial"/>
          <w:sz w:val="15"/>
          <w:szCs w:val="15"/>
          <w:color w:val="auto"/>
        </w:rPr>
      </w:pPr>
      <w:r>
        <w:rPr>
          <w:rFonts w:ascii="Arial" w:cs="Arial" w:eastAsia="Arial" w:hAnsi="Arial"/>
          <w:sz w:val="15"/>
          <w:szCs w:val="15"/>
          <w:color w:val="auto"/>
        </w:rPr>
        <w:t>Adjusted EBITDA does not reflect income tax provision (benefit), and because the payment of taxes is part of our operations, tax provision is a necessary element of our costs and ability to operate;</w:t>
      </w:r>
    </w:p>
    <w:p>
      <w:pPr>
        <w:spacing w:after="0" w:line="163" w:lineRule="exact"/>
        <w:rPr>
          <w:rFonts w:ascii="Arial" w:cs="Arial" w:eastAsia="Arial" w:hAnsi="Arial"/>
          <w:sz w:val="15"/>
          <w:szCs w:val="15"/>
          <w:color w:val="auto"/>
        </w:rPr>
      </w:pPr>
    </w:p>
    <w:p>
      <w:pPr>
        <w:ind w:left="540" w:right="20" w:hanging="204"/>
        <w:spacing w:after="0" w:line="285" w:lineRule="auto"/>
        <w:tabs>
          <w:tab w:leader="none" w:pos="536" w:val="left"/>
        </w:tabs>
        <w:numPr>
          <w:ilvl w:val="0"/>
          <w:numId w:val="19"/>
        </w:numPr>
        <w:rPr>
          <w:rFonts w:ascii="Arial" w:cs="Arial" w:eastAsia="Arial" w:hAnsi="Arial"/>
          <w:sz w:val="15"/>
          <w:szCs w:val="15"/>
          <w:color w:val="auto"/>
        </w:rPr>
      </w:pPr>
      <w:r>
        <w:rPr>
          <w:rFonts w:ascii="Arial" w:cs="Arial" w:eastAsia="Arial" w:hAnsi="Arial"/>
          <w:sz w:val="15"/>
          <w:szCs w:val="15"/>
          <w:color w:val="auto"/>
        </w:rPr>
        <w:t>Although depreciation and amortization are eliminated in the calculation of Adjusted EBITDA, the assets being depreciated and amortized will often have to be replaced in the future, and Adjusted EBITDA does not reflect any costs of such replacements;</w:t>
      </w:r>
    </w:p>
    <w:p>
      <w:pPr>
        <w:spacing w:after="0" w:line="163" w:lineRule="exact"/>
        <w:rPr>
          <w:rFonts w:ascii="Arial" w:cs="Arial" w:eastAsia="Arial" w:hAnsi="Arial"/>
          <w:sz w:val="15"/>
          <w:szCs w:val="15"/>
          <w:color w:val="auto"/>
        </w:rPr>
      </w:pPr>
    </w:p>
    <w:p>
      <w:pPr>
        <w:ind w:left="540" w:hanging="204"/>
        <w:spacing w:after="0"/>
        <w:tabs>
          <w:tab w:leader="none" w:pos="5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Adjusted EBITDA does not reflect the noncash component of share-based compensation;</w:t>
      </w:r>
    </w:p>
    <w:p>
      <w:pPr>
        <w:spacing w:after="0" w:line="217" w:lineRule="exact"/>
        <w:rPr>
          <w:rFonts w:ascii="Arial" w:cs="Arial" w:eastAsia="Arial" w:hAnsi="Arial"/>
          <w:sz w:val="15"/>
          <w:szCs w:val="15"/>
          <w:color w:val="auto"/>
        </w:rPr>
      </w:pPr>
    </w:p>
    <w:p>
      <w:pPr>
        <w:ind w:left="540" w:right="20" w:hanging="204"/>
        <w:spacing w:after="0" w:line="285" w:lineRule="auto"/>
        <w:tabs>
          <w:tab w:leader="none" w:pos="536" w:val="left"/>
        </w:tabs>
        <w:numPr>
          <w:ilvl w:val="0"/>
          <w:numId w:val="19"/>
        </w:numPr>
        <w:rPr>
          <w:rFonts w:ascii="Arial" w:cs="Arial" w:eastAsia="Arial" w:hAnsi="Arial"/>
          <w:sz w:val="15"/>
          <w:szCs w:val="15"/>
          <w:color w:val="auto"/>
        </w:rPr>
      </w:pPr>
      <w:r>
        <w:rPr>
          <w:rFonts w:ascii="Arial" w:cs="Arial" w:eastAsia="Arial" w:hAnsi="Arial"/>
          <w:sz w:val="15"/>
          <w:szCs w:val="15"/>
          <w:color w:val="auto"/>
        </w:rPr>
        <w:t>Adjusted EBITDA does not reflect the impact of earnings or charges resulting from matters we consider not to be reflective, on a recurring basis, of our ongoing operations; and</w:t>
      </w:r>
    </w:p>
    <w:p>
      <w:pPr>
        <w:spacing w:after="0" w:line="163" w:lineRule="exact"/>
        <w:rPr>
          <w:rFonts w:ascii="Arial" w:cs="Arial" w:eastAsia="Arial" w:hAnsi="Arial"/>
          <w:sz w:val="15"/>
          <w:szCs w:val="15"/>
          <w:color w:val="auto"/>
        </w:rPr>
      </w:pPr>
    </w:p>
    <w:p>
      <w:pPr>
        <w:ind w:left="540" w:hanging="204"/>
        <w:spacing w:after="0"/>
        <w:tabs>
          <w:tab w:leader="none" w:pos="5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other companies in our industry may calculate Adjusted EBITDA or similarly titled measures differently than we do, limiting its usefulness as a comparative measure.</w:t>
      </w:r>
    </w:p>
    <w:p>
      <w:pPr>
        <w:spacing w:after="0" w:line="229" w:lineRule="exact"/>
        <w:rPr>
          <w:sz w:val="20"/>
          <w:szCs w:val="20"/>
          <w:color w:val="auto"/>
        </w:rPr>
      </w:pPr>
    </w:p>
    <w:p>
      <w:pPr>
        <w:ind w:right="20" w:firstLine="551"/>
        <w:spacing w:after="0" w:line="285" w:lineRule="auto"/>
        <w:rPr>
          <w:sz w:val="20"/>
          <w:szCs w:val="20"/>
          <w:color w:val="auto"/>
        </w:rPr>
      </w:pPr>
      <w:r>
        <w:rPr>
          <w:rFonts w:ascii="Arial" w:cs="Arial" w:eastAsia="Arial" w:hAnsi="Arial"/>
          <w:sz w:val="15"/>
          <w:szCs w:val="15"/>
          <w:color w:val="auto"/>
        </w:rPr>
        <w:t>We adjust for these limitations by relying primarily on our GAAP results and using Adjusted EBITDA, as well as our other non-GAAP financial measures, only as supplemental information.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6" w:name="page37"/>
    <w:bookmarkEnd w:id="36"/>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Adjusted Net Income and Adjusted Earnings per Share</w:t>
      </w:r>
    </w:p>
    <w:p>
      <w:pPr>
        <w:spacing w:after="0" w:line="195"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Adjusted Net Income is defined as net income adjusted to add back certain charges and expenses, such as non-cash amortization of intangible assets resulting from push-down accounting, which will recur in future periods until these assets have been fully amortized, and excludes the amortization of other intangible assets related to the acquisition of Company-operated stores, non-cash compensation costs, litigation settlements and other items set forth in the table below, as these charges and expenses are not considered a part of our core business operations and are not an indicator of ongoing, future company performance.</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Adjusted Earnings per Share - Basic and Diluted is calculated by dividing Adjusted Net Income by GAAP weighted-average common shares outstanding (basic and diluted).</w:t>
      </w:r>
    </w:p>
    <w:p>
      <w:pPr>
        <w:spacing w:after="0" w:line="229" w:lineRule="exact"/>
        <w:rPr>
          <w:sz w:val="20"/>
          <w:szCs w:val="20"/>
          <w:color w:val="auto"/>
        </w:rPr>
      </w:pPr>
    </w:p>
    <w:p>
      <w:pPr>
        <w:jc w:val="both"/>
        <w:ind w:right="20" w:firstLine="275"/>
        <w:spacing w:after="0" w:line="270" w:lineRule="auto"/>
        <w:rPr>
          <w:sz w:val="20"/>
          <w:szCs w:val="20"/>
          <w:color w:val="auto"/>
        </w:rPr>
      </w:pPr>
      <w:r>
        <w:rPr>
          <w:rFonts w:ascii="Arial" w:cs="Arial" w:eastAsia="Arial" w:hAnsi="Arial"/>
          <w:sz w:val="15"/>
          <w:szCs w:val="15"/>
          <w:color w:val="auto"/>
        </w:rPr>
        <w:t>Adjusted Net Income for the year ended December 31, 2021 was $57.5 million, representing an increase of $15.2 million, or 35.7%, from Adjusted Net Income of $42.3 million for the year ended December 31, 2020. The increase in Adjusted Net Income was primarily due to the increase in net income discussed above and certain higher adjusting items detailed in the table below.</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following table presents the reconciliation of Net Income, our closest GAAP measure, to Adjusted Net Income:</w:t>
      </w:r>
    </w:p>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62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584"/>
              <w:spacing w:after="0"/>
              <w:rPr>
                <w:sz w:val="20"/>
                <w:szCs w:val="20"/>
                <w:color w:val="auto"/>
              </w:rPr>
            </w:pPr>
            <w:r>
              <w:rPr>
                <w:rFonts w:ascii="Arial" w:cs="Arial" w:eastAsia="Arial" w:hAnsi="Arial"/>
                <w:sz w:val="15"/>
                <w:szCs w:val="15"/>
                <w:color w:val="auto"/>
              </w:rPr>
              <w:t>Year Ended December 31,</w:t>
            </w:r>
          </w:p>
        </w:tc>
      </w:tr>
      <w:tr>
        <w:trPr>
          <w:trHeight w:val="198"/>
        </w:trPr>
        <w:tc>
          <w:tcPr>
            <w:tcW w:w="6240" w:type="dxa"/>
            <w:vAlign w:val="bottom"/>
          </w:tcPr>
          <w:p>
            <w:pPr>
              <w:ind w:left="300"/>
              <w:spacing w:after="0"/>
              <w:rPr>
                <w:sz w:val="20"/>
                <w:szCs w:val="20"/>
                <w:color w:val="auto"/>
              </w:rPr>
            </w:pPr>
            <w:r>
              <w:rPr>
                <w:rFonts w:ascii="Arial" w:cs="Arial" w:eastAsia="Arial" w:hAnsi="Arial"/>
                <w:sz w:val="15"/>
                <w:szCs w:val="15"/>
                <w:i w:val="1"/>
                <w:iCs w:val="1"/>
                <w:color w:val="auto"/>
              </w:rPr>
              <w:t>(in thousands, except for share data)</w:t>
            </w: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color w:val="auto"/>
              </w:rPr>
              <w:t>2021</w:t>
            </w:r>
          </w:p>
        </w:tc>
        <w:tc>
          <w:tcPr>
            <w:tcW w:w="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color w:val="auto"/>
              </w:rPr>
              <w:t>2020</w:t>
            </w:r>
          </w:p>
        </w:tc>
      </w:tr>
      <w:tr>
        <w:trPr>
          <w:trHeight w:val="206"/>
        </w:trPr>
        <w:tc>
          <w:tcPr>
            <w:tcW w:w="6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5"/>
        </w:trPr>
        <w:tc>
          <w:tcPr>
            <w:tcW w:w="6240" w:type="dxa"/>
            <w:vAlign w:val="bottom"/>
            <w:shd w:val="clear" w:color="auto" w:fill="CCEEFF"/>
          </w:tcPr>
          <w:p>
            <w:pPr>
              <w:ind w:left="300"/>
              <w:spacing w:after="0"/>
              <w:rPr>
                <w:sz w:val="20"/>
                <w:szCs w:val="20"/>
                <w:color w:val="auto"/>
              </w:rPr>
            </w:pPr>
            <w:r>
              <w:rPr>
                <w:rFonts w:ascii="Arial" w:cs="Arial" w:eastAsia="Arial" w:hAnsi="Arial"/>
                <w:sz w:val="15"/>
                <w:szCs w:val="15"/>
                <w:b w:val="1"/>
                <w:bCs w:val="1"/>
                <w:color w:val="auto"/>
              </w:rPr>
              <w:t>Net Income</w:t>
            </w:r>
          </w:p>
        </w:tc>
        <w:tc>
          <w:tcPr>
            <w:tcW w:w="560" w:type="dxa"/>
            <w:vAlign w:val="bottom"/>
            <w:shd w:val="clear" w:color="auto" w:fill="CCEEFF"/>
          </w:tcPr>
          <w:p>
            <w:pPr>
              <w:jc w:val="right"/>
              <w:ind w:right="124"/>
              <w:spacing w:after="0"/>
              <w:rPr>
                <w:sz w:val="20"/>
                <w:szCs w:val="20"/>
                <w:color w:val="auto"/>
              </w:rPr>
            </w:pPr>
            <w:r>
              <w:rPr>
                <w:rFonts w:ascii="Arial" w:cs="Arial" w:eastAsia="Arial" w:hAnsi="Arial"/>
                <w:sz w:val="15"/>
                <w:szCs w:val="15"/>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46,843</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24"/>
              <w:spacing w:after="0"/>
              <w:rPr>
                <w:sz w:val="20"/>
                <w:szCs w:val="20"/>
                <w:color w:val="auto"/>
              </w:rPr>
            </w:pPr>
            <w:r>
              <w:rPr>
                <w:rFonts w:ascii="Arial" w:cs="Arial" w:eastAsia="Arial" w:hAnsi="Arial"/>
                <w:sz w:val="15"/>
                <w:szCs w:val="15"/>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33,784</w:t>
            </w:r>
          </w:p>
        </w:tc>
      </w:tr>
      <w:tr>
        <w:trPr>
          <w:trHeight w:val="218"/>
        </w:trPr>
        <w:tc>
          <w:tcPr>
            <w:tcW w:w="6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5"/>
        </w:trPr>
        <w:tc>
          <w:tcPr>
            <w:tcW w:w="6240" w:type="dxa"/>
            <w:vAlign w:val="bottom"/>
            <w:shd w:val="clear" w:color="auto" w:fill="CCEEFF"/>
          </w:tcPr>
          <w:p>
            <w:pPr>
              <w:ind w:left="300"/>
              <w:spacing w:after="0"/>
              <w:rPr>
                <w:sz w:val="20"/>
                <w:szCs w:val="20"/>
                <w:color w:val="auto"/>
              </w:rPr>
            </w:pPr>
            <w:r>
              <w:rPr>
                <w:rFonts w:ascii="Arial" w:cs="Arial" w:eastAsia="Arial" w:hAnsi="Arial"/>
                <w:sz w:val="15"/>
                <w:szCs w:val="15"/>
                <w:b w:val="1"/>
                <w:bCs w:val="1"/>
                <w:color w:val="auto"/>
              </w:rPr>
              <w:t>Adjusted for:</w:t>
            </w: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95"/>
        </w:trPr>
        <w:tc>
          <w:tcPr>
            <w:tcW w:w="6240" w:type="dxa"/>
            <w:vAlign w:val="bottom"/>
          </w:tcPr>
          <w:p>
            <w:pPr>
              <w:ind w:left="400"/>
              <w:spacing w:after="0"/>
              <w:rPr>
                <w:sz w:val="20"/>
                <w:szCs w:val="20"/>
                <w:color w:val="auto"/>
              </w:rPr>
            </w:pPr>
            <w:r>
              <w:rPr>
                <w:rFonts w:ascii="Arial" w:cs="Arial" w:eastAsia="Arial" w:hAnsi="Arial"/>
                <w:sz w:val="15"/>
                <w:szCs w:val="15"/>
                <w:color w:val="auto"/>
              </w:rPr>
              <w:t>Share-based compensation (a)</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4,601</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3,237</w:t>
            </w:r>
          </w:p>
        </w:tc>
      </w:tr>
      <w:tr>
        <w:trPr>
          <w:trHeight w:val="195"/>
        </w:trPr>
        <w:tc>
          <w:tcPr>
            <w:tcW w:w="62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Offering costs (b)</w:t>
            </w:r>
          </w:p>
        </w:tc>
        <w:tc>
          <w:tcPr>
            <w:tcW w:w="5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509</w:t>
            </w:r>
          </w:p>
        </w:tc>
      </w:tr>
      <w:tr>
        <w:trPr>
          <w:trHeight w:val="195"/>
        </w:trPr>
        <w:tc>
          <w:tcPr>
            <w:tcW w:w="6240" w:type="dxa"/>
            <w:vAlign w:val="bottom"/>
          </w:tcPr>
          <w:p>
            <w:pPr>
              <w:ind w:left="400"/>
              <w:spacing w:after="0"/>
              <w:rPr>
                <w:sz w:val="20"/>
                <w:szCs w:val="20"/>
                <w:color w:val="auto"/>
              </w:rPr>
            </w:pPr>
            <w:r>
              <w:rPr>
                <w:rFonts w:ascii="Arial" w:cs="Arial" w:eastAsia="Arial" w:hAnsi="Arial"/>
                <w:sz w:val="15"/>
                <w:szCs w:val="15"/>
                <w:color w:val="auto"/>
              </w:rPr>
              <w:t>TCPA Settlement (c)</w:t>
            </w:r>
          </w:p>
        </w:tc>
        <w:tc>
          <w:tcPr>
            <w:tcW w:w="5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60</w:t>
            </w:r>
          </w:p>
        </w:tc>
      </w:tr>
      <w:tr>
        <w:trPr>
          <w:trHeight w:val="195"/>
        </w:trPr>
        <w:tc>
          <w:tcPr>
            <w:tcW w:w="62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Loss on bank closure (d)</w:t>
            </w: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w:t>
            </w:r>
          </w:p>
        </w:tc>
      </w:tr>
      <w:tr>
        <w:trPr>
          <w:trHeight w:val="195"/>
        </w:trPr>
        <w:tc>
          <w:tcPr>
            <w:tcW w:w="6240" w:type="dxa"/>
            <w:vAlign w:val="bottom"/>
          </w:tcPr>
          <w:p>
            <w:pPr>
              <w:ind w:left="400"/>
              <w:spacing w:after="0"/>
              <w:rPr>
                <w:sz w:val="20"/>
                <w:szCs w:val="20"/>
                <w:color w:val="auto"/>
              </w:rPr>
            </w:pPr>
            <w:r>
              <w:rPr>
                <w:rFonts w:ascii="Arial" w:cs="Arial" w:eastAsia="Arial" w:hAnsi="Arial"/>
                <w:sz w:val="15"/>
                <w:szCs w:val="15"/>
                <w:color w:val="auto"/>
              </w:rPr>
              <w:t>Transaction costs (e)</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1,006</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5"/>
        </w:trPr>
        <w:tc>
          <w:tcPr>
            <w:tcW w:w="62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Other charges and expenses (f)</w:t>
            </w: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1,705</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637</w:t>
            </w:r>
          </w:p>
        </w:tc>
      </w:tr>
      <w:tr>
        <w:trPr>
          <w:trHeight w:val="195"/>
        </w:trPr>
        <w:tc>
          <w:tcPr>
            <w:tcW w:w="6240" w:type="dxa"/>
            <w:vAlign w:val="bottom"/>
          </w:tcPr>
          <w:p>
            <w:pPr>
              <w:ind w:left="400"/>
              <w:spacing w:after="0"/>
              <w:rPr>
                <w:sz w:val="20"/>
                <w:szCs w:val="20"/>
                <w:color w:val="auto"/>
              </w:rPr>
            </w:pPr>
            <w:r>
              <w:rPr>
                <w:rFonts w:ascii="Arial" w:cs="Arial" w:eastAsia="Arial" w:hAnsi="Arial"/>
                <w:sz w:val="15"/>
                <w:szCs w:val="15"/>
                <w:color w:val="auto"/>
              </w:rPr>
              <w:t>Amortization of intangibles (g)</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5,052</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6,841</w:t>
            </w:r>
          </w:p>
        </w:tc>
      </w:tr>
      <w:tr>
        <w:trPr>
          <w:trHeight w:val="198"/>
        </w:trPr>
        <w:tc>
          <w:tcPr>
            <w:tcW w:w="62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5"/>
                <w:szCs w:val="15"/>
                <w:color w:val="auto"/>
              </w:rPr>
              <w:t>Income tax benefit related to adjustments (h)</w:t>
            </w:r>
          </w:p>
        </w:tc>
        <w:tc>
          <w:tcPr>
            <w:tcW w:w="5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(3,738)</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(2,981)</w:t>
            </w:r>
          </w:p>
        </w:tc>
      </w:tr>
      <w:tr>
        <w:trPr>
          <w:trHeight w:val="195"/>
        </w:trPr>
        <w:tc>
          <w:tcPr>
            <w:tcW w:w="6240" w:type="dxa"/>
            <w:vAlign w:val="bottom"/>
          </w:tcPr>
          <w:p>
            <w:pPr>
              <w:ind w:left="300"/>
              <w:spacing w:after="0"/>
              <w:rPr>
                <w:sz w:val="20"/>
                <w:szCs w:val="20"/>
                <w:color w:val="auto"/>
              </w:rPr>
            </w:pPr>
            <w:r>
              <w:rPr>
                <w:rFonts w:ascii="Arial" w:cs="Arial" w:eastAsia="Arial" w:hAnsi="Arial"/>
                <w:sz w:val="15"/>
                <w:szCs w:val="15"/>
                <w:b w:val="1"/>
                <w:bCs w:val="1"/>
                <w:color w:val="auto"/>
              </w:rPr>
              <w:t>Adjusted Net Income</w:t>
            </w:r>
          </w:p>
        </w:tc>
        <w:tc>
          <w:tcPr>
            <w:tcW w:w="5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57,469</w:t>
            </w:r>
          </w:p>
        </w:tc>
        <w:tc>
          <w:tcPr>
            <w:tcW w:w="80" w:type="dxa"/>
            <w:vAlign w:val="bottom"/>
          </w:tcPr>
          <w:p>
            <w:pPr>
              <w:spacing w:after="0"/>
              <w:rPr>
                <w:sz w:val="16"/>
                <w:szCs w:val="16"/>
                <w:color w:val="auto"/>
              </w:rPr>
            </w:pPr>
          </w:p>
        </w:tc>
        <w:tc>
          <w:tcPr>
            <w:tcW w:w="5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42,339</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1"/>
        </w:trPr>
        <w:tc>
          <w:tcPr>
            <w:tcW w:w="6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95"/>
        </w:trPr>
        <w:tc>
          <w:tcPr>
            <w:tcW w:w="6240" w:type="dxa"/>
            <w:vAlign w:val="bottom"/>
          </w:tcPr>
          <w:p>
            <w:pPr>
              <w:ind w:left="300"/>
              <w:spacing w:after="0"/>
              <w:rPr>
                <w:sz w:val="20"/>
                <w:szCs w:val="20"/>
                <w:color w:val="auto"/>
              </w:rPr>
            </w:pPr>
            <w:r>
              <w:rPr>
                <w:rFonts w:ascii="Arial" w:cs="Arial" w:eastAsia="Arial" w:hAnsi="Arial"/>
                <w:sz w:val="15"/>
                <w:szCs w:val="15"/>
                <w:b w:val="1"/>
                <w:bCs w:val="1"/>
                <w:color w:val="auto"/>
              </w:rPr>
              <w:t>Adjusted Earnings per share</w:t>
            </w: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5"/>
        </w:trPr>
        <w:tc>
          <w:tcPr>
            <w:tcW w:w="62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Basic</w:t>
            </w:r>
          </w:p>
        </w:tc>
        <w:tc>
          <w:tcPr>
            <w:tcW w:w="5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w:t>
            </w:r>
          </w:p>
        </w:tc>
      </w:tr>
      <w:tr>
        <w:trPr>
          <w:trHeight w:val="195"/>
        </w:trPr>
        <w:tc>
          <w:tcPr>
            <w:tcW w:w="6240" w:type="dxa"/>
            <w:vAlign w:val="bottom"/>
          </w:tcPr>
          <w:p>
            <w:pPr>
              <w:ind w:left="400"/>
              <w:spacing w:after="0"/>
              <w:rPr>
                <w:sz w:val="20"/>
                <w:szCs w:val="20"/>
                <w:color w:val="auto"/>
              </w:rPr>
            </w:pPr>
            <w:r>
              <w:rPr>
                <w:rFonts w:ascii="Arial" w:cs="Arial" w:eastAsia="Arial" w:hAnsi="Arial"/>
                <w:sz w:val="15"/>
                <w:szCs w:val="15"/>
                <w:color w:val="auto"/>
              </w:rPr>
              <w:t>Diluted</w:t>
            </w:r>
          </w:p>
        </w:tc>
        <w:tc>
          <w:tcPr>
            <w:tcW w:w="5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1.47</w:t>
            </w:r>
          </w:p>
        </w:tc>
        <w:tc>
          <w:tcPr>
            <w:tcW w:w="80" w:type="dxa"/>
            <w:vAlign w:val="bottom"/>
          </w:tcPr>
          <w:p>
            <w:pPr>
              <w:spacing w:after="0"/>
              <w:rPr>
                <w:sz w:val="16"/>
                <w:szCs w:val="16"/>
                <w:color w:val="auto"/>
              </w:rPr>
            </w:pPr>
          </w:p>
        </w:tc>
        <w:tc>
          <w:tcPr>
            <w:tcW w:w="58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1.10</w:t>
            </w:r>
          </w:p>
        </w:tc>
      </w:tr>
      <w:tr>
        <w:trPr>
          <w:trHeight w:val="218"/>
        </w:trPr>
        <w:tc>
          <w:tcPr>
            <w:tcW w:w="6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95"/>
        </w:trPr>
        <w:tc>
          <w:tcPr>
            <w:tcW w:w="6240" w:type="dxa"/>
            <w:vAlign w:val="bottom"/>
          </w:tcPr>
          <w:p>
            <w:pPr>
              <w:ind w:left="300"/>
              <w:spacing w:after="0"/>
              <w:rPr>
                <w:sz w:val="20"/>
                <w:szCs w:val="20"/>
                <w:color w:val="auto"/>
              </w:rPr>
            </w:pPr>
            <w:r>
              <w:rPr>
                <w:rFonts w:ascii="Arial" w:cs="Arial" w:eastAsia="Arial" w:hAnsi="Arial"/>
                <w:sz w:val="15"/>
                <w:szCs w:val="15"/>
                <w:b w:val="1"/>
                <w:bCs w:val="1"/>
                <w:color w:val="auto"/>
              </w:rPr>
              <w:t>Weighted-average common shares outstanding</w:t>
            </w: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5"/>
        </w:trPr>
        <w:tc>
          <w:tcPr>
            <w:tcW w:w="62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Basic</w:t>
            </w: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38,474,040</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38,060,290</w:t>
            </w:r>
          </w:p>
        </w:tc>
      </w:tr>
      <w:tr>
        <w:trPr>
          <w:trHeight w:val="195"/>
        </w:trPr>
        <w:tc>
          <w:tcPr>
            <w:tcW w:w="6240" w:type="dxa"/>
            <w:vAlign w:val="bottom"/>
          </w:tcPr>
          <w:p>
            <w:pPr>
              <w:ind w:left="400"/>
              <w:spacing w:after="0"/>
              <w:rPr>
                <w:sz w:val="20"/>
                <w:szCs w:val="20"/>
                <w:color w:val="auto"/>
              </w:rPr>
            </w:pPr>
            <w:r>
              <w:rPr>
                <w:rFonts w:ascii="Arial" w:cs="Arial" w:eastAsia="Arial" w:hAnsi="Arial"/>
                <w:sz w:val="15"/>
                <w:szCs w:val="15"/>
                <w:color w:val="auto"/>
              </w:rPr>
              <w:t>Diluted</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39,103,450</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38,358,171</w:t>
            </w:r>
          </w:p>
        </w:tc>
      </w:tr>
    </w:tbl>
    <w:p>
      <w:pPr>
        <w:spacing w:after="0" w:line="276" w:lineRule="exact"/>
        <w:rPr>
          <w:sz w:val="20"/>
          <w:szCs w:val="20"/>
          <w:color w:val="auto"/>
        </w:rPr>
      </w:pPr>
    </w:p>
    <w:p>
      <w:pPr>
        <w:ind w:left="480" w:hanging="213"/>
        <w:spacing w:after="0"/>
        <w:tabs>
          <w:tab w:leader="none" w:pos="4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Represents share-based compensation relating to equity awards granted to employees and independent directors of the Company.</w:t>
      </w:r>
    </w:p>
    <w:p>
      <w:pPr>
        <w:spacing w:after="0" w:line="21" w:lineRule="exact"/>
        <w:rPr>
          <w:rFonts w:ascii="Arial" w:cs="Arial" w:eastAsia="Arial" w:hAnsi="Arial"/>
          <w:sz w:val="15"/>
          <w:szCs w:val="15"/>
          <w:color w:val="auto"/>
        </w:rPr>
      </w:pPr>
    </w:p>
    <w:p>
      <w:pPr>
        <w:ind w:left="460" w:hanging="193"/>
        <w:spacing w:after="0"/>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Represents expenses incurred for professional and legal fees in connection with secondary offerings for the Company’s common stock.</w:t>
      </w:r>
    </w:p>
    <w:p>
      <w:pPr>
        <w:spacing w:after="0" w:line="11" w:lineRule="exact"/>
        <w:rPr>
          <w:rFonts w:ascii="Arial" w:cs="Arial" w:eastAsia="Arial" w:hAnsi="Arial"/>
          <w:sz w:val="15"/>
          <w:szCs w:val="15"/>
          <w:color w:val="auto"/>
        </w:rPr>
      </w:pPr>
    </w:p>
    <w:p>
      <w:pPr>
        <w:ind w:left="480" w:hanging="213"/>
        <w:spacing w:after="0"/>
        <w:tabs>
          <w:tab w:leader="none" w:pos="4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Represents legal fees for the settlement of a class action lawsuit related to the TCPA.</w:t>
      </w:r>
    </w:p>
    <w:p>
      <w:pPr>
        <w:spacing w:after="0" w:line="11" w:lineRule="exact"/>
        <w:rPr>
          <w:rFonts w:ascii="Arial" w:cs="Arial" w:eastAsia="Arial" w:hAnsi="Arial"/>
          <w:sz w:val="15"/>
          <w:szCs w:val="15"/>
          <w:color w:val="auto"/>
        </w:rPr>
      </w:pPr>
    </w:p>
    <w:p>
      <w:pPr>
        <w:ind w:left="460" w:hanging="193"/>
        <w:spacing w:after="0"/>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Represents two separate losses during the years ended December 31, 2021 and 2020, respectively, related to the closure of financial institutions in Mexico.</w:t>
      </w:r>
    </w:p>
    <w:p>
      <w:pPr>
        <w:spacing w:after="0" w:line="11" w:lineRule="exact"/>
        <w:rPr>
          <w:rFonts w:ascii="Arial" w:cs="Arial" w:eastAsia="Arial" w:hAnsi="Arial"/>
          <w:sz w:val="15"/>
          <w:szCs w:val="15"/>
          <w:color w:val="auto"/>
        </w:rPr>
      </w:pPr>
    </w:p>
    <w:p>
      <w:pPr>
        <w:ind w:left="480" w:hanging="213"/>
        <w:spacing w:after="0" w:line="255" w:lineRule="auto"/>
        <w:tabs>
          <w:tab w:leader="none" w:pos="477"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Represents professional and legal fees incurred in potential acquisitions, which are included within “Other selling, general and administrative expenses” in our consolidated statements of income and comprehensive income.</w:t>
      </w:r>
    </w:p>
    <w:p>
      <w:pPr>
        <w:ind w:left="480" w:right="20" w:hanging="213"/>
        <w:spacing w:after="0" w:line="255" w:lineRule="auto"/>
        <w:tabs>
          <w:tab w:leader="none" w:pos="472"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Represents primarily loss on disposal of fixed assets, including a write-off of software development expenditures in an amount of $1.0 million during the year ended December 31, 2021 and foreign currency (gains) losses.</w:t>
      </w:r>
    </w:p>
    <w:p>
      <w:pPr>
        <w:ind w:left="460" w:hanging="193"/>
        <w:spacing w:after="0"/>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Represents the amortization of certain intangible assets that resulted from the application of push-down accounting.</w:t>
      </w:r>
    </w:p>
    <w:p>
      <w:pPr>
        <w:spacing w:after="0" w:line="11" w:lineRule="exact"/>
        <w:rPr>
          <w:rFonts w:ascii="Arial" w:cs="Arial" w:eastAsia="Arial" w:hAnsi="Arial"/>
          <w:sz w:val="15"/>
          <w:szCs w:val="15"/>
          <w:color w:val="auto"/>
        </w:rPr>
      </w:pPr>
    </w:p>
    <w:p>
      <w:pPr>
        <w:ind w:left="480" w:hanging="213"/>
        <w:spacing w:after="0" w:line="270" w:lineRule="auto"/>
        <w:tabs>
          <w:tab w:leader="none" w:pos="475"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Represents the current and deferred tax impact of the taxable adjustments to net income using the Company’s blended federal and state tax rate for each period. Relevant tax-deductible adjustments include all adjustments to net income.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7" w:name="page38"/>
    <w:bookmarkEnd w:id="37"/>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4"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5"/>
          <w:szCs w:val="15"/>
          <w:color w:val="auto"/>
        </w:rPr>
        <w:t>Adjusted Earnings per Share - Basic (previously defined and used as described above) for the year ended December 31, 2021 was $1.49, representing an increase of $0.38, or 34.2%, compared to $1.11 for the year ended December 31, 2020.</w:t>
      </w:r>
    </w:p>
    <w:p>
      <w:pPr>
        <w:spacing w:after="0" w:line="164" w:lineRule="exact"/>
        <w:rPr>
          <w:sz w:val="20"/>
          <w:szCs w:val="20"/>
          <w:color w:val="auto"/>
        </w:rPr>
      </w:pPr>
    </w:p>
    <w:p>
      <w:pPr>
        <w:jc w:val="both"/>
        <w:ind w:right="20" w:firstLine="275"/>
        <w:spacing w:after="0" w:line="285" w:lineRule="auto"/>
        <w:rPr>
          <w:sz w:val="20"/>
          <w:szCs w:val="20"/>
          <w:color w:val="auto"/>
        </w:rPr>
      </w:pPr>
      <w:r>
        <w:rPr>
          <w:rFonts w:ascii="Arial" w:cs="Arial" w:eastAsia="Arial" w:hAnsi="Arial"/>
          <w:sz w:val="15"/>
          <w:szCs w:val="15"/>
          <w:color w:val="auto"/>
        </w:rPr>
        <w:t>Adjusted Earnings per Share - Diluted (previously defined and used as described above) for the year ended December 31, 2021 was $1.47, representing an increase of $0.37, or 33.6%, compared to $1.10 for the year ended December 31, 2020.</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following table presents the reconciliation of GAAP Earnings per Share, our closest GAAP measure, to Adjusted Earnings per Share:</w:t>
      </w:r>
    </w:p>
    <w:p>
      <w:pPr>
        <w:spacing w:after="0" w:line="252" w:lineRule="exact"/>
        <w:rPr>
          <w:sz w:val="20"/>
          <w:szCs w:val="20"/>
          <w:color w:val="auto"/>
        </w:rPr>
      </w:pPr>
    </w:p>
    <w:tbl>
      <w:tblPr>
        <w:tblLayout w:type="fixed"/>
        <w:tblInd w:w="500" w:type="dxa"/>
        <w:tblCellMar>
          <w:top w:w="0" w:type="dxa"/>
          <w:left w:w="0" w:type="dxa"/>
          <w:bottom w:w="0" w:type="dxa"/>
          <w:right w:w="0" w:type="dxa"/>
        </w:tblCellMar>
      </w:tblPr>
      <w:tr>
        <w:trPr>
          <w:trHeight w:val="197"/>
        </w:trPr>
        <w:tc>
          <w:tcPr>
            <w:tcW w:w="26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5"/>
          </w:tcPr>
          <w:p>
            <w:pPr>
              <w:ind w:left="580"/>
              <w:spacing w:after="0"/>
              <w:rPr>
                <w:sz w:val="20"/>
                <w:szCs w:val="20"/>
                <w:color w:val="auto"/>
              </w:rPr>
            </w:pPr>
            <w:r>
              <w:rPr>
                <w:rFonts w:ascii="Arial" w:cs="Arial" w:eastAsia="Arial" w:hAnsi="Arial"/>
                <w:sz w:val="15"/>
                <w:szCs w:val="15"/>
                <w:color w:val="auto"/>
              </w:rPr>
              <w:t>Year Ended December 31,</w:t>
            </w:r>
          </w:p>
        </w:tc>
        <w:tc>
          <w:tcPr>
            <w:tcW w:w="7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6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rPr>
              <w:t>2021</w:t>
            </w: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rPr>
              <w:t>2020</w:t>
            </w: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180"/>
              <w:spacing w:after="0"/>
              <w:rPr>
                <w:sz w:val="20"/>
                <w:szCs w:val="20"/>
                <w:color w:val="auto"/>
              </w:rPr>
            </w:pPr>
            <w:r>
              <w:rPr>
                <w:rFonts w:ascii="Arial" w:cs="Arial" w:eastAsia="Arial" w:hAnsi="Arial"/>
                <w:sz w:val="15"/>
                <w:szCs w:val="15"/>
                <w:b w:val="1"/>
                <w:bCs w:val="1"/>
                <w:color w:val="auto"/>
              </w:rPr>
              <w:t>Basic</w:t>
            </w:r>
          </w:p>
        </w:tc>
        <w:tc>
          <w:tcPr>
            <w:tcW w:w="7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04"/>
              <w:spacing w:after="0"/>
              <w:rPr>
                <w:sz w:val="20"/>
                <w:szCs w:val="20"/>
                <w:color w:val="auto"/>
              </w:rPr>
            </w:pPr>
            <w:r>
              <w:rPr>
                <w:rFonts w:ascii="Arial" w:cs="Arial" w:eastAsia="Arial" w:hAnsi="Arial"/>
                <w:sz w:val="15"/>
                <w:szCs w:val="15"/>
                <w:b w:val="1"/>
                <w:bCs w:val="1"/>
                <w:color w:val="auto"/>
              </w:rPr>
              <w:t>Diluted</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180"/>
              <w:spacing w:after="0"/>
              <w:rPr>
                <w:sz w:val="20"/>
                <w:szCs w:val="20"/>
                <w:color w:val="auto"/>
              </w:rPr>
            </w:pPr>
            <w:r>
              <w:rPr>
                <w:rFonts w:ascii="Arial" w:cs="Arial" w:eastAsia="Arial" w:hAnsi="Arial"/>
                <w:sz w:val="15"/>
                <w:szCs w:val="15"/>
                <w:b w:val="1"/>
                <w:bCs w:val="1"/>
                <w:color w:val="auto"/>
              </w:rPr>
              <w:t>Basic</w:t>
            </w:r>
          </w:p>
        </w:tc>
        <w:tc>
          <w:tcPr>
            <w:tcW w:w="7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344"/>
              <w:spacing w:after="0"/>
              <w:rPr>
                <w:sz w:val="20"/>
                <w:szCs w:val="20"/>
                <w:color w:val="auto"/>
              </w:rPr>
            </w:pPr>
            <w:r>
              <w:rPr>
                <w:rFonts w:ascii="Arial" w:cs="Arial" w:eastAsia="Arial" w:hAnsi="Arial"/>
                <w:sz w:val="15"/>
                <w:szCs w:val="15"/>
                <w:b w:val="1"/>
                <w:bCs w:val="1"/>
                <w:color w:val="auto"/>
              </w:rPr>
              <w:t>Diluted</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60" w:type="dxa"/>
            <w:vAlign w:val="bottom"/>
          </w:tcPr>
          <w:p>
            <w:pPr>
              <w:ind w:left="540"/>
              <w:spacing w:after="0"/>
              <w:rPr>
                <w:sz w:val="20"/>
                <w:szCs w:val="20"/>
                <w:color w:val="auto"/>
              </w:rPr>
            </w:pPr>
            <w:r>
              <w:rPr>
                <w:rFonts w:ascii="Arial" w:cs="Arial" w:eastAsia="Arial" w:hAnsi="Arial"/>
                <w:sz w:val="15"/>
                <w:szCs w:val="15"/>
                <w:b w:val="1"/>
                <w:bCs w:val="1"/>
                <w:color w:val="auto"/>
              </w:rPr>
              <w:t>GAAP Earnings per Share</w:t>
            </w:r>
          </w:p>
        </w:tc>
        <w:tc>
          <w:tcPr>
            <w:tcW w:w="80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1.22</w:t>
            </w:r>
          </w:p>
        </w:tc>
        <w:tc>
          <w:tcPr>
            <w:tcW w:w="80" w:type="dxa"/>
            <w:vAlign w:val="bottom"/>
          </w:tcPr>
          <w:p>
            <w:pPr>
              <w:spacing w:after="0"/>
              <w:rPr>
                <w:sz w:val="16"/>
                <w:szCs w:val="16"/>
                <w:color w:val="auto"/>
              </w:rPr>
            </w:pPr>
          </w:p>
        </w:tc>
        <w:tc>
          <w:tcPr>
            <w:tcW w:w="76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1.20</w:t>
            </w:r>
          </w:p>
        </w:tc>
        <w:tc>
          <w:tcPr>
            <w:tcW w:w="80" w:type="dxa"/>
            <w:vAlign w:val="bottom"/>
          </w:tcPr>
          <w:p>
            <w:pPr>
              <w:spacing w:after="0"/>
              <w:rPr>
                <w:sz w:val="16"/>
                <w:szCs w:val="16"/>
                <w:color w:val="auto"/>
              </w:rPr>
            </w:pPr>
          </w:p>
        </w:tc>
        <w:tc>
          <w:tcPr>
            <w:tcW w:w="82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0.89</w:t>
            </w:r>
          </w:p>
        </w:tc>
        <w:tc>
          <w:tcPr>
            <w:tcW w:w="80" w:type="dxa"/>
            <w:vAlign w:val="bottom"/>
          </w:tcPr>
          <w:p>
            <w:pPr>
              <w:spacing w:after="0"/>
              <w:rPr>
                <w:sz w:val="16"/>
                <w:szCs w:val="16"/>
                <w:color w:val="auto"/>
              </w:rPr>
            </w:pPr>
          </w:p>
        </w:tc>
        <w:tc>
          <w:tcPr>
            <w:tcW w:w="78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0.88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60" w:type="dxa"/>
            <w:vAlign w:val="bottom"/>
            <w:shd w:val="clear" w:color="auto" w:fill="CCEEFF"/>
          </w:tcPr>
          <w:p>
            <w:pPr>
              <w:ind w:left="540"/>
              <w:spacing w:after="0"/>
              <w:rPr>
                <w:sz w:val="20"/>
                <w:szCs w:val="20"/>
                <w:color w:val="auto"/>
              </w:rPr>
            </w:pPr>
            <w:r>
              <w:rPr>
                <w:rFonts w:ascii="Arial" w:cs="Arial" w:eastAsia="Arial" w:hAnsi="Arial"/>
                <w:sz w:val="15"/>
                <w:szCs w:val="15"/>
                <w:b w:val="1"/>
                <w:bCs w:val="1"/>
                <w:color w:val="auto"/>
              </w:rPr>
              <w:t>Adjusted for:</w:t>
            </w:r>
          </w:p>
        </w:tc>
        <w:tc>
          <w:tcPr>
            <w:tcW w:w="8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60" w:type="dxa"/>
            <w:vAlign w:val="bottom"/>
          </w:tcPr>
          <w:p>
            <w:pPr>
              <w:ind w:left="640"/>
              <w:spacing w:after="0"/>
              <w:rPr>
                <w:sz w:val="20"/>
                <w:szCs w:val="20"/>
                <w:color w:val="auto"/>
              </w:rPr>
            </w:pPr>
            <w:r>
              <w:rPr>
                <w:rFonts w:ascii="Arial" w:cs="Arial" w:eastAsia="Arial" w:hAnsi="Arial"/>
                <w:sz w:val="15"/>
                <w:szCs w:val="15"/>
                <w:color w:val="auto"/>
              </w:rPr>
              <w:t>Share-based compensation</w:t>
            </w:r>
          </w:p>
        </w:tc>
        <w:tc>
          <w:tcPr>
            <w:tcW w:w="8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0.12</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0.12</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0.09</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0.08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Offering costs</w:t>
            </w:r>
          </w:p>
        </w:tc>
        <w:tc>
          <w:tcPr>
            <w:tcW w:w="8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0.01</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60" w:type="dxa"/>
            <w:vAlign w:val="bottom"/>
          </w:tcPr>
          <w:p>
            <w:pPr>
              <w:ind w:left="640"/>
              <w:spacing w:after="0"/>
              <w:rPr>
                <w:sz w:val="20"/>
                <w:szCs w:val="20"/>
                <w:color w:val="auto"/>
              </w:rPr>
            </w:pPr>
            <w:r>
              <w:rPr>
                <w:rFonts w:ascii="Arial" w:cs="Arial" w:eastAsia="Arial" w:hAnsi="Arial"/>
                <w:sz w:val="15"/>
                <w:szCs w:val="15"/>
                <w:color w:val="auto"/>
              </w:rPr>
              <w:t>TCPA settlement</w:t>
            </w:r>
          </w:p>
        </w:tc>
        <w:tc>
          <w:tcPr>
            <w:tcW w:w="8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tcPr>
          <w:p>
            <w:pPr>
              <w:spacing w:after="0"/>
              <w:rPr>
                <w:sz w:val="16"/>
                <w:szCs w:val="16"/>
                <w:color w:val="auto"/>
              </w:rPr>
            </w:pPr>
          </w:p>
        </w:tc>
        <w:tc>
          <w:tcPr>
            <w:tcW w:w="1100" w:type="dxa"/>
            <w:vAlign w:val="bottom"/>
            <w:gridSpan w:val="2"/>
          </w:tcPr>
          <w:p>
            <w:pPr>
              <w:ind w:left="760"/>
              <w:spacing w:after="0"/>
              <w:rPr>
                <w:sz w:val="20"/>
                <w:szCs w:val="20"/>
                <w:color w:val="auto"/>
              </w:rPr>
            </w:pPr>
            <w:r>
              <w:rPr>
                <w:rFonts w:ascii="Arial" w:cs="Arial" w:eastAsia="Arial" w:hAnsi="Arial"/>
                <w:sz w:val="15"/>
                <w:szCs w:val="15"/>
                <w:color w:val="auto"/>
              </w:rPr>
              <w:t>NM</w:t>
            </w:r>
          </w:p>
        </w:tc>
        <w:tc>
          <w:tcPr>
            <w:tcW w:w="780" w:type="dxa"/>
            <w:vAlign w:val="bottom"/>
          </w:tcPr>
          <w:p>
            <w:pPr>
              <w:spacing w:after="0"/>
              <w:rPr>
                <w:sz w:val="16"/>
                <w:szCs w:val="16"/>
                <w:color w:val="auto"/>
              </w:rPr>
            </w:pPr>
          </w:p>
        </w:tc>
        <w:tc>
          <w:tcPr>
            <w:tcW w:w="1140" w:type="dxa"/>
            <w:vAlign w:val="bottom"/>
            <w:gridSpan w:val="2"/>
          </w:tcPr>
          <w:p>
            <w:pPr>
              <w:ind w:left="80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95"/>
        </w:trPr>
        <w:tc>
          <w:tcPr>
            <w:tcW w:w="26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Loss on bank closure</w:t>
            </w:r>
          </w:p>
        </w:tc>
        <w:tc>
          <w:tcPr>
            <w:tcW w:w="8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0.05</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0.05</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0.01</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60" w:type="dxa"/>
            <w:vAlign w:val="bottom"/>
          </w:tcPr>
          <w:p>
            <w:pPr>
              <w:ind w:left="640"/>
              <w:spacing w:after="0"/>
              <w:rPr>
                <w:sz w:val="20"/>
                <w:szCs w:val="20"/>
                <w:color w:val="auto"/>
              </w:rPr>
            </w:pPr>
            <w:r>
              <w:rPr>
                <w:rFonts w:ascii="Arial" w:cs="Arial" w:eastAsia="Arial" w:hAnsi="Arial"/>
                <w:sz w:val="15"/>
                <w:szCs w:val="15"/>
                <w:color w:val="auto"/>
              </w:rPr>
              <w:t>Transaction costs</w:t>
            </w:r>
          </w:p>
        </w:tc>
        <w:tc>
          <w:tcPr>
            <w:tcW w:w="8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0.03</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0.03</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6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Other charges and expenses</w:t>
            </w:r>
          </w:p>
        </w:tc>
        <w:tc>
          <w:tcPr>
            <w:tcW w:w="8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0.04</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0.04</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0.02</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0.02</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60" w:type="dxa"/>
            <w:vAlign w:val="bottom"/>
          </w:tcPr>
          <w:p>
            <w:pPr>
              <w:ind w:left="640"/>
              <w:spacing w:after="0"/>
              <w:rPr>
                <w:sz w:val="20"/>
                <w:szCs w:val="20"/>
                <w:color w:val="auto"/>
              </w:rPr>
            </w:pPr>
            <w:r>
              <w:rPr>
                <w:rFonts w:ascii="Arial" w:cs="Arial" w:eastAsia="Arial" w:hAnsi="Arial"/>
                <w:sz w:val="15"/>
                <w:szCs w:val="15"/>
                <w:color w:val="auto"/>
              </w:rPr>
              <w:t>Amortization of intangibles</w:t>
            </w:r>
          </w:p>
        </w:tc>
        <w:tc>
          <w:tcPr>
            <w:tcW w:w="8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0.13</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0.13</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0.18</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0.18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660" w:type="dxa"/>
            <w:vAlign w:val="bottom"/>
            <w:shd w:val="clear" w:color="auto" w:fill="CCEEFF"/>
          </w:tcPr>
          <w:p>
            <w:pPr>
              <w:ind w:left="640"/>
              <w:spacing w:after="0" w:line="150" w:lineRule="exact"/>
              <w:rPr>
                <w:sz w:val="20"/>
                <w:szCs w:val="20"/>
                <w:color w:val="auto"/>
              </w:rPr>
            </w:pPr>
            <w:r>
              <w:rPr>
                <w:rFonts w:ascii="Arial" w:cs="Arial" w:eastAsia="Arial" w:hAnsi="Arial"/>
                <w:sz w:val="15"/>
                <w:szCs w:val="15"/>
                <w:color w:val="auto"/>
              </w:rPr>
              <w:t>Income tax benefit related to</w:t>
            </w:r>
          </w:p>
        </w:tc>
        <w:tc>
          <w:tcPr>
            <w:tcW w:w="8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(0.10)</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(0.10)</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(0.08)</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(0.08)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adjustments</w:t>
            </w:r>
          </w:p>
        </w:tc>
        <w:tc>
          <w:tcPr>
            <w:tcW w:w="8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60" w:type="dxa"/>
            <w:vAlign w:val="bottom"/>
          </w:tcPr>
          <w:p>
            <w:pPr>
              <w:ind w:left="540"/>
              <w:spacing w:after="0"/>
              <w:rPr>
                <w:sz w:val="20"/>
                <w:szCs w:val="20"/>
                <w:color w:val="auto"/>
              </w:rPr>
            </w:pPr>
            <w:r>
              <w:rPr>
                <w:rFonts w:ascii="Arial" w:cs="Arial" w:eastAsia="Arial" w:hAnsi="Arial"/>
                <w:sz w:val="15"/>
                <w:szCs w:val="15"/>
                <w:b w:val="1"/>
                <w:bCs w:val="1"/>
                <w:color w:val="auto"/>
              </w:rPr>
              <w:t>Adjusted Earnings per Share</w:t>
            </w:r>
          </w:p>
        </w:tc>
        <w:tc>
          <w:tcPr>
            <w:tcW w:w="8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1.49</w:t>
            </w:r>
          </w:p>
        </w:tc>
        <w:tc>
          <w:tcPr>
            <w:tcW w:w="80" w:type="dxa"/>
            <w:vAlign w:val="bottom"/>
          </w:tcPr>
          <w:p>
            <w:pPr>
              <w:spacing w:after="0"/>
              <w:rPr>
                <w:sz w:val="16"/>
                <w:szCs w:val="16"/>
                <w:color w:val="auto"/>
              </w:rPr>
            </w:pPr>
          </w:p>
        </w:tc>
        <w:tc>
          <w:tcPr>
            <w:tcW w:w="7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1.47</w:t>
            </w:r>
          </w:p>
        </w:tc>
        <w:tc>
          <w:tcPr>
            <w:tcW w:w="80" w:type="dxa"/>
            <w:vAlign w:val="bottom"/>
          </w:tcPr>
          <w:p>
            <w:pPr>
              <w:spacing w:after="0"/>
              <w:rPr>
                <w:sz w:val="16"/>
                <w:szCs w:val="16"/>
                <w:color w:val="auto"/>
              </w:rPr>
            </w:pPr>
          </w:p>
        </w:tc>
        <w:tc>
          <w:tcPr>
            <w:tcW w:w="8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1.11</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NM - Per share amounts are not meaningful.</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table above may contain slight summation differences due to rounding.</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Adjusted EBITDA</w:t>
      </w:r>
    </w:p>
    <w:p>
      <w:pPr>
        <w:spacing w:after="0" w:line="195" w:lineRule="exact"/>
        <w:rPr>
          <w:sz w:val="20"/>
          <w:szCs w:val="20"/>
          <w:color w:val="auto"/>
        </w:rPr>
      </w:pPr>
    </w:p>
    <w:p>
      <w:pPr>
        <w:jc w:val="both"/>
        <w:ind w:firstLine="275"/>
        <w:spacing w:after="0" w:line="270" w:lineRule="auto"/>
        <w:rPr>
          <w:sz w:val="20"/>
          <w:szCs w:val="20"/>
          <w:color w:val="auto"/>
        </w:rPr>
      </w:pPr>
      <w:r>
        <w:rPr>
          <w:rFonts w:ascii="Arial" w:cs="Arial" w:eastAsia="Arial" w:hAnsi="Arial"/>
          <w:sz w:val="15"/>
          <w:szCs w:val="15"/>
          <w:color w:val="auto"/>
        </w:rPr>
        <w:t>Adjusted EBITDA is defined as net income before depreciation and amortization, interest expense, income taxes, and also adjusted to add back certain charges and expenses, such as non-cash compensation costs and other items set forth in the table below, as these charges and expenses are not considered a part of our core business operations and are not an indicator of ongoing, future company performance.</w:t>
      </w:r>
    </w:p>
    <w:p>
      <w:pPr>
        <w:spacing w:after="0" w:line="152" w:lineRule="exact"/>
        <w:rPr>
          <w:sz w:val="20"/>
          <w:szCs w:val="20"/>
          <w:color w:val="auto"/>
        </w:rPr>
      </w:pPr>
    </w:p>
    <w:p>
      <w:pPr>
        <w:jc w:val="both"/>
        <w:ind w:firstLine="275"/>
        <w:spacing w:after="0" w:line="323" w:lineRule="auto"/>
        <w:rPr>
          <w:sz w:val="20"/>
          <w:szCs w:val="20"/>
          <w:color w:val="auto"/>
        </w:rPr>
      </w:pPr>
      <w:r>
        <w:rPr>
          <w:rFonts w:ascii="Arial" w:cs="Arial" w:eastAsia="Arial" w:hAnsi="Arial"/>
          <w:sz w:val="14"/>
          <w:szCs w:val="14"/>
          <w:color w:val="auto"/>
        </w:rPr>
        <w:t>Adjusted EBITDA for the year ended December 31, 2021 was $86.7 million, representing an increase of $18.3 million, or 26.7%, from $68.4 million for the year ended December 31, 2020. The increase in Adjusted EBITDA was primarily due to the increase in net income discussed above and certain higher adjusting items detailed in the table below.</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following table presents the reconciliation of Net Income, our closest GAAP measure, to Adjusted EBITDA:</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8" w:name="page39"/>
    <w:bookmarkEnd w:id="38"/>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58"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62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584"/>
              <w:spacing w:after="0"/>
              <w:rPr>
                <w:sz w:val="20"/>
                <w:szCs w:val="20"/>
                <w:color w:val="auto"/>
              </w:rPr>
            </w:pPr>
            <w:r>
              <w:rPr>
                <w:rFonts w:ascii="Arial" w:cs="Arial" w:eastAsia="Arial" w:hAnsi="Arial"/>
                <w:sz w:val="15"/>
                <w:szCs w:val="15"/>
                <w:color w:val="auto"/>
              </w:rPr>
              <w:t>Year Ended December 31,</w:t>
            </w:r>
          </w:p>
        </w:tc>
      </w:tr>
      <w:tr>
        <w:trPr>
          <w:trHeight w:val="198"/>
        </w:trPr>
        <w:tc>
          <w:tcPr>
            <w:tcW w:w="6240" w:type="dxa"/>
            <w:vAlign w:val="bottom"/>
          </w:tcPr>
          <w:p>
            <w:pPr>
              <w:ind w:left="300"/>
              <w:spacing w:after="0"/>
              <w:rPr>
                <w:sz w:val="20"/>
                <w:szCs w:val="20"/>
                <w:color w:val="auto"/>
              </w:rPr>
            </w:pPr>
            <w:r>
              <w:rPr>
                <w:rFonts w:ascii="Arial" w:cs="Arial" w:eastAsia="Arial" w:hAnsi="Arial"/>
                <w:sz w:val="15"/>
                <w:szCs w:val="15"/>
                <w:i w:val="1"/>
                <w:iCs w:val="1"/>
                <w:color w:val="auto"/>
              </w:rPr>
              <w:t>(in thousands)</w:t>
            </w: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color w:val="auto"/>
              </w:rPr>
              <w:t>2021</w:t>
            </w:r>
          </w:p>
        </w:tc>
        <w:tc>
          <w:tcPr>
            <w:tcW w:w="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color w:val="auto"/>
              </w:rPr>
              <w:t>2020</w:t>
            </w:r>
          </w:p>
        </w:tc>
      </w:tr>
      <w:tr>
        <w:trPr>
          <w:trHeight w:val="206"/>
        </w:trPr>
        <w:tc>
          <w:tcPr>
            <w:tcW w:w="6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5"/>
        </w:trPr>
        <w:tc>
          <w:tcPr>
            <w:tcW w:w="6240" w:type="dxa"/>
            <w:vAlign w:val="bottom"/>
            <w:shd w:val="clear" w:color="auto" w:fill="CCEEFF"/>
          </w:tcPr>
          <w:p>
            <w:pPr>
              <w:ind w:left="300"/>
              <w:spacing w:after="0"/>
              <w:rPr>
                <w:sz w:val="20"/>
                <w:szCs w:val="20"/>
                <w:color w:val="auto"/>
              </w:rPr>
            </w:pPr>
            <w:r>
              <w:rPr>
                <w:rFonts w:ascii="Arial" w:cs="Arial" w:eastAsia="Arial" w:hAnsi="Arial"/>
                <w:sz w:val="15"/>
                <w:szCs w:val="15"/>
                <w:b w:val="1"/>
                <w:bCs w:val="1"/>
                <w:color w:val="auto"/>
              </w:rPr>
              <w:t>Net Income</w:t>
            </w:r>
          </w:p>
        </w:tc>
        <w:tc>
          <w:tcPr>
            <w:tcW w:w="560" w:type="dxa"/>
            <w:vAlign w:val="bottom"/>
            <w:shd w:val="clear" w:color="auto" w:fill="CCEEFF"/>
          </w:tcPr>
          <w:p>
            <w:pPr>
              <w:jc w:val="right"/>
              <w:ind w:right="124"/>
              <w:spacing w:after="0"/>
              <w:rPr>
                <w:sz w:val="20"/>
                <w:szCs w:val="20"/>
                <w:color w:val="auto"/>
              </w:rPr>
            </w:pPr>
            <w:r>
              <w:rPr>
                <w:rFonts w:ascii="Arial" w:cs="Arial" w:eastAsia="Arial" w:hAnsi="Arial"/>
                <w:sz w:val="15"/>
                <w:szCs w:val="15"/>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46,843</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24"/>
              <w:spacing w:after="0"/>
              <w:rPr>
                <w:sz w:val="20"/>
                <w:szCs w:val="20"/>
                <w:color w:val="auto"/>
              </w:rPr>
            </w:pPr>
            <w:r>
              <w:rPr>
                <w:rFonts w:ascii="Arial" w:cs="Arial" w:eastAsia="Arial" w:hAnsi="Arial"/>
                <w:sz w:val="15"/>
                <w:szCs w:val="15"/>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33,784</w:t>
            </w:r>
          </w:p>
        </w:tc>
      </w:tr>
      <w:tr>
        <w:trPr>
          <w:trHeight w:val="218"/>
        </w:trPr>
        <w:tc>
          <w:tcPr>
            <w:tcW w:w="6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5"/>
        </w:trPr>
        <w:tc>
          <w:tcPr>
            <w:tcW w:w="6240" w:type="dxa"/>
            <w:vAlign w:val="bottom"/>
            <w:shd w:val="clear" w:color="auto" w:fill="CCEEFF"/>
          </w:tcPr>
          <w:p>
            <w:pPr>
              <w:ind w:left="300"/>
              <w:spacing w:after="0"/>
              <w:rPr>
                <w:sz w:val="20"/>
                <w:szCs w:val="20"/>
                <w:color w:val="auto"/>
              </w:rPr>
            </w:pPr>
            <w:r>
              <w:rPr>
                <w:rFonts w:ascii="Arial" w:cs="Arial" w:eastAsia="Arial" w:hAnsi="Arial"/>
                <w:sz w:val="15"/>
                <w:szCs w:val="15"/>
                <w:b w:val="1"/>
                <w:bCs w:val="1"/>
                <w:color w:val="auto"/>
              </w:rPr>
              <w:t>Adjusted for:</w:t>
            </w: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95"/>
        </w:trPr>
        <w:tc>
          <w:tcPr>
            <w:tcW w:w="6240" w:type="dxa"/>
            <w:vAlign w:val="bottom"/>
          </w:tcPr>
          <w:p>
            <w:pPr>
              <w:ind w:left="400"/>
              <w:spacing w:after="0"/>
              <w:rPr>
                <w:sz w:val="20"/>
                <w:szCs w:val="20"/>
                <w:color w:val="auto"/>
              </w:rPr>
            </w:pPr>
            <w:r>
              <w:rPr>
                <w:rFonts w:ascii="Arial" w:cs="Arial" w:eastAsia="Arial" w:hAnsi="Arial"/>
                <w:sz w:val="15"/>
                <w:szCs w:val="15"/>
                <w:color w:val="auto"/>
              </w:rPr>
              <w:t>Interest expense</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4,537</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6,566</w:t>
            </w:r>
          </w:p>
        </w:tc>
      </w:tr>
      <w:tr>
        <w:trPr>
          <w:trHeight w:val="195"/>
        </w:trPr>
        <w:tc>
          <w:tcPr>
            <w:tcW w:w="62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Income tax provision</w:t>
            </w: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16,472</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12,517</w:t>
            </w:r>
          </w:p>
        </w:tc>
      </w:tr>
      <w:tr>
        <w:trPr>
          <w:trHeight w:val="198"/>
        </w:trPr>
        <w:tc>
          <w:tcPr>
            <w:tcW w:w="6240" w:type="dxa"/>
            <w:vAlign w:val="bottom"/>
            <w:tcBorders>
              <w:bottom w:val="single" w:sz="8" w:color="CCEEFF"/>
            </w:tcBorders>
          </w:tcPr>
          <w:p>
            <w:pPr>
              <w:ind w:left="400"/>
              <w:spacing w:after="0"/>
              <w:rPr>
                <w:sz w:val="20"/>
                <w:szCs w:val="20"/>
                <w:color w:val="auto"/>
              </w:rPr>
            </w:pPr>
            <w:r>
              <w:rPr>
                <w:rFonts w:ascii="Arial" w:cs="Arial" w:eastAsia="Arial" w:hAnsi="Arial"/>
                <w:sz w:val="15"/>
                <w:szCs w:val="15"/>
                <w:color w:val="auto"/>
              </w:rPr>
              <w:t>Depreciation and amortization</w:t>
            </w: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9,491</w:t>
            </w: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10,828</w:t>
            </w:r>
          </w:p>
        </w:tc>
      </w:tr>
      <w:tr>
        <w:trPr>
          <w:trHeight w:val="195"/>
        </w:trPr>
        <w:tc>
          <w:tcPr>
            <w:tcW w:w="6240" w:type="dxa"/>
            <w:vAlign w:val="bottom"/>
            <w:shd w:val="clear" w:color="auto" w:fill="CCEEFF"/>
          </w:tcPr>
          <w:p>
            <w:pPr>
              <w:ind w:left="300"/>
              <w:spacing w:after="0"/>
              <w:rPr>
                <w:sz w:val="20"/>
                <w:szCs w:val="20"/>
                <w:color w:val="auto"/>
              </w:rPr>
            </w:pPr>
            <w:r>
              <w:rPr>
                <w:rFonts w:ascii="Arial" w:cs="Arial" w:eastAsia="Arial" w:hAnsi="Arial"/>
                <w:sz w:val="15"/>
                <w:szCs w:val="15"/>
                <w:b w:val="1"/>
                <w:bCs w:val="1"/>
                <w:color w:val="auto"/>
              </w:rPr>
              <w:t>EBITDA</w:t>
            </w: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77,343</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63,695</w:t>
            </w:r>
          </w:p>
        </w:tc>
      </w:tr>
      <w:tr>
        <w:trPr>
          <w:trHeight w:val="195"/>
        </w:trPr>
        <w:tc>
          <w:tcPr>
            <w:tcW w:w="6240" w:type="dxa"/>
            <w:vAlign w:val="bottom"/>
          </w:tcPr>
          <w:p>
            <w:pPr>
              <w:ind w:left="400"/>
              <w:spacing w:after="0"/>
              <w:rPr>
                <w:sz w:val="20"/>
                <w:szCs w:val="20"/>
                <w:color w:val="auto"/>
              </w:rPr>
            </w:pPr>
            <w:r>
              <w:rPr>
                <w:rFonts w:ascii="Arial" w:cs="Arial" w:eastAsia="Arial" w:hAnsi="Arial"/>
                <w:sz w:val="15"/>
                <w:szCs w:val="15"/>
                <w:color w:val="auto"/>
              </w:rPr>
              <w:t>Share-based compensation (a)</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4,601</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3,237</w:t>
            </w:r>
          </w:p>
        </w:tc>
      </w:tr>
      <w:tr>
        <w:trPr>
          <w:trHeight w:val="195"/>
        </w:trPr>
        <w:tc>
          <w:tcPr>
            <w:tcW w:w="62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Offering costs (b)</w:t>
            </w:r>
          </w:p>
        </w:tc>
        <w:tc>
          <w:tcPr>
            <w:tcW w:w="5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509</w:t>
            </w:r>
          </w:p>
        </w:tc>
      </w:tr>
      <w:tr>
        <w:trPr>
          <w:trHeight w:val="195"/>
        </w:trPr>
        <w:tc>
          <w:tcPr>
            <w:tcW w:w="6240" w:type="dxa"/>
            <w:vAlign w:val="bottom"/>
          </w:tcPr>
          <w:p>
            <w:pPr>
              <w:ind w:left="400"/>
              <w:spacing w:after="0"/>
              <w:rPr>
                <w:sz w:val="20"/>
                <w:szCs w:val="20"/>
                <w:color w:val="auto"/>
              </w:rPr>
            </w:pPr>
            <w:r>
              <w:rPr>
                <w:rFonts w:ascii="Arial" w:cs="Arial" w:eastAsia="Arial" w:hAnsi="Arial"/>
                <w:sz w:val="15"/>
                <w:szCs w:val="15"/>
                <w:color w:val="auto"/>
              </w:rPr>
              <w:t>TCPA Settlement (c)</w:t>
            </w:r>
          </w:p>
        </w:tc>
        <w:tc>
          <w:tcPr>
            <w:tcW w:w="5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60</w:t>
            </w:r>
          </w:p>
        </w:tc>
      </w:tr>
      <w:tr>
        <w:trPr>
          <w:trHeight w:val="195"/>
        </w:trPr>
        <w:tc>
          <w:tcPr>
            <w:tcW w:w="62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Loss on bank closure (d)</w:t>
            </w: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w:t>
            </w:r>
          </w:p>
        </w:tc>
      </w:tr>
      <w:tr>
        <w:trPr>
          <w:trHeight w:val="195"/>
        </w:trPr>
        <w:tc>
          <w:tcPr>
            <w:tcW w:w="6240" w:type="dxa"/>
            <w:vAlign w:val="bottom"/>
          </w:tcPr>
          <w:p>
            <w:pPr>
              <w:ind w:left="400"/>
              <w:spacing w:after="0"/>
              <w:rPr>
                <w:sz w:val="20"/>
                <w:szCs w:val="20"/>
                <w:color w:val="auto"/>
              </w:rPr>
            </w:pPr>
            <w:r>
              <w:rPr>
                <w:rFonts w:ascii="Arial" w:cs="Arial" w:eastAsia="Arial" w:hAnsi="Arial"/>
                <w:sz w:val="15"/>
                <w:szCs w:val="15"/>
                <w:color w:val="auto"/>
              </w:rPr>
              <w:t>Transaction costs (e)</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1,006</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62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5"/>
                <w:szCs w:val="15"/>
                <w:color w:val="auto"/>
              </w:rPr>
              <w:t>Other charges and expenses (f)</w:t>
            </w:r>
          </w:p>
        </w:tc>
        <w:tc>
          <w:tcPr>
            <w:tcW w:w="5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1,705</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637</w:t>
            </w:r>
          </w:p>
        </w:tc>
      </w:tr>
      <w:tr>
        <w:trPr>
          <w:trHeight w:val="195"/>
        </w:trPr>
        <w:tc>
          <w:tcPr>
            <w:tcW w:w="6240" w:type="dxa"/>
            <w:vAlign w:val="bottom"/>
          </w:tcPr>
          <w:p>
            <w:pPr>
              <w:ind w:left="300"/>
              <w:spacing w:after="0"/>
              <w:rPr>
                <w:sz w:val="20"/>
                <w:szCs w:val="20"/>
                <w:color w:val="auto"/>
              </w:rPr>
            </w:pPr>
            <w:r>
              <w:rPr>
                <w:rFonts w:ascii="Arial" w:cs="Arial" w:eastAsia="Arial" w:hAnsi="Arial"/>
                <w:sz w:val="15"/>
                <w:szCs w:val="15"/>
                <w:b w:val="1"/>
                <w:bCs w:val="1"/>
                <w:color w:val="auto"/>
              </w:rPr>
              <w:t>Adjusted EBITDA</w:t>
            </w:r>
          </w:p>
        </w:tc>
        <w:tc>
          <w:tcPr>
            <w:tcW w:w="5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86,655</w:t>
            </w:r>
          </w:p>
        </w:tc>
        <w:tc>
          <w:tcPr>
            <w:tcW w:w="80" w:type="dxa"/>
            <w:vAlign w:val="bottom"/>
          </w:tcPr>
          <w:p>
            <w:pPr>
              <w:spacing w:after="0"/>
              <w:rPr>
                <w:sz w:val="16"/>
                <w:szCs w:val="16"/>
                <w:color w:val="auto"/>
              </w:rPr>
            </w:pPr>
          </w:p>
        </w:tc>
        <w:tc>
          <w:tcPr>
            <w:tcW w:w="5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68,390</w:t>
            </w:r>
          </w:p>
        </w:tc>
      </w:tr>
      <w:tr>
        <w:trPr>
          <w:trHeight w:val="20"/>
        </w:trPr>
        <w:tc>
          <w:tcPr>
            <w:tcW w:w="6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480" w:hanging="213"/>
        <w:spacing w:after="0"/>
        <w:tabs>
          <w:tab w:leader="none" w:pos="4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Represents share-based compensation relating to equity awards granted to employees and independent directors of the Company.</w:t>
      </w:r>
    </w:p>
    <w:p>
      <w:pPr>
        <w:spacing w:after="0" w:line="21" w:lineRule="exact"/>
        <w:rPr>
          <w:rFonts w:ascii="Arial" w:cs="Arial" w:eastAsia="Arial" w:hAnsi="Arial"/>
          <w:sz w:val="15"/>
          <w:szCs w:val="15"/>
          <w:color w:val="auto"/>
        </w:rPr>
      </w:pPr>
    </w:p>
    <w:p>
      <w:pPr>
        <w:ind w:left="460" w:hanging="193"/>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Represents expenses incurred for professional and legal fees in connection with secondary offerings for the Company’s common stock.</w:t>
      </w:r>
    </w:p>
    <w:p>
      <w:pPr>
        <w:spacing w:after="0" w:line="11" w:lineRule="exact"/>
        <w:rPr>
          <w:rFonts w:ascii="Arial" w:cs="Arial" w:eastAsia="Arial" w:hAnsi="Arial"/>
          <w:sz w:val="15"/>
          <w:szCs w:val="15"/>
          <w:color w:val="auto"/>
        </w:rPr>
      </w:pPr>
    </w:p>
    <w:p>
      <w:pPr>
        <w:ind w:left="480" w:hanging="213"/>
        <w:spacing w:after="0"/>
        <w:tabs>
          <w:tab w:leader="none" w:pos="4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Represents legal fees for the settlement of a class action lawsuit related to the TCPA.</w:t>
      </w:r>
    </w:p>
    <w:p>
      <w:pPr>
        <w:spacing w:after="0" w:line="11" w:lineRule="exact"/>
        <w:rPr>
          <w:rFonts w:ascii="Arial" w:cs="Arial" w:eastAsia="Arial" w:hAnsi="Arial"/>
          <w:sz w:val="15"/>
          <w:szCs w:val="15"/>
          <w:color w:val="auto"/>
        </w:rPr>
      </w:pPr>
    </w:p>
    <w:p>
      <w:pPr>
        <w:ind w:left="460" w:hanging="193"/>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Represents two separate losses during the years ended December 31, 2021 and 2020, respectively, related to the closure of financial institutions in Mexico.</w:t>
      </w:r>
    </w:p>
    <w:p>
      <w:pPr>
        <w:spacing w:after="0" w:line="11" w:lineRule="exact"/>
        <w:rPr>
          <w:rFonts w:ascii="Arial" w:cs="Arial" w:eastAsia="Arial" w:hAnsi="Arial"/>
          <w:sz w:val="15"/>
          <w:szCs w:val="15"/>
          <w:color w:val="auto"/>
        </w:rPr>
      </w:pPr>
    </w:p>
    <w:p>
      <w:pPr>
        <w:ind w:left="480" w:hanging="213"/>
        <w:spacing w:after="0" w:line="255" w:lineRule="auto"/>
        <w:tabs>
          <w:tab w:leader="none" w:pos="477"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Represents professional and legal fees incurred in potential acquisitions, which are included within “Other selling, general and administrative expenses” in our consolidated statements of income and comprehensive income.</w:t>
      </w:r>
    </w:p>
    <w:p>
      <w:pPr>
        <w:ind w:left="480" w:right="20" w:hanging="213"/>
        <w:spacing w:after="0" w:line="270" w:lineRule="auto"/>
        <w:tabs>
          <w:tab w:leader="none" w:pos="472"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Represents primarily loss on disposal of fixed assets, including a write-off of software development expenditures in an amount of $1.0 million during the year ended December 31, 2021 and foreign currency (gains) losses.</w:t>
      </w: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 Ended December 31, 2020 Compared to the Year Ended December 31, 2019</w:t>
      </w:r>
    </w:p>
    <w:p>
      <w:pPr>
        <w:spacing w:after="0" w:line="199"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A discussion of changes in our results of operations from fiscal 2020 to fiscal 2019 has been omitted from this Annual Report on Form 10-K, but may be found in “Item 7. Management’s Discussion and Analysis of Financial Condition and Results of Operations” of our Annual Report on Form 10-K for the fiscal year ended December 31, 2020, filed with the SEC on March 15, 2021, which is available free of charge on the SECs website at www.sec.gov and at www.intermexonline.com, by clicking “Investors” located at the bottom of the page.</w:t>
      </w: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99" w:lineRule="exact"/>
        <w:rPr>
          <w:sz w:val="20"/>
          <w:szCs w:val="20"/>
          <w:color w:val="auto"/>
        </w:rPr>
      </w:pPr>
    </w:p>
    <w:p>
      <w:pPr>
        <w:jc w:val="both"/>
        <w:ind w:firstLine="275"/>
        <w:spacing w:after="0" w:line="270" w:lineRule="auto"/>
        <w:rPr>
          <w:sz w:val="20"/>
          <w:szCs w:val="20"/>
          <w:color w:val="auto"/>
        </w:rPr>
      </w:pPr>
      <w:r>
        <w:rPr>
          <w:rFonts w:ascii="Arial" w:cs="Arial" w:eastAsia="Arial" w:hAnsi="Arial"/>
          <w:sz w:val="15"/>
          <w:szCs w:val="15"/>
          <w:color w:val="auto"/>
        </w:rPr>
        <w:t>We consider liquidity in terms of cash flows from operations and their sufficiency to fund business operations, including working capital needs, debt service, acquisitions, capital expenditures, contractual obligations and other commitments. In particular, to meet our payment service obligations at all times, we must have sufficient highly liquid assets and be able to move funds on a timely basis.</w:t>
      </w:r>
    </w:p>
    <w:p>
      <w:pPr>
        <w:spacing w:after="0" w:line="175"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5"/>
          <w:szCs w:val="15"/>
          <w:color w:val="auto"/>
        </w:rPr>
        <w:t>Our principal sources of liquidity are our cash generated by operating activities supplemented with borrowings under our revolving credit facility. Our primary cash needs are for day-to-day operations, to pay interest and principal on our indebtedness, to fund working capital requirements and to make capital expenditures.</w:t>
      </w:r>
    </w:p>
    <w:p>
      <w:pPr>
        <w:spacing w:after="0" w:line="164" w:lineRule="exact"/>
        <w:rPr>
          <w:sz w:val="20"/>
          <w:szCs w:val="20"/>
          <w:color w:val="auto"/>
        </w:rPr>
      </w:pPr>
    </w:p>
    <w:p>
      <w:pPr>
        <w:jc w:val="both"/>
        <w:ind w:firstLine="275"/>
        <w:spacing w:after="0" w:line="261" w:lineRule="auto"/>
        <w:rPr>
          <w:sz w:val="20"/>
          <w:szCs w:val="20"/>
          <w:color w:val="auto"/>
        </w:rPr>
      </w:pPr>
      <w:r>
        <w:rPr>
          <w:rFonts w:ascii="Arial" w:cs="Arial" w:eastAsia="Arial" w:hAnsi="Arial"/>
          <w:sz w:val="15"/>
          <w:szCs w:val="15"/>
          <w:color w:val="auto"/>
        </w:rPr>
        <w:t>Notwithstanding the recent effects of the COVID-19 pandemic in the U.S. economy, we have funded and still expect to continue funding our liquidity requirements through internally generated funds, supplemented in the ordinary course, with borrowings under our revolving credit facility. While our operating cash flows may be affected by the economic conditions resulting from the pandemic and other factors, we maintain a strong cash balance position and have access to committed funding sources, which we have used only on a limited and ordinary course basis during the year ended December 31, 2021. Therefore, we believe that our projected cash flows generated from operations, together with borrowings under our revolving credit facility are sufficient to fund our principal debt payments, interest expense, our working capital needs and our expected capital expenditures for at least the next twelve months.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9" w:name="page40"/>
    <w:bookmarkEnd w:id="39"/>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4"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Amended and Restated Credit Agreement</w:t>
      </w:r>
    </w:p>
    <w:p>
      <w:pPr>
        <w:spacing w:after="0" w:line="218" w:lineRule="exact"/>
        <w:rPr>
          <w:sz w:val="20"/>
          <w:szCs w:val="20"/>
          <w:color w:val="auto"/>
        </w:rPr>
      </w:pPr>
    </w:p>
    <w:p>
      <w:pPr>
        <w:jc w:val="both"/>
        <w:ind w:firstLine="275"/>
        <w:spacing w:after="0" w:line="262" w:lineRule="auto"/>
        <w:rPr>
          <w:sz w:val="20"/>
          <w:szCs w:val="20"/>
          <w:color w:val="auto"/>
        </w:rPr>
      </w:pPr>
      <w:r>
        <w:rPr>
          <w:rFonts w:ascii="Arial" w:cs="Arial" w:eastAsia="Arial" w:hAnsi="Arial"/>
          <w:sz w:val="15"/>
          <w:szCs w:val="15"/>
          <w:color w:val="auto"/>
        </w:rPr>
        <w:t>The Company and certain of its domestic subsidiaries as borrowers and the other guarantors from time to time party thereto (collectively, the “Loan Parties”) entered into a financing agreement with a group of banking institutions, dated November 7, 2018 and further amended on various dates (as amended, the “Original Credit Agreement”). The Original Credit Agreement provided for a $45.0 million revolving credit facility, a $90.0 million term loan facility and an up to $30.0 million incremental facility of which an aggregate of $22.0 million was utilized prior to entry into the A&amp;R Credit Agreement. The Original Credit Agreement also provided for the issuance of letters of credit, which would reduce availability under the revolving credit facility. The maturity date of the Original Credit Agreement was November 7, 2023.</w:t>
      </w:r>
    </w:p>
    <w:p>
      <w:pPr>
        <w:spacing w:after="0" w:line="183" w:lineRule="exact"/>
        <w:rPr>
          <w:sz w:val="20"/>
          <w:szCs w:val="20"/>
          <w:color w:val="auto"/>
        </w:rPr>
      </w:pPr>
    </w:p>
    <w:p>
      <w:pPr>
        <w:jc w:val="both"/>
        <w:ind w:firstLine="275"/>
        <w:spacing w:after="0" w:line="261" w:lineRule="auto"/>
        <w:rPr>
          <w:sz w:val="20"/>
          <w:szCs w:val="20"/>
          <w:color w:val="auto"/>
        </w:rPr>
      </w:pPr>
      <w:r>
        <w:rPr>
          <w:rFonts w:ascii="Arial" w:cs="Arial" w:eastAsia="Arial" w:hAnsi="Arial"/>
          <w:sz w:val="15"/>
          <w:szCs w:val="15"/>
          <w:color w:val="auto"/>
        </w:rPr>
        <w:t>On June 24, 2021, the Loan Parties entered into an Amended and Restated Credit Agreement (the “A&amp;R Credit Agreement”) with a group of banking institutions. The A&amp;R Credit Agreement amended and restated in its entirety the Original Credit Agreement. The A&amp;R Credit Agreement provides for a $150.0 million revolving credit facility, an $87.5 million term loan facility and an uncommitted incremental facility, which may be utilized for additional revolving or term loans, of up to $70.0 million. The A&amp;R Credit Agreement also provides for the issuance of letters of credit, which would reduce availability under the revolving credit facility. The proceeds of the term loan were used to refinance the existing term loan under the Original Credit Agreement, and the revolving credit facility is available for working capital, general corporate purposes and to pay fees and expenses in connection with this transaction. The maturity date of the A&amp;R Credit Agreement is June 24, 2026.</w:t>
      </w:r>
    </w:p>
    <w:p>
      <w:pPr>
        <w:spacing w:after="0" w:line="182" w:lineRule="exact"/>
        <w:rPr>
          <w:sz w:val="20"/>
          <w:szCs w:val="20"/>
          <w:color w:val="auto"/>
        </w:rPr>
      </w:pPr>
    </w:p>
    <w:p>
      <w:pPr>
        <w:jc w:val="both"/>
        <w:ind w:right="20" w:firstLine="275"/>
        <w:spacing w:after="0" w:line="270" w:lineRule="auto"/>
        <w:rPr>
          <w:sz w:val="20"/>
          <w:szCs w:val="20"/>
          <w:color w:val="auto"/>
        </w:rPr>
      </w:pPr>
      <w:r>
        <w:rPr>
          <w:rFonts w:ascii="Arial" w:cs="Arial" w:eastAsia="Arial" w:hAnsi="Arial"/>
          <w:sz w:val="15"/>
          <w:szCs w:val="15"/>
          <w:color w:val="auto"/>
        </w:rPr>
        <w:t>As of December 31, 2021, we had total indebtedness of $85.3 million, consisting of borrowings under the term loan facility and excluding debt origination costs of $2.2 million. As of December 31, 2021 and 2020, there were no outstanding amounts drawn on the revolving credit facility. There were $220.0 million of additional borrowings available under these facilities as of December 31, 2021.</w:t>
      </w:r>
    </w:p>
    <w:p>
      <w:pPr>
        <w:spacing w:after="0" w:line="175" w:lineRule="exact"/>
        <w:rPr>
          <w:sz w:val="20"/>
          <w:szCs w:val="20"/>
          <w:color w:val="auto"/>
        </w:rPr>
      </w:pPr>
    </w:p>
    <w:p>
      <w:pPr>
        <w:jc w:val="both"/>
        <w:ind w:firstLine="275"/>
        <w:spacing w:after="0" w:line="281" w:lineRule="auto"/>
        <w:rPr>
          <w:sz w:val="20"/>
          <w:szCs w:val="20"/>
          <w:color w:val="auto"/>
        </w:rPr>
      </w:pPr>
      <w:r>
        <w:rPr>
          <w:rFonts w:ascii="Arial" w:cs="Arial" w:eastAsia="Arial" w:hAnsi="Arial"/>
          <w:sz w:val="14"/>
          <w:szCs w:val="14"/>
          <w:color w:val="auto"/>
        </w:rPr>
        <w:t>At the election of the Company, interest on the term loan facility and revolving credit facility under the A&amp;R Credit Agreement is determined by reference to either LIBOR (subject to replacement) or a “base rate”, in each case plus an applicable margin ranging between 2.50% and 3.00% per annum for LIBOR loans or between 1.50% and 2.00% per annum for base rate loans depending on the level of our consolidated leverage ratio, as calculated pursuant to the terms of the A&amp;R Credit Agreement. The Company is also required to pay a fee on the unused portion of the revolving credit facility equal to 0.35% per annum. The effective interest rates for the year ended December 31, 2021 for the term loan and revolving credit facility were 4.23% and 0.78%, respectively. Interest is payable (x)(i) generally on the last day of each interest period selected for LIBOR loans, but in any event, not less frequently than every three months, and (ii) on the last business day of each quarter for base rate loans and (y) at final maturity. The A&amp;R Credit Agreement contains provisions for the replacement of the benchmark for interest rates in light of the cessation of the publication of LIBOR rates.</w:t>
      </w:r>
    </w:p>
    <w:p>
      <w:pPr>
        <w:spacing w:after="0" w:line="172" w:lineRule="exact"/>
        <w:rPr>
          <w:sz w:val="20"/>
          <w:szCs w:val="20"/>
          <w:color w:val="auto"/>
        </w:rPr>
      </w:pPr>
    </w:p>
    <w:p>
      <w:pPr>
        <w:jc w:val="both"/>
        <w:ind w:firstLine="275"/>
        <w:spacing w:after="0" w:line="281" w:lineRule="auto"/>
        <w:rPr>
          <w:sz w:val="20"/>
          <w:szCs w:val="20"/>
          <w:color w:val="auto"/>
        </w:rPr>
      </w:pPr>
      <w:r>
        <w:rPr>
          <w:rFonts w:ascii="Arial" w:cs="Arial" w:eastAsia="Arial" w:hAnsi="Arial"/>
          <w:sz w:val="14"/>
          <w:szCs w:val="14"/>
          <w:color w:val="auto"/>
        </w:rPr>
        <w:t>The principal amount of the term loan facility under the A&amp;R Credit Agreement must be repaid in consecutive quarterly installments of 5.0% in years 1 and 2, 7.5% in year 3, and 10.0% in years 4 and 5, in each case on the last day of each quarter, commencing in September 2021 with a final balloon payment at maturity. The term loans under the A&amp;R Credit Agreement may be prepaid at any time without premium or penalty. Revolving loans may be borrowed, repaid and reborrowed from time to time in accordance with the terms and conditions of the A&amp;R Credit Agreement. The Company is also required to repay the loans upon receipt of net proceeds from certain casualty events, upon the disposition of certain property and upon incurrence of indebtedness not permitted by the A&amp;R Credit Agreement. In addition, the Company is required to make mandatory prepayments annually from excess cash flow if the Company’s consolidated leverage ratio (as calculated under the A&amp;R Credit Agreement) is greater than or equal to 3.0, and the remainder of any such excess cash flow is contributed to the available amount which may be used for a variety of purposes, including investments and distributions.</w:t>
      </w:r>
    </w:p>
    <w:p>
      <w:pPr>
        <w:spacing w:after="0" w:line="172" w:lineRule="exact"/>
        <w:rPr>
          <w:sz w:val="20"/>
          <w:szCs w:val="20"/>
          <w:color w:val="auto"/>
        </w:rPr>
      </w:pPr>
    </w:p>
    <w:p>
      <w:pPr>
        <w:jc w:val="both"/>
        <w:ind w:firstLine="275"/>
        <w:spacing w:after="0" w:line="290" w:lineRule="auto"/>
        <w:rPr>
          <w:sz w:val="20"/>
          <w:szCs w:val="20"/>
          <w:color w:val="auto"/>
        </w:rPr>
      </w:pPr>
      <w:r>
        <w:rPr>
          <w:rFonts w:ascii="Arial" w:cs="Arial" w:eastAsia="Arial" w:hAnsi="Arial"/>
          <w:sz w:val="14"/>
          <w:szCs w:val="14"/>
          <w:color w:val="auto"/>
        </w:rPr>
        <w:t>The A&amp;R Credit Agreement contains financial covenants that require the Company to maintain a quarterly minimum fixed charge coverage ratio of 1.25:1.00 and a quarterly maximum consolidated leverage ratio of 3.25:1.00. As of December 31, 2021, we were in compliance with the covenants of the A&amp;R Credit Agreement. The A&amp;R Credit Agreement also contains covenants that limit the Company’s and its subsidiaries’ ability to, among other things, grant liens, incur additional indebtedness, make acquisitions or investments, dispose of certain assets, change the nature of their businesses, enter into certain transactions with affiliates or amend the terms of material indebtedness.</w:t>
      </w:r>
    </w:p>
    <w:p>
      <w:pPr>
        <w:spacing w:after="0" w:line="162" w:lineRule="exact"/>
        <w:rPr>
          <w:sz w:val="20"/>
          <w:szCs w:val="20"/>
          <w:color w:val="auto"/>
        </w:rPr>
      </w:pPr>
    </w:p>
    <w:p>
      <w:pPr>
        <w:jc w:val="both"/>
        <w:ind w:firstLine="275"/>
        <w:spacing w:after="0" w:line="270" w:lineRule="auto"/>
        <w:rPr>
          <w:sz w:val="20"/>
          <w:szCs w:val="20"/>
          <w:color w:val="auto"/>
        </w:rPr>
      </w:pPr>
      <w:r>
        <w:rPr>
          <w:rFonts w:ascii="Arial" w:cs="Arial" w:eastAsia="Arial" w:hAnsi="Arial"/>
          <w:sz w:val="15"/>
          <w:szCs w:val="15"/>
          <w:color w:val="auto"/>
        </w:rPr>
        <w:t>In addition, the A&amp;R Credit Agreement generally restricts the payment of dividends or cash distributions by the Company with certain exceptions, including the following: i) to repurchase the Company’s common stock from current or former employees in an aggregate amount of up to $10.0 million per calendar year, and ii) other restricted payments in an aggregate amount not to exceed $40.0 million plus the Available Amount (as defined in the A&amp;R Credit Agreement).</w:t>
      </w:r>
    </w:p>
    <w:p>
      <w:pPr>
        <w:spacing w:after="0" w:line="175" w:lineRule="exact"/>
        <w:rPr>
          <w:sz w:val="20"/>
          <w:szCs w:val="20"/>
          <w:color w:val="auto"/>
        </w:rPr>
      </w:pPr>
    </w:p>
    <w:p>
      <w:pPr>
        <w:jc w:val="both"/>
        <w:ind w:right="20" w:firstLine="275"/>
        <w:spacing w:after="0" w:line="285" w:lineRule="auto"/>
        <w:rPr>
          <w:sz w:val="20"/>
          <w:szCs w:val="20"/>
          <w:color w:val="auto"/>
        </w:rPr>
      </w:pPr>
      <w:r>
        <w:rPr>
          <w:rFonts w:ascii="Arial" w:cs="Arial" w:eastAsia="Arial" w:hAnsi="Arial"/>
          <w:sz w:val="15"/>
          <w:szCs w:val="15"/>
          <w:color w:val="auto"/>
        </w:rPr>
        <w:t>The obligations under the A&amp;R Credit Agreement are guaranteed by the Company and certain domestic subsidiaries of the Company and secured by liens on substantially all of the assets of the Loan Parties, subject to certain exclusions and limitations.</w:t>
      </w:r>
    </w:p>
    <w:p>
      <w:pPr>
        <w:spacing w:after="0" w:line="164"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5"/>
          <w:szCs w:val="15"/>
          <w:color w:val="auto"/>
        </w:rPr>
        <w:t>Our indebtedness could adversely affect our ability to raise additional capital, limit our ability to react to changes in the economy or our industry, expose us to interest rate risk and prevent us from meeting our obligations. See “</w:t>
      </w:r>
      <w:r>
        <w:rPr>
          <w:rFonts w:ascii="Arial" w:cs="Arial" w:eastAsia="Arial" w:hAnsi="Arial"/>
          <w:sz w:val="15"/>
          <w:szCs w:val="15"/>
          <w:i w:val="1"/>
          <w:iCs w:val="1"/>
          <w:color w:val="auto"/>
        </w:rPr>
        <w:t>Risk Factors—Risks Relating to Our</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40" w:name="page41"/>
    <w:bookmarkEnd w:id="40"/>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4" w:lineRule="exact"/>
        <w:rPr>
          <w:sz w:val="20"/>
          <w:szCs w:val="20"/>
          <w:color w:val="auto"/>
        </w:rPr>
      </w:pPr>
    </w:p>
    <w:p>
      <w:pPr>
        <w:jc w:val="both"/>
        <w:ind w:right="20"/>
        <w:spacing w:after="0" w:line="285" w:lineRule="auto"/>
        <w:rPr>
          <w:sz w:val="20"/>
          <w:szCs w:val="20"/>
          <w:color w:val="auto"/>
        </w:rPr>
      </w:pPr>
      <w:r>
        <w:rPr>
          <w:rFonts w:ascii="Arial" w:cs="Arial" w:eastAsia="Arial" w:hAnsi="Arial"/>
          <w:sz w:val="15"/>
          <w:szCs w:val="15"/>
          <w:i w:val="1"/>
          <w:iCs w:val="1"/>
          <w:color w:val="auto"/>
        </w:rPr>
        <w:t>Indebtedness—We have a substantial amount of indebtedness, which may limit our operating flexibility and could adversely affect our business, financial condition and results of operations.”</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Repurchase Program</w:t>
      </w:r>
    </w:p>
    <w:p>
      <w:pPr>
        <w:spacing w:after="0" w:line="218" w:lineRule="exact"/>
        <w:rPr>
          <w:sz w:val="20"/>
          <w:szCs w:val="20"/>
          <w:color w:val="auto"/>
        </w:rPr>
      </w:pPr>
    </w:p>
    <w:p>
      <w:pPr>
        <w:jc w:val="both"/>
        <w:ind w:firstLine="275"/>
        <w:spacing w:after="0" w:line="280" w:lineRule="auto"/>
        <w:rPr>
          <w:sz w:val="20"/>
          <w:szCs w:val="20"/>
          <w:color w:val="auto"/>
        </w:rPr>
      </w:pPr>
      <w:r>
        <w:rPr>
          <w:rFonts w:ascii="Arial" w:cs="Arial" w:eastAsia="Arial" w:hAnsi="Arial"/>
          <w:sz w:val="14"/>
          <w:szCs w:val="14"/>
          <w:color w:val="auto"/>
        </w:rPr>
        <w:t>In August 2021, the Company’s Board of Directors approved a stock repurchase program (the “Repurchase Program”) that authorizes the Company to purchase up to $40.0 million of outstanding shares of the Company’s common stock.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Repurchase Program does not have an expiration date. Under the terms of the A&amp;R Credit Agreement, the Company has restrictions that limit the maximum amount of repurchases to (i) $40.0 million in the aggregate (plus the Available Amount as defined in the A&amp;R Credit Agreement) and (ii) $10.0 million annually for shares held by any current or former officer, director, employee or consultant (or any spouses, ex-spouses or estates of the foregoing) of the Company or its subsidiaries.</w:t>
      </w:r>
    </w:p>
    <w:p>
      <w:pPr>
        <w:spacing w:after="0" w:line="172" w:lineRule="exact"/>
        <w:rPr>
          <w:sz w:val="20"/>
          <w:szCs w:val="20"/>
          <w:color w:val="auto"/>
        </w:rPr>
      </w:pPr>
    </w:p>
    <w:p>
      <w:pPr>
        <w:jc w:val="both"/>
        <w:ind w:right="20" w:firstLine="275"/>
        <w:spacing w:after="0" w:line="285" w:lineRule="auto"/>
        <w:rPr>
          <w:sz w:val="20"/>
          <w:szCs w:val="20"/>
          <w:color w:val="auto"/>
        </w:rPr>
      </w:pPr>
      <w:r>
        <w:rPr>
          <w:rFonts w:ascii="Arial" w:cs="Arial" w:eastAsia="Arial" w:hAnsi="Arial"/>
          <w:sz w:val="15"/>
          <w:szCs w:val="15"/>
          <w:color w:val="auto"/>
        </w:rPr>
        <w:t>During the year ended December 31, 2021, the Company purchased 341,522 shares for an aggregate purchase price totaling $5.6 million. As of December 31, 2021, the remaining amount available for future share repurchases under the Repurchase Program was $34.4 million.</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Flows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following table summarizes the changes to our cash flows for the periods presented:</w:t>
      </w:r>
    </w:p>
    <w:p>
      <w:pPr>
        <w:spacing w:after="0" w:line="229"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36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ind w:left="80"/>
              <w:spacing w:after="0"/>
              <w:rPr>
                <w:sz w:val="20"/>
                <w:szCs w:val="20"/>
                <w:color w:val="auto"/>
              </w:rPr>
            </w:pPr>
            <w:r>
              <w:rPr>
                <w:rFonts w:ascii="Arial" w:cs="Arial" w:eastAsia="Arial" w:hAnsi="Arial"/>
                <w:sz w:val="15"/>
                <w:szCs w:val="15"/>
                <w:color w:val="auto"/>
                <w:w w:val="95"/>
              </w:rPr>
              <w:t>Year Ended December 31,</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98"/>
        </w:trPr>
        <w:tc>
          <w:tcPr>
            <w:tcW w:w="3680" w:type="dxa"/>
            <w:vAlign w:val="bottom"/>
            <w:tcBorders>
              <w:bottom w:val="single" w:sz="8" w:color="CCEEFF"/>
            </w:tcBorders>
          </w:tcPr>
          <w:p>
            <w:pPr>
              <w:ind w:left="300"/>
              <w:spacing w:after="0"/>
              <w:rPr>
                <w:sz w:val="20"/>
                <w:szCs w:val="20"/>
                <w:color w:val="auto"/>
              </w:rPr>
            </w:pPr>
            <w:r>
              <w:rPr>
                <w:rFonts w:ascii="Arial" w:cs="Arial" w:eastAsia="Arial" w:hAnsi="Arial"/>
                <w:sz w:val="15"/>
                <w:szCs w:val="15"/>
                <w:i w:val="1"/>
                <w:iCs w:val="1"/>
                <w:color w:val="auto"/>
              </w:rPr>
              <w:t>(in thousands)</w:t>
            </w:r>
          </w:p>
        </w:tc>
        <w:tc>
          <w:tcPr>
            <w:tcW w:w="5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color w:val="auto"/>
              </w:rPr>
              <w:t>2021</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color w:val="auto"/>
              </w:rPr>
              <w:t>2020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color w:val="auto"/>
              </w:rPr>
              <w:t>2019</w:t>
            </w:r>
          </w:p>
        </w:tc>
      </w:tr>
      <w:tr>
        <w:trPr>
          <w:trHeight w:val="184"/>
        </w:trPr>
        <w:tc>
          <w:tcPr>
            <w:tcW w:w="36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Statement of Cash Flows Data:</w:t>
            </w: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95"/>
        </w:trPr>
        <w:tc>
          <w:tcPr>
            <w:tcW w:w="3680" w:type="dxa"/>
            <w:vAlign w:val="bottom"/>
          </w:tcPr>
          <w:p>
            <w:pPr>
              <w:ind w:left="300"/>
              <w:spacing w:after="0"/>
              <w:rPr>
                <w:sz w:val="20"/>
                <w:szCs w:val="20"/>
                <w:color w:val="auto"/>
              </w:rPr>
            </w:pPr>
            <w:r>
              <w:rPr>
                <w:rFonts w:ascii="Arial" w:cs="Arial" w:eastAsia="Arial" w:hAnsi="Arial"/>
                <w:sz w:val="15"/>
                <w:szCs w:val="15"/>
                <w:color w:val="auto"/>
              </w:rPr>
              <w:t>Net cash provided by (used in) operating activities</w:t>
            </w:r>
          </w:p>
        </w:tc>
        <w:tc>
          <w:tcPr>
            <w:tcW w:w="5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78,098</w:t>
            </w:r>
          </w:p>
        </w:tc>
        <w:tc>
          <w:tcPr>
            <w:tcW w:w="100" w:type="dxa"/>
            <w:vAlign w:val="bottom"/>
          </w:tcPr>
          <w:p>
            <w:pPr>
              <w:spacing w:after="0"/>
              <w:rPr>
                <w:sz w:val="16"/>
                <w:szCs w:val="16"/>
                <w:color w:val="auto"/>
              </w:rPr>
            </w:pPr>
          </w:p>
        </w:tc>
        <w:tc>
          <w:tcPr>
            <w:tcW w:w="5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(880)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52,534</w:t>
            </w:r>
          </w:p>
        </w:tc>
      </w:tr>
      <w:tr>
        <w:trPr>
          <w:trHeight w:val="195"/>
        </w:trPr>
        <w:tc>
          <w:tcPr>
            <w:tcW w:w="36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Net cash used in investing activities</w:t>
            </w: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(10,773)</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(4,062)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(6,719)</w:t>
            </w:r>
          </w:p>
        </w:tc>
      </w:tr>
      <w:tr>
        <w:trPr>
          <w:trHeight w:val="195"/>
        </w:trPr>
        <w:tc>
          <w:tcPr>
            <w:tcW w:w="3680" w:type="dxa"/>
            <w:vAlign w:val="bottom"/>
          </w:tcPr>
          <w:p>
            <w:pPr>
              <w:ind w:left="20"/>
              <w:spacing w:after="0"/>
              <w:rPr>
                <w:sz w:val="20"/>
                <w:szCs w:val="20"/>
                <w:color w:val="auto"/>
              </w:rPr>
            </w:pPr>
            <w:r>
              <w:rPr>
                <w:rFonts w:ascii="Arial" w:cs="Arial" w:eastAsia="Arial" w:hAnsi="Arial"/>
                <w:sz w:val="15"/>
                <w:szCs w:val="15"/>
                <w:color w:val="auto"/>
              </w:rPr>
              <w:t>Net cash used in financing activities</w:t>
            </w:r>
          </w:p>
        </w:tc>
        <w:tc>
          <w:tcPr>
            <w:tcW w:w="5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(9,616)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(6,160)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(32,944)</w:t>
            </w:r>
          </w:p>
        </w:tc>
      </w:tr>
      <w:tr>
        <w:trPr>
          <w:trHeight w:val="215"/>
        </w:trPr>
        <w:tc>
          <w:tcPr>
            <w:tcW w:w="36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Effect of exchange rate changes on cash</w:t>
            </w: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217</w:t>
            </w:r>
          </w:p>
        </w:tc>
      </w:tr>
      <w:tr>
        <w:trPr>
          <w:trHeight w:val="178"/>
        </w:trPr>
        <w:tc>
          <w:tcPr>
            <w:tcW w:w="3680" w:type="dxa"/>
            <w:vAlign w:val="bottom"/>
          </w:tcPr>
          <w:p>
            <w:pPr>
              <w:ind w:left="300"/>
              <w:spacing w:after="0"/>
              <w:rPr>
                <w:sz w:val="20"/>
                <w:szCs w:val="20"/>
                <w:color w:val="auto"/>
              </w:rPr>
            </w:pPr>
            <w:r>
              <w:rPr>
                <w:rFonts w:ascii="Arial" w:cs="Arial" w:eastAsia="Arial" w:hAnsi="Arial"/>
                <w:sz w:val="15"/>
                <w:szCs w:val="15"/>
                <w:color w:val="auto"/>
              </w:rPr>
              <w:t>Net increase (decrease) in cash</w:t>
            </w: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57,567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(11,210)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13,088</w:t>
            </w:r>
          </w:p>
        </w:tc>
      </w:tr>
      <w:tr>
        <w:trPr>
          <w:trHeight w:val="198"/>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beginning of the year</w:t>
            </w:r>
          </w:p>
        </w:tc>
        <w:tc>
          <w:tcPr>
            <w:tcW w:w="5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74,907</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86,117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73,029</w:t>
            </w:r>
          </w:p>
        </w:tc>
      </w:tr>
      <w:tr>
        <w:trPr>
          <w:trHeight w:val="195"/>
        </w:trPr>
        <w:tc>
          <w:tcPr>
            <w:tcW w:w="3680" w:type="dxa"/>
            <w:vAlign w:val="bottom"/>
          </w:tcPr>
          <w:p>
            <w:pPr>
              <w:ind w:left="300"/>
              <w:spacing w:after="0"/>
              <w:rPr>
                <w:sz w:val="20"/>
                <w:szCs w:val="20"/>
                <w:color w:val="auto"/>
              </w:rPr>
            </w:pPr>
            <w:r>
              <w:rPr>
                <w:rFonts w:ascii="Arial" w:cs="Arial" w:eastAsia="Arial" w:hAnsi="Arial"/>
                <w:sz w:val="15"/>
                <w:szCs w:val="15"/>
                <w:color w:val="auto"/>
              </w:rPr>
              <w:t>Cash, end of the year</w:t>
            </w:r>
          </w:p>
        </w:tc>
        <w:tc>
          <w:tcPr>
            <w:tcW w:w="5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132,474</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74,907</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86,117</w:t>
            </w:r>
          </w:p>
        </w:tc>
      </w:tr>
      <w:tr>
        <w:trPr>
          <w:trHeight w:val="20"/>
        </w:trPr>
        <w:tc>
          <w:tcPr>
            <w:tcW w:w="3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Operating Activities</w:t>
      </w:r>
    </w:p>
    <w:p>
      <w:pPr>
        <w:spacing w:after="0" w:line="195"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Net cash provided by operating activities was $78.1 million for the year ended December 31, 2021, a change of $79.0 million from net cash used in operating activities of $0.9 million for the year ended December 31, 2020. The change of $79.0 million is primarily a result of $65.7 million related to changes in working capital, which varies due to timing of money transmissions and payments, and by additional cash generated by our improved operating results for the year ended December 31, 2021, which reflected the further growth of our business.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Investing Activities</w:t>
      </w:r>
    </w:p>
    <w:p>
      <w:pPr>
        <w:spacing w:after="0" w:line="195" w:lineRule="exact"/>
        <w:rPr>
          <w:sz w:val="20"/>
          <w:szCs w:val="20"/>
          <w:color w:val="auto"/>
        </w:rPr>
      </w:pPr>
    </w:p>
    <w:p>
      <w:pPr>
        <w:jc w:val="both"/>
        <w:ind w:firstLine="275"/>
        <w:spacing w:after="0" w:line="270" w:lineRule="auto"/>
        <w:rPr>
          <w:sz w:val="20"/>
          <w:szCs w:val="20"/>
          <w:color w:val="auto"/>
        </w:rPr>
      </w:pPr>
      <w:r>
        <w:rPr>
          <w:rFonts w:ascii="Arial" w:cs="Arial" w:eastAsia="Arial" w:hAnsi="Arial"/>
          <w:sz w:val="15"/>
          <w:szCs w:val="15"/>
          <w:color w:val="auto"/>
        </w:rPr>
        <w:t>Net cash used in investing activities was $10.8 million for the year ended December 31, 2021, an increase of $6.7 million from $4.1 million for the year ended December 31, 2020. This increase in cash used was primarily due to higher purchases of property and equipment as a result of our continued growth of sending agents, as well as, upgrading equipment of existing agents during the year ended December 31, 2021.</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Financing Activities</w:t>
      </w:r>
    </w:p>
    <w:p>
      <w:pPr>
        <w:spacing w:after="0" w:line="195" w:lineRule="exact"/>
        <w:rPr>
          <w:sz w:val="20"/>
          <w:szCs w:val="20"/>
          <w:color w:val="auto"/>
        </w:rPr>
      </w:pPr>
    </w:p>
    <w:p>
      <w:pPr>
        <w:jc w:val="both"/>
        <w:ind w:firstLine="275"/>
        <w:spacing w:after="0" w:line="262" w:lineRule="auto"/>
        <w:rPr>
          <w:sz w:val="20"/>
          <w:szCs w:val="20"/>
          <w:color w:val="auto"/>
        </w:rPr>
      </w:pPr>
      <w:r>
        <w:rPr>
          <w:rFonts w:ascii="Arial" w:cs="Arial" w:eastAsia="Arial" w:hAnsi="Arial"/>
          <w:sz w:val="15"/>
          <w:szCs w:val="15"/>
          <w:color w:val="auto"/>
        </w:rPr>
        <w:t>Net cash used in financing activities was $9.6 million for the year ended December 31, 2021, which primarily consisted of a $40.1 million debt repayment and $2.9 million of debt origination costs in connection with the refinancing of the Original Credit Agreement, $4.1 million in scheduled quarterly payments due on the term loan facility, $5.6 million of repurchases of common stock and $0.8 million of payments for stock-based awards for shares withheld in connection with stock-based compensation arrangements and related payments to taxing authorities, offset by $40.2 million borrowings in connection with the refinancing of the Original Credit Agreement and $3.8 million in proceeds from issuance of stock as a result of the exercise of options.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41" w:name="page42"/>
    <w:bookmarkEnd w:id="41"/>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4"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5"/>
          <w:szCs w:val="15"/>
          <w:color w:val="auto"/>
        </w:rPr>
        <w:t>Net cash used in financing activities was $6.2 million for the year ended December 31, 2020, which consisted of $7.7 million in scheduled quarterly repayments due on the term loan facility, offset by $1.5 million of proceeds from issuance of stock as a result of the exercise of options.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Contractual Obligations</w:t>
      </w:r>
    </w:p>
    <w:p>
      <w:pPr>
        <w:spacing w:after="0" w:line="199"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5"/>
          <w:szCs w:val="15"/>
          <w:color w:val="auto"/>
        </w:rPr>
        <w:t>The following table includes aggregated information about contractual obligations that affect our liquidity and capital needs. At December 31, 2021, our contractual obligations over the next several periods were as follows:</w:t>
      </w:r>
    </w:p>
    <w:p>
      <w:pPr>
        <w:spacing w:after="0" w:line="174" w:lineRule="exact"/>
        <w:rPr>
          <w:sz w:val="20"/>
          <w:szCs w:val="20"/>
          <w:color w:val="auto"/>
        </w:rPr>
      </w:pPr>
    </w:p>
    <w:tbl>
      <w:tblPr>
        <w:tblLayout w:type="fixed"/>
        <w:tblInd w:w="260" w:type="dxa"/>
        <w:tblCellMar>
          <w:top w:w="0" w:type="dxa"/>
          <w:left w:w="0" w:type="dxa"/>
          <w:bottom w:w="0" w:type="dxa"/>
          <w:right w:w="0" w:type="dxa"/>
        </w:tblCellMar>
      </w:tblPr>
      <w:tr>
        <w:trPr>
          <w:trHeight w:val="172"/>
        </w:trPr>
        <w:tc>
          <w:tcPr>
            <w:tcW w:w="2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5"/>
                <w:szCs w:val="15"/>
                <w:b w:val="1"/>
                <w:bCs w:val="1"/>
                <w:color w:val="auto"/>
              </w:rPr>
              <w:t>Less than</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b w:val="1"/>
                <w:bCs w:val="1"/>
                <w:color w:val="auto"/>
                <w:w w:val="94"/>
              </w:rPr>
              <w:t>More than 5</w:t>
            </w:r>
          </w:p>
        </w:tc>
        <w:tc>
          <w:tcPr>
            <w:tcW w:w="0" w:type="dxa"/>
            <w:vAlign w:val="bottom"/>
          </w:tcPr>
          <w:p>
            <w:pPr>
              <w:spacing w:after="0"/>
              <w:rPr>
                <w:sz w:val="1"/>
                <w:szCs w:val="1"/>
                <w:color w:val="auto"/>
              </w:rPr>
            </w:pPr>
          </w:p>
        </w:tc>
      </w:tr>
      <w:tr>
        <w:trPr>
          <w:trHeight w:val="198"/>
        </w:trPr>
        <w:tc>
          <w:tcPr>
            <w:tcW w:w="2280" w:type="dxa"/>
            <w:vAlign w:val="bottom"/>
          </w:tcPr>
          <w:p>
            <w:pPr>
              <w:ind w:left="300"/>
              <w:spacing w:after="0"/>
              <w:rPr>
                <w:sz w:val="20"/>
                <w:szCs w:val="20"/>
                <w:color w:val="auto"/>
              </w:rPr>
            </w:pPr>
            <w:r>
              <w:rPr>
                <w:rFonts w:ascii="Arial" w:cs="Arial" w:eastAsia="Arial" w:hAnsi="Arial"/>
                <w:sz w:val="15"/>
                <w:szCs w:val="15"/>
                <w:i w:val="1"/>
                <w:iCs w:val="1"/>
                <w:color w:val="auto"/>
              </w:rPr>
              <w:t>(in thousands)</w:t>
            </w:r>
          </w:p>
        </w:tc>
        <w:tc>
          <w:tcPr>
            <w:tcW w:w="520" w:type="dxa"/>
            <w:vAlign w:val="bottom"/>
          </w:tcPr>
          <w:p>
            <w:pPr>
              <w:spacing w:after="0"/>
              <w:rPr>
                <w:sz w:val="17"/>
                <w:szCs w:val="17"/>
                <w:color w:val="auto"/>
              </w:rPr>
            </w:pPr>
          </w:p>
        </w:tc>
        <w:tc>
          <w:tcPr>
            <w:tcW w:w="960" w:type="dxa"/>
            <w:vAlign w:val="bottom"/>
            <w:gridSpan w:val="2"/>
          </w:tcPr>
          <w:p>
            <w:pPr>
              <w:ind w:left="140"/>
              <w:spacing w:after="0"/>
              <w:rPr>
                <w:sz w:val="20"/>
                <w:szCs w:val="20"/>
                <w:color w:val="auto"/>
              </w:rPr>
            </w:pPr>
            <w:r>
              <w:rPr>
                <w:rFonts w:ascii="Arial" w:cs="Arial" w:eastAsia="Arial" w:hAnsi="Arial"/>
                <w:sz w:val="15"/>
                <w:szCs w:val="15"/>
                <w:b w:val="1"/>
                <w:bCs w:val="1"/>
                <w:color w:val="auto"/>
              </w:rPr>
              <w:t>Total</w:t>
            </w:r>
          </w:p>
        </w:tc>
        <w:tc>
          <w:tcPr>
            <w:tcW w:w="44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5"/>
                <w:szCs w:val="15"/>
                <w:b w:val="1"/>
                <w:bCs w:val="1"/>
                <w:color w:val="auto"/>
              </w:rPr>
              <w:t>1 year</w:t>
            </w:r>
          </w:p>
        </w:tc>
        <w:tc>
          <w:tcPr>
            <w:tcW w:w="40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Arial" w:cs="Arial" w:eastAsia="Arial" w:hAnsi="Arial"/>
                <w:sz w:val="15"/>
                <w:szCs w:val="15"/>
                <w:b w:val="1"/>
                <w:bCs w:val="1"/>
                <w:color w:val="auto"/>
              </w:rPr>
              <w:t>1 to 3 years</w:t>
            </w:r>
          </w:p>
        </w:tc>
        <w:tc>
          <w:tcPr>
            <w:tcW w:w="42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Arial" w:cs="Arial" w:eastAsia="Arial" w:hAnsi="Arial"/>
                <w:sz w:val="15"/>
                <w:szCs w:val="15"/>
                <w:b w:val="1"/>
                <w:bCs w:val="1"/>
                <w:color w:val="auto"/>
              </w:rPr>
              <w:t>3 to 5 years</w:t>
            </w:r>
          </w:p>
        </w:tc>
        <w:tc>
          <w:tcPr>
            <w:tcW w:w="360" w:type="dxa"/>
            <w:vAlign w:val="bottom"/>
          </w:tcPr>
          <w:p>
            <w:pPr>
              <w:spacing w:after="0"/>
              <w:rPr>
                <w:sz w:val="17"/>
                <w:szCs w:val="17"/>
                <w:color w:val="auto"/>
              </w:rPr>
            </w:pPr>
          </w:p>
        </w:tc>
        <w:tc>
          <w:tcPr>
            <w:tcW w:w="920" w:type="dxa"/>
            <w:vAlign w:val="bottom"/>
          </w:tcPr>
          <w:p>
            <w:pPr>
              <w:jc w:val="right"/>
              <w:ind w:right="404"/>
              <w:spacing w:after="0"/>
              <w:rPr>
                <w:sz w:val="20"/>
                <w:szCs w:val="20"/>
                <w:color w:val="auto"/>
              </w:rPr>
            </w:pPr>
            <w:r>
              <w:rPr>
                <w:rFonts w:ascii="Arial" w:cs="Arial" w:eastAsia="Arial" w:hAnsi="Arial"/>
                <w:sz w:val="15"/>
                <w:szCs w:val="15"/>
                <w:b w:val="1"/>
                <w:bCs w:val="1"/>
                <w:color w:val="auto"/>
              </w:rPr>
              <w:t>years</w:t>
            </w:r>
          </w:p>
        </w:tc>
        <w:tc>
          <w:tcPr>
            <w:tcW w:w="0" w:type="dxa"/>
            <w:vAlign w:val="bottom"/>
          </w:tcPr>
          <w:p>
            <w:pPr>
              <w:spacing w:after="0"/>
              <w:rPr>
                <w:sz w:val="1"/>
                <w:szCs w:val="1"/>
                <w:color w:val="auto"/>
              </w:rPr>
            </w:pPr>
          </w:p>
        </w:tc>
      </w:tr>
      <w:tr>
        <w:trPr>
          <w:trHeight w:val="195"/>
        </w:trPr>
        <w:tc>
          <w:tcPr>
            <w:tcW w:w="22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Debt, principal payments</w:t>
            </w:r>
          </w:p>
        </w:tc>
        <w:tc>
          <w:tcPr>
            <w:tcW w:w="52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85,313</w:t>
            </w:r>
          </w:p>
        </w:tc>
        <w:tc>
          <w:tcPr>
            <w:tcW w:w="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4,375</w:t>
            </w: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13,125</w:t>
            </w:r>
          </w:p>
        </w:tc>
        <w:tc>
          <w:tcPr>
            <w:tcW w:w="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67,813</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280" w:type="dxa"/>
            <w:vAlign w:val="bottom"/>
          </w:tcPr>
          <w:p>
            <w:pPr>
              <w:ind w:left="300"/>
              <w:spacing w:after="0"/>
              <w:rPr>
                <w:sz w:val="20"/>
                <w:szCs w:val="20"/>
                <w:color w:val="auto"/>
              </w:rPr>
            </w:pPr>
            <w:r>
              <w:rPr>
                <w:rFonts w:ascii="Arial" w:cs="Arial" w:eastAsia="Arial" w:hAnsi="Arial"/>
                <w:sz w:val="15"/>
                <w:szCs w:val="15"/>
                <w:color w:val="auto"/>
              </w:rPr>
              <w:t>Interest payments</w:t>
            </w: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10,961</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2,717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5,032</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3,212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0"/>
        </w:trPr>
        <w:tc>
          <w:tcPr>
            <w:tcW w:w="2280" w:type="dxa"/>
            <w:vAlign w:val="bottom"/>
            <w:shd w:val="clear" w:color="auto" w:fill="CCEEFF"/>
          </w:tcPr>
          <w:p>
            <w:pPr>
              <w:ind w:left="300"/>
              <w:spacing w:after="0" w:line="150" w:lineRule="exact"/>
              <w:rPr>
                <w:sz w:val="20"/>
                <w:szCs w:val="20"/>
                <w:color w:val="auto"/>
              </w:rPr>
            </w:pPr>
            <w:r>
              <w:rPr>
                <w:rFonts w:ascii="Arial" w:cs="Arial" w:eastAsia="Arial" w:hAnsi="Arial"/>
                <w:sz w:val="15"/>
                <w:szCs w:val="15"/>
                <w:color w:val="auto"/>
              </w:rPr>
              <w:t>Non-cancelable operating</w:t>
            </w:r>
          </w:p>
        </w:tc>
        <w:tc>
          <w:tcPr>
            <w:tcW w:w="5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4,870</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1,625</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2,268</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970</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86"/>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leases</w:t>
            </w:r>
          </w:p>
        </w:tc>
        <w:tc>
          <w:tcPr>
            <w:tcW w:w="5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80" w:type="dxa"/>
            <w:vAlign w:val="bottom"/>
          </w:tcPr>
          <w:p>
            <w:pPr>
              <w:ind w:left="300"/>
              <w:spacing w:after="0"/>
              <w:rPr>
                <w:sz w:val="20"/>
                <w:szCs w:val="20"/>
                <w:color w:val="auto"/>
              </w:rPr>
            </w:pPr>
            <w:r>
              <w:rPr>
                <w:rFonts w:ascii="Arial" w:cs="Arial" w:eastAsia="Arial" w:hAnsi="Arial"/>
                <w:sz w:val="15"/>
                <w:szCs w:val="15"/>
                <w:color w:val="auto"/>
              </w:rPr>
              <w:t>Total</w:t>
            </w:r>
          </w:p>
        </w:tc>
        <w:tc>
          <w:tcPr>
            <w:tcW w:w="5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101,144</w:t>
            </w:r>
          </w:p>
        </w:tc>
        <w:tc>
          <w:tcPr>
            <w:tcW w:w="8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8,717</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20,425</w:t>
            </w:r>
          </w:p>
        </w:tc>
        <w:tc>
          <w:tcPr>
            <w:tcW w:w="80" w:type="dxa"/>
            <w:vAlign w:val="bottom"/>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71,995</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jc w:val="both"/>
        <w:ind w:firstLine="275"/>
        <w:spacing w:after="0" w:line="270" w:lineRule="auto"/>
        <w:rPr>
          <w:sz w:val="20"/>
          <w:szCs w:val="20"/>
          <w:color w:val="auto"/>
        </w:rPr>
      </w:pPr>
      <w:r>
        <w:rPr>
          <w:rFonts w:ascii="Arial" w:cs="Arial" w:eastAsia="Arial" w:hAnsi="Arial"/>
          <w:sz w:val="15"/>
          <w:szCs w:val="15"/>
          <w:color w:val="auto"/>
        </w:rPr>
        <w:t>Our consolidated balance sheet reflects $83.1 million of debt as of December 31, 2021, as the principal payment obligations of $85.3 million are gross of unamortized debt origination costs of $2.2 million. The above table reflects the principal and interest of the revolver and term loan under the A&amp;R Credit Agreement that will be paid through the maturity of the debt using the rates in effect on December 31, 2021 and assuming no voluntary prepayments of principal.</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Non-cancelable operating leases include various office leases, including our office headquarters.</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Estimates</w:t>
      </w:r>
    </w:p>
    <w:p>
      <w:pPr>
        <w:spacing w:after="0" w:line="199" w:lineRule="exact"/>
        <w:rPr>
          <w:sz w:val="20"/>
          <w:szCs w:val="20"/>
          <w:color w:val="auto"/>
        </w:rPr>
      </w:pPr>
    </w:p>
    <w:p>
      <w:pPr>
        <w:jc w:val="both"/>
        <w:ind w:firstLine="275"/>
        <w:spacing w:after="0" w:line="312" w:lineRule="auto"/>
        <w:rPr>
          <w:sz w:val="20"/>
          <w:szCs w:val="20"/>
          <w:color w:val="auto"/>
        </w:rPr>
      </w:pPr>
      <w:r>
        <w:rPr>
          <w:rFonts w:ascii="Arial" w:cs="Arial" w:eastAsia="Arial" w:hAnsi="Arial"/>
          <w:sz w:val="13"/>
          <w:szCs w:val="13"/>
          <w:color w:val="auto"/>
        </w:rPr>
        <w:t xml:space="preserve">The preparation of financial statements in accordance with accounting principles generally accepted in the United States requires management to make estimates and assumptions about future events that affect amounts reported in our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 Our significant accounting policies are discussed in Part II, Item 8, </w:t>
      </w:r>
      <w:r>
        <w:rPr>
          <w:rFonts w:ascii="Arial" w:cs="Arial" w:eastAsia="Arial" w:hAnsi="Arial"/>
          <w:sz w:val="13"/>
          <w:szCs w:val="13"/>
          <w:i w:val="1"/>
          <w:iCs w:val="1"/>
          <w:color w:val="auto"/>
        </w:rPr>
        <w:t>Financial Statements and Supplementary Data, Note 2, “Summary of Significant Accounting Policies.”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Allowance for Credit Losses</w:t>
      </w:r>
    </w:p>
    <w:p>
      <w:pPr>
        <w:spacing w:after="0" w:line="195" w:lineRule="exact"/>
        <w:rPr>
          <w:sz w:val="20"/>
          <w:szCs w:val="20"/>
          <w:color w:val="auto"/>
        </w:rPr>
      </w:pPr>
    </w:p>
    <w:p>
      <w:pPr>
        <w:jc w:val="both"/>
        <w:ind w:firstLine="275"/>
        <w:spacing w:after="0" w:line="290" w:lineRule="auto"/>
        <w:rPr>
          <w:sz w:val="20"/>
          <w:szCs w:val="20"/>
          <w:color w:val="auto"/>
        </w:rPr>
      </w:pPr>
      <w:r>
        <w:rPr>
          <w:rFonts w:ascii="Arial" w:cs="Arial" w:eastAsia="Arial" w:hAnsi="Arial"/>
          <w:sz w:val="14"/>
          <w:szCs w:val="14"/>
          <w:color w:val="auto"/>
        </w:rPr>
        <w:t>Accounts receivable are recorded upon initiation of the wire transfer and are typically due to us within five days. We maintain an allowance for credit losses for estimated losses resulting primarily from the inability of our sending agents to make required payments. When preparing these estimates, we consider a number of factors, including the aging of a sending agent’s account, creditworthiness of specific sending agents, historical trends and other information. One of the most significant judgments used in the allowance for credit losses estimate relates to the net historical loss rates for the different pools of accounts and advances receivable grouped based on similar characteristics.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Goodwill and Intangible Assets</w:t>
      </w:r>
    </w:p>
    <w:p>
      <w:pPr>
        <w:spacing w:after="0" w:line="195"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Goodwill and intangible assets result primarily from business combination acquisitions. Intangible assets include agent relationships, trade name, developed technology and other intangibles, all with finite lives. Our agent relationships, trade name and developed technology are currently amortized utilizing an accelerated method over their estimated useful lives. Other intangible assets are amortized straight-line over a useful life of 10 years. Upon the acquisition, the purchase price is first allocated to identifiable assets and liabilities, including the trade name and other intangibles, with any remaining purchase price recorded as goodwill.</w:t>
      </w:r>
    </w:p>
    <w:p>
      <w:pPr>
        <w:spacing w:after="0" w:line="179" w:lineRule="exact"/>
        <w:rPr>
          <w:sz w:val="20"/>
          <w:szCs w:val="20"/>
          <w:color w:val="auto"/>
        </w:rPr>
      </w:pPr>
    </w:p>
    <w:p>
      <w:pPr>
        <w:jc w:val="both"/>
        <w:ind w:firstLine="275"/>
        <w:spacing w:after="0" w:line="280" w:lineRule="auto"/>
        <w:rPr>
          <w:sz w:val="20"/>
          <w:szCs w:val="20"/>
          <w:color w:val="auto"/>
        </w:rPr>
      </w:pPr>
      <w:r>
        <w:rPr>
          <w:rFonts w:ascii="Arial" w:cs="Arial" w:eastAsia="Arial" w:hAnsi="Arial"/>
          <w:sz w:val="14"/>
          <w:szCs w:val="14"/>
          <w:color w:val="auto"/>
        </w:rPr>
        <w:t>Goodwill is not amortized; however, it is assessed for impairment at least annually, at the beginning of the fourth quarter, or more frequently if triggering events occur. For purposes of the annual impairment test, management initially performs a qualitative assessment, which includes consideration of the economic, industry and market conditions in addition to our overall financial performance and the performance of these assets. If our qualitative assessment does not conclude that it is more likely than not that the estimated fair value of the reporting unit is greater than the carrying value, we perform a quantitative analysis. In a quantitative test, the fair value of a reporting unit is determined based on a discounted cash flow analysis. A discounted cash flow analysis requires us to make various assumptions, including assumptions about future cash flows, growth rates and discount rates. The assumptions about future cash flows and growth rates are based on our long-term projections. Assumptions used in our impairment testing are consistent with our internal forecasts and operating plans. If the fair value of the reporting unit exceeds its carrying amount, there is no impairment. If not, we recognize an impairment equal to the difference between the carrying amount of the reporting unit and its fair value, not to exceed the carrying amount of goodwill.</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42" w:name="page43"/>
    <w:bookmarkEnd w:id="42"/>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4"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The Company continuously monitors for events and circumstances that could negatively impact the key assumptions in determining fair value. While the Company believes the judgments and assumptions used in the goodwill impairment tests are reasonable, different assumptions or changes in general industry, market and macro-economic conditions, including a more prolonged and/or severe COVID-19 pandemic, could change the estimated fair values and, therefore, future impairment charges could be required, which could be material to the consolidated financial statements.</w:t>
      </w:r>
    </w:p>
    <w:p>
      <w:pPr>
        <w:spacing w:after="0" w:line="179" w:lineRule="exact"/>
        <w:rPr>
          <w:sz w:val="20"/>
          <w:szCs w:val="20"/>
          <w:color w:val="auto"/>
        </w:rPr>
      </w:pPr>
    </w:p>
    <w:p>
      <w:pPr>
        <w:jc w:val="both"/>
        <w:ind w:firstLine="275"/>
        <w:spacing w:after="0" w:line="262" w:lineRule="auto"/>
        <w:rPr>
          <w:sz w:val="20"/>
          <w:szCs w:val="20"/>
          <w:color w:val="auto"/>
        </w:rPr>
      </w:pPr>
      <w:r>
        <w:rPr>
          <w:rFonts w:ascii="Arial" w:cs="Arial" w:eastAsia="Arial" w:hAnsi="Arial"/>
          <w:sz w:val="15"/>
          <w:szCs w:val="15"/>
          <w:color w:val="auto"/>
        </w:rPr>
        <w:t>The Company evaluates amortizable intangible assets for impairment whenever events or changes in circumstances indicate that the carrying amount of an asset may not be recoverable. Upon such an occurrence, recoverability of assets to be held and used is measured by comparing the carrying amount of an asset to forecasted undiscounted future net cash flows expected to be generated by the asset. If the carrying amount of the asset exceeds its estimated future cash flows, an impairment charge is recognized for the amount by which the carrying amount of the asset exceeds the fair value of the asset. Fair value is determined based on discounted cash flows, appraised values or management’s estimates, depending upon the nature of the assets.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Uncertain Tax Position</w:t>
      </w:r>
    </w:p>
    <w:p>
      <w:pPr>
        <w:spacing w:after="0" w:line="195"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4"/>
          <w:szCs w:val="14"/>
          <w:color w:val="auto"/>
        </w:rPr>
        <w:t>The Company is subject to income taxes in the U.S. federal jurisdiction and various state jurisdictions and our foreign subsidiaries are subject to taxes by local tax authorities. As required by the uncertain tax position guidance, we recognize the financial statement benefit of a position only after determining that the relevant tax authority would more likely than not sustain the positions following an audit. Tax regulations within each jurisdiction are subject to the interpretation of the related tax laws and regulations and require significant judgment to apply. We apply the uncertain tax position guidance to all tax positions for which the statute of limitations remains open. Resolution of these uncertainties in a manner inconsistent with management’s expectations could have a material impact on the Company’s financial condition and operating results.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 xml:space="preserve">Refer to Part II, Item 8, </w:t>
      </w:r>
      <w:r>
        <w:rPr>
          <w:rFonts w:ascii="Arial" w:cs="Arial" w:eastAsia="Arial" w:hAnsi="Arial"/>
          <w:sz w:val="15"/>
          <w:szCs w:val="15"/>
          <w:i w:val="1"/>
          <w:iCs w:val="1"/>
          <w:color w:val="auto"/>
        </w:rPr>
        <w:t>Financial Statements and Supplementary Data, Note 2, “Summary of Significant Accounting Policies”</w:t>
      </w:r>
      <w:r>
        <w:rPr>
          <w:rFonts w:ascii="Arial" w:cs="Arial" w:eastAsia="Arial" w:hAnsi="Arial"/>
          <w:sz w:val="15"/>
          <w:szCs w:val="15"/>
          <w:color w:val="auto"/>
        </w:rPr>
        <w:t>, for further discussion.</w:t>
      </w:r>
    </w:p>
    <w:p>
      <w:pPr>
        <w:spacing w:after="0" w:line="214"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b w:val="1"/>
          <w:bCs w:val="1"/>
          <w:color w:val="auto"/>
        </w:rPr>
        <w:t>ITEM 7A.</w:t>
        <w:tab/>
        <w:t>QUANTITATIVE AND QUALITATIVE DISCLOSURES ABOUT MARKET RISK</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Foreign Currency Risk</w:t>
      </w:r>
    </w:p>
    <w:p>
      <w:pPr>
        <w:spacing w:after="0" w:line="195" w:lineRule="exact"/>
        <w:rPr>
          <w:sz w:val="20"/>
          <w:szCs w:val="20"/>
          <w:color w:val="auto"/>
        </w:rPr>
      </w:pPr>
    </w:p>
    <w:p>
      <w:pPr>
        <w:jc w:val="both"/>
        <w:ind w:firstLine="275"/>
        <w:spacing w:after="0" w:line="262" w:lineRule="auto"/>
        <w:rPr>
          <w:sz w:val="20"/>
          <w:szCs w:val="20"/>
          <w:color w:val="auto"/>
        </w:rPr>
      </w:pPr>
      <w:r>
        <w:rPr>
          <w:rFonts w:ascii="Arial" w:cs="Arial" w:eastAsia="Arial" w:hAnsi="Arial"/>
          <w:sz w:val="15"/>
          <w:szCs w:val="15"/>
          <w:color w:val="auto"/>
        </w:rPr>
        <w:t>We manage foreign currency risk through the structure of the business and an active risk management process. We currently settle with our payers in Latin America primarily by entering into foreign exchange spot transactions with local and foreign currency providers (“counterparties”). The foreign currency exposure on our foreign exchange spot transactions is limited by the fact that all transactions are settled within two business days from trade date. Foreign currency fluctuations, however, may negatively affect our average exchange gain per transaction. The Company had open spot foreign exchange contracts for Mexico and Guatemala amounting to approximately $48.6 million and $42.5 million at December 31, 2021 and 2020, respectively.</w:t>
      </w:r>
    </w:p>
    <w:p>
      <w:pPr>
        <w:spacing w:after="0" w:line="183" w:lineRule="exact"/>
        <w:rPr>
          <w:sz w:val="20"/>
          <w:szCs w:val="20"/>
          <w:color w:val="auto"/>
        </w:rPr>
      </w:pPr>
    </w:p>
    <w:p>
      <w:pPr>
        <w:jc w:val="both"/>
        <w:ind w:right="20" w:firstLine="275"/>
        <w:spacing w:after="0" w:line="285" w:lineRule="auto"/>
        <w:rPr>
          <w:sz w:val="20"/>
          <w:szCs w:val="20"/>
          <w:color w:val="auto"/>
        </w:rPr>
      </w:pPr>
      <w:r>
        <w:rPr>
          <w:rFonts w:ascii="Arial" w:cs="Arial" w:eastAsia="Arial" w:hAnsi="Arial"/>
          <w:sz w:val="15"/>
          <w:szCs w:val="15"/>
          <w:color w:val="auto"/>
        </w:rPr>
        <w:t>In addition, included in wire transfers and money orders payable, net in our consolidated balance sheets as of December 31, 2021 and 2020, there are $17.8 million and $7.6 million, respectively, of wire transfers payable denominated in foreign currencies, primarily in Mexican pesos and Guatemalan quetzales.</w:t>
      </w:r>
    </w:p>
    <w:p>
      <w:pPr>
        <w:spacing w:after="0" w:line="164" w:lineRule="exact"/>
        <w:rPr>
          <w:sz w:val="20"/>
          <w:szCs w:val="20"/>
          <w:color w:val="auto"/>
        </w:rPr>
      </w:pPr>
    </w:p>
    <w:p>
      <w:pPr>
        <w:jc w:val="both"/>
        <w:ind w:right="20" w:firstLine="275"/>
        <w:spacing w:after="0" w:line="285" w:lineRule="auto"/>
        <w:rPr>
          <w:sz w:val="20"/>
          <w:szCs w:val="20"/>
          <w:color w:val="auto"/>
        </w:rPr>
      </w:pPr>
      <w:r>
        <w:rPr>
          <w:rFonts w:ascii="Arial" w:cs="Arial" w:eastAsia="Arial" w:hAnsi="Arial"/>
          <w:sz w:val="15"/>
          <w:szCs w:val="15"/>
          <w:color w:val="auto"/>
        </w:rPr>
        <w:t>Also, included in prepaid wires, net in our consolidated balance sheets as of December 31, 2021 and 2020, there are $39.7 million and $50.1 million, respectively, of prepaid wires denominated in foreign currencies, primarily in Mexican pesos and Guatemalan quetzales.</w:t>
      </w:r>
    </w:p>
    <w:p>
      <w:pPr>
        <w:spacing w:after="0" w:line="164" w:lineRule="exact"/>
        <w:rPr>
          <w:sz w:val="20"/>
          <w:szCs w:val="20"/>
          <w:color w:val="auto"/>
        </w:rPr>
      </w:pPr>
    </w:p>
    <w:p>
      <w:pPr>
        <w:jc w:val="both"/>
        <w:ind w:firstLine="275"/>
        <w:spacing w:after="0" w:line="290" w:lineRule="auto"/>
        <w:rPr>
          <w:sz w:val="20"/>
          <w:szCs w:val="20"/>
          <w:color w:val="auto"/>
        </w:rPr>
      </w:pPr>
      <w:r>
        <w:rPr>
          <w:rFonts w:ascii="Arial" w:cs="Arial" w:eastAsia="Arial" w:hAnsi="Arial"/>
          <w:sz w:val="14"/>
          <w:szCs w:val="14"/>
          <w:color w:val="auto"/>
        </w:rPr>
        <w:t>We are also exposed to changes in currency rates as a result of our investments in foreign operations and revenues generated in currencies other than the U.S. dollar. Revenues and profits generated by international operations will increase or decrease because of changes in foreign currency exchange rates. This foreign currency risk is related primarily to our operations in our foreign subsidiaries. Revenues from our foreign subsidiaries represent less than 1% of our consolidated revenues for the year ended December 31, 2021. Therefore, a 10% increase or decrease in these currency rates against the U.S. Dollar would result in a de minimis change to our overall operating results.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spot and average exchange rates for Mexico, Guatemala and Canada currencies to U.S. dollar are as follows: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43" w:name="page44"/>
    <w:bookmarkEnd w:id="43"/>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54" w:lineRule="exact"/>
        <w:rPr>
          <w:sz w:val="20"/>
          <w:szCs w:val="20"/>
          <w:color w:val="auto"/>
        </w:rPr>
      </w:pPr>
    </w:p>
    <w:tbl>
      <w:tblPr>
        <w:tblLayout w:type="fixed"/>
        <w:tblInd w:w="260" w:type="dxa"/>
        <w:tblCellMar>
          <w:top w:w="0" w:type="dxa"/>
          <w:left w:w="0" w:type="dxa"/>
          <w:bottom w:w="0" w:type="dxa"/>
          <w:right w:w="0" w:type="dxa"/>
        </w:tblCellMar>
      </w:tblPr>
      <w:tr>
        <w:trPr>
          <w:trHeight w:val="191"/>
        </w:trPr>
        <w:tc>
          <w:tcPr>
            <w:tcW w:w="2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20" w:type="dxa"/>
            <w:vAlign w:val="bottom"/>
            <w:gridSpan w:val="2"/>
          </w:tcPr>
          <w:p>
            <w:pPr>
              <w:jc w:val="right"/>
              <w:ind w:right="704"/>
              <w:spacing w:after="0"/>
              <w:rPr>
                <w:sz w:val="20"/>
                <w:szCs w:val="20"/>
                <w:color w:val="auto"/>
              </w:rPr>
            </w:pPr>
            <w:r>
              <w:rPr>
                <w:rFonts w:ascii="Arial" w:cs="Arial" w:eastAsia="Arial" w:hAnsi="Arial"/>
                <w:sz w:val="15"/>
                <w:szCs w:val="15"/>
                <w:b w:val="1"/>
                <w:bCs w:val="1"/>
                <w:color w:val="auto"/>
                <w:w w:val="95"/>
              </w:rPr>
              <w:t>2021</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20" w:type="dxa"/>
            <w:vAlign w:val="bottom"/>
            <w:gridSpan w:val="2"/>
          </w:tcPr>
          <w:p>
            <w:pPr>
              <w:jc w:val="right"/>
              <w:ind w:right="704"/>
              <w:spacing w:after="0"/>
              <w:rPr>
                <w:sz w:val="20"/>
                <w:szCs w:val="20"/>
                <w:color w:val="auto"/>
              </w:rPr>
            </w:pPr>
            <w:r>
              <w:rPr>
                <w:rFonts w:ascii="Arial" w:cs="Arial" w:eastAsia="Arial" w:hAnsi="Arial"/>
                <w:sz w:val="15"/>
                <w:szCs w:val="15"/>
                <w:b w:val="1"/>
                <w:bCs w:val="1"/>
                <w:color w:val="auto"/>
                <w:w w:val="95"/>
              </w:rPr>
              <w:t>2020</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gridSpan w:val="2"/>
          </w:tcPr>
          <w:p>
            <w:pPr>
              <w:jc w:val="right"/>
              <w:ind w:right="684"/>
              <w:spacing w:after="0"/>
              <w:rPr>
                <w:sz w:val="20"/>
                <w:szCs w:val="20"/>
                <w:color w:val="auto"/>
              </w:rPr>
            </w:pPr>
            <w:r>
              <w:rPr>
                <w:rFonts w:ascii="Arial" w:cs="Arial" w:eastAsia="Arial" w:hAnsi="Arial"/>
                <w:sz w:val="15"/>
                <w:szCs w:val="15"/>
                <w:b w:val="1"/>
                <w:bCs w:val="1"/>
                <w:color w:val="auto"/>
                <w:w w:val="95"/>
              </w:rPr>
              <w:t>2019</w:t>
            </w:r>
          </w:p>
        </w:tc>
      </w:tr>
      <w:tr>
        <w:trPr>
          <w:trHeight w:val="205"/>
        </w:trPr>
        <w:tc>
          <w:tcPr>
            <w:tcW w:w="25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84"/>
              <w:spacing w:after="0" w:line="202" w:lineRule="exact"/>
              <w:rPr>
                <w:sz w:val="20"/>
                <w:szCs w:val="20"/>
                <w:color w:val="auto"/>
              </w:rPr>
            </w:pPr>
            <w:r>
              <w:rPr>
                <w:rFonts w:ascii="Arial" w:cs="Arial" w:eastAsia="Arial" w:hAnsi="Arial"/>
                <w:sz w:val="15"/>
                <w:szCs w:val="15"/>
                <w:b w:val="1"/>
                <w:bCs w:val="1"/>
                <w:color w:val="auto"/>
              </w:rPr>
              <w:t>Spot</w:t>
            </w:r>
            <w:r>
              <w:rPr>
                <w:rFonts w:ascii="Arial" w:cs="Arial" w:eastAsia="Arial" w:hAnsi="Arial"/>
                <w:sz w:val="19"/>
                <w:szCs w:val="19"/>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5"/>
                <w:szCs w:val="15"/>
                <w:b w:val="1"/>
                <w:bCs w:val="1"/>
                <w:color w:val="auto"/>
              </w:rPr>
              <w:t>Average</w:t>
            </w:r>
            <w:r>
              <w:rPr>
                <w:rFonts w:ascii="Arial" w:cs="Arial" w:eastAsia="Arial" w:hAnsi="Arial"/>
                <w:sz w:val="19"/>
                <w:szCs w:val="19"/>
                <w:b w:val="1"/>
                <w:bCs w:val="1"/>
                <w:color w:val="auto"/>
                <w:vertAlign w:val="superscript"/>
              </w:rPr>
              <w:t>(2)</w:t>
            </w:r>
          </w:p>
        </w:tc>
        <w:tc>
          <w:tcPr>
            <w:tcW w:w="2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84"/>
              <w:spacing w:after="0" w:line="202" w:lineRule="exact"/>
              <w:rPr>
                <w:sz w:val="20"/>
                <w:szCs w:val="20"/>
                <w:color w:val="auto"/>
              </w:rPr>
            </w:pPr>
            <w:r>
              <w:rPr>
                <w:rFonts w:ascii="Arial" w:cs="Arial" w:eastAsia="Arial" w:hAnsi="Arial"/>
                <w:sz w:val="15"/>
                <w:szCs w:val="15"/>
                <w:b w:val="1"/>
                <w:bCs w:val="1"/>
                <w:color w:val="auto"/>
              </w:rPr>
              <w:t>Spot</w:t>
            </w:r>
            <w:r>
              <w:rPr>
                <w:rFonts w:ascii="Arial" w:cs="Arial" w:eastAsia="Arial" w:hAnsi="Arial"/>
                <w:sz w:val="19"/>
                <w:szCs w:val="19"/>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5"/>
                <w:szCs w:val="15"/>
                <w:b w:val="1"/>
                <w:bCs w:val="1"/>
                <w:color w:val="auto"/>
              </w:rPr>
              <w:t>Average</w:t>
            </w:r>
            <w:r>
              <w:rPr>
                <w:rFonts w:ascii="Arial" w:cs="Arial" w:eastAsia="Arial" w:hAnsi="Arial"/>
                <w:sz w:val="19"/>
                <w:szCs w:val="19"/>
                <w:b w:val="1"/>
                <w:bCs w:val="1"/>
                <w:color w:val="auto"/>
                <w:vertAlign w:val="superscript"/>
              </w:rPr>
              <w:t>(2)</w:t>
            </w:r>
          </w:p>
        </w:tc>
        <w:tc>
          <w:tcPr>
            <w:tcW w:w="2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84"/>
              <w:spacing w:after="0" w:line="202" w:lineRule="exact"/>
              <w:rPr>
                <w:sz w:val="20"/>
                <w:szCs w:val="20"/>
                <w:color w:val="auto"/>
              </w:rPr>
            </w:pPr>
            <w:r>
              <w:rPr>
                <w:rFonts w:ascii="Arial" w:cs="Arial" w:eastAsia="Arial" w:hAnsi="Arial"/>
                <w:sz w:val="15"/>
                <w:szCs w:val="15"/>
                <w:b w:val="1"/>
                <w:bCs w:val="1"/>
                <w:color w:val="auto"/>
              </w:rPr>
              <w:t>Spot</w:t>
            </w:r>
            <w:r>
              <w:rPr>
                <w:rFonts w:ascii="Arial" w:cs="Arial" w:eastAsia="Arial" w:hAnsi="Arial"/>
                <w:sz w:val="19"/>
                <w:szCs w:val="19"/>
                <w:b w:val="1"/>
                <w:bCs w:val="1"/>
                <w:color w:val="auto"/>
                <w:vertAlign w:val="superscript"/>
              </w:rPr>
              <w:t>(1)</w:t>
            </w: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5"/>
                <w:szCs w:val="15"/>
                <w:b w:val="1"/>
                <w:bCs w:val="1"/>
                <w:color w:val="auto"/>
              </w:rPr>
              <w:t>Average</w:t>
            </w:r>
            <w:r>
              <w:rPr>
                <w:rFonts w:ascii="Arial" w:cs="Arial" w:eastAsia="Arial" w:hAnsi="Arial"/>
                <w:sz w:val="19"/>
                <w:szCs w:val="19"/>
                <w:b w:val="1"/>
                <w:bCs w:val="1"/>
                <w:color w:val="auto"/>
                <w:vertAlign w:val="superscript"/>
              </w:rPr>
              <w:t>(2)</w:t>
            </w:r>
          </w:p>
        </w:tc>
      </w:tr>
      <w:tr>
        <w:trPr>
          <w:trHeight w:val="195"/>
        </w:trPr>
        <w:tc>
          <w:tcPr>
            <w:tcW w:w="25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U.S. dollar/Mexico Peso</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20.27</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21.47</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19.23</w:t>
            </w:r>
          </w:p>
        </w:tc>
      </w:tr>
      <w:tr>
        <w:trPr>
          <w:trHeight w:val="195"/>
        </w:trPr>
        <w:tc>
          <w:tcPr>
            <w:tcW w:w="2580" w:type="dxa"/>
            <w:vAlign w:val="bottom"/>
          </w:tcPr>
          <w:p>
            <w:pPr>
              <w:ind w:left="300"/>
              <w:spacing w:after="0"/>
              <w:rPr>
                <w:sz w:val="20"/>
                <w:szCs w:val="20"/>
                <w:color w:val="auto"/>
              </w:rPr>
            </w:pPr>
            <w:r>
              <w:rPr>
                <w:rFonts w:ascii="Arial" w:cs="Arial" w:eastAsia="Arial" w:hAnsi="Arial"/>
                <w:sz w:val="15"/>
                <w:szCs w:val="15"/>
                <w:color w:val="auto"/>
              </w:rPr>
              <w:t>U.S. dollar/Guatemala Quetzal</w:t>
            </w:r>
          </w:p>
        </w:tc>
        <w:tc>
          <w:tcPr>
            <w:tcW w:w="1000" w:type="dxa"/>
            <w:vAlign w:val="bottom"/>
          </w:tcPr>
          <w:p>
            <w:pPr>
              <w:jc w:val="right"/>
              <w:spacing w:after="0"/>
              <w:rPr>
                <w:sz w:val="20"/>
                <w:szCs w:val="20"/>
                <w:color w:val="auto"/>
              </w:rPr>
            </w:pPr>
            <w:r>
              <w:rPr>
                <w:rFonts w:ascii="Arial" w:cs="Arial" w:eastAsia="Arial" w:hAnsi="Arial"/>
                <w:sz w:val="15"/>
                <w:szCs w:val="15"/>
                <w:color w:val="auto"/>
              </w:rPr>
              <w:t>7.71</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7.73</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7.79</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7.71</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7.69</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7.69</w:t>
            </w:r>
          </w:p>
        </w:tc>
      </w:tr>
      <w:tr>
        <w:trPr>
          <w:trHeight w:val="195"/>
        </w:trPr>
        <w:tc>
          <w:tcPr>
            <w:tcW w:w="25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U.S. dollar/Canadian Dollar</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1.25</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1.34</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1.33</w:t>
            </w:r>
          </w:p>
        </w:tc>
      </w:tr>
    </w:tbl>
    <w:p>
      <w:pPr>
        <w:spacing w:after="0" w:line="276" w:lineRule="exact"/>
        <w:rPr>
          <w:sz w:val="20"/>
          <w:szCs w:val="20"/>
          <w:color w:val="auto"/>
        </w:rPr>
      </w:pPr>
    </w:p>
    <w:p>
      <w:pPr>
        <w:ind w:left="540" w:hanging="273"/>
        <w:spacing w:after="0"/>
        <w:tabs>
          <w:tab w:leader="none" w:pos="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Spot exchange rates are as of December 31, 2021, 2020 and 2019.</w:t>
      </w:r>
    </w:p>
    <w:p>
      <w:pPr>
        <w:spacing w:after="0" w:line="21" w:lineRule="exact"/>
        <w:rPr>
          <w:rFonts w:ascii="Arial" w:cs="Arial" w:eastAsia="Arial" w:hAnsi="Arial"/>
          <w:sz w:val="15"/>
          <w:szCs w:val="15"/>
          <w:color w:val="auto"/>
        </w:rPr>
      </w:pPr>
    </w:p>
    <w:p>
      <w:pPr>
        <w:ind w:left="540" w:hanging="273"/>
        <w:spacing w:after="0"/>
        <w:tabs>
          <w:tab w:leader="none" w:pos="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Average exchange rates are for the years ended December 31, 2021, 2020 and 2019.</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Long-term sustained appreciation of the Mexican peso or Guatemalan quetzal as compared to the U.S. dollar could affect our margins.</w:t>
      </w:r>
    </w:p>
    <w:p>
      <w:pPr>
        <w:spacing w:after="0" w:line="3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Rate Risk</w:t>
      </w:r>
    </w:p>
    <w:p>
      <w:pPr>
        <w:spacing w:after="0" w:line="195" w:lineRule="exact"/>
        <w:rPr>
          <w:sz w:val="20"/>
          <w:szCs w:val="20"/>
          <w:color w:val="auto"/>
        </w:rPr>
      </w:pPr>
    </w:p>
    <w:p>
      <w:pPr>
        <w:jc w:val="both"/>
        <w:ind w:firstLine="275"/>
        <w:spacing w:after="0" w:line="261" w:lineRule="auto"/>
        <w:rPr>
          <w:sz w:val="20"/>
          <w:szCs w:val="20"/>
          <w:color w:val="auto"/>
        </w:rPr>
      </w:pPr>
      <w:r>
        <w:rPr>
          <w:rFonts w:ascii="Arial" w:cs="Arial" w:eastAsia="Arial" w:hAnsi="Arial"/>
          <w:sz w:val="15"/>
          <w:szCs w:val="15"/>
          <w:color w:val="auto"/>
        </w:rPr>
        <w:t>Interest on the term loan facility and revolving credit facility under the A&amp;R Credit Agreement is determined by reference to either LIBOR (subject to replacement) or a “base rate”, in each case plus an applicable margin ranging between 2.50% and 3.00% per annum for LIBOR loans and between 1.50% and 2.00% per annum for base rate loans depending on the level of our consolidated leverage ratio. The Company is also required to pay a fee on the unused portion of the revolving credit facility equal to 0.35% per annum. Because interest expense is subject to fluctuation, if interest rates increase, our debt service obligations on such variable rate indebtedness would increase even though the amount borrowed remained the same. Accordingly, an increase in interest rates would adversely affect our profitability. The A&amp;R Credit Agreement contains provisions for the replacement of the benchmark for interest rates in light of the cessation of the publication of LIBOR rates.</w:t>
      </w:r>
    </w:p>
    <w:p>
      <w:pPr>
        <w:spacing w:after="0" w:line="182"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5"/>
          <w:szCs w:val="15"/>
          <w:color w:val="auto"/>
        </w:rPr>
        <w:t>As of December 31, 2021, we had $85.3 million in outstanding borrowings under the term loan. A hypothetical 1% increase or decrease in the interest rate on our indebtedness as of December 31, 2021 would have increased or decreased cash interest expense on our term loan by approximately $0.9 million per annum.</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Credit Risk</w:t>
      </w:r>
    </w:p>
    <w:p>
      <w:pPr>
        <w:spacing w:after="0" w:line="195" w:lineRule="exact"/>
        <w:rPr>
          <w:sz w:val="20"/>
          <w:szCs w:val="20"/>
          <w:color w:val="auto"/>
        </w:rPr>
      </w:pPr>
    </w:p>
    <w:p>
      <w:pPr>
        <w:jc w:val="both"/>
        <w:ind w:firstLine="275"/>
        <w:spacing w:after="0" w:line="262" w:lineRule="auto"/>
        <w:rPr>
          <w:sz w:val="20"/>
          <w:szCs w:val="20"/>
          <w:color w:val="auto"/>
        </w:rPr>
      </w:pPr>
      <w:r>
        <w:rPr>
          <w:rFonts w:ascii="Arial" w:cs="Arial" w:eastAsia="Arial" w:hAnsi="Arial"/>
          <w:sz w:val="15"/>
          <w:szCs w:val="15"/>
          <w:color w:val="auto"/>
        </w:rPr>
        <w:t>We maintain certain cash balances in various U.S. banks, which at times, may exceed federally insured limits. We have not incurred any losses on these accounts. In addition, we maintain various bank accounts in Mexico, Guatemala and Canada, which are not insured. During the year ended December 31, 2021, we did not incur any losses on these uninsured accounts with the exception of a $2.0 million provision we recorded as a result of the closure of a financial institution in Mexico during the third quarter of 2021 (See Note 5 in Item 8). To manage our exposure to credit risk with respect to cash balances and other credit risk exposure resulting from our relationships with banks and financial institutions, we regularly review cash concentrations, and we attempt to diversify our cash balances among global financial institutions.</w:t>
      </w:r>
    </w:p>
    <w:p>
      <w:pPr>
        <w:spacing w:after="0" w:line="183" w:lineRule="exact"/>
        <w:rPr>
          <w:sz w:val="20"/>
          <w:szCs w:val="20"/>
          <w:color w:val="auto"/>
        </w:rPr>
      </w:pPr>
    </w:p>
    <w:p>
      <w:pPr>
        <w:jc w:val="both"/>
        <w:ind w:firstLine="275"/>
        <w:spacing w:after="0" w:line="262" w:lineRule="auto"/>
        <w:rPr>
          <w:sz w:val="20"/>
          <w:szCs w:val="20"/>
          <w:color w:val="auto"/>
        </w:rPr>
      </w:pPr>
      <w:r>
        <w:rPr>
          <w:rFonts w:ascii="Arial" w:cs="Arial" w:eastAsia="Arial" w:hAnsi="Arial"/>
          <w:sz w:val="15"/>
          <w:szCs w:val="15"/>
          <w:color w:val="auto"/>
        </w:rPr>
        <w:t>We are also exposed to credit risk related to receivable balances from sending agents. We perform a credit review before each agent signing and conduct ongoing analyses of sending agents and certain other parties we transact with directly. As of December 31, 2021, we also had $1.4 million outstanding of agent advances receivable from sending agents. Most of the agent advances receivable are collateralized by personal guarantees from the sending agents and by assets from their businesses. Due to the COVID-19 pandemic, it is possible we could be adversely affected by credit losses, such as those related to our outstanding agent advances receivable from sending agents. At the date of this report, however, we are not aware of any significant exposure and are continuing to monitor our credit risk.</w:t>
      </w:r>
    </w:p>
    <w:p>
      <w:pPr>
        <w:spacing w:after="0" w:line="183" w:lineRule="exact"/>
        <w:rPr>
          <w:sz w:val="20"/>
          <w:szCs w:val="20"/>
          <w:color w:val="auto"/>
        </w:rPr>
      </w:pPr>
    </w:p>
    <w:p>
      <w:pPr>
        <w:jc w:val="both"/>
        <w:ind w:firstLine="275"/>
        <w:spacing w:after="0" w:line="296" w:lineRule="auto"/>
        <w:rPr>
          <w:sz w:val="20"/>
          <w:szCs w:val="20"/>
          <w:color w:val="auto"/>
        </w:rPr>
      </w:pPr>
      <w:r>
        <w:rPr>
          <w:rFonts w:ascii="Arial" w:cs="Arial" w:eastAsia="Arial" w:hAnsi="Arial"/>
          <w:sz w:val="14"/>
          <w:szCs w:val="14"/>
          <w:color w:val="auto"/>
        </w:rPr>
        <w:t>Our provision for bad debt was approximately $1.5 million for the year ended December 31, 2021 (0.3% of total revenues), $1.8 million for the year ended December 31, 2020 (0.5% of total revenues) and $1.6 million for the year ended December 31, 2019 (0.5% of total revenues). The decrease in our provision for bad debt in the year ended December 31, 2021 is due to higher write-offs of accounts receivable in 2020 compared to 2021 as a result of the deterioration of the creditworthiness of a small number of sending agents.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72"/>
        </w:trPr>
        <w:tc>
          <w:tcPr>
            <w:tcW w:w="340" w:type="dxa"/>
            <w:vAlign w:val="bottom"/>
            <w:tcBorders>
              <w:bottom w:val="single" w:sz="8" w:color="0000FF"/>
            </w:tcBorders>
          </w:tcPr>
          <w:p>
            <w:pPr>
              <w:spacing w:after="0"/>
              <w:rPr>
                <w:rFonts w:ascii="Arial" w:cs="Arial" w:eastAsia="Arial" w:hAnsi="Arial"/>
                <w:sz w:val="15"/>
                <w:szCs w:val="15"/>
                <w:i w:val="1"/>
                <w:iCs w:val="1"/>
                <w:color w:val="0000FF"/>
                <w:w w:val="87"/>
              </w:rPr>
            </w:pPr>
            <w:hyperlink w:anchor="page1">
              <w:r>
                <w:rPr>
                  <w:rFonts w:ascii="Arial" w:cs="Arial" w:eastAsia="Arial" w:hAnsi="Arial"/>
                  <w:sz w:val="15"/>
                  <w:szCs w:val="15"/>
                  <w:i w:val="1"/>
                  <w:iCs w:val="1"/>
                  <w:color w:val="0000FF"/>
                  <w:w w:val="87"/>
                </w:rPr>
                <w:t>Index</w:t>
              </w:r>
            </w:hyperlink>
          </w:p>
        </w:tc>
        <w:tc>
          <w:tcPr>
            <w:tcW w:w="8860" w:type="dxa"/>
            <w:vAlign w:val="bottom"/>
            <w:gridSpan w:val="2"/>
          </w:tcPr>
          <w:p>
            <w:pPr>
              <w:spacing w:after="0"/>
              <w:rPr>
                <w:sz w:val="14"/>
                <w:szCs w:val="14"/>
                <w:color w:val="auto"/>
              </w:rPr>
            </w:pPr>
          </w:p>
        </w:tc>
        <w:tc>
          <w:tcPr>
            <w:tcW w:w="1160" w:type="dxa"/>
            <w:vAlign w:val="bottom"/>
          </w:tcPr>
          <w:p>
            <w:pPr>
              <w:spacing w:after="0"/>
              <w:rPr>
                <w:sz w:val="14"/>
                <w:szCs w:val="14"/>
                <w:color w:val="auto"/>
              </w:rPr>
            </w:pPr>
          </w:p>
        </w:tc>
      </w:tr>
      <w:tr>
        <w:trPr>
          <w:trHeight w:val="611"/>
        </w:trPr>
        <w:tc>
          <w:tcPr>
            <w:tcW w:w="9200" w:type="dxa"/>
            <w:vAlign w:val="bottom"/>
            <w:gridSpan w:val="3"/>
          </w:tcPr>
          <w:p>
            <w:pPr>
              <w:spacing w:after="0"/>
              <w:rPr>
                <w:sz w:val="20"/>
                <w:szCs w:val="20"/>
                <w:color w:val="auto"/>
              </w:rPr>
            </w:pPr>
            <w:r>
              <w:rPr>
                <w:rFonts w:ascii="Arial" w:cs="Arial" w:eastAsia="Arial" w:hAnsi="Arial"/>
                <w:sz w:val="15"/>
                <w:szCs w:val="15"/>
                <w:b w:val="1"/>
                <w:bCs w:val="1"/>
                <w:color w:val="auto"/>
              </w:rPr>
              <w:t>ITEM 8.  FINANCIAL STATEMENTS AND SUPPLEMENTARY DATA</w:t>
            </w:r>
          </w:p>
        </w:tc>
        <w:tc>
          <w:tcPr>
            <w:tcW w:w="1160" w:type="dxa"/>
            <w:vAlign w:val="bottom"/>
          </w:tcPr>
          <w:p>
            <w:pPr>
              <w:spacing w:after="0"/>
              <w:rPr>
                <w:sz w:val="24"/>
                <w:szCs w:val="24"/>
                <w:color w:val="auto"/>
              </w:rPr>
            </w:pPr>
          </w:p>
        </w:tc>
      </w:tr>
      <w:tr>
        <w:trPr>
          <w:trHeight w:val="367"/>
        </w:trPr>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300" w:type="dxa"/>
            <w:vAlign w:val="bottom"/>
          </w:tcPr>
          <w:p>
            <w:pPr>
              <w:ind w:left="3200"/>
              <w:spacing w:after="0"/>
              <w:rPr>
                <w:sz w:val="20"/>
                <w:szCs w:val="20"/>
                <w:color w:val="auto"/>
              </w:rPr>
            </w:pPr>
            <w:r>
              <w:rPr>
                <w:rFonts w:ascii="Arial" w:cs="Arial" w:eastAsia="Arial" w:hAnsi="Arial"/>
                <w:sz w:val="15"/>
                <w:szCs w:val="15"/>
                <w:b w:val="1"/>
                <w:bCs w:val="1"/>
                <w:color w:val="auto"/>
              </w:rPr>
              <w:t>INTERNATIONAL MONEY EXPRESS, INC.</w:t>
            </w:r>
          </w:p>
        </w:tc>
        <w:tc>
          <w:tcPr>
            <w:tcW w:w="1160" w:type="dxa"/>
            <w:vAlign w:val="bottom"/>
          </w:tcPr>
          <w:p>
            <w:pPr>
              <w:spacing w:after="0"/>
              <w:rPr>
                <w:sz w:val="24"/>
                <w:szCs w:val="24"/>
                <w:color w:val="auto"/>
              </w:rPr>
            </w:pPr>
          </w:p>
        </w:tc>
      </w:tr>
      <w:tr>
        <w:trPr>
          <w:trHeight w:val="367"/>
        </w:trPr>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300" w:type="dxa"/>
            <w:vAlign w:val="bottom"/>
          </w:tcPr>
          <w:p>
            <w:pPr>
              <w:ind w:left="2740"/>
              <w:spacing w:after="0"/>
              <w:rPr>
                <w:sz w:val="20"/>
                <w:szCs w:val="20"/>
                <w:color w:val="auto"/>
              </w:rPr>
            </w:pPr>
            <w:r>
              <w:rPr>
                <w:rFonts w:ascii="Arial" w:cs="Arial" w:eastAsia="Arial" w:hAnsi="Arial"/>
                <w:sz w:val="15"/>
                <w:szCs w:val="15"/>
                <w:b w:val="1"/>
                <w:bCs w:val="1"/>
                <w:color w:val="auto"/>
              </w:rPr>
              <w:t>INDEX TO CONSOLIDATED FINANCIAL STATEMENTS</w:t>
            </w:r>
          </w:p>
        </w:tc>
        <w:tc>
          <w:tcPr>
            <w:tcW w:w="1160" w:type="dxa"/>
            <w:vAlign w:val="bottom"/>
          </w:tcPr>
          <w:p>
            <w:pPr>
              <w:spacing w:after="0"/>
              <w:rPr>
                <w:sz w:val="24"/>
                <w:szCs w:val="24"/>
                <w:color w:val="auto"/>
              </w:rPr>
            </w:pPr>
          </w:p>
        </w:tc>
      </w:tr>
      <w:tr>
        <w:trPr>
          <w:trHeight w:val="23"/>
        </w:trPr>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5"/>
        </w:trPr>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300" w:type="dxa"/>
            <w:vAlign w:val="bottom"/>
            <w:shd w:val="clear" w:color="auto" w:fill="CCEEFF"/>
          </w:tcPr>
          <w:p>
            <w:pPr>
              <w:ind w:left="20"/>
              <w:spacing w:after="0"/>
              <w:rPr>
                <w:rFonts w:ascii="Arial" w:cs="Arial" w:eastAsia="Arial" w:hAnsi="Arial"/>
                <w:sz w:val="15"/>
                <w:szCs w:val="15"/>
                <w:color w:val="0000FF"/>
              </w:rPr>
            </w:pPr>
            <w:hyperlink w:anchor="page45">
              <w:r>
                <w:rPr>
                  <w:rFonts w:ascii="Arial" w:cs="Arial" w:eastAsia="Arial" w:hAnsi="Arial"/>
                  <w:sz w:val="15"/>
                  <w:szCs w:val="15"/>
                  <w:color w:val="0000FF"/>
                </w:rPr>
                <w:t xml:space="preserve">Report of Independent Registered Public Accounting Firm </w:t>
              </w:r>
            </w:hyperlink>
            <w:r>
              <w:rPr>
                <w:rFonts w:ascii="Arial" w:cs="Arial" w:eastAsia="Arial" w:hAnsi="Arial"/>
                <w:sz w:val="15"/>
                <w:szCs w:val="15"/>
                <w:color w:val="000000"/>
              </w:rPr>
              <w:t>(BDO</w:t>
            </w:r>
            <w:r>
              <w:rPr>
                <w:rFonts w:ascii="Arial" w:cs="Arial" w:eastAsia="Arial" w:hAnsi="Arial"/>
                <w:sz w:val="15"/>
                <w:szCs w:val="15"/>
                <w:color w:val="0000FF"/>
              </w:rPr>
              <w:t xml:space="preserve"> </w:t>
            </w:r>
            <w:r>
              <w:rPr>
                <w:rFonts w:ascii="Arial" w:cs="Arial" w:eastAsia="Arial" w:hAnsi="Arial"/>
                <w:sz w:val="15"/>
                <w:szCs w:val="15"/>
                <w:color w:val="000000"/>
              </w:rPr>
              <w:t>USA, LLP, Miami, FL, Auditor Firm ID: 243)</w:t>
            </w:r>
          </w:p>
        </w:tc>
        <w:tc>
          <w:tcPr>
            <w:tcW w:w="1160" w:type="dxa"/>
            <w:vAlign w:val="bottom"/>
            <w:shd w:val="clear" w:color="auto" w:fill="CCEEFF"/>
          </w:tcPr>
          <w:p>
            <w:pPr>
              <w:ind w:left="920"/>
              <w:spacing w:after="0"/>
              <w:rPr>
                <w:rFonts w:ascii="Arial" w:cs="Arial" w:eastAsia="Arial" w:hAnsi="Arial"/>
                <w:sz w:val="15"/>
                <w:szCs w:val="15"/>
                <w:color w:val="0000FF"/>
                <w:w w:val="97"/>
              </w:rPr>
            </w:pPr>
            <w:hyperlink w:anchor="page45">
              <w:r>
                <w:rPr>
                  <w:rFonts w:ascii="Arial" w:cs="Arial" w:eastAsia="Arial" w:hAnsi="Arial"/>
                  <w:sz w:val="15"/>
                  <w:szCs w:val="15"/>
                  <w:color w:val="0000FF"/>
                  <w:w w:val="97"/>
                </w:rPr>
                <w:t>F-1</w:t>
              </w:r>
            </w:hyperlink>
          </w:p>
        </w:tc>
      </w:tr>
      <w:tr>
        <w:trPr>
          <w:trHeight w:val="195"/>
        </w:trPr>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300" w:type="dxa"/>
            <w:vAlign w:val="bottom"/>
          </w:tcPr>
          <w:p>
            <w:pPr>
              <w:ind w:left="20"/>
              <w:spacing w:after="0"/>
              <w:rPr>
                <w:rFonts w:ascii="Arial" w:cs="Arial" w:eastAsia="Arial" w:hAnsi="Arial"/>
                <w:sz w:val="15"/>
                <w:szCs w:val="15"/>
                <w:color w:val="0000FF"/>
              </w:rPr>
            </w:pPr>
            <w:hyperlink w:anchor="page46">
              <w:r>
                <w:rPr>
                  <w:rFonts w:ascii="Arial" w:cs="Arial" w:eastAsia="Arial" w:hAnsi="Arial"/>
                  <w:sz w:val="15"/>
                  <w:szCs w:val="15"/>
                  <w:color w:val="0000FF"/>
                </w:rPr>
                <w:t>Consolidated Balance Sheets as of December 31, 2021 and 2020</w:t>
              </w:r>
            </w:hyperlink>
          </w:p>
        </w:tc>
        <w:tc>
          <w:tcPr>
            <w:tcW w:w="1160" w:type="dxa"/>
            <w:vAlign w:val="bottom"/>
          </w:tcPr>
          <w:p>
            <w:pPr>
              <w:ind w:left="920"/>
              <w:spacing w:after="0"/>
              <w:rPr>
                <w:rFonts w:ascii="Arial" w:cs="Arial" w:eastAsia="Arial" w:hAnsi="Arial"/>
                <w:sz w:val="15"/>
                <w:szCs w:val="15"/>
                <w:color w:val="0000FF"/>
                <w:w w:val="97"/>
              </w:rPr>
            </w:pPr>
            <w:hyperlink w:anchor="page46">
              <w:r>
                <w:rPr>
                  <w:rFonts w:ascii="Arial" w:cs="Arial" w:eastAsia="Arial" w:hAnsi="Arial"/>
                  <w:sz w:val="15"/>
                  <w:szCs w:val="15"/>
                  <w:color w:val="0000FF"/>
                  <w:w w:val="97"/>
                </w:rPr>
                <w:t>F-2</w:t>
              </w:r>
            </w:hyperlink>
          </w:p>
        </w:tc>
      </w:tr>
      <w:tr>
        <w:trPr>
          <w:trHeight w:val="195"/>
        </w:trPr>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300" w:type="dxa"/>
            <w:vAlign w:val="bottom"/>
            <w:shd w:val="clear" w:color="auto" w:fill="CCEEFF"/>
          </w:tcPr>
          <w:p>
            <w:pPr>
              <w:ind w:left="20"/>
              <w:spacing w:after="0"/>
              <w:rPr>
                <w:rFonts w:ascii="Arial" w:cs="Arial" w:eastAsia="Arial" w:hAnsi="Arial"/>
                <w:sz w:val="15"/>
                <w:szCs w:val="15"/>
                <w:color w:val="0000FF"/>
              </w:rPr>
            </w:pPr>
            <w:hyperlink w:anchor="page47">
              <w:r>
                <w:rPr>
                  <w:rFonts w:ascii="Arial" w:cs="Arial" w:eastAsia="Arial" w:hAnsi="Arial"/>
                  <w:sz w:val="15"/>
                  <w:szCs w:val="15"/>
                  <w:color w:val="0000FF"/>
                </w:rPr>
                <w:t>Consolidated Statements of Income and Comprehensive Income for the years ended December 31, 2021, 2020 and 2019</w:t>
              </w:r>
            </w:hyperlink>
          </w:p>
        </w:tc>
        <w:tc>
          <w:tcPr>
            <w:tcW w:w="1160" w:type="dxa"/>
            <w:vAlign w:val="bottom"/>
            <w:shd w:val="clear" w:color="auto" w:fill="CCEEFF"/>
          </w:tcPr>
          <w:p>
            <w:pPr>
              <w:ind w:left="920"/>
              <w:spacing w:after="0"/>
              <w:rPr>
                <w:rFonts w:ascii="Arial" w:cs="Arial" w:eastAsia="Arial" w:hAnsi="Arial"/>
                <w:sz w:val="15"/>
                <w:szCs w:val="15"/>
                <w:color w:val="0000FF"/>
                <w:w w:val="97"/>
              </w:rPr>
            </w:pPr>
            <w:hyperlink w:anchor="page47">
              <w:r>
                <w:rPr>
                  <w:rFonts w:ascii="Arial" w:cs="Arial" w:eastAsia="Arial" w:hAnsi="Arial"/>
                  <w:sz w:val="15"/>
                  <w:szCs w:val="15"/>
                  <w:color w:val="0000FF"/>
                  <w:w w:val="97"/>
                </w:rPr>
                <w:t>F-3</w:t>
              </w:r>
            </w:hyperlink>
          </w:p>
        </w:tc>
      </w:tr>
      <w:tr>
        <w:trPr>
          <w:trHeight w:val="195"/>
        </w:trPr>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300" w:type="dxa"/>
            <w:vAlign w:val="bottom"/>
          </w:tcPr>
          <w:p>
            <w:pPr>
              <w:ind w:left="20"/>
              <w:spacing w:after="0"/>
              <w:rPr>
                <w:rFonts w:ascii="Arial" w:cs="Arial" w:eastAsia="Arial" w:hAnsi="Arial"/>
                <w:sz w:val="15"/>
                <w:szCs w:val="15"/>
                <w:color w:val="0000FF"/>
              </w:rPr>
            </w:pPr>
            <w:hyperlink w:anchor="page48">
              <w:r>
                <w:rPr>
                  <w:rFonts w:ascii="Arial" w:cs="Arial" w:eastAsia="Arial" w:hAnsi="Arial"/>
                  <w:sz w:val="15"/>
                  <w:szCs w:val="15"/>
                  <w:color w:val="0000FF"/>
                </w:rPr>
                <w:t>Consolidated Statements of Changes in Stockholders’ Equity for the years ended December 31, 2021, 2020 and 2019</w:t>
              </w:r>
            </w:hyperlink>
          </w:p>
        </w:tc>
        <w:tc>
          <w:tcPr>
            <w:tcW w:w="1160" w:type="dxa"/>
            <w:vAlign w:val="bottom"/>
          </w:tcPr>
          <w:p>
            <w:pPr>
              <w:ind w:left="920"/>
              <w:spacing w:after="0"/>
              <w:rPr>
                <w:rFonts w:ascii="Arial" w:cs="Arial" w:eastAsia="Arial" w:hAnsi="Arial"/>
                <w:sz w:val="15"/>
                <w:szCs w:val="15"/>
                <w:color w:val="0000FF"/>
                <w:w w:val="97"/>
              </w:rPr>
            </w:pPr>
            <w:hyperlink w:anchor="page48">
              <w:r>
                <w:rPr>
                  <w:rFonts w:ascii="Arial" w:cs="Arial" w:eastAsia="Arial" w:hAnsi="Arial"/>
                  <w:sz w:val="15"/>
                  <w:szCs w:val="15"/>
                  <w:color w:val="0000FF"/>
                  <w:w w:val="97"/>
                </w:rPr>
                <w:t>F-4</w:t>
              </w:r>
            </w:hyperlink>
          </w:p>
        </w:tc>
      </w:tr>
      <w:tr>
        <w:trPr>
          <w:trHeight w:val="195"/>
        </w:trPr>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300" w:type="dxa"/>
            <w:vAlign w:val="bottom"/>
            <w:shd w:val="clear" w:color="auto" w:fill="CCEEFF"/>
          </w:tcPr>
          <w:p>
            <w:pPr>
              <w:ind w:left="20"/>
              <w:spacing w:after="0"/>
              <w:rPr>
                <w:rFonts w:ascii="Arial" w:cs="Arial" w:eastAsia="Arial" w:hAnsi="Arial"/>
                <w:sz w:val="15"/>
                <w:szCs w:val="15"/>
                <w:color w:val="0000FF"/>
              </w:rPr>
            </w:pPr>
            <w:hyperlink w:anchor="page49">
              <w:r>
                <w:rPr>
                  <w:rFonts w:ascii="Arial" w:cs="Arial" w:eastAsia="Arial" w:hAnsi="Arial"/>
                  <w:sz w:val="15"/>
                  <w:szCs w:val="15"/>
                  <w:color w:val="0000FF"/>
                </w:rPr>
                <w:t>Consolidated Statements of Cash Flows for the years ended December 31, 2021, 2020 and 2019</w:t>
              </w:r>
            </w:hyperlink>
          </w:p>
        </w:tc>
        <w:tc>
          <w:tcPr>
            <w:tcW w:w="1160" w:type="dxa"/>
            <w:vAlign w:val="bottom"/>
            <w:shd w:val="clear" w:color="auto" w:fill="CCEEFF"/>
          </w:tcPr>
          <w:p>
            <w:pPr>
              <w:ind w:left="920"/>
              <w:spacing w:after="0"/>
              <w:rPr>
                <w:rFonts w:ascii="Arial" w:cs="Arial" w:eastAsia="Arial" w:hAnsi="Arial"/>
                <w:sz w:val="15"/>
                <w:szCs w:val="15"/>
                <w:color w:val="0000FF"/>
                <w:w w:val="97"/>
              </w:rPr>
            </w:pPr>
            <w:hyperlink w:anchor="page49">
              <w:r>
                <w:rPr>
                  <w:rFonts w:ascii="Arial" w:cs="Arial" w:eastAsia="Arial" w:hAnsi="Arial"/>
                  <w:sz w:val="15"/>
                  <w:szCs w:val="15"/>
                  <w:color w:val="0000FF"/>
                  <w:w w:val="97"/>
                </w:rPr>
                <w:t>F-5</w:t>
              </w:r>
            </w:hyperlink>
          </w:p>
        </w:tc>
      </w:tr>
      <w:tr>
        <w:trPr>
          <w:trHeight w:val="195"/>
        </w:trPr>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300" w:type="dxa"/>
            <w:vAlign w:val="bottom"/>
          </w:tcPr>
          <w:p>
            <w:pPr>
              <w:ind w:left="20"/>
              <w:spacing w:after="0"/>
              <w:rPr>
                <w:rFonts w:ascii="Arial" w:cs="Arial" w:eastAsia="Arial" w:hAnsi="Arial"/>
                <w:sz w:val="15"/>
                <w:szCs w:val="15"/>
                <w:color w:val="0000FF"/>
              </w:rPr>
            </w:pPr>
            <w:hyperlink w:anchor="page51">
              <w:r>
                <w:rPr>
                  <w:rFonts w:ascii="Arial" w:cs="Arial" w:eastAsia="Arial" w:hAnsi="Arial"/>
                  <w:sz w:val="15"/>
                  <w:szCs w:val="15"/>
                  <w:color w:val="0000FF"/>
                </w:rPr>
                <w:t>Notes to Consolidated Financial Statements</w:t>
              </w:r>
            </w:hyperlink>
          </w:p>
        </w:tc>
        <w:tc>
          <w:tcPr>
            <w:tcW w:w="1160" w:type="dxa"/>
            <w:vAlign w:val="bottom"/>
          </w:tcPr>
          <w:p>
            <w:pPr>
              <w:ind w:left="920"/>
              <w:spacing w:after="0"/>
              <w:rPr>
                <w:rFonts w:ascii="Arial" w:cs="Arial" w:eastAsia="Arial" w:hAnsi="Arial"/>
                <w:sz w:val="15"/>
                <w:szCs w:val="15"/>
                <w:color w:val="0000FF"/>
                <w:w w:val="97"/>
              </w:rPr>
            </w:pPr>
            <w:hyperlink w:anchor="page51">
              <w:r>
                <w:rPr>
                  <w:rFonts w:ascii="Arial" w:cs="Arial" w:eastAsia="Arial" w:hAnsi="Arial"/>
                  <w:sz w:val="15"/>
                  <w:szCs w:val="15"/>
                  <w:color w:val="0000FF"/>
                  <w:w w:val="97"/>
                </w:rPr>
                <w:t>F-7</w:t>
              </w:r>
            </w:hyperlink>
          </w:p>
        </w:tc>
      </w:tr>
    </w:tbl>
    <w:p>
      <w:pPr>
        <w:spacing w:after="0" w:line="368"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All other financial statement schedules for International Money Express, Inc. have been omitted because they are not applicable, or because the information required is included in the respective consolidated financial statements or notes thereto.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45" w:name="page46"/>
    <w:bookmarkEnd w:id="45"/>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Shareholders and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International Money Express, Inc.</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Miami, Florida</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Opinion on the Consolidated Financial Statements</w:t>
      </w: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We have audited the accompanying consolidated balance sheets of International Money Express, Inc. and subsidiaries (the “Company”) as of December 31, 2021 and 2020, the related consolidated statements of income and comprehensive income, changes in stockholders’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w:t>
      </w:r>
      <w:r>
        <w:rPr>
          <w:rFonts w:ascii="Arial" w:cs="Arial" w:eastAsia="Arial" w:hAnsi="Arial"/>
          <w:sz w:val="15"/>
          <w:szCs w:val="15"/>
          <w:b w:val="1"/>
          <w:bCs w:val="1"/>
          <w:color w:val="auto"/>
        </w:rPr>
        <w:t>,</w:t>
      </w:r>
      <w:r>
        <w:rPr>
          <w:rFonts w:ascii="Arial" w:cs="Arial" w:eastAsia="Arial" w:hAnsi="Arial"/>
          <w:sz w:val="15"/>
          <w:szCs w:val="15"/>
          <w:color w:val="auto"/>
        </w:rPr>
        <w:t xml:space="preserve">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22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5"/>
          <w:szCs w:val="15"/>
          <w:color w:val="auto"/>
        </w:rPr>
        <w:t>/s/ BDO USA, LLP</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Certified Public Accountants</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We have served as the Company’s auditor since 2017.</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Miami, Florida</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March 7, 2022</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46" w:name="page47"/>
    <w:bookmarkEnd w:id="46"/>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191"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INTERNATIONAL MONEY EXPRESS, INC.</w:t>
      </w:r>
    </w:p>
    <w:p>
      <w:pPr>
        <w:spacing w:after="0" w:line="26"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CONSOLIDATED BALANCE SHEETS</w:t>
      </w:r>
    </w:p>
    <w:p>
      <w:pPr>
        <w:spacing w:after="0" w:line="11"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(in thousands, except for share data)</w:t>
      </w:r>
    </w:p>
    <w:p>
      <w:pPr>
        <w:spacing w:after="0" w:line="200" w:lineRule="exact"/>
        <w:rPr>
          <w:sz w:val="20"/>
          <w:szCs w:val="20"/>
          <w:color w:val="auto"/>
        </w:rPr>
      </w:pP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197"/>
        </w:trPr>
        <w:tc>
          <w:tcPr>
            <w:tcW w:w="56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104"/>
              <w:spacing w:after="0"/>
              <w:rPr>
                <w:sz w:val="20"/>
                <w:szCs w:val="20"/>
                <w:color w:val="auto"/>
              </w:rPr>
            </w:pPr>
            <w:r>
              <w:rPr>
                <w:rFonts w:ascii="Arial" w:cs="Arial" w:eastAsia="Arial" w:hAnsi="Arial"/>
                <w:sz w:val="15"/>
                <w:szCs w:val="15"/>
                <w:color w:val="auto"/>
              </w:rPr>
              <w:t>December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66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color w:val="auto"/>
              </w:rPr>
              <w:t>2021</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color w:val="auto"/>
              </w:rPr>
              <w:t>2020</w:t>
            </w:r>
          </w:p>
        </w:tc>
        <w:tc>
          <w:tcPr>
            <w:tcW w:w="0" w:type="dxa"/>
            <w:vAlign w:val="bottom"/>
          </w:tcPr>
          <w:p>
            <w:pPr>
              <w:spacing w:after="0"/>
              <w:rPr>
                <w:sz w:val="1"/>
                <w:szCs w:val="1"/>
                <w:color w:val="auto"/>
              </w:rPr>
            </w:pPr>
          </w:p>
        </w:tc>
      </w:tr>
      <w:tr>
        <w:trPr>
          <w:trHeight w:val="184"/>
        </w:trPr>
        <w:tc>
          <w:tcPr>
            <w:tcW w:w="5660" w:type="dxa"/>
            <w:vAlign w:val="bottom"/>
            <w:shd w:val="clear" w:color="auto" w:fill="CCEEFF"/>
          </w:tcPr>
          <w:p>
            <w:pPr>
              <w:ind w:left="2820"/>
              <w:spacing w:after="0"/>
              <w:rPr>
                <w:sz w:val="20"/>
                <w:szCs w:val="20"/>
                <w:color w:val="auto"/>
              </w:rPr>
            </w:pPr>
            <w:r>
              <w:rPr>
                <w:rFonts w:ascii="Arial" w:cs="Arial" w:eastAsia="Arial" w:hAnsi="Arial"/>
                <w:sz w:val="15"/>
                <w:szCs w:val="15"/>
                <w:color w:val="auto"/>
              </w:rPr>
              <w:t>ASSETS</w:t>
            </w:r>
          </w:p>
        </w:tc>
        <w:tc>
          <w:tcPr>
            <w:tcW w:w="8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660" w:type="dxa"/>
            <w:vAlign w:val="bottom"/>
          </w:tcPr>
          <w:p>
            <w:pPr>
              <w:ind w:left="560"/>
              <w:spacing w:after="0"/>
              <w:rPr>
                <w:sz w:val="20"/>
                <w:szCs w:val="20"/>
                <w:color w:val="auto"/>
              </w:rPr>
            </w:pPr>
            <w:r>
              <w:rPr>
                <w:rFonts w:ascii="Arial" w:cs="Arial" w:eastAsia="Arial" w:hAnsi="Arial"/>
                <w:sz w:val="15"/>
                <w:szCs w:val="15"/>
                <w:color w:val="auto"/>
              </w:rPr>
              <w:t>Current assets:</w:t>
            </w: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60" w:type="dxa"/>
            <w:vAlign w:val="bottom"/>
            <w:shd w:val="clear" w:color="auto" w:fill="CCEEFF"/>
          </w:tcPr>
          <w:p>
            <w:pPr>
              <w:ind w:left="680"/>
              <w:spacing w:after="0"/>
              <w:rPr>
                <w:sz w:val="20"/>
                <w:szCs w:val="20"/>
                <w:color w:val="auto"/>
              </w:rPr>
            </w:pPr>
            <w:r>
              <w:rPr>
                <w:rFonts w:ascii="Arial" w:cs="Arial" w:eastAsia="Arial" w:hAnsi="Arial"/>
                <w:sz w:val="15"/>
                <w:szCs w:val="15"/>
                <w:color w:val="auto"/>
              </w:rPr>
              <w:t>Cash</w:t>
            </w:r>
          </w:p>
        </w:tc>
        <w:tc>
          <w:tcPr>
            <w:tcW w:w="8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132,474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74,907</w:t>
            </w:r>
          </w:p>
        </w:tc>
        <w:tc>
          <w:tcPr>
            <w:tcW w:w="0" w:type="dxa"/>
            <w:vAlign w:val="bottom"/>
          </w:tcPr>
          <w:p>
            <w:pPr>
              <w:spacing w:after="0"/>
              <w:rPr>
                <w:sz w:val="1"/>
                <w:szCs w:val="1"/>
                <w:color w:val="auto"/>
              </w:rPr>
            </w:pPr>
          </w:p>
        </w:tc>
      </w:tr>
      <w:tr>
        <w:trPr>
          <w:trHeight w:val="195"/>
        </w:trPr>
        <w:tc>
          <w:tcPr>
            <w:tcW w:w="5660" w:type="dxa"/>
            <w:vAlign w:val="bottom"/>
          </w:tcPr>
          <w:p>
            <w:pPr>
              <w:ind w:left="680"/>
              <w:spacing w:after="0"/>
              <w:rPr>
                <w:sz w:val="20"/>
                <w:szCs w:val="20"/>
                <w:color w:val="auto"/>
              </w:rPr>
            </w:pPr>
            <w:r>
              <w:rPr>
                <w:rFonts w:ascii="Arial" w:cs="Arial" w:eastAsia="Arial" w:hAnsi="Arial"/>
                <w:sz w:val="15"/>
                <w:szCs w:val="15"/>
                <w:color w:val="auto"/>
              </w:rPr>
              <w:t>Accounts receivable, net of allowance of $2,181 and $1,503, respectively</w:t>
            </w:r>
          </w:p>
        </w:tc>
        <w:tc>
          <w:tcPr>
            <w:tcW w:w="8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67,317</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55,017</w:t>
            </w:r>
          </w:p>
        </w:tc>
        <w:tc>
          <w:tcPr>
            <w:tcW w:w="0" w:type="dxa"/>
            <w:vAlign w:val="bottom"/>
          </w:tcPr>
          <w:p>
            <w:pPr>
              <w:spacing w:after="0"/>
              <w:rPr>
                <w:sz w:val="1"/>
                <w:szCs w:val="1"/>
                <w:color w:val="auto"/>
              </w:rPr>
            </w:pPr>
          </w:p>
        </w:tc>
      </w:tr>
      <w:tr>
        <w:trPr>
          <w:trHeight w:val="195"/>
        </w:trPr>
        <w:tc>
          <w:tcPr>
            <w:tcW w:w="5660" w:type="dxa"/>
            <w:vAlign w:val="bottom"/>
            <w:shd w:val="clear" w:color="auto" w:fill="CCEEFF"/>
          </w:tcPr>
          <w:p>
            <w:pPr>
              <w:ind w:left="680"/>
              <w:spacing w:after="0"/>
              <w:rPr>
                <w:sz w:val="20"/>
                <w:szCs w:val="20"/>
                <w:color w:val="auto"/>
              </w:rPr>
            </w:pPr>
            <w:r>
              <w:rPr>
                <w:rFonts w:ascii="Arial" w:cs="Arial" w:eastAsia="Arial" w:hAnsi="Arial"/>
                <w:sz w:val="15"/>
                <w:szCs w:val="15"/>
                <w:color w:val="auto"/>
              </w:rPr>
              <w:t>Prepaid wires, net</w:t>
            </w: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56,766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53,281</w:t>
            </w:r>
          </w:p>
        </w:tc>
        <w:tc>
          <w:tcPr>
            <w:tcW w:w="0" w:type="dxa"/>
            <w:vAlign w:val="bottom"/>
          </w:tcPr>
          <w:p>
            <w:pPr>
              <w:spacing w:after="0"/>
              <w:rPr>
                <w:sz w:val="1"/>
                <w:szCs w:val="1"/>
                <w:color w:val="auto"/>
              </w:rPr>
            </w:pPr>
          </w:p>
        </w:tc>
      </w:tr>
      <w:tr>
        <w:trPr>
          <w:trHeight w:val="198"/>
        </w:trPr>
        <w:tc>
          <w:tcPr>
            <w:tcW w:w="5660" w:type="dxa"/>
            <w:vAlign w:val="bottom"/>
            <w:tcBorders>
              <w:bottom w:val="single" w:sz="8" w:color="CCEEFF"/>
            </w:tcBorders>
          </w:tcPr>
          <w:p>
            <w:pPr>
              <w:ind w:left="680"/>
              <w:spacing w:after="0"/>
              <w:rPr>
                <w:sz w:val="20"/>
                <w:szCs w:val="20"/>
                <w:color w:val="auto"/>
              </w:rPr>
            </w:pPr>
            <w:r>
              <w:rPr>
                <w:rFonts w:ascii="Arial" w:cs="Arial" w:eastAsia="Arial" w:hAnsi="Arial"/>
                <w:sz w:val="15"/>
                <w:szCs w:val="15"/>
                <w:color w:val="auto"/>
              </w:rPr>
              <w:t>Prepaid expenses and other current assets</w:t>
            </w:r>
          </w:p>
        </w:tc>
        <w:tc>
          <w:tcPr>
            <w:tcW w:w="8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6,988</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3,521</w:t>
            </w:r>
          </w:p>
        </w:tc>
        <w:tc>
          <w:tcPr>
            <w:tcW w:w="0" w:type="dxa"/>
            <w:vAlign w:val="bottom"/>
          </w:tcPr>
          <w:p>
            <w:pPr>
              <w:spacing w:after="0"/>
              <w:rPr>
                <w:sz w:val="1"/>
                <w:szCs w:val="1"/>
                <w:color w:val="auto"/>
              </w:rPr>
            </w:pPr>
          </w:p>
        </w:tc>
      </w:tr>
      <w:tr>
        <w:trPr>
          <w:trHeight w:val="195"/>
        </w:trPr>
        <w:tc>
          <w:tcPr>
            <w:tcW w:w="5660" w:type="dxa"/>
            <w:vAlign w:val="bottom"/>
            <w:shd w:val="clear" w:color="auto" w:fill="CCEEFF"/>
          </w:tcPr>
          <w:p>
            <w:pPr>
              <w:ind w:left="840"/>
              <w:spacing w:after="0"/>
              <w:rPr>
                <w:sz w:val="20"/>
                <w:szCs w:val="20"/>
                <w:color w:val="auto"/>
              </w:rPr>
            </w:pPr>
            <w:r>
              <w:rPr>
                <w:rFonts w:ascii="Arial" w:cs="Arial" w:eastAsia="Arial" w:hAnsi="Arial"/>
                <w:sz w:val="15"/>
                <w:szCs w:val="15"/>
                <w:color w:val="auto"/>
              </w:rPr>
              <w:t>Total current assets</w:t>
            </w: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263,545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186,726</w:t>
            </w:r>
          </w:p>
        </w:tc>
        <w:tc>
          <w:tcPr>
            <w:tcW w:w="0" w:type="dxa"/>
            <w:vAlign w:val="bottom"/>
          </w:tcPr>
          <w:p>
            <w:pPr>
              <w:spacing w:after="0"/>
              <w:rPr>
                <w:sz w:val="1"/>
                <w:szCs w:val="1"/>
                <w:color w:val="auto"/>
              </w:rPr>
            </w:pPr>
          </w:p>
        </w:tc>
      </w:tr>
      <w:tr>
        <w:trPr>
          <w:trHeight w:val="229"/>
        </w:trPr>
        <w:tc>
          <w:tcPr>
            <w:tcW w:w="5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660" w:type="dxa"/>
            <w:vAlign w:val="bottom"/>
            <w:shd w:val="clear" w:color="auto" w:fill="CCEEFF"/>
          </w:tcPr>
          <w:p>
            <w:pPr>
              <w:ind w:left="560"/>
              <w:spacing w:after="0"/>
              <w:rPr>
                <w:sz w:val="20"/>
                <w:szCs w:val="20"/>
                <w:color w:val="auto"/>
              </w:rPr>
            </w:pPr>
            <w:r>
              <w:rPr>
                <w:rFonts w:ascii="Arial" w:cs="Arial" w:eastAsia="Arial" w:hAnsi="Arial"/>
                <w:sz w:val="15"/>
                <w:szCs w:val="15"/>
                <w:color w:val="auto"/>
              </w:rPr>
              <w:t>Property and equipment, net</w:t>
            </w: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17,905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13,021</w:t>
            </w:r>
          </w:p>
        </w:tc>
        <w:tc>
          <w:tcPr>
            <w:tcW w:w="0" w:type="dxa"/>
            <w:vAlign w:val="bottom"/>
          </w:tcPr>
          <w:p>
            <w:pPr>
              <w:spacing w:after="0"/>
              <w:rPr>
                <w:sz w:val="1"/>
                <w:szCs w:val="1"/>
                <w:color w:val="auto"/>
              </w:rPr>
            </w:pPr>
          </w:p>
        </w:tc>
      </w:tr>
      <w:tr>
        <w:trPr>
          <w:trHeight w:val="195"/>
        </w:trPr>
        <w:tc>
          <w:tcPr>
            <w:tcW w:w="5660" w:type="dxa"/>
            <w:vAlign w:val="bottom"/>
          </w:tcPr>
          <w:p>
            <w:pPr>
              <w:ind w:left="560"/>
              <w:spacing w:after="0"/>
              <w:rPr>
                <w:sz w:val="20"/>
                <w:szCs w:val="20"/>
                <w:color w:val="auto"/>
              </w:rPr>
            </w:pPr>
            <w:r>
              <w:rPr>
                <w:rFonts w:ascii="Arial" w:cs="Arial" w:eastAsia="Arial" w:hAnsi="Arial"/>
                <w:sz w:val="15"/>
                <w:szCs w:val="15"/>
                <w:color w:val="auto"/>
              </w:rPr>
              <w:t>Goodwill</w:t>
            </w:r>
          </w:p>
        </w:tc>
        <w:tc>
          <w:tcPr>
            <w:tcW w:w="8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36,260</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36,260</w:t>
            </w:r>
          </w:p>
        </w:tc>
        <w:tc>
          <w:tcPr>
            <w:tcW w:w="0" w:type="dxa"/>
            <w:vAlign w:val="bottom"/>
          </w:tcPr>
          <w:p>
            <w:pPr>
              <w:spacing w:after="0"/>
              <w:rPr>
                <w:sz w:val="1"/>
                <w:szCs w:val="1"/>
                <w:color w:val="auto"/>
              </w:rPr>
            </w:pPr>
          </w:p>
        </w:tc>
      </w:tr>
      <w:tr>
        <w:trPr>
          <w:trHeight w:val="195"/>
        </w:trPr>
        <w:tc>
          <w:tcPr>
            <w:tcW w:w="5660" w:type="dxa"/>
            <w:vAlign w:val="bottom"/>
            <w:shd w:val="clear" w:color="auto" w:fill="CCEEFF"/>
          </w:tcPr>
          <w:p>
            <w:pPr>
              <w:ind w:left="560"/>
              <w:spacing w:after="0"/>
              <w:rPr>
                <w:sz w:val="20"/>
                <w:szCs w:val="20"/>
                <w:color w:val="auto"/>
              </w:rPr>
            </w:pPr>
            <w:r>
              <w:rPr>
                <w:rFonts w:ascii="Arial" w:cs="Arial" w:eastAsia="Arial" w:hAnsi="Arial"/>
                <w:sz w:val="15"/>
                <w:szCs w:val="15"/>
                <w:color w:val="auto"/>
              </w:rPr>
              <w:t>Intangible assets, net</w:t>
            </w: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15,392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20,430</w:t>
            </w:r>
          </w:p>
        </w:tc>
        <w:tc>
          <w:tcPr>
            <w:tcW w:w="0" w:type="dxa"/>
            <w:vAlign w:val="bottom"/>
          </w:tcPr>
          <w:p>
            <w:pPr>
              <w:spacing w:after="0"/>
              <w:rPr>
                <w:sz w:val="1"/>
                <w:szCs w:val="1"/>
                <w:color w:val="auto"/>
              </w:rPr>
            </w:pPr>
          </w:p>
        </w:tc>
      </w:tr>
      <w:tr>
        <w:trPr>
          <w:trHeight w:val="198"/>
        </w:trPr>
        <w:tc>
          <w:tcPr>
            <w:tcW w:w="5660" w:type="dxa"/>
            <w:vAlign w:val="bottom"/>
            <w:tcBorders>
              <w:bottom w:val="single" w:sz="8" w:color="CCEEFF"/>
            </w:tcBorders>
          </w:tcPr>
          <w:p>
            <w:pPr>
              <w:ind w:left="560"/>
              <w:spacing w:after="0"/>
              <w:rPr>
                <w:sz w:val="20"/>
                <w:szCs w:val="20"/>
                <w:color w:val="auto"/>
              </w:rPr>
            </w:pPr>
            <w:r>
              <w:rPr>
                <w:rFonts w:ascii="Arial" w:cs="Arial" w:eastAsia="Arial" w:hAnsi="Arial"/>
                <w:sz w:val="15"/>
                <w:szCs w:val="15"/>
                <w:color w:val="auto"/>
              </w:rPr>
              <w:t>Other assets</w:t>
            </w:r>
          </w:p>
        </w:tc>
        <w:tc>
          <w:tcPr>
            <w:tcW w:w="8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7,434</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3,036</w:t>
            </w:r>
          </w:p>
        </w:tc>
        <w:tc>
          <w:tcPr>
            <w:tcW w:w="0" w:type="dxa"/>
            <w:vAlign w:val="bottom"/>
          </w:tcPr>
          <w:p>
            <w:pPr>
              <w:spacing w:after="0"/>
              <w:rPr>
                <w:sz w:val="1"/>
                <w:szCs w:val="1"/>
                <w:color w:val="auto"/>
              </w:rPr>
            </w:pPr>
          </w:p>
        </w:tc>
      </w:tr>
      <w:tr>
        <w:trPr>
          <w:trHeight w:val="220"/>
        </w:trPr>
        <w:tc>
          <w:tcPr>
            <w:tcW w:w="56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5"/>
                <w:szCs w:val="15"/>
                <w:color w:val="auto"/>
              </w:rPr>
              <w:t>Total assets</w:t>
            </w:r>
          </w:p>
        </w:tc>
        <w:tc>
          <w:tcPr>
            <w:tcW w:w="8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340,536</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259,473</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660" w:type="dxa"/>
            <w:vAlign w:val="bottom"/>
            <w:shd w:val="clear" w:color="auto" w:fill="CCEEFF"/>
          </w:tcPr>
          <w:p>
            <w:pPr>
              <w:ind w:left="1540"/>
              <w:spacing w:after="0"/>
              <w:rPr>
                <w:sz w:val="20"/>
                <w:szCs w:val="20"/>
                <w:color w:val="auto"/>
              </w:rPr>
            </w:pPr>
            <w:r>
              <w:rPr>
                <w:rFonts w:ascii="Arial" w:cs="Arial" w:eastAsia="Arial" w:hAnsi="Arial"/>
                <w:sz w:val="15"/>
                <w:szCs w:val="15"/>
                <w:color w:val="auto"/>
              </w:rPr>
              <w:t>LIABILITIES AND STOCKHOLDERS’ EQUITY</w:t>
            </w: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60" w:type="dxa"/>
            <w:vAlign w:val="bottom"/>
          </w:tcPr>
          <w:p>
            <w:pPr>
              <w:ind w:left="560"/>
              <w:spacing w:after="0"/>
              <w:rPr>
                <w:sz w:val="20"/>
                <w:szCs w:val="20"/>
                <w:color w:val="auto"/>
              </w:rPr>
            </w:pPr>
            <w:r>
              <w:rPr>
                <w:rFonts w:ascii="Arial" w:cs="Arial" w:eastAsia="Arial" w:hAnsi="Arial"/>
                <w:sz w:val="15"/>
                <w:szCs w:val="15"/>
                <w:color w:val="auto"/>
              </w:rPr>
              <w:t>Current liabilities:</w:t>
            </w: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60" w:type="dxa"/>
            <w:vAlign w:val="bottom"/>
            <w:shd w:val="clear" w:color="auto" w:fill="CCEEFF"/>
          </w:tcPr>
          <w:p>
            <w:pPr>
              <w:ind w:left="680"/>
              <w:spacing w:after="0"/>
              <w:rPr>
                <w:sz w:val="20"/>
                <w:szCs w:val="20"/>
                <w:color w:val="auto"/>
              </w:rPr>
            </w:pPr>
            <w:r>
              <w:rPr>
                <w:rFonts w:ascii="Arial" w:cs="Arial" w:eastAsia="Arial" w:hAnsi="Arial"/>
                <w:sz w:val="15"/>
                <w:szCs w:val="15"/>
                <w:color w:val="auto"/>
              </w:rPr>
              <w:t>Current portion of long-term debt, net</w:t>
            </w:r>
          </w:p>
        </w:tc>
        <w:tc>
          <w:tcPr>
            <w:tcW w:w="8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3,882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7,044</w:t>
            </w:r>
          </w:p>
        </w:tc>
        <w:tc>
          <w:tcPr>
            <w:tcW w:w="0" w:type="dxa"/>
            <w:vAlign w:val="bottom"/>
          </w:tcPr>
          <w:p>
            <w:pPr>
              <w:spacing w:after="0"/>
              <w:rPr>
                <w:sz w:val="1"/>
                <w:szCs w:val="1"/>
                <w:color w:val="auto"/>
              </w:rPr>
            </w:pPr>
          </w:p>
        </w:tc>
      </w:tr>
      <w:tr>
        <w:trPr>
          <w:trHeight w:val="195"/>
        </w:trPr>
        <w:tc>
          <w:tcPr>
            <w:tcW w:w="5660" w:type="dxa"/>
            <w:vAlign w:val="bottom"/>
          </w:tcPr>
          <w:p>
            <w:pPr>
              <w:ind w:left="680"/>
              <w:spacing w:after="0"/>
              <w:rPr>
                <w:sz w:val="20"/>
                <w:szCs w:val="20"/>
                <w:color w:val="auto"/>
              </w:rPr>
            </w:pPr>
            <w:r>
              <w:rPr>
                <w:rFonts w:ascii="Arial" w:cs="Arial" w:eastAsia="Arial" w:hAnsi="Arial"/>
                <w:sz w:val="15"/>
                <w:szCs w:val="15"/>
                <w:color w:val="auto"/>
              </w:rPr>
              <w:t>Accounts payable</w:t>
            </w:r>
          </w:p>
        </w:tc>
        <w:tc>
          <w:tcPr>
            <w:tcW w:w="8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23,151</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12,771</w:t>
            </w:r>
          </w:p>
        </w:tc>
        <w:tc>
          <w:tcPr>
            <w:tcW w:w="0" w:type="dxa"/>
            <w:vAlign w:val="bottom"/>
          </w:tcPr>
          <w:p>
            <w:pPr>
              <w:spacing w:after="0"/>
              <w:rPr>
                <w:sz w:val="1"/>
                <w:szCs w:val="1"/>
                <w:color w:val="auto"/>
              </w:rPr>
            </w:pPr>
          </w:p>
        </w:tc>
      </w:tr>
      <w:tr>
        <w:trPr>
          <w:trHeight w:val="195"/>
        </w:trPr>
        <w:tc>
          <w:tcPr>
            <w:tcW w:w="5660" w:type="dxa"/>
            <w:vAlign w:val="bottom"/>
            <w:shd w:val="clear" w:color="auto" w:fill="CCEEFF"/>
          </w:tcPr>
          <w:p>
            <w:pPr>
              <w:ind w:left="680"/>
              <w:spacing w:after="0"/>
              <w:rPr>
                <w:sz w:val="20"/>
                <w:szCs w:val="20"/>
                <w:color w:val="auto"/>
              </w:rPr>
            </w:pPr>
            <w:r>
              <w:rPr>
                <w:rFonts w:ascii="Arial" w:cs="Arial" w:eastAsia="Arial" w:hAnsi="Arial"/>
                <w:sz w:val="15"/>
                <w:szCs w:val="15"/>
                <w:color w:val="auto"/>
              </w:rPr>
              <w:t>Wire transfers and money orders payable, net</w:t>
            </w: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56,066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41,746</w:t>
            </w:r>
          </w:p>
        </w:tc>
        <w:tc>
          <w:tcPr>
            <w:tcW w:w="0" w:type="dxa"/>
            <w:vAlign w:val="bottom"/>
          </w:tcPr>
          <w:p>
            <w:pPr>
              <w:spacing w:after="0"/>
              <w:rPr>
                <w:sz w:val="1"/>
                <w:szCs w:val="1"/>
                <w:color w:val="auto"/>
              </w:rPr>
            </w:pPr>
          </w:p>
        </w:tc>
      </w:tr>
      <w:tr>
        <w:trPr>
          <w:trHeight w:val="198"/>
        </w:trPr>
        <w:tc>
          <w:tcPr>
            <w:tcW w:w="5660" w:type="dxa"/>
            <w:vAlign w:val="bottom"/>
            <w:tcBorders>
              <w:bottom w:val="single" w:sz="8" w:color="CCEEFF"/>
            </w:tcBorders>
          </w:tcPr>
          <w:p>
            <w:pPr>
              <w:ind w:left="680"/>
              <w:spacing w:after="0"/>
              <w:rPr>
                <w:sz w:val="20"/>
                <w:szCs w:val="20"/>
                <w:color w:val="auto"/>
              </w:rPr>
            </w:pPr>
            <w:r>
              <w:rPr>
                <w:rFonts w:ascii="Arial" w:cs="Arial" w:eastAsia="Arial" w:hAnsi="Arial"/>
                <w:sz w:val="15"/>
                <w:szCs w:val="15"/>
                <w:color w:val="auto"/>
              </w:rPr>
              <w:t>Accrued and other liabilities</w:t>
            </w:r>
          </w:p>
        </w:tc>
        <w:tc>
          <w:tcPr>
            <w:tcW w:w="8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33,760</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22,380</w:t>
            </w:r>
          </w:p>
        </w:tc>
        <w:tc>
          <w:tcPr>
            <w:tcW w:w="0" w:type="dxa"/>
            <w:vAlign w:val="bottom"/>
          </w:tcPr>
          <w:p>
            <w:pPr>
              <w:spacing w:after="0"/>
              <w:rPr>
                <w:sz w:val="1"/>
                <w:szCs w:val="1"/>
                <w:color w:val="auto"/>
              </w:rPr>
            </w:pPr>
          </w:p>
        </w:tc>
      </w:tr>
      <w:tr>
        <w:trPr>
          <w:trHeight w:val="195"/>
        </w:trPr>
        <w:tc>
          <w:tcPr>
            <w:tcW w:w="5660" w:type="dxa"/>
            <w:vAlign w:val="bottom"/>
            <w:shd w:val="clear" w:color="auto" w:fill="CCEEFF"/>
          </w:tcPr>
          <w:p>
            <w:pPr>
              <w:ind w:left="840"/>
              <w:spacing w:after="0"/>
              <w:rPr>
                <w:sz w:val="20"/>
                <w:szCs w:val="20"/>
                <w:color w:val="auto"/>
              </w:rPr>
            </w:pPr>
            <w:r>
              <w:rPr>
                <w:rFonts w:ascii="Arial" w:cs="Arial" w:eastAsia="Arial" w:hAnsi="Arial"/>
                <w:sz w:val="15"/>
                <w:szCs w:val="15"/>
                <w:color w:val="auto"/>
              </w:rPr>
              <w:t>Total current liabilities</w:t>
            </w: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116,859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83,941</w:t>
            </w:r>
          </w:p>
        </w:tc>
        <w:tc>
          <w:tcPr>
            <w:tcW w:w="0" w:type="dxa"/>
            <w:vAlign w:val="bottom"/>
          </w:tcPr>
          <w:p>
            <w:pPr>
              <w:spacing w:after="0"/>
              <w:rPr>
                <w:sz w:val="1"/>
                <w:szCs w:val="1"/>
                <w:color w:val="auto"/>
              </w:rPr>
            </w:pPr>
          </w:p>
        </w:tc>
      </w:tr>
      <w:tr>
        <w:trPr>
          <w:trHeight w:val="195"/>
        </w:trPr>
        <w:tc>
          <w:tcPr>
            <w:tcW w:w="5660" w:type="dxa"/>
            <w:vAlign w:val="bottom"/>
          </w:tcPr>
          <w:p>
            <w:pPr>
              <w:ind w:left="560"/>
              <w:spacing w:after="0"/>
              <w:rPr>
                <w:sz w:val="20"/>
                <w:szCs w:val="20"/>
                <w:color w:val="auto"/>
              </w:rPr>
            </w:pPr>
            <w:r>
              <w:rPr>
                <w:rFonts w:ascii="Arial" w:cs="Arial" w:eastAsia="Arial" w:hAnsi="Arial"/>
                <w:sz w:val="15"/>
                <w:szCs w:val="15"/>
                <w:color w:val="auto"/>
              </w:rPr>
              <w:t>Long-term liabilities:</w:t>
            </w: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60" w:type="dxa"/>
            <w:vAlign w:val="bottom"/>
            <w:shd w:val="clear" w:color="auto" w:fill="CCEEFF"/>
          </w:tcPr>
          <w:p>
            <w:pPr>
              <w:ind w:left="680"/>
              <w:spacing w:after="0"/>
              <w:rPr>
                <w:sz w:val="20"/>
                <w:szCs w:val="20"/>
                <w:color w:val="auto"/>
              </w:rPr>
            </w:pPr>
            <w:r>
              <w:rPr>
                <w:rFonts w:ascii="Arial" w:cs="Arial" w:eastAsia="Arial" w:hAnsi="Arial"/>
                <w:sz w:val="15"/>
                <w:szCs w:val="15"/>
                <w:color w:val="auto"/>
              </w:rPr>
              <w:t>Long-term debt, net</w:t>
            </w: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79,211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80,579</w:t>
            </w:r>
          </w:p>
        </w:tc>
        <w:tc>
          <w:tcPr>
            <w:tcW w:w="0" w:type="dxa"/>
            <w:vAlign w:val="bottom"/>
          </w:tcPr>
          <w:p>
            <w:pPr>
              <w:spacing w:after="0"/>
              <w:rPr>
                <w:sz w:val="1"/>
                <w:szCs w:val="1"/>
                <w:color w:val="auto"/>
              </w:rPr>
            </w:pPr>
          </w:p>
        </w:tc>
      </w:tr>
      <w:tr>
        <w:trPr>
          <w:trHeight w:val="198"/>
        </w:trPr>
        <w:tc>
          <w:tcPr>
            <w:tcW w:w="5660" w:type="dxa"/>
            <w:vAlign w:val="bottom"/>
            <w:tcBorders>
              <w:bottom w:val="single" w:sz="8" w:color="CCEEFF"/>
            </w:tcBorders>
          </w:tcPr>
          <w:p>
            <w:pPr>
              <w:ind w:left="680"/>
              <w:spacing w:after="0"/>
              <w:rPr>
                <w:sz w:val="20"/>
                <w:szCs w:val="20"/>
                <w:color w:val="auto"/>
              </w:rPr>
            </w:pPr>
            <w:r>
              <w:rPr>
                <w:rFonts w:ascii="Arial" w:cs="Arial" w:eastAsia="Arial" w:hAnsi="Arial"/>
                <w:sz w:val="15"/>
                <w:szCs w:val="15"/>
                <w:color w:val="auto"/>
              </w:rPr>
              <w:t>Deferred tax liability, net</w:t>
            </w:r>
          </w:p>
        </w:tc>
        <w:tc>
          <w:tcPr>
            <w:tcW w:w="8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1,426</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692</w:t>
            </w:r>
          </w:p>
        </w:tc>
        <w:tc>
          <w:tcPr>
            <w:tcW w:w="0" w:type="dxa"/>
            <w:vAlign w:val="bottom"/>
          </w:tcPr>
          <w:p>
            <w:pPr>
              <w:spacing w:after="0"/>
              <w:rPr>
                <w:sz w:val="1"/>
                <w:szCs w:val="1"/>
                <w:color w:val="auto"/>
              </w:rPr>
            </w:pPr>
          </w:p>
        </w:tc>
      </w:tr>
      <w:tr>
        <w:trPr>
          <w:trHeight w:val="195"/>
        </w:trPr>
        <w:tc>
          <w:tcPr>
            <w:tcW w:w="5660" w:type="dxa"/>
            <w:vAlign w:val="bottom"/>
            <w:shd w:val="clear" w:color="auto" w:fill="CCEEFF"/>
          </w:tcPr>
          <w:p>
            <w:pPr>
              <w:ind w:left="840"/>
              <w:spacing w:after="0"/>
              <w:rPr>
                <w:sz w:val="20"/>
                <w:szCs w:val="20"/>
                <w:color w:val="auto"/>
              </w:rPr>
            </w:pPr>
            <w:r>
              <w:rPr>
                <w:rFonts w:ascii="Arial" w:cs="Arial" w:eastAsia="Arial" w:hAnsi="Arial"/>
                <w:sz w:val="15"/>
                <w:szCs w:val="15"/>
                <w:color w:val="auto"/>
              </w:rPr>
              <w:t>Total long-term liabilities</w:t>
            </w: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80,637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81,271</w:t>
            </w:r>
          </w:p>
        </w:tc>
        <w:tc>
          <w:tcPr>
            <w:tcW w:w="0" w:type="dxa"/>
            <w:vAlign w:val="bottom"/>
          </w:tcPr>
          <w:p>
            <w:pPr>
              <w:spacing w:after="0"/>
              <w:rPr>
                <w:sz w:val="1"/>
                <w:szCs w:val="1"/>
                <w:color w:val="auto"/>
              </w:rPr>
            </w:pPr>
          </w:p>
        </w:tc>
      </w:tr>
      <w:tr>
        <w:trPr>
          <w:trHeight w:val="229"/>
        </w:trPr>
        <w:tc>
          <w:tcPr>
            <w:tcW w:w="5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660" w:type="dxa"/>
            <w:vAlign w:val="bottom"/>
            <w:shd w:val="clear" w:color="auto" w:fill="CCEEFF"/>
          </w:tcPr>
          <w:p>
            <w:pPr>
              <w:ind w:left="560"/>
              <w:spacing w:after="0"/>
              <w:rPr>
                <w:sz w:val="20"/>
                <w:szCs w:val="20"/>
                <w:color w:val="auto"/>
              </w:rPr>
            </w:pPr>
            <w:r>
              <w:rPr>
                <w:rFonts w:ascii="Arial" w:cs="Arial" w:eastAsia="Arial" w:hAnsi="Arial"/>
                <w:sz w:val="15"/>
                <w:szCs w:val="15"/>
                <w:color w:val="auto"/>
              </w:rPr>
              <w:t>Commitments and contingencies, see Note 16</w:t>
            </w: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660" w:type="dxa"/>
            <w:vAlign w:val="bottom"/>
            <w:shd w:val="clear" w:color="auto" w:fill="CCEEFF"/>
          </w:tcPr>
          <w:p>
            <w:pPr>
              <w:ind w:left="560"/>
              <w:spacing w:after="0"/>
              <w:rPr>
                <w:sz w:val="20"/>
                <w:szCs w:val="20"/>
                <w:color w:val="auto"/>
              </w:rPr>
            </w:pPr>
            <w:r>
              <w:rPr>
                <w:rFonts w:ascii="Arial" w:cs="Arial" w:eastAsia="Arial" w:hAnsi="Arial"/>
                <w:sz w:val="15"/>
                <w:szCs w:val="15"/>
                <w:color w:val="auto"/>
              </w:rPr>
              <w:t>Stockholders’ equity:</w:t>
            </w:r>
          </w:p>
        </w:tc>
        <w:tc>
          <w:tcPr>
            <w:tcW w:w="8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5660" w:type="dxa"/>
            <w:vAlign w:val="bottom"/>
          </w:tcPr>
          <w:p>
            <w:pPr>
              <w:ind w:left="680"/>
              <w:spacing w:after="0" w:line="150" w:lineRule="exact"/>
              <w:rPr>
                <w:sz w:val="20"/>
                <w:szCs w:val="20"/>
                <w:color w:val="auto"/>
              </w:rPr>
            </w:pPr>
            <w:r>
              <w:rPr>
                <w:rFonts w:ascii="Arial" w:cs="Arial" w:eastAsia="Arial" w:hAnsi="Arial"/>
                <w:sz w:val="15"/>
                <w:szCs w:val="15"/>
                <w:color w:val="auto"/>
                <w:w w:val="94"/>
              </w:rPr>
              <w:t>Common stock $0.0001 par value; 230,000,000 shares authorized, 38,820,222</w:t>
            </w: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60" w:type="dxa"/>
            <w:vAlign w:val="bottom"/>
          </w:tcPr>
          <w:p>
            <w:pPr>
              <w:ind w:left="120"/>
              <w:spacing w:after="0" w:line="149" w:lineRule="exact"/>
              <w:rPr>
                <w:sz w:val="20"/>
                <w:szCs w:val="20"/>
                <w:color w:val="auto"/>
              </w:rPr>
            </w:pPr>
            <w:r>
              <w:rPr>
                <w:rFonts w:ascii="Arial" w:cs="Arial" w:eastAsia="Arial" w:hAnsi="Arial"/>
                <w:sz w:val="15"/>
                <w:szCs w:val="15"/>
                <w:color w:val="auto"/>
                <w:w w:val="94"/>
              </w:rPr>
              <w:t>and 38,217,125 shares issued and 38,478,700 and 38,217,125 shares outstanding as of</w:t>
            </w:r>
          </w:p>
        </w:tc>
        <w:tc>
          <w:tcPr>
            <w:tcW w:w="8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94"/>
        </w:trPr>
        <w:tc>
          <w:tcPr>
            <w:tcW w:w="5660" w:type="dxa"/>
            <w:vAlign w:val="bottom"/>
          </w:tcPr>
          <w:p>
            <w:pPr>
              <w:ind w:left="120"/>
              <w:spacing w:after="0"/>
              <w:rPr>
                <w:sz w:val="20"/>
                <w:szCs w:val="20"/>
                <w:color w:val="auto"/>
              </w:rPr>
            </w:pPr>
            <w:r>
              <w:rPr>
                <w:rFonts w:ascii="Arial" w:cs="Arial" w:eastAsia="Arial" w:hAnsi="Arial"/>
                <w:sz w:val="15"/>
                <w:szCs w:val="15"/>
                <w:color w:val="auto"/>
              </w:rPr>
              <w:t>December 31, 2021 and 2020, respectively</w:t>
            </w:r>
          </w:p>
        </w:tc>
        <w:tc>
          <w:tcPr>
            <w:tcW w:w="8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60" w:type="dxa"/>
            <w:vAlign w:val="bottom"/>
            <w:shd w:val="clear" w:color="auto" w:fill="CCEEFF"/>
          </w:tcPr>
          <w:p>
            <w:pPr>
              <w:ind w:left="680"/>
              <w:spacing w:after="0"/>
              <w:rPr>
                <w:sz w:val="20"/>
                <w:szCs w:val="20"/>
                <w:color w:val="auto"/>
              </w:rPr>
            </w:pPr>
            <w:r>
              <w:rPr>
                <w:rFonts w:ascii="Arial" w:cs="Arial" w:eastAsia="Arial" w:hAnsi="Arial"/>
                <w:sz w:val="15"/>
                <w:szCs w:val="15"/>
                <w:color w:val="auto"/>
              </w:rPr>
              <w:t>Additional paid-in capital</w:t>
            </w: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66,875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59,310</w:t>
            </w:r>
          </w:p>
        </w:tc>
        <w:tc>
          <w:tcPr>
            <w:tcW w:w="0" w:type="dxa"/>
            <w:vAlign w:val="bottom"/>
          </w:tcPr>
          <w:p>
            <w:pPr>
              <w:spacing w:after="0"/>
              <w:rPr>
                <w:sz w:val="1"/>
                <w:szCs w:val="1"/>
                <w:color w:val="auto"/>
              </w:rPr>
            </w:pPr>
          </w:p>
        </w:tc>
      </w:tr>
      <w:tr>
        <w:trPr>
          <w:trHeight w:val="195"/>
        </w:trPr>
        <w:tc>
          <w:tcPr>
            <w:tcW w:w="5660" w:type="dxa"/>
            <w:vAlign w:val="bottom"/>
          </w:tcPr>
          <w:p>
            <w:pPr>
              <w:ind w:left="680"/>
              <w:spacing w:after="0"/>
              <w:rPr>
                <w:sz w:val="20"/>
                <w:szCs w:val="20"/>
                <w:color w:val="auto"/>
              </w:rPr>
            </w:pPr>
            <w:r>
              <w:rPr>
                <w:rFonts w:ascii="Arial" w:cs="Arial" w:eastAsia="Arial" w:hAnsi="Arial"/>
                <w:sz w:val="15"/>
                <w:szCs w:val="15"/>
                <w:color w:val="auto"/>
              </w:rPr>
              <w:t>Retained earnings</w:t>
            </w:r>
          </w:p>
        </w:tc>
        <w:tc>
          <w:tcPr>
            <w:tcW w:w="8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81,803</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34,960</w:t>
            </w:r>
          </w:p>
        </w:tc>
        <w:tc>
          <w:tcPr>
            <w:tcW w:w="0" w:type="dxa"/>
            <w:vAlign w:val="bottom"/>
          </w:tcPr>
          <w:p>
            <w:pPr>
              <w:spacing w:after="0"/>
              <w:rPr>
                <w:sz w:val="1"/>
                <w:szCs w:val="1"/>
                <w:color w:val="auto"/>
              </w:rPr>
            </w:pPr>
          </w:p>
        </w:tc>
      </w:tr>
      <w:tr>
        <w:trPr>
          <w:trHeight w:val="195"/>
        </w:trPr>
        <w:tc>
          <w:tcPr>
            <w:tcW w:w="5660" w:type="dxa"/>
            <w:vAlign w:val="bottom"/>
            <w:shd w:val="clear" w:color="auto" w:fill="CCEEFF"/>
          </w:tcPr>
          <w:p>
            <w:pPr>
              <w:ind w:left="680"/>
              <w:spacing w:after="0"/>
              <w:rPr>
                <w:sz w:val="20"/>
                <w:szCs w:val="20"/>
                <w:color w:val="auto"/>
              </w:rPr>
            </w:pPr>
            <w:r>
              <w:rPr>
                <w:rFonts w:ascii="Arial" w:cs="Arial" w:eastAsia="Arial" w:hAnsi="Arial"/>
                <w:sz w:val="15"/>
                <w:szCs w:val="15"/>
                <w:color w:val="auto"/>
              </w:rPr>
              <w:t>Accumulated other comprehensive loss</w:t>
            </w: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50"/>
        </w:trPr>
        <w:tc>
          <w:tcPr>
            <w:tcW w:w="5660" w:type="dxa"/>
            <w:vAlign w:val="bottom"/>
          </w:tcPr>
          <w:p>
            <w:pPr>
              <w:ind w:left="680"/>
              <w:spacing w:after="0" w:line="150" w:lineRule="exact"/>
              <w:rPr>
                <w:sz w:val="20"/>
                <w:szCs w:val="20"/>
                <w:color w:val="auto"/>
              </w:rPr>
            </w:pPr>
            <w:r>
              <w:rPr>
                <w:rFonts w:ascii="Arial" w:cs="Arial" w:eastAsia="Arial" w:hAnsi="Arial"/>
                <w:sz w:val="15"/>
                <w:szCs w:val="15"/>
                <w:color w:val="auto"/>
                <w:w w:val="96"/>
              </w:rPr>
              <w:t>Treasury stock, at cost; 341,522 shares as of December 31, 2021 (none as of</w:t>
            </w:r>
          </w:p>
        </w:tc>
        <w:tc>
          <w:tcPr>
            <w:tcW w:w="8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(5,566)</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566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December 31, 2020)</w:t>
            </w:r>
          </w:p>
        </w:tc>
        <w:tc>
          <w:tcPr>
            <w:tcW w:w="8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6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5"/>
                <w:szCs w:val="15"/>
                <w:color w:val="auto"/>
              </w:rPr>
              <w:t>Total stockholders’ equity</w:t>
            </w:r>
          </w:p>
        </w:tc>
        <w:tc>
          <w:tcPr>
            <w:tcW w:w="8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143,040</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94,261</w:t>
            </w:r>
          </w:p>
        </w:tc>
        <w:tc>
          <w:tcPr>
            <w:tcW w:w="0" w:type="dxa"/>
            <w:vAlign w:val="bottom"/>
          </w:tcPr>
          <w:p>
            <w:pPr>
              <w:spacing w:after="0"/>
              <w:rPr>
                <w:sz w:val="1"/>
                <w:szCs w:val="1"/>
                <w:color w:val="auto"/>
              </w:rPr>
            </w:pPr>
          </w:p>
        </w:tc>
      </w:tr>
      <w:tr>
        <w:trPr>
          <w:trHeight w:val="195"/>
        </w:trPr>
        <w:tc>
          <w:tcPr>
            <w:tcW w:w="5660" w:type="dxa"/>
            <w:vAlign w:val="bottom"/>
          </w:tcPr>
          <w:p>
            <w:pPr>
              <w:ind w:left="840"/>
              <w:spacing w:after="0"/>
              <w:rPr>
                <w:sz w:val="20"/>
                <w:szCs w:val="20"/>
                <w:color w:val="auto"/>
              </w:rPr>
            </w:pPr>
            <w:r>
              <w:rPr>
                <w:rFonts w:ascii="Arial" w:cs="Arial" w:eastAsia="Arial" w:hAnsi="Arial"/>
                <w:sz w:val="15"/>
                <w:szCs w:val="15"/>
                <w:color w:val="auto"/>
              </w:rPr>
              <w:t>Total liabilities and stockholders’ equity</w:t>
            </w:r>
          </w:p>
        </w:tc>
        <w:tc>
          <w:tcPr>
            <w:tcW w:w="8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340,536</w:t>
            </w:r>
          </w:p>
        </w:tc>
        <w:tc>
          <w:tcPr>
            <w:tcW w:w="100" w:type="dxa"/>
            <w:vAlign w:val="bottom"/>
          </w:tcPr>
          <w:p>
            <w:pPr>
              <w:spacing w:after="0"/>
              <w:rPr>
                <w:sz w:val="16"/>
                <w:szCs w:val="16"/>
                <w:color w:val="auto"/>
              </w:rPr>
            </w:pPr>
          </w:p>
        </w:tc>
        <w:tc>
          <w:tcPr>
            <w:tcW w:w="8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259,473</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10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95"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0139"/>
          </w:cols>
          <w:pgMar w:left="320" w:top="129" w:right="1440" w:bottom="1440" w:gutter="0" w:footer="0" w:header="0"/>
        </w:sectPr>
      </w:pPr>
    </w:p>
    <w:bookmarkStart w:id="47" w:name="page48"/>
    <w:bookmarkEnd w:id="47"/>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191"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INTERNATIONAL MONEY EXPRESS, INC.</w:t>
      </w:r>
    </w:p>
    <w:p>
      <w:pPr>
        <w:spacing w:after="0" w:line="26"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CONSOLIDATED STATEMENTS OF INCOME AND</w:t>
      </w:r>
    </w:p>
    <w:p>
      <w:pPr>
        <w:spacing w:after="0" w:line="11"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COMPREHENSIVE INCOME</w:t>
      </w:r>
    </w:p>
    <w:p>
      <w:pPr>
        <w:spacing w:after="0" w:line="11"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(in thousands, except for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540" w:type="dxa"/>
        <w:tblCellMar>
          <w:top w:w="0" w:type="dxa"/>
          <w:left w:w="0" w:type="dxa"/>
          <w:bottom w:w="0" w:type="dxa"/>
          <w:right w:w="0" w:type="dxa"/>
        </w:tblCellMar>
      </w:tblPr>
      <w:tr>
        <w:trPr>
          <w:trHeight w:val="197"/>
        </w:trPr>
        <w:tc>
          <w:tcPr>
            <w:tcW w:w="37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4"/>
          </w:tcPr>
          <w:p>
            <w:pPr>
              <w:ind w:left="380"/>
              <w:spacing w:after="0"/>
              <w:rPr>
                <w:sz w:val="20"/>
                <w:szCs w:val="20"/>
                <w:color w:val="auto"/>
              </w:rPr>
            </w:pPr>
            <w:r>
              <w:rPr>
                <w:rFonts w:ascii="Arial" w:cs="Arial" w:eastAsia="Arial" w:hAnsi="Arial"/>
                <w:sz w:val="15"/>
                <w:szCs w:val="15"/>
                <w:color w:val="auto"/>
              </w:rPr>
              <w:t>Year Ended December 31,</w:t>
            </w: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98"/>
        </w:trPr>
        <w:tc>
          <w:tcPr>
            <w:tcW w:w="37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color w:val="auto"/>
              </w:rPr>
              <w:t>2021</w:t>
            </w:r>
          </w:p>
        </w:tc>
        <w:tc>
          <w:tcPr>
            <w:tcW w:w="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color w:val="auto"/>
              </w:rPr>
              <w:t>2020</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color w:val="auto"/>
              </w:rPr>
              <w:t>2019</w:t>
            </w:r>
          </w:p>
        </w:tc>
      </w:tr>
      <w:tr>
        <w:trPr>
          <w:trHeight w:val="413"/>
        </w:trPr>
        <w:tc>
          <w:tcPr>
            <w:tcW w:w="3780" w:type="dxa"/>
            <w:vAlign w:val="bottom"/>
          </w:tcPr>
          <w:p>
            <w:pPr>
              <w:ind w:left="560"/>
              <w:spacing w:after="0"/>
              <w:rPr>
                <w:sz w:val="20"/>
                <w:szCs w:val="20"/>
                <w:color w:val="auto"/>
              </w:rPr>
            </w:pPr>
            <w:r>
              <w:rPr>
                <w:rFonts w:ascii="Arial" w:cs="Arial" w:eastAsia="Arial" w:hAnsi="Arial"/>
                <w:sz w:val="15"/>
                <w:szCs w:val="15"/>
                <w:color w:val="auto"/>
              </w:rPr>
              <w:t>Revenues:</w:t>
            </w: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5"/>
        </w:trPr>
        <w:tc>
          <w:tcPr>
            <w:tcW w:w="37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Wire transfer and money order fees, net</w:t>
            </w:r>
          </w:p>
        </w:tc>
        <w:tc>
          <w:tcPr>
            <w:tcW w:w="8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393,241</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307,909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273,081</w:t>
            </w:r>
          </w:p>
        </w:tc>
      </w:tr>
      <w:tr>
        <w:trPr>
          <w:trHeight w:val="195"/>
        </w:trPr>
        <w:tc>
          <w:tcPr>
            <w:tcW w:w="3780" w:type="dxa"/>
            <w:vAlign w:val="bottom"/>
          </w:tcPr>
          <w:p>
            <w:pPr>
              <w:ind w:left="680"/>
              <w:spacing w:after="0"/>
              <w:rPr>
                <w:sz w:val="20"/>
                <w:szCs w:val="20"/>
                <w:color w:val="auto"/>
              </w:rPr>
            </w:pPr>
            <w:r>
              <w:rPr>
                <w:rFonts w:ascii="Arial" w:cs="Arial" w:eastAsia="Arial" w:hAnsi="Arial"/>
                <w:sz w:val="15"/>
                <w:szCs w:val="15"/>
                <w:color w:val="auto"/>
              </w:rPr>
              <w:t>Foreign exchange gain, net</w:t>
            </w:r>
          </w:p>
        </w:tc>
        <w:tc>
          <w:tcPr>
            <w:tcW w:w="8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62,832</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46,763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44,268</w:t>
            </w:r>
          </w:p>
        </w:tc>
      </w:tr>
      <w:tr>
        <w:trPr>
          <w:trHeight w:val="198"/>
        </w:trPr>
        <w:tc>
          <w:tcPr>
            <w:tcW w:w="3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5"/>
                <w:szCs w:val="15"/>
                <w:color w:val="auto"/>
              </w:rPr>
              <w:t>Other income</w:t>
            </w:r>
          </w:p>
        </w:tc>
        <w:tc>
          <w:tcPr>
            <w:tcW w:w="8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3,133</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2,537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2,252</w:t>
            </w:r>
          </w:p>
        </w:tc>
      </w:tr>
      <w:tr>
        <w:trPr>
          <w:trHeight w:val="198"/>
        </w:trPr>
        <w:tc>
          <w:tcPr>
            <w:tcW w:w="3780" w:type="dxa"/>
            <w:vAlign w:val="bottom"/>
            <w:tcBorders>
              <w:bottom w:val="single" w:sz="8" w:color="CCEEFF"/>
            </w:tcBorders>
          </w:tcPr>
          <w:p>
            <w:pPr>
              <w:ind w:left="840"/>
              <w:spacing w:after="0"/>
              <w:rPr>
                <w:sz w:val="20"/>
                <w:szCs w:val="20"/>
                <w:color w:val="auto"/>
              </w:rPr>
            </w:pPr>
            <w:r>
              <w:rPr>
                <w:rFonts w:ascii="Arial" w:cs="Arial" w:eastAsia="Arial" w:hAnsi="Arial"/>
                <w:sz w:val="15"/>
                <w:szCs w:val="15"/>
                <w:color w:val="auto"/>
              </w:rPr>
              <w:t>Total revenues</w:t>
            </w:r>
          </w:p>
        </w:tc>
        <w:tc>
          <w:tcPr>
            <w:tcW w:w="8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459,206</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357,209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319,601</w:t>
            </w:r>
          </w:p>
        </w:tc>
      </w:tr>
      <w:tr>
        <w:trPr>
          <w:trHeight w:val="218"/>
        </w:trPr>
        <w:tc>
          <w:tcPr>
            <w:tcW w:w="3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95"/>
        </w:trPr>
        <w:tc>
          <w:tcPr>
            <w:tcW w:w="3780" w:type="dxa"/>
            <w:vAlign w:val="bottom"/>
          </w:tcPr>
          <w:p>
            <w:pPr>
              <w:ind w:left="560"/>
              <w:spacing w:after="0"/>
              <w:rPr>
                <w:sz w:val="20"/>
                <w:szCs w:val="20"/>
                <w:color w:val="auto"/>
              </w:rPr>
            </w:pPr>
            <w:r>
              <w:rPr>
                <w:rFonts w:ascii="Arial" w:cs="Arial" w:eastAsia="Arial" w:hAnsi="Arial"/>
                <w:sz w:val="15"/>
                <w:szCs w:val="15"/>
                <w:color w:val="auto"/>
              </w:rPr>
              <w:t>Operating expenses:</w:t>
            </w: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5"/>
        </w:trPr>
        <w:tc>
          <w:tcPr>
            <w:tcW w:w="37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Service charges from agents and banks</w:t>
            </w: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307,458</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238,597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212,670</w:t>
            </w:r>
          </w:p>
        </w:tc>
      </w:tr>
      <w:tr>
        <w:trPr>
          <w:trHeight w:val="195"/>
        </w:trPr>
        <w:tc>
          <w:tcPr>
            <w:tcW w:w="3780" w:type="dxa"/>
            <w:vAlign w:val="bottom"/>
          </w:tcPr>
          <w:p>
            <w:pPr>
              <w:ind w:left="680"/>
              <w:spacing w:after="0"/>
              <w:rPr>
                <w:sz w:val="20"/>
                <w:szCs w:val="20"/>
                <w:color w:val="auto"/>
              </w:rPr>
            </w:pPr>
            <w:r>
              <w:rPr>
                <w:rFonts w:ascii="Arial" w:cs="Arial" w:eastAsia="Arial" w:hAnsi="Arial"/>
                <w:sz w:val="15"/>
                <w:szCs w:val="15"/>
                <w:color w:val="auto"/>
              </w:rPr>
              <w:t>Salaries and benefits</w:t>
            </w:r>
          </w:p>
        </w:tc>
        <w:tc>
          <w:tcPr>
            <w:tcW w:w="8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43,065</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32,831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30,705</w:t>
            </w:r>
          </w:p>
        </w:tc>
      </w:tr>
      <w:tr>
        <w:trPr>
          <w:trHeight w:val="195"/>
        </w:trPr>
        <w:tc>
          <w:tcPr>
            <w:tcW w:w="37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selling, general and administrative expenses</w:t>
            </w: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31,340</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22,086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27,095</w:t>
            </w:r>
          </w:p>
        </w:tc>
      </w:tr>
      <w:tr>
        <w:trPr>
          <w:trHeight w:val="198"/>
        </w:trPr>
        <w:tc>
          <w:tcPr>
            <w:tcW w:w="3780" w:type="dxa"/>
            <w:vAlign w:val="bottom"/>
            <w:tcBorders>
              <w:bottom w:val="single" w:sz="8" w:color="CCEEFF"/>
            </w:tcBorders>
          </w:tcPr>
          <w:p>
            <w:pPr>
              <w:ind w:left="680"/>
              <w:spacing w:after="0"/>
              <w:rPr>
                <w:sz w:val="20"/>
                <w:szCs w:val="20"/>
                <w:color w:val="auto"/>
              </w:rPr>
            </w:pPr>
            <w:r>
              <w:rPr>
                <w:rFonts w:ascii="Arial" w:cs="Arial" w:eastAsia="Arial" w:hAnsi="Arial"/>
                <w:sz w:val="15"/>
                <w:szCs w:val="15"/>
                <w:color w:val="auto"/>
              </w:rPr>
              <w:t>Depreciation and amortization</w:t>
            </w:r>
          </w:p>
        </w:tc>
        <w:tc>
          <w:tcPr>
            <w:tcW w:w="8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9,491</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10,828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12,689</w:t>
            </w:r>
          </w:p>
        </w:tc>
      </w:tr>
      <w:tr>
        <w:trPr>
          <w:trHeight w:val="198"/>
        </w:trPr>
        <w:tc>
          <w:tcPr>
            <w:tcW w:w="37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5"/>
                <w:szCs w:val="15"/>
                <w:color w:val="auto"/>
              </w:rPr>
              <w:t>Total operating expenses</w:t>
            </w:r>
          </w:p>
        </w:tc>
        <w:tc>
          <w:tcPr>
            <w:tcW w:w="8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391,354</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304,342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283,159</w:t>
            </w:r>
          </w:p>
        </w:tc>
      </w:tr>
      <w:tr>
        <w:trPr>
          <w:trHeight w:val="218"/>
        </w:trPr>
        <w:tc>
          <w:tcPr>
            <w:tcW w:w="3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5"/>
        </w:trPr>
        <w:tc>
          <w:tcPr>
            <w:tcW w:w="3780" w:type="dxa"/>
            <w:vAlign w:val="bottom"/>
            <w:shd w:val="clear" w:color="auto" w:fill="CCEEFF"/>
          </w:tcPr>
          <w:p>
            <w:pPr>
              <w:ind w:left="560"/>
              <w:spacing w:after="0"/>
              <w:rPr>
                <w:sz w:val="20"/>
                <w:szCs w:val="20"/>
                <w:color w:val="auto"/>
              </w:rPr>
            </w:pPr>
            <w:r>
              <w:rPr>
                <w:rFonts w:ascii="Arial" w:cs="Arial" w:eastAsia="Arial" w:hAnsi="Arial"/>
                <w:sz w:val="15"/>
                <w:szCs w:val="15"/>
                <w:color w:val="auto"/>
              </w:rPr>
              <w:t>Operating income</w:t>
            </w: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67,852</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52,867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36,442</w:t>
            </w:r>
          </w:p>
        </w:tc>
      </w:tr>
      <w:tr>
        <w:trPr>
          <w:trHeight w:val="229"/>
        </w:trPr>
        <w:tc>
          <w:tcPr>
            <w:tcW w:w="3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98"/>
        </w:trPr>
        <w:tc>
          <w:tcPr>
            <w:tcW w:w="37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5"/>
                <w:szCs w:val="15"/>
                <w:color w:val="auto"/>
              </w:rPr>
              <w:t>Interest expense</w:t>
            </w:r>
          </w:p>
        </w:tc>
        <w:tc>
          <w:tcPr>
            <w:tcW w:w="8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4,537</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6,566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8,510</w:t>
            </w:r>
          </w:p>
        </w:tc>
      </w:tr>
      <w:tr>
        <w:trPr>
          <w:trHeight w:val="218"/>
        </w:trPr>
        <w:tc>
          <w:tcPr>
            <w:tcW w:w="3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5"/>
        </w:trPr>
        <w:tc>
          <w:tcPr>
            <w:tcW w:w="3780" w:type="dxa"/>
            <w:vAlign w:val="bottom"/>
            <w:shd w:val="clear" w:color="auto" w:fill="CCEEFF"/>
          </w:tcPr>
          <w:p>
            <w:pPr>
              <w:ind w:left="840"/>
              <w:spacing w:after="0"/>
              <w:rPr>
                <w:sz w:val="20"/>
                <w:szCs w:val="20"/>
                <w:color w:val="auto"/>
              </w:rPr>
            </w:pPr>
            <w:r>
              <w:rPr>
                <w:rFonts w:ascii="Arial" w:cs="Arial" w:eastAsia="Arial" w:hAnsi="Arial"/>
                <w:sz w:val="15"/>
                <w:szCs w:val="15"/>
                <w:color w:val="auto"/>
              </w:rPr>
              <w:t>Income before income taxes</w:t>
            </w: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63,315</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46,301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27,932</w:t>
            </w:r>
          </w:p>
        </w:tc>
      </w:tr>
      <w:tr>
        <w:trPr>
          <w:trHeight w:val="229"/>
        </w:trPr>
        <w:tc>
          <w:tcPr>
            <w:tcW w:w="3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98"/>
        </w:trPr>
        <w:tc>
          <w:tcPr>
            <w:tcW w:w="37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5"/>
                <w:szCs w:val="15"/>
                <w:color w:val="auto"/>
              </w:rPr>
              <w:t>Income tax provision</w:t>
            </w:r>
          </w:p>
        </w:tc>
        <w:tc>
          <w:tcPr>
            <w:tcW w:w="8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16,472</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12,517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8,323</w:t>
            </w:r>
          </w:p>
        </w:tc>
      </w:tr>
      <w:tr>
        <w:trPr>
          <w:trHeight w:val="218"/>
        </w:trPr>
        <w:tc>
          <w:tcPr>
            <w:tcW w:w="3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5"/>
        </w:trPr>
        <w:tc>
          <w:tcPr>
            <w:tcW w:w="3780" w:type="dxa"/>
            <w:vAlign w:val="bottom"/>
            <w:shd w:val="clear" w:color="auto" w:fill="CCEEFF"/>
          </w:tcPr>
          <w:p>
            <w:pPr>
              <w:ind w:left="840"/>
              <w:spacing w:after="0"/>
              <w:rPr>
                <w:sz w:val="20"/>
                <w:szCs w:val="20"/>
                <w:color w:val="auto"/>
              </w:rPr>
            </w:pPr>
            <w:r>
              <w:rPr>
                <w:rFonts w:ascii="Arial" w:cs="Arial" w:eastAsia="Arial" w:hAnsi="Arial"/>
                <w:sz w:val="15"/>
                <w:szCs w:val="15"/>
                <w:color w:val="auto"/>
              </w:rPr>
              <w:t>Net income</w:t>
            </w: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46,843</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33,784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19,609</w:t>
            </w:r>
          </w:p>
        </w:tc>
      </w:tr>
      <w:tr>
        <w:trPr>
          <w:trHeight w:val="229"/>
        </w:trPr>
        <w:tc>
          <w:tcPr>
            <w:tcW w:w="3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98"/>
        </w:trPr>
        <w:tc>
          <w:tcPr>
            <w:tcW w:w="37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5"/>
                <w:szCs w:val="15"/>
                <w:color w:val="auto"/>
              </w:rPr>
              <w:t>Other comprehensive (loss) income</w:t>
            </w:r>
          </w:p>
        </w:tc>
        <w:tc>
          <w:tcPr>
            <w:tcW w:w="8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w:t>
            </w:r>
          </w:p>
        </w:tc>
      </w:tr>
      <w:tr>
        <w:trPr>
          <w:trHeight w:val="218"/>
        </w:trPr>
        <w:tc>
          <w:tcPr>
            <w:tcW w:w="3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0"/>
        </w:trPr>
        <w:tc>
          <w:tcPr>
            <w:tcW w:w="37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5"/>
                <w:szCs w:val="15"/>
                <w:color w:val="auto"/>
              </w:rPr>
              <w:t>Comprehensive income</w:t>
            </w:r>
          </w:p>
        </w:tc>
        <w:tc>
          <w:tcPr>
            <w:tcW w:w="8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46,780</w:t>
            </w: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33,678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19,704</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72"/>
        </w:trPr>
        <w:tc>
          <w:tcPr>
            <w:tcW w:w="3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5"/>
        </w:trPr>
        <w:tc>
          <w:tcPr>
            <w:tcW w:w="3780" w:type="dxa"/>
            <w:vAlign w:val="bottom"/>
            <w:shd w:val="clear" w:color="auto" w:fill="CCEEFF"/>
          </w:tcPr>
          <w:p>
            <w:pPr>
              <w:ind w:left="560"/>
              <w:spacing w:after="0"/>
              <w:rPr>
                <w:sz w:val="20"/>
                <w:szCs w:val="20"/>
                <w:color w:val="auto"/>
              </w:rPr>
            </w:pPr>
            <w:r>
              <w:rPr>
                <w:rFonts w:ascii="Arial" w:cs="Arial" w:eastAsia="Arial" w:hAnsi="Arial"/>
                <w:sz w:val="15"/>
                <w:szCs w:val="15"/>
                <w:color w:val="auto"/>
              </w:rPr>
              <w:t>Earnings per common share:</w:t>
            </w: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95"/>
        </w:trPr>
        <w:tc>
          <w:tcPr>
            <w:tcW w:w="3780" w:type="dxa"/>
            <w:vAlign w:val="bottom"/>
          </w:tcPr>
          <w:p>
            <w:pPr>
              <w:ind w:left="840"/>
              <w:spacing w:after="0"/>
              <w:rPr>
                <w:sz w:val="20"/>
                <w:szCs w:val="20"/>
                <w:color w:val="auto"/>
              </w:rPr>
            </w:pPr>
            <w:r>
              <w:rPr>
                <w:rFonts w:ascii="Arial" w:cs="Arial" w:eastAsia="Arial" w:hAnsi="Arial"/>
                <w:sz w:val="15"/>
                <w:szCs w:val="15"/>
                <w:color w:val="auto"/>
              </w:rPr>
              <w:t>Basic</w:t>
            </w:r>
          </w:p>
        </w:tc>
        <w:tc>
          <w:tcPr>
            <w:tcW w:w="84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1.22</w:t>
            </w:r>
          </w:p>
        </w:tc>
        <w:tc>
          <w:tcPr>
            <w:tcW w:w="80" w:type="dxa"/>
            <w:vAlign w:val="bottom"/>
          </w:tcPr>
          <w:p>
            <w:pPr>
              <w:spacing w:after="0"/>
              <w:rPr>
                <w:sz w:val="16"/>
                <w:szCs w:val="16"/>
                <w:color w:val="auto"/>
              </w:rPr>
            </w:pPr>
          </w:p>
        </w:tc>
        <w:tc>
          <w:tcPr>
            <w:tcW w:w="84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0.89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0.52</w:t>
            </w:r>
          </w:p>
        </w:tc>
      </w:tr>
      <w:tr>
        <w:trPr>
          <w:trHeight w:val="195"/>
        </w:trPr>
        <w:tc>
          <w:tcPr>
            <w:tcW w:w="3780" w:type="dxa"/>
            <w:vAlign w:val="bottom"/>
            <w:shd w:val="clear" w:color="auto" w:fill="CCEEFF"/>
          </w:tcPr>
          <w:p>
            <w:pPr>
              <w:ind w:left="840"/>
              <w:spacing w:after="0"/>
              <w:rPr>
                <w:sz w:val="20"/>
                <w:szCs w:val="20"/>
                <w:color w:val="auto"/>
              </w:rPr>
            </w:pPr>
            <w:r>
              <w:rPr>
                <w:rFonts w:ascii="Arial" w:cs="Arial" w:eastAsia="Arial" w:hAnsi="Arial"/>
                <w:sz w:val="15"/>
                <w:szCs w:val="15"/>
                <w:color w:val="auto"/>
              </w:rPr>
              <w:t>Diluted</w:t>
            </w:r>
          </w:p>
        </w:tc>
        <w:tc>
          <w:tcPr>
            <w:tcW w:w="8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0.52</w:t>
            </w:r>
          </w:p>
        </w:tc>
      </w:tr>
      <w:tr>
        <w:trPr>
          <w:trHeight w:val="229"/>
        </w:trPr>
        <w:tc>
          <w:tcPr>
            <w:tcW w:w="3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95"/>
        </w:trPr>
        <w:tc>
          <w:tcPr>
            <w:tcW w:w="3780" w:type="dxa"/>
            <w:vAlign w:val="bottom"/>
            <w:shd w:val="clear" w:color="auto" w:fill="CCEEFF"/>
          </w:tcPr>
          <w:p>
            <w:pPr>
              <w:ind w:left="560"/>
              <w:spacing w:after="0"/>
              <w:rPr>
                <w:sz w:val="20"/>
                <w:szCs w:val="20"/>
                <w:color w:val="auto"/>
              </w:rPr>
            </w:pPr>
            <w:r>
              <w:rPr>
                <w:rFonts w:ascii="Arial" w:cs="Arial" w:eastAsia="Arial" w:hAnsi="Arial"/>
                <w:sz w:val="15"/>
                <w:szCs w:val="15"/>
                <w:color w:val="auto"/>
              </w:rPr>
              <w:t>Weighted-average common shares outstanding:</w:t>
            </w: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95"/>
        </w:trPr>
        <w:tc>
          <w:tcPr>
            <w:tcW w:w="3780" w:type="dxa"/>
            <w:vAlign w:val="bottom"/>
          </w:tcPr>
          <w:p>
            <w:pPr>
              <w:ind w:left="840"/>
              <w:spacing w:after="0"/>
              <w:rPr>
                <w:sz w:val="20"/>
                <w:szCs w:val="20"/>
                <w:color w:val="auto"/>
              </w:rPr>
            </w:pPr>
            <w:r>
              <w:rPr>
                <w:rFonts w:ascii="Arial" w:cs="Arial" w:eastAsia="Arial" w:hAnsi="Arial"/>
                <w:sz w:val="15"/>
                <w:szCs w:val="15"/>
                <w:color w:val="auto"/>
              </w:rPr>
              <w:t>Basic</w:t>
            </w:r>
          </w:p>
        </w:tc>
        <w:tc>
          <w:tcPr>
            <w:tcW w:w="8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38,474,040</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38,060,290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37,428,345</w:t>
            </w:r>
          </w:p>
        </w:tc>
      </w:tr>
      <w:tr>
        <w:trPr>
          <w:trHeight w:val="195"/>
        </w:trPr>
        <w:tc>
          <w:tcPr>
            <w:tcW w:w="3780" w:type="dxa"/>
            <w:vAlign w:val="bottom"/>
            <w:shd w:val="clear" w:color="auto" w:fill="CCEEFF"/>
          </w:tcPr>
          <w:p>
            <w:pPr>
              <w:ind w:left="840"/>
              <w:spacing w:after="0"/>
              <w:rPr>
                <w:sz w:val="20"/>
                <w:szCs w:val="20"/>
                <w:color w:val="auto"/>
              </w:rPr>
            </w:pPr>
            <w:r>
              <w:rPr>
                <w:rFonts w:ascii="Arial" w:cs="Arial" w:eastAsia="Arial" w:hAnsi="Arial"/>
                <w:sz w:val="15"/>
                <w:szCs w:val="15"/>
                <w:color w:val="auto"/>
              </w:rPr>
              <w:t>Diluted</w:t>
            </w: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39,103,450</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38,358,171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37,594,158</w:t>
            </w:r>
          </w:p>
        </w:tc>
      </w:tr>
    </w:tbl>
    <w:p>
      <w:pPr>
        <w:spacing w:after="0" w:line="200" w:lineRule="exact"/>
        <w:rPr>
          <w:sz w:val="20"/>
          <w:szCs w:val="20"/>
          <w:color w:val="auto"/>
        </w:rPr>
      </w:pPr>
    </w:p>
    <w:p>
      <w:pPr>
        <w:spacing w:after="0" w:line="374" w:lineRule="exact"/>
        <w:rPr>
          <w:sz w:val="20"/>
          <w:szCs w:val="20"/>
          <w:color w:val="auto"/>
        </w:rPr>
      </w:pPr>
    </w:p>
    <w:p>
      <w:pPr>
        <w:jc w:val="center"/>
        <w:ind w:right="-110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95"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0139"/>
          </w:cols>
          <w:pgMar w:left="320" w:top="129" w:right="1440" w:bottom="1440" w:gutter="0" w:footer="0" w:header="0"/>
        </w:sectPr>
      </w:pPr>
    </w:p>
    <w:bookmarkStart w:id="48" w:name="page49"/>
    <w:bookmarkEnd w:id="48"/>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191" w:lineRule="exact"/>
        <w:rPr>
          <w:sz w:val="20"/>
          <w:szCs w:val="20"/>
          <w:color w:val="auto"/>
        </w:rPr>
      </w:pPr>
    </w:p>
    <w:p>
      <w:pPr>
        <w:jc w:val="center"/>
        <w:ind w:left="520" w:right="2640"/>
        <w:spacing w:after="0" w:line="284" w:lineRule="auto"/>
        <w:rPr>
          <w:sz w:val="20"/>
          <w:szCs w:val="20"/>
          <w:color w:val="auto"/>
        </w:rPr>
      </w:pPr>
      <w:r>
        <w:rPr>
          <w:rFonts w:ascii="Arial" w:cs="Arial" w:eastAsia="Arial" w:hAnsi="Arial"/>
          <w:sz w:val="15"/>
          <w:szCs w:val="15"/>
          <w:b w:val="1"/>
          <w:bCs w:val="1"/>
          <w:color w:val="auto"/>
        </w:rPr>
        <w:t>INTERNATIONAL MONEY EXPRESS, INC. CONSOLIDATED STATEMENTS OF CHANGES IN STOCKHOLDERS’ EQUITY (in thousands, except for share data)</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80" w:type="dxa"/>
            <w:vAlign w:val="bottom"/>
          </w:tcPr>
          <w:p>
            <w:pPr>
              <w:spacing w:after="0"/>
              <w:rPr>
                <w:sz w:val="14"/>
                <w:szCs w:val="14"/>
                <w:color w:val="auto"/>
              </w:rPr>
            </w:pPr>
          </w:p>
        </w:tc>
        <w:tc>
          <w:tcPr>
            <w:tcW w:w="1900" w:type="dxa"/>
            <w:vAlign w:val="bottom"/>
            <w:gridSpan w:val="4"/>
            <w:vMerge w:val="restart"/>
          </w:tcPr>
          <w:p>
            <w:pPr>
              <w:jc w:val="right"/>
              <w:ind w:right="364"/>
              <w:spacing w:after="0"/>
              <w:rPr>
                <w:sz w:val="20"/>
                <w:szCs w:val="20"/>
                <w:color w:val="auto"/>
              </w:rPr>
            </w:pPr>
            <w:r>
              <w:rPr>
                <w:rFonts w:ascii="Arial" w:cs="Arial" w:eastAsia="Arial" w:hAnsi="Arial"/>
                <w:sz w:val="15"/>
                <w:szCs w:val="15"/>
                <w:b w:val="1"/>
                <w:bCs w:val="1"/>
                <w:color w:val="auto"/>
              </w:rPr>
              <w:t>Common Stock</w:t>
            </w:r>
          </w:p>
        </w:tc>
        <w:tc>
          <w:tcPr>
            <w:tcW w:w="80" w:type="dxa"/>
            <w:vAlign w:val="bottom"/>
            <w:vMerge w:val="restart"/>
          </w:tcPr>
          <w:p>
            <w:pPr>
              <w:spacing w:after="0"/>
              <w:rPr>
                <w:sz w:val="14"/>
                <w:szCs w:val="14"/>
                <w:color w:val="auto"/>
              </w:rPr>
            </w:pPr>
          </w:p>
        </w:tc>
        <w:tc>
          <w:tcPr>
            <w:tcW w:w="1900" w:type="dxa"/>
            <w:vAlign w:val="bottom"/>
            <w:gridSpan w:val="4"/>
            <w:vMerge w:val="restart"/>
          </w:tcPr>
          <w:p>
            <w:pPr>
              <w:ind w:left="460"/>
              <w:spacing w:after="0"/>
              <w:rPr>
                <w:sz w:val="20"/>
                <w:szCs w:val="20"/>
                <w:color w:val="auto"/>
              </w:rPr>
            </w:pPr>
            <w:r>
              <w:rPr>
                <w:rFonts w:ascii="Arial" w:cs="Arial" w:eastAsia="Arial" w:hAnsi="Arial"/>
                <w:sz w:val="15"/>
                <w:szCs w:val="15"/>
                <w:b w:val="1"/>
                <w:bCs w:val="1"/>
                <w:color w:val="auto"/>
              </w:rPr>
              <w:t>Treasury Stock</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5"/>
              </w:rPr>
              <w:t>Additional</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3"/>
          </w:tcPr>
          <w:p>
            <w:pPr>
              <w:jc w:val="center"/>
              <w:ind w:right="80"/>
              <w:spacing w:after="0"/>
              <w:rPr>
                <w:sz w:val="20"/>
                <w:szCs w:val="20"/>
                <w:color w:val="auto"/>
              </w:rPr>
            </w:pPr>
            <w:r>
              <w:rPr>
                <w:rFonts w:ascii="Arial" w:cs="Arial" w:eastAsia="Arial" w:hAnsi="Arial"/>
                <w:sz w:val="15"/>
                <w:szCs w:val="15"/>
                <w:b w:val="1"/>
                <w:bCs w:val="1"/>
                <w:color w:val="auto"/>
                <w:w w:val="93"/>
              </w:rPr>
              <w:t>Accumulated Other</w:t>
            </w:r>
          </w:p>
        </w:tc>
        <w:tc>
          <w:tcPr>
            <w:tcW w:w="180" w:type="dxa"/>
            <w:vAlign w:val="bottom"/>
          </w:tcPr>
          <w:p>
            <w:pPr>
              <w:spacing w:after="0"/>
              <w:rPr>
                <w:sz w:val="14"/>
                <w:szCs w:val="14"/>
                <w:color w:val="auto"/>
              </w:rPr>
            </w:pPr>
          </w:p>
        </w:tc>
        <w:tc>
          <w:tcPr>
            <w:tcW w:w="820" w:type="dxa"/>
            <w:vAlign w:val="bottom"/>
          </w:tcPr>
          <w:p>
            <w:pPr>
              <w:jc w:val="center"/>
              <w:ind w:right="104"/>
              <w:spacing w:after="0"/>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34"/>
        </w:trPr>
        <w:tc>
          <w:tcPr>
            <w:tcW w:w="2180" w:type="dxa"/>
            <w:vAlign w:val="bottom"/>
          </w:tcPr>
          <w:p>
            <w:pPr>
              <w:spacing w:after="0"/>
              <w:rPr>
                <w:sz w:val="11"/>
                <w:szCs w:val="11"/>
                <w:color w:val="auto"/>
              </w:rPr>
            </w:pPr>
          </w:p>
        </w:tc>
        <w:tc>
          <w:tcPr>
            <w:tcW w:w="190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90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rPr>
              <w:t>Paid-in</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7"/>
              </w:rPr>
              <w:t>Comprehensive</w:t>
            </w:r>
          </w:p>
        </w:tc>
        <w:tc>
          <w:tcPr>
            <w:tcW w:w="10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98"/>
        </w:trPr>
        <w:tc>
          <w:tcPr>
            <w:tcW w:w="2180" w:type="dxa"/>
            <w:vAlign w:val="bottom"/>
          </w:tcPr>
          <w:p>
            <w:pPr>
              <w:spacing w:after="0"/>
              <w:rPr>
                <w:sz w:val="17"/>
                <w:szCs w:val="17"/>
                <w:color w:val="auto"/>
              </w:rPr>
            </w:pPr>
          </w:p>
        </w:tc>
        <w:tc>
          <w:tcPr>
            <w:tcW w:w="1000" w:type="dxa"/>
            <w:vAlign w:val="bottom"/>
            <w:gridSpan w:val="2"/>
          </w:tcPr>
          <w:p>
            <w:pPr>
              <w:ind w:left="240"/>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Arial" w:cs="Arial" w:eastAsia="Arial" w:hAnsi="Arial"/>
                <w:sz w:val="15"/>
                <w:szCs w:val="15"/>
                <w:b w:val="1"/>
                <w:bCs w:val="1"/>
                <w:color w:val="auto"/>
              </w:rPr>
              <w:t>Amount</w:t>
            </w:r>
          </w:p>
        </w:tc>
        <w:tc>
          <w:tcPr>
            <w:tcW w:w="1000" w:type="dxa"/>
            <w:vAlign w:val="bottom"/>
            <w:gridSpan w:val="2"/>
          </w:tcPr>
          <w:p>
            <w:pPr>
              <w:ind w:left="240"/>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Arial" w:cs="Arial" w:eastAsia="Arial" w:hAnsi="Arial"/>
                <w:sz w:val="15"/>
                <w:szCs w:val="15"/>
                <w:b w:val="1"/>
                <w:bCs w:val="1"/>
                <w:color w:val="auto"/>
              </w:rPr>
              <w:t>Amount</w:t>
            </w:r>
          </w:p>
        </w:tc>
        <w:tc>
          <w:tcPr>
            <w:tcW w:w="12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5"/>
              </w:rPr>
              <w:t>Capital</w:t>
            </w:r>
          </w:p>
        </w:tc>
        <w:tc>
          <w:tcPr>
            <w:tcW w:w="1380" w:type="dxa"/>
            <w:vAlign w:val="bottom"/>
            <w:gridSpan w:val="3"/>
          </w:tcPr>
          <w:p>
            <w:pPr>
              <w:ind w:left="40"/>
              <w:spacing w:after="0"/>
              <w:rPr>
                <w:sz w:val="20"/>
                <w:szCs w:val="20"/>
                <w:color w:val="auto"/>
              </w:rPr>
            </w:pPr>
            <w:r>
              <w:rPr>
                <w:rFonts w:ascii="Arial" w:cs="Arial" w:eastAsia="Arial" w:hAnsi="Arial"/>
                <w:sz w:val="15"/>
                <w:szCs w:val="15"/>
                <w:b w:val="1"/>
                <w:bCs w:val="1"/>
                <w:color w:val="auto"/>
              </w:rPr>
              <w:t>Retained Earnings</w:t>
            </w:r>
          </w:p>
        </w:tc>
        <w:tc>
          <w:tcPr>
            <w:tcW w:w="14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0"/>
              </w:rPr>
              <w:t>(Loss) Income</w:t>
            </w:r>
          </w:p>
        </w:tc>
        <w:tc>
          <w:tcPr>
            <w:tcW w:w="180" w:type="dxa"/>
            <w:vAlign w:val="bottom"/>
          </w:tcPr>
          <w:p>
            <w:pPr>
              <w:spacing w:after="0"/>
              <w:rPr>
                <w:sz w:val="17"/>
                <w:szCs w:val="17"/>
                <w:color w:val="auto"/>
              </w:rPr>
            </w:pPr>
          </w:p>
        </w:tc>
        <w:tc>
          <w:tcPr>
            <w:tcW w:w="820" w:type="dxa"/>
            <w:vAlign w:val="bottom"/>
          </w:tcPr>
          <w:p>
            <w:pPr>
              <w:jc w:val="center"/>
              <w:ind w:right="104"/>
              <w:spacing w:after="0"/>
              <w:rPr>
                <w:sz w:val="20"/>
                <w:szCs w:val="20"/>
                <w:color w:val="auto"/>
              </w:rPr>
            </w:pPr>
            <w:r>
              <w:rPr>
                <w:rFonts w:ascii="Arial" w:cs="Arial" w:eastAsia="Arial" w:hAnsi="Arial"/>
                <w:sz w:val="15"/>
                <w:szCs w:val="15"/>
                <w:b w:val="1"/>
                <w:bCs w:val="1"/>
                <w:color w:val="auto"/>
                <w:w w:val="95"/>
              </w:rPr>
              <w:t>Equity</w:t>
            </w:r>
          </w:p>
        </w:tc>
        <w:tc>
          <w:tcPr>
            <w:tcW w:w="0" w:type="dxa"/>
            <w:vAlign w:val="bottom"/>
          </w:tcPr>
          <w:p>
            <w:pPr>
              <w:spacing w:after="0"/>
              <w:rPr>
                <w:sz w:val="1"/>
                <w:szCs w:val="1"/>
                <w:color w:val="auto"/>
              </w:rPr>
            </w:pPr>
          </w:p>
        </w:tc>
      </w:tr>
      <w:tr>
        <w:trPr>
          <w:trHeight w:val="206"/>
        </w:trPr>
        <w:tc>
          <w:tcPr>
            <w:tcW w:w="2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80" w:type="dxa"/>
            <w:vAlign w:val="bottom"/>
          </w:tcPr>
          <w:p>
            <w:pPr>
              <w:spacing w:after="0"/>
              <w:rPr>
                <w:sz w:val="20"/>
                <w:szCs w:val="20"/>
                <w:color w:val="auto"/>
              </w:rPr>
            </w:pPr>
            <w:r>
              <w:rPr>
                <w:rFonts w:ascii="Arial" w:cs="Arial" w:eastAsia="Arial" w:hAnsi="Arial"/>
                <w:sz w:val="15"/>
                <w:szCs w:val="15"/>
                <w:b w:val="1"/>
                <w:bCs w:val="1"/>
                <w:color w:val="auto"/>
              </w:rPr>
              <w:t>Balance, December 31, 2018</w:t>
            </w:r>
          </w:p>
        </w:tc>
        <w:tc>
          <w:tcPr>
            <w:tcW w:w="920" w:type="dxa"/>
            <w:vAlign w:val="bottom"/>
          </w:tcPr>
          <w:p>
            <w:pPr>
              <w:jc w:val="right"/>
              <w:spacing w:after="0"/>
              <w:rPr>
                <w:sz w:val="20"/>
                <w:szCs w:val="20"/>
                <w:color w:val="auto"/>
              </w:rPr>
            </w:pPr>
            <w:r>
              <w:rPr>
                <w:rFonts w:ascii="Arial" w:cs="Arial" w:eastAsia="Arial" w:hAnsi="Arial"/>
                <w:sz w:val="15"/>
                <w:szCs w:val="15"/>
                <w:color w:val="auto"/>
              </w:rPr>
              <w:t>36,182,783</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61,889</w:t>
            </w:r>
          </w:p>
        </w:tc>
        <w:tc>
          <w:tcPr>
            <w:tcW w:w="80" w:type="dxa"/>
            <w:vAlign w:val="bottom"/>
          </w:tcPr>
          <w:p>
            <w:pPr>
              <w:spacing w:after="0"/>
              <w:rPr>
                <w:sz w:val="16"/>
                <w:szCs w:val="16"/>
                <w:color w:val="auto"/>
              </w:rPr>
            </w:pP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(17,418)</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6"/>
                <w:szCs w:val="16"/>
                <w:color w:val="auto"/>
              </w:rPr>
            </w:pPr>
          </w:p>
        </w:tc>
        <w:tc>
          <w:tcPr>
            <w:tcW w:w="180" w:type="dxa"/>
            <w:vAlign w:val="bottom"/>
          </w:tcPr>
          <w:p>
            <w:pPr>
              <w:jc w:val="right"/>
              <w:ind w:right="5"/>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44,473</w:t>
            </w:r>
          </w:p>
        </w:tc>
        <w:tc>
          <w:tcPr>
            <w:tcW w:w="0" w:type="dxa"/>
            <w:vAlign w:val="bottom"/>
          </w:tcPr>
          <w:p>
            <w:pPr>
              <w:spacing w:after="0"/>
              <w:rPr>
                <w:sz w:val="1"/>
                <w:szCs w:val="1"/>
                <w:color w:val="auto"/>
              </w:rPr>
            </w:pPr>
          </w:p>
        </w:tc>
      </w:tr>
      <w:tr>
        <w:trPr>
          <w:trHeight w:val="150"/>
        </w:trPr>
        <w:tc>
          <w:tcPr>
            <w:tcW w:w="2180" w:type="dxa"/>
            <w:vAlign w:val="bottom"/>
            <w:shd w:val="clear" w:color="auto" w:fill="CCEEFF"/>
          </w:tcPr>
          <w:p>
            <w:pPr>
              <w:spacing w:after="0" w:line="150" w:lineRule="exact"/>
              <w:rPr>
                <w:sz w:val="20"/>
                <w:szCs w:val="20"/>
                <w:color w:val="auto"/>
              </w:rPr>
            </w:pPr>
            <w:r>
              <w:rPr>
                <w:rFonts w:ascii="Arial" w:cs="Arial" w:eastAsia="Arial" w:hAnsi="Arial"/>
                <w:sz w:val="15"/>
                <w:szCs w:val="15"/>
                <w:color w:val="auto"/>
              </w:rPr>
              <w:t>Adoption of new accounting</w:t>
            </w: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(1,015)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ind w:left="10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(1,015)</w:t>
            </w: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spacing w:after="0"/>
              <w:rPr>
                <w:sz w:val="20"/>
                <w:szCs w:val="20"/>
                <w:color w:val="auto"/>
              </w:rPr>
            </w:pPr>
            <w:r>
              <w:rPr>
                <w:rFonts w:ascii="Arial" w:cs="Arial" w:eastAsia="Arial" w:hAnsi="Arial"/>
                <w:sz w:val="15"/>
                <w:szCs w:val="15"/>
                <w:color w:val="auto"/>
              </w:rPr>
              <w:t>pronouncement</w:t>
            </w: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180" w:type="dxa"/>
            <w:vAlign w:val="bottom"/>
          </w:tcPr>
          <w:p>
            <w:pPr>
              <w:spacing w:after="0"/>
              <w:rPr>
                <w:sz w:val="20"/>
                <w:szCs w:val="20"/>
                <w:color w:val="auto"/>
              </w:rPr>
            </w:pPr>
            <w:r>
              <w:rPr>
                <w:rFonts w:ascii="Arial" w:cs="Arial" w:eastAsia="Arial" w:hAnsi="Arial"/>
                <w:sz w:val="15"/>
                <w:szCs w:val="15"/>
                <w:color w:val="auto"/>
              </w:rPr>
              <w:t>Warrant exchange</w:t>
            </w:r>
          </w:p>
        </w:tc>
        <w:tc>
          <w:tcPr>
            <w:tcW w:w="920" w:type="dxa"/>
            <w:vAlign w:val="bottom"/>
          </w:tcPr>
          <w:p>
            <w:pPr>
              <w:jc w:val="right"/>
              <w:spacing w:after="0"/>
              <w:rPr>
                <w:sz w:val="20"/>
                <w:szCs w:val="20"/>
                <w:color w:val="auto"/>
              </w:rPr>
            </w:pPr>
            <w:r>
              <w:rPr>
                <w:rFonts w:ascii="Arial" w:cs="Arial" w:eastAsia="Arial" w:hAnsi="Arial"/>
                <w:sz w:val="15"/>
                <w:szCs w:val="15"/>
                <w:color w:val="auto"/>
              </w:rPr>
              <w:t>1,800,065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(10,031)</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(10,031)</w:t>
            </w:r>
          </w:p>
        </w:tc>
        <w:tc>
          <w:tcPr>
            <w:tcW w:w="0" w:type="dxa"/>
            <w:vAlign w:val="bottom"/>
          </w:tcPr>
          <w:p>
            <w:pPr>
              <w:spacing w:after="0"/>
              <w:rPr>
                <w:sz w:val="1"/>
                <w:szCs w:val="1"/>
                <w:color w:val="auto"/>
              </w:rPr>
            </w:pPr>
          </w:p>
        </w:tc>
      </w:tr>
      <w:tr>
        <w:trPr>
          <w:trHeight w:val="195"/>
        </w:trPr>
        <w:tc>
          <w:tcPr>
            <w:tcW w:w="218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19,609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19,609</w:t>
            </w:r>
          </w:p>
        </w:tc>
        <w:tc>
          <w:tcPr>
            <w:tcW w:w="0" w:type="dxa"/>
            <w:vAlign w:val="bottom"/>
          </w:tcPr>
          <w:p>
            <w:pPr>
              <w:spacing w:after="0"/>
              <w:rPr>
                <w:sz w:val="1"/>
                <w:szCs w:val="1"/>
                <w:color w:val="auto"/>
              </w:rPr>
            </w:pPr>
          </w:p>
        </w:tc>
      </w:tr>
      <w:tr>
        <w:trPr>
          <w:trHeight w:val="195"/>
        </w:trPr>
        <w:tc>
          <w:tcPr>
            <w:tcW w:w="2180" w:type="dxa"/>
            <w:vAlign w:val="bottom"/>
          </w:tcPr>
          <w:p>
            <w:pPr>
              <w:spacing w:after="0"/>
              <w:rPr>
                <w:sz w:val="20"/>
                <w:szCs w:val="20"/>
                <w:color w:val="auto"/>
              </w:rPr>
            </w:pPr>
            <w:r>
              <w:rPr>
                <w:rFonts w:ascii="Arial" w:cs="Arial" w:eastAsia="Arial" w:hAnsi="Arial"/>
                <w:sz w:val="15"/>
                <w:szCs w:val="15"/>
                <w:color w:val="auto"/>
              </w:rPr>
              <w:t>Issuance of common stock:</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1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Exercise of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30,349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w:t>
            </w:r>
          </w:p>
        </w:tc>
        <w:tc>
          <w:tcPr>
            <w:tcW w:w="0" w:type="dxa"/>
            <w:vAlign w:val="bottom"/>
          </w:tcPr>
          <w:p>
            <w:pPr>
              <w:spacing w:after="0"/>
              <w:rPr>
                <w:sz w:val="1"/>
                <w:szCs w:val="1"/>
                <w:color w:val="auto"/>
              </w:rPr>
            </w:pPr>
          </w:p>
        </w:tc>
      </w:tr>
      <w:tr>
        <w:trPr>
          <w:trHeight w:val="195"/>
        </w:trPr>
        <w:tc>
          <w:tcPr>
            <w:tcW w:w="2180" w:type="dxa"/>
            <w:vAlign w:val="bottom"/>
          </w:tcPr>
          <w:p>
            <w:pPr>
              <w:ind w:left="120"/>
              <w:spacing w:after="0"/>
              <w:rPr>
                <w:sz w:val="20"/>
                <w:szCs w:val="20"/>
                <w:color w:val="auto"/>
              </w:rPr>
            </w:pPr>
            <w:r>
              <w:rPr>
                <w:rFonts w:ascii="Arial" w:cs="Arial" w:eastAsia="Arial" w:hAnsi="Arial"/>
                <w:sz w:val="15"/>
                <w:szCs w:val="15"/>
                <w:color w:val="auto"/>
              </w:rPr>
              <w:t>Restricted stock units</w:t>
            </w:r>
          </w:p>
        </w:tc>
        <w:tc>
          <w:tcPr>
            <w:tcW w:w="920" w:type="dxa"/>
            <w:vAlign w:val="bottom"/>
          </w:tcPr>
          <w:p>
            <w:pPr>
              <w:jc w:val="right"/>
              <w:spacing w:after="0"/>
              <w:rPr>
                <w:sz w:val="20"/>
                <w:szCs w:val="20"/>
                <w:color w:val="auto"/>
              </w:rPr>
            </w:pPr>
            <w:r>
              <w:rPr>
                <w:rFonts w:ascii="Arial" w:cs="Arial" w:eastAsia="Arial" w:hAnsi="Arial"/>
                <w:sz w:val="15"/>
                <w:szCs w:val="15"/>
                <w:color w:val="auto"/>
              </w:rPr>
              <w:t>21,192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180" w:type="dxa"/>
            <w:vAlign w:val="bottom"/>
            <w:shd w:val="clear" w:color="auto" w:fill="CCEEFF"/>
          </w:tcPr>
          <w:p>
            <w:pPr>
              <w:spacing w:after="0"/>
              <w:rPr>
                <w:sz w:val="20"/>
                <w:szCs w:val="20"/>
                <w:color w:val="auto"/>
              </w:rPr>
            </w:pPr>
            <w:r>
              <w:rPr>
                <w:rFonts w:ascii="Arial" w:cs="Arial" w:eastAsia="Arial" w:hAnsi="Arial"/>
                <w:sz w:val="15"/>
                <w:szCs w:val="15"/>
                <w:color w:val="auto"/>
              </w:rPr>
              <w:t>Share-based compensation</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2,609</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2,609</w:t>
            </w:r>
          </w:p>
        </w:tc>
        <w:tc>
          <w:tcPr>
            <w:tcW w:w="0" w:type="dxa"/>
            <w:vAlign w:val="bottom"/>
          </w:tcPr>
          <w:p>
            <w:pPr>
              <w:spacing w:after="0"/>
              <w:rPr>
                <w:sz w:val="1"/>
                <w:szCs w:val="1"/>
                <w:color w:val="auto"/>
              </w:rPr>
            </w:pPr>
          </w:p>
        </w:tc>
      </w:tr>
      <w:tr>
        <w:trPr>
          <w:trHeight w:val="150"/>
        </w:trPr>
        <w:tc>
          <w:tcPr>
            <w:tcW w:w="2180" w:type="dxa"/>
            <w:vAlign w:val="bottom"/>
          </w:tcPr>
          <w:p>
            <w:pPr>
              <w:spacing w:after="0" w:line="150" w:lineRule="exact"/>
              <w:rPr>
                <w:sz w:val="20"/>
                <w:szCs w:val="20"/>
                <w:color w:val="auto"/>
              </w:rPr>
            </w:pPr>
            <w:r>
              <w:rPr>
                <w:rFonts w:ascii="Arial" w:cs="Arial" w:eastAsia="Arial" w:hAnsi="Arial"/>
                <w:sz w:val="15"/>
                <w:szCs w:val="15"/>
                <w:color w:val="auto"/>
                <w:w w:val="97"/>
              </w:rPr>
              <w:t>Adjustment from foreign currency</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vMerge w:val="restart"/>
          </w:tcPr>
          <w:p>
            <w:pPr>
              <w:spacing w:after="0"/>
              <w:rPr>
                <w:sz w:val="13"/>
                <w:szCs w:val="13"/>
                <w:color w:val="auto"/>
              </w:rPr>
            </w:pPr>
          </w:p>
        </w:tc>
        <w:tc>
          <w:tcPr>
            <w:tcW w:w="920" w:type="dxa"/>
            <w:vAlign w:val="bottom"/>
            <w:vMerge w:val="restart"/>
          </w:tcPr>
          <w:p>
            <w:pPr>
              <w:ind w:left="700"/>
              <w:spacing w:after="0"/>
              <w:rPr>
                <w:sz w:val="20"/>
                <w:szCs w:val="20"/>
                <w:color w:val="auto"/>
              </w:rPr>
            </w:pPr>
            <w:r>
              <w:rPr>
                <w:rFonts w:ascii="Arial" w:cs="Arial" w:eastAsia="Arial" w:hAnsi="Arial"/>
                <w:sz w:val="15"/>
                <w:szCs w:val="15"/>
                <w:color w:val="auto"/>
              </w:rPr>
              <w:t>—</w:t>
            </w:r>
          </w:p>
        </w:tc>
        <w:tc>
          <w:tcPr>
            <w:tcW w:w="8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ind w:left="540"/>
              <w:spacing w:after="0"/>
              <w:rPr>
                <w:sz w:val="20"/>
                <w:szCs w:val="20"/>
                <w:color w:val="auto"/>
              </w:rPr>
            </w:pPr>
            <w:r>
              <w:rPr>
                <w:rFonts w:ascii="Arial" w:cs="Arial" w:eastAsia="Arial" w:hAnsi="Arial"/>
                <w:sz w:val="15"/>
                <w:szCs w:val="15"/>
                <w:color w:val="auto"/>
              </w:rPr>
              <w:t>—</w:t>
            </w:r>
          </w:p>
        </w:tc>
        <w:tc>
          <w:tcPr>
            <w:tcW w:w="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vMerge w:val="restart"/>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vMerge w:val="restart"/>
          </w:tcPr>
          <w:p>
            <w:pPr>
              <w:ind w:left="1020"/>
              <w:spacing w:after="0"/>
              <w:rPr>
                <w:sz w:val="20"/>
                <w:szCs w:val="20"/>
                <w:color w:val="auto"/>
              </w:rPr>
            </w:pPr>
            <w:r>
              <w:rPr>
                <w:rFonts w:ascii="Arial" w:cs="Arial" w:eastAsia="Arial" w:hAnsi="Arial"/>
                <w:sz w:val="15"/>
                <w:szCs w:val="15"/>
                <w:color w:val="auto"/>
              </w:rPr>
              <w:t>95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95</w:t>
            </w:r>
          </w:p>
        </w:tc>
        <w:tc>
          <w:tcPr>
            <w:tcW w:w="0" w:type="dxa"/>
            <w:vAlign w:val="bottom"/>
          </w:tcPr>
          <w:p>
            <w:pPr>
              <w:spacing w:after="0"/>
              <w:rPr>
                <w:sz w:val="1"/>
                <w:szCs w:val="1"/>
                <w:color w:val="auto"/>
              </w:rPr>
            </w:pPr>
          </w:p>
        </w:tc>
      </w:tr>
      <w:tr>
        <w:trPr>
          <w:trHeight w:val="186"/>
        </w:trPr>
        <w:tc>
          <w:tcPr>
            <w:tcW w:w="21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translation, net</w:t>
            </w: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Balance, December 31, 2019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38,034,389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54,694</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5"/>
                <w:szCs w:val="15"/>
                <w:color w:val="auto"/>
              </w:rPr>
              <w:t>93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55,967</w:t>
            </w:r>
          </w:p>
        </w:tc>
        <w:tc>
          <w:tcPr>
            <w:tcW w:w="0" w:type="dxa"/>
            <w:vAlign w:val="bottom"/>
          </w:tcPr>
          <w:p>
            <w:pPr>
              <w:spacing w:after="0"/>
              <w:rPr>
                <w:sz w:val="1"/>
                <w:szCs w:val="1"/>
                <w:color w:val="auto"/>
              </w:rPr>
            </w:pPr>
          </w:p>
        </w:tc>
      </w:tr>
      <w:tr>
        <w:trPr>
          <w:trHeight w:val="20"/>
        </w:trPr>
        <w:tc>
          <w:tcPr>
            <w:tcW w:w="2180" w:type="dxa"/>
            <w:vAlign w:val="bottom"/>
            <w:vMerge w:val="restart"/>
          </w:tcPr>
          <w:p>
            <w:pPr>
              <w:spacing w:after="0"/>
              <w:rPr>
                <w:sz w:val="20"/>
                <w:szCs w:val="20"/>
                <w:color w:val="auto"/>
              </w:rPr>
            </w:pPr>
            <w:r>
              <w:rPr>
                <w:rFonts w:ascii="Arial" w:cs="Arial" w:eastAsia="Arial" w:hAnsi="Arial"/>
                <w:sz w:val="15"/>
                <w:szCs w:val="15"/>
                <w:color w:val="auto"/>
              </w:rPr>
              <w:t>Net income</w:t>
            </w: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180" w:type="dxa"/>
            <w:vAlign w:val="bottom"/>
            <w:vMerge w:val="continue"/>
          </w:tcPr>
          <w:p>
            <w:pPr>
              <w:spacing w:after="0"/>
              <w:rPr>
                <w:sz w:val="13"/>
                <w:szCs w:val="13"/>
                <w:color w:val="auto"/>
              </w:rPr>
            </w:pPr>
          </w:p>
        </w:tc>
        <w:tc>
          <w:tcPr>
            <w:tcW w:w="1000" w:type="dxa"/>
            <w:vAlign w:val="bottom"/>
            <w:gridSpan w:val="2"/>
          </w:tcPr>
          <w:p>
            <w:pPr>
              <w:jc w:val="right"/>
              <w:ind w:right="140"/>
              <w:spacing w:after="0" w:line="161"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40"/>
              <w:spacing w:after="0" w:line="161" w:lineRule="exact"/>
              <w:rPr>
                <w:sz w:val="20"/>
                <w:szCs w:val="20"/>
                <w:color w:val="auto"/>
              </w:rPr>
            </w:pPr>
            <w:r>
              <w:rPr>
                <w:rFonts w:ascii="Arial" w:cs="Arial" w:eastAsia="Arial" w:hAnsi="Arial"/>
                <w:sz w:val="15"/>
                <w:szCs w:val="15"/>
                <w:color w:val="auto"/>
              </w:rPr>
              <w:t>—</w:t>
            </w:r>
          </w:p>
        </w:tc>
        <w:tc>
          <w:tcPr>
            <w:tcW w:w="1000" w:type="dxa"/>
            <w:vAlign w:val="bottom"/>
            <w:gridSpan w:val="2"/>
          </w:tcPr>
          <w:p>
            <w:pPr>
              <w:ind w:left="700"/>
              <w:spacing w:after="0" w:line="161"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840" w:type="dxa"/>
            <w:vAlign w:val="bottom"/>
            <w:gridSpan w:val="2"/>
          </w:tcPr>
          <w:p>
            <w:pPr>
              <w:ind w:left="540"/>
              <w:spacing w:after="0" w:line="161"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40" w:type="dxa"/>
            <w:vAlign w:val="bottom"/>
            <w:gridSpan w:val="2"/>
          </w:tcPr>
          <w:p>
            <w:pPr>
              <w:jc w:val="right"/>
              <w:ind w:right="140"/>
              <w:spacing w:after="0" w:line="161" w:lineRule="exact"/>
              <w:rPr>
                <w:sz w:val="20"/>
                <w:szCs w:val="20"/>
                <w:color w:val="auto"/>
              </w:rPr>
            </w:pPr>
            <w:r>
              <w:rPr>
                <w:rFonts w:ascii="Arial" w:cs="Arial" w:eastAsia="Arial" w:hAnsi="Arial"/>
                <w:sz w:val="15"/>
                <w:szCs w:val="15"/>
                <w:color w:val="auto"/>
              </w:rPr>
              <w:t>—</w:t>
            </w:r>
          </w:p>
        </w:tc>
        <w:tc>
          <w:tcPr>
            <w:tcW w:w="420" w:type="dxa"/>
            <w:vAlign w:val="bottom"/>
          </w:tcPr>
          <w:p>
            <w:pPr>
              <w:spacing w:after="0"/>
              <w:rPr>
                <w:sz w:val="13"/>
                <w:szCs w:val="13"/>
                <w:color w:val="auto"/>
              </w:rPr>
            </w:pPr>
          </w:p>
        </w:tc>
        <w:tc>
          <w:tcPr>
            <w:tcW w:w="880" w:type="dxa"/>
            <w:vAlign w:val="bottom"/>
          </w:tcPr>
          <w:p>
            <w:pPr>
              <w:jc w:val="right"/>
              <w:spacing w:after="0" w:line="161" w:lineRule="exact"/>
              <w:rPr>
                <w:sz w:val="20"/>
                <w:szCs w:val="20"/>
                <w:color w:val="auto"/>
              </w:rPr>
            </w:pPr>
            <w:r>
              <w:rPr>
                <w:rFonts w:ascii="Arial" w:cs="Arial" w:eastAsia="Arial" w:hAnsi="Arial"/>
                <w:sz w:val="15"/>
                <w:szCs w:val="15"/>
                <w:color w:val="auto"/>
              </w:rPr>
              <w:t>33,784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ind w:left="1020"/>
              <w:spacing w:after="0" w:line="161"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820" w:type="dxa"/>
            <w:vAlign w:val="bottom"/>
          </w:tcPr>
          <w:p>
            <w:pPr>
              <w:jc w:val="right"/>
              <w:spacing w:after="0" w:line="161" w:lineRule="exact"/>
              <w:rPr>
                <w:sz w:val="20"/>
                <w:szCs w:val="20"/>
                <w:color w:val="auto"/>
              </w:rPr>
            </w:pPr>
            <w:r>
              <w:rPr>
                <w:rFonts w:ascii="Arial" w:cs="Arial" w:eastAsia="Arial" w:hAnsi="Arial"/>
                <w:sz w:val="15"/>
                <w:szCs w:val="15"/>
                <w:color w:val="auto"/>
              </w:rPr>
              <w:t>33,784</w:t>
            </w:r>
          </w:p>
        </w:tc>
        <w:tc>
          <w:tcPr>
            <w:tcW w:w="0" w:type="dxa"/>
            <w:vAlign w:val="bottom"/>
          </w:tcPr>
          <w:p>
            <w:pPr>
              <w:spacing w:after="0"/>
              <w:rPr>
                <w:sz w:val="1"/>
                <w:szCs w:val="1"/>
                <w:color w:val="auto"/>
              </w:rPr>
            </w:pPr>
          </w:p>
        </w:tc>
      </w:tr>
      <w:tr>
        <w:trPr>
          <w:trHeight w:val="195"/>
        </w:trPr>
        <w:tc>
          <w:tcPr>
            <w:tcW w:w="2180" w:type="dxa"/>
            <w:vAlign w:val="bottom"/>
            <w:shd w:val="clear" w:color="auto" w:fill="CCEEFF"/>
          </w:tcPr>
          <w:p>
            <w:pPr>
              <w:spacing w:after="0"/>
              <w:rPr>
                <w:sz w:val="20"/>
                <w:szCs w:val="20"/>
                <w:color w:val="auto"/>
              </w:rPr>
            </w:pPr>
            <w:r>
              <w:rPr>
                <w:rFonts w:ascii="Arial" w:cs="Arial" w:eastAsia="Arial" w:hAnsi="Arial"/>
                <w:sz w:val="15"/>
                <w:szCs w:val="15"/>
                <w:color w:val="auto"/>
              </w:rPr>
              <w:t>Issuance of common stock:</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180" w:type="dxa"/>
            <w:vAlign w:val="bottom"/>
          </w:tcPr>
          <w:p>
            <w:pPr>
              <w:ind w:left="120"/>
              <w:spacing w:after="0"/>
              <w:rPr>
                <w:sz w:val="20"/>
                <w:szCs w:val="20"/>
                <w:color w:val="auto"/>
              </w:rPr>
            </w:pPr>
            <w:r>
              <w:rPr>
                <w:rFonts w:ascii="Arial" w:cs="Arial" w:eastAsia="Arial" w:hAnsi="Arial"/>
                <w:sz w:val="15"/>
                <w:szCs w:val="15"/>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5"/>
                <w:szCs w:val="15"/>
                <w:color w:val="auto"/>
              </w:rPr>
              <w:t>163,783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1,379</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1,379</w:t>
            </w:r>
          </w:p>
        </w:tc>
        <w:tc>
          <w:tcPr>
            <w:tcW w:w="0" w:type="dxa"/>
            <w:vAlign w:val="bottom"/>
          </w:tcPr>
          <w:p>
            <w:pPr>
              <w:spacing w:after="0"/>
              <w:rPr>
                <w:sz w:val="1"/>
                <w:szCs w:val="1"/>
                <w:color w:val="auto"/>
              </w:rPr>
            </w:pPr>
          </w:p>
        </w:tc>
      </w:tr>
      <w:tr>
        <w:trPr>
          <w:trHeight w:val="195"/>
        </w:trPr>
        <w:tc>
          <w:tcPr>
            <w:tcW w:w="21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Restricted stock units</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18,953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180" w:type="dxa"/>
            <w:vAlign w:val="bottom"/>
          </w:tcPr>
          <w:p>
            <w:pPr>
              <w:spacing w:after="0"/>
              <w:rPr>
                <w:sz w:val="20"/>
                <w:szCs w:val="20"/>
                <w:color w:val="auto"/>
              </w:rPr>
            </w:pPr>
            <w:r>
              <w:rPr>
                <w:rFonts w:ascii="Arial" w:cs="Arial" w:eastAsia="Arial" w:hAnsi="Arial"/>
                <w:sz w:val="15"/>
                <w:szCs w:val="15"/>
                <w:color w:val="auto"/>
              </w:rPr>
              <w:t>Share-based compensation</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3,237</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3,237</w:t>
            </w:r>
          </w:p>
        </w:tc>
        <w:tc>
          <w:tcPr>
            <w:tcW w:w="0" w:type="dxa"/>
            <w:vAlign w:val="bottom"/>
          </w:tcPr>
          <w:p>
            <w:pPr>
              <w:spacing w:after="0"/>
              <w:rPr>
                <w:sz w:val="1"/>
                <w:szCs w:val="1"/>
                <w:color w:val="auto"/>
              </w:rPr>
            </w:pPr>
          </w:p>
        </w:tc>
      </w:tr>
      <w:tr>
        <w:trPr>
          <w:trHeight w:val="150"/>
        </w:trPr>
        <w:tc>
          <w:tcPr>
            <w:tcW w:w="2180" w:type="dxa"/>
            <w:vAlign w:val="bottom"/>
            <w:shd w:val="clear" w:color="auto" w:fill="CCEEFF"/>
          </w:tcPr>
          <w:p>
            <w:pPr>
              <w:spacing w:after="0" w:line="150" w:lineRule="exact"/>
              <w:rPr>
                <w:sz w:val="20"/>
                <w:szCs w:val="20"/>
                <w:color w:val="auto"/>
              </w:rPr>
            </w:pPr>
            <w:r>
              <w:rPr>
                <w:rFonts w:ascii="Arial" w:cs="Arial" w:eastAsia="Arial" w:hAnsi="Arial"/>
                <w:sz w:val="15"/>
                <w:szCs w:val="15"/>
                <w:color w:val="auto"/>
                <w:w w:val="97"/>
              </w:rPr>
              <w:t>Adjustment from foreign currency</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vMerge w:val="restart"/>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vMerge w:val="restart"/>
            <w:shd w:val="clear" w:color="auto" w:fill="CCEEFF"/>
          </w:tcPr>
          <w:p>
            <w:pPr>
              <w:spacing w:after="0"/>
              <w:rPr>
                <w:sz w:val="13"/>
                <w:szCs w:val="13"/>
                <w:color w:val="auto"/>
              </w:rPr>
            </w:pPr>
          </w:p>
        </w:tc>
        <w:tc>
          <w:tcPr>
            <w:tcW w:w="920" w:type="dxa"/>
            <w:vAlign w:val="bottom"/>
            <w:vMerge w:val="restart"/>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80" w:type="dxa"/>
            <w:vAlign w:val="bottom"/>
            <w:vMerge w:val="restart"/>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vMerge w:val="restart"/>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vMerge w:val="restart"/>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(106)</w:t>
            </w:r>
          </w:p>
        </w:tc>
        <w:tc>
          <w:tcPr>
            <w:tcW w:w="0" w:type="dxa"/>
            <w:vAlign w:val="bottom"/>
          </w:tcPr>
          <w:p>
            <w:pPr>
              <w:spacing w:after="0"/>
              <w:rPr>
                <w:sz w:val="1"/>
                <w:szCs w:val="1"/>
                <w:color w:val="auto"/>
              </w:rPr>
            </w:pPr>
          </w:p>
        </w:tc>
      </w:tr>
      <w:tr>
        <w:trPr>
          <w:trHeight w:val="186"/>
        </w:trPr>
        <w:tc>
          <w:tcPr>
            <w:tcW w:w="2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translation, net</w:t>
            </w: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180" w:type="dxa"/>
            <w:vAlign w:val="bottom"/>
          </w:tcPr>
          <w:p>
            <w:pPr>
              <w:spacing w:after="0"/>
              <w:rPr>
                <w:sz w:val="20"/>
                <w:szCs w:val="20"/>
                <w:color w:val="auto"/>
              </w:rPr>
            </w:pPr>
            <w:r>
              <w:rPr>
                <w:rFonts w:ascii="Arial" w:cs="Arial" w:eastAsia="Arial" w:hAnsi="Arial"/>
                <w:sz w:val="15"/>
                <w:szCs w:val="15"/>
                <w:b w:val="1"/>
                <w:bCs w:val="1"/>
                <w:color w:val="auto"/>
              </w:rPr>
              <w:t>Balance, December 31, 2020</w:t>
            </w:r>
          </w:p>
        </w:tc>
        <w:tc>
          <w:tcPr>
            <w:tcW w:w="920" w:type="dxa"/>
            <w:vAlign w:val="bottom"/>
          </w:tcPr>
          <w:p>
            <w:pPr>
              <w:jc w:val="right"/>
              <w:spacing w:after="0"/>
              <w:rPr>
                <w:sz w:val="20"/>
                <w:szCs w:val="20"/>
                <w:color w:val="auto"/>
              </w:rPr>
            </w:pPr>
            <w:r>
              <w:rPr>
                <w:rFonts w:ascii="Arial" w:cs="Arial" w:eastAsia="Arial" w:hAnsi="Arial"/>
                <w:sz w:val="15"/>
                <w:szCs w:val="15"/>
                <w:color w:val="auto"/>
              </w:rPr>
              <w:t>38,217,125</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59,310</w:t>
            </w:r>
          </w:p>
        </w:tc>
        <w:tc>
          <w:tcPr>
            <w:tcW w:w="80" w:type="dxa"/>
            <w:vAlign w:val="bottom"/>
          </w:tcPr>
          <w:p>
            <w:pPr>
              <w:spacing w:after="0"/>
              <w:rPr>
                <w:sz w:val="16"/>
                <w:szCs w:val="16"/>
                <w:color w:val="auto"/>
              </w:rPr>
            </w:pP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34,960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16"/>
                <w:szCs w:val="16"/>
                <w:color w:val="auto"/>
              </w:rPr>
            </w:pPr>
          </w:p>
        </w:tc>
        <w:tc>
          <w:tcPr>
            <w:tcW w:w="180" w:type="dxa"/>
            <w:vAlign w:val="bottom"/>
          </w:tcPr>
          <w:p>
            <w:pPr>
              <w:jc w:val="right"/>
              <w:ind w:right="5"/>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94,261</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18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46,843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46,843</w:t>
            </w:r>
          </w:p>
        </w:tc>
        <w:tc>
          <w:tcPr>
            <w:tcW w:w="0" w:type="dxa"/>
            <w:vAlign w:val="bottom"/>
          </w:tcPr>
          <w:p>
            <w:pPr>
              <w:spacing w:after="0"/>
              <w:rPr>
                <w:sz w:val="1"/>
                <w:szCs w:val="1"/>
                <w:color w:val="auto"/>
              </w:rPr>
            </w:pPr>
          </w:p>
        </w:tc>
      </w:tr>
      <w:tr>
        <w:trPr>
          <w:trHeight w:val="195"/>
        </w:trPr>
        <w:tc>
          <w:tcPr>
            <w:tcW w:w="2180" w:type="dxa"/>
            <w:vAlign w:val="bottom"/>
          </w:tcPr>
          <w:p>
            <w:pPr>
              <w:spacing w:after="0"/>
              <w:rPr>
                <w:sz w:val="20"/>
                <w:szCs w:val="20"/>
                <w:color w:val="auto"/>
              </w:rPr>
            </w:pPr>
            <w:r>
              <w:rPr>
                <w:rFonts w:ascii="Arial" w:cs="Arial" w:eastAsia="Arial" w:hAnsi="Arial"/>
                <w:sz w:val="15"/>
                <w:szCs w:val="15"/>
                <w:color w:val="auto"/>
              </w:rPr>
              <w:t>Issuance of common stock:</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180" w:type="dxa"/>
            <w:vAlign w:val="bottom"/>
            <w:shd w:val="clear" w:color="auto" w:fill="CCEEFF"/>
          </w:tcPr>
          <w:p>
            <w:pPr>
              <w:ind w:left="120"/>
              <w:spacing w:after="0" w:line="150" w:lineRule="exact"/>
              <w:rPr>
                <w:sz w:val="20"/>
                <w:szCs w:val="20"/>
                <w:color w:val="auto"/>
              </w:rPr>
            </w:pPr>
            <w:r>
              <w:rPr>
                <w:rFonts w:ascii="Arial" w:cs="Arial" w:eastAsia="Arial" w:hAnsi="Arial"/>
                <w:sz w:val="15"/>
                <w:szCs w:val="15"/>
                <w:color w:val="auto"/>
                <w:w w:val="96"/>
              </w:rPr>
              <w:t>Exercise of stock options, net of</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463,021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3,037</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ind w:left="10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3,037</w:t>
            </w: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shares withheld for taxes</w:t>
            </w: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180" w:type="dxa"/>
            <w:vAlign w:val="bottom"/>
          </w:tcPr>
          <w:p>
            <w:pPr>
              <w:ind w:left="120"/>
              <w:spacing w:after="0"/>
              <w:rPr>
                <w:sz w:val="20"/>
                <w:szCs w:val="20"/>
                <w:color w:val="auto"/>
              </w:rPr>
            </w:pPr>
            <w:r>
              <w:rPr>
                <w:rFonts w:ascii="Arial" w:cs="Arial" w:eastAsia="Arial" w:hAnsi="Arial"/>
                <w:sz w:val="15"/>
                <w:szCs w:val="15"/>
                <w:color w:val="auto"/>
              </w:rPr>
              <w:t>Restricted stock units</w:t>
            </w:r>
          </w:p>
        </w:tc>
        <w:tc>
          <w:tcPr>
            <w:tcW w:w="920" w:type="dxa"/>
            <w:vAlign w:val="bottom"/>
          </w:tcPr>
          <w:p>
            <w:pPr>
              <w:jc w:val="right"/>
              <w:spacing w:after="0"/>
              <w:rPr>
                <w:sz w:val="20"/>
                <w:szCs w:val="20"/>
                <w:color w:val="auto"/>
              </w:rPr>
            </w:pPr>
            <w:r>
              <w:rPr>
                <w:rFonts w:ascii="Arial" w:cs="Arial" w:eastAsia="Arial" w:hAnsi="Arial"/>
                <w:sz w:val="15"/>
                <w:szCs w:val="15"/>
                <w:color w:val="auto"/>
              </w:rPr>
              <w:t>47,728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(73)</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195"/>
        </w:trPr>
        <w:tc>
          <w:tcPr>
            <w:tcW w:w="21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Restricted stock awards</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88,215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180" w:type="dxa"/>
            <w:vAlign w:val="bottom"/>
          </w:tcPr>
          <w:p>
            <w:pPr>
              <w:ind w:left="120"/>
              <w:spacing w:after="0"/>
              <w:rPr>
                <w:sz w:val="20"/>
                <w:szCs w:val="20"/>
                <w:color w:val="auto"/>
              </w:rPr>
            </w:pPr>
            <w:r>
              <w:rPr>
                <w:rFonts w:ascii="Arial" w:cs="Arial" w:eastAsia="Arial" w:hAnsi="Arial"/>
                <w:sz w:val="15"/>
                <w:szCs w:val="15"/>
                <w:color w:val="auto"/>
              </w:rPr>
              <w:t>Fully vested shares</w:t>
            </w:r>
          </w:p>
        </w:tc>
        <w:tc>
          <w:tcPr>
            <w:tcW w:w="920" w:type="dxa"/>
            <w:vAlign w:val="bottom"/>
          </w:tcPr>
          <w:p>
            <w:pPr>
              <w:jc w:val="right"/>
              <w:spacing w:after="0"/>
              <w:rPr>
                <w:sz w:val="20"/>
                <w:szCs w:val="20"/>
                <w:color w:val="auto"/>
              </w:rPr>
            </w:pPr>
            <w:r>
              <w:rPr>
                <w:rFonts w:ascii="Arial" w:cs="Arial" w:eastAsia="Arial" w:hAnsi="Arial"/>
                <w:sz w:val="15"/>
                <w:szCs w:val="15"/>
                <w:color w:val="auto"/>
              </w:rPr>
              <w:t>4,133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180" w:type="dxa"/>
            <w:vAlign w:val="bottom"/>
            <w:shd w:val="clear" w:color="auto" w:fill="CCEEFF"/>
          </w:tcPr>
          <w:p>
            <w:pPr>
              <w:spacing w:after="0"/>
              <w:rPr>
                <w:sz w:val="20"/>
                <w:szCs w:val="20"/>
                <w:color w:val="auto"/>
              </w:rPr>
            </w:pPr>
            <w:r>
              <w:rPr>
                <w:rFonts w:ascii="Arial" w:cs="Arial" w:eastAsia="Arial" w:hAnsi="Arial"/>
                <w:sz w:val="15"/>
                <w:szCs w:val="15"/>
                <w:color w:val="auto"/>
              </w:rPr>
              <w:t>Share-based compensation</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4,601</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4,601</w:t>
            </w:r>
          </w:p>
        </w:tc>
        <w:tc>
          <w:tcPr>
            <w:tcW w:w="0" w:type="dxa"/>
            <w:vAlign w:val="bottom"/>
          </w:tcPr>
          <w:p>
            <w:pPr>
              <w:spacing w:after="0"/>
              <w:rPr>
                <w:sz w:val="1"/>
                <w:szCs w:val="1"/>
                <w:color w:val="auto"/>
              </w:rPr>
            </w:pPr>
          </w:p>
        </w:tc>
      </w:tr>
      <w:tr>
        <w:trPr>
          <w:trHeight w:val="150"/>
        </w:trPr>
        <w:tc>
          <w:tcPr>
            <w:tcW w:w="2180" w:type="dxa"/>
            <w:vAlign w:val="bottom"/>
          </w:tcPr>
          <w:p>
            <w:pPr>
              <w:spacing w:after="0" w:line="150" w:lineRule="exact"/>
              <w:rPr>
                <w:sz w:val="20"/>
                <w:szCs w:val="20"/>
                <w:color w:val="auto"/>
              </w:rPr>
            </w:pPr>
            <w:r>
              <w:rPr>
                <w:rFonts w:ascii="Arial" w:cs="Arial" w:eastAsia="Arial" w:hAnsi="Arial"/>
                <w:sz w:val="15"/>
                <w:szCs w:val="15"/>
                <w:color w:val="auto"/>
                <w:w w:val="97"/>
              </w:rPr>
              <w:t>Adjustment from foreign currency</w:t>
            </w: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vMerge w:val="restart"/>
          </w:tcPr>
          <w:p>
            <w:pPr>
              <w:ind w:left="7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3"/>
                <w:szCs w:val="13"/>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(63)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194"/>
        </w:trPr>
        <w:tc>
          <w:tcPr>
            <w:tcW w:w="2180" w:type="dxa"/>
            <w:vAlign w:val="bottom"/>
          </w:tcPr>
          <w:p>
            <w:pPr>
              <w:ind w:left="140"/>
              <w:spacing w:after="0"/>
              <w:rPr>
                <w:sz w:val="20"/>
                <w:szCs w:val="20"/>
                <w:color w:val="auto"/>
              </w:rPr>
            </w:pPr>
            <w:r>
              <w:rPr>
                <w:rFonts w:ascii="Arial" w:cs="Arial" w:eastAsia="Arial" w:hAnsi="Arial"/>
                <w:sz w:val="15"/>
                <w:szCs w:val="15"/>
                <w:color w:val="auto"/>
              </w:rPr>
              <w:t>translation, net</w:t>
            </w: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180" w:type="dxa"/>
            <w:vAlign w:val="bottom"/>
            <w:shd w:val="clear" w:color="auto" w:fill="CCEEFF"/>
          </w:tcPr>
          <w:p>
            <w:pPr>
              <w:spacing w:after="0" w:line="150" w:lineRule="exact"/>
              <w:rPr>
                <w:sz w:val="20"/>
                <w:szCs w:val="20"/>
                <w:color w:val="auto"/>
              </w:rPr>
            </w:pPr>
            <w:r>
              <w:rPr>
                <w:rFonts w:ascii="Arial" w:cs="Arial" w:eastAsia="Arial" w:hAnsi="Arial"/>
                <w:sz w:val="15"/>
                <w:szCs w:val="15"/>
                <w:color w:val="auto"/>
              </w:rPr>
              <w:t>Acquisition of treasury stock, at</w:t>
            </w: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vMerge w:val="restart"/>
            <w:shd w:val="clear" w:color="auto" w:fill="CCEEFF"/>
          </w:tcPr>
          <w:p>
            <w:pPr>
              <w:ind w:left="300"/>
              <w:spacing w:after="0"/>
              <w:rPr>
                <w:sz w:val="20"/>
                <w:szCs w:val="20"/>
                <w:color w:val="auto"/>
              </w:rPr>
            </w:pPr>
            <w:r>
              <w:rPr>
                <w:rFonts w:ascii="Arial" w:cs="Arial" w:eastAsia="Arial" w:hAnsi="Arial"/>
                <w:sz w:val="15"/>
                <w:szCs w:val="15"/>
                <w:color w:val="auto"/>
                <w:w w:val="93"/>
              </w:rPr>
              <w:t>(341,522)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ind w:left="300"/>
              <w:spacing w:after="0"/>
              <w:rPr>
                <w:sz w:val="20"/>
                <w:szCs w:val="20"/>
                <w:color w:val="auto"/>
              </w:rPr>
            </w:pPr>
            <w:r>
              <w:rPr>
                <w:rFonts w:ascii="Arial" w:cs="Arial" w:eastAsia="Arial" w:hAnsi="Arial"/>
                <w:sz w:val="15"/>
                <w:szCs w:val="15"/>
                <w:color w:val="auto"/>
                <w:w w:val="92"/>
              </w:rPr>
              <w:t>(5,566)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ind w:left="10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(5,566)</w:t>
            </w:r>
          </w:p>
        </w:tc>
        <w:tc>
          <w:tcPr>
            <w:tcW w:w="0" w:type="dxa"/>
            <w:vAlign w:val="bottom"/>
          </w:tcPr>
          <w:p>
            <w:pPr>
              <w:spacing w:after="0"/>
              <w:rPr>
                <w:sz w:val="1"/>
                <w:szCs w:val="1"/>
                <w:color w:val="auto"/>
              </w:rPr>
            </w:pPr>
          </w:p>
        </w:tc>
      </w:tr>
      <w:tr>
        <w:trPr>
          <w:trHeight w:val="186"/>
        </w:trPr>
        <w:tc>
          <w:tcPr>
            <w:tcW w:w="21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cost</w:t>
            </w: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180" w:type="dxa"/>
            <w:vAlign w:val="bottom"/>
            <w:tcBorders>
              <w:top w:val="single" w:sz="8" w:color="CCEEFF"/>
            </w:tcBorders>
          </w:tcPr>
          <w:p>
            <w:pPr>
              <w:spacing w:after="0"/>
              <w:rPr>
                <w:sz w:val="20"/>
                <w:szCs w:val="20"/>
                <w:color w:val="auto"/>
              </w:rPr>
            </w:pPr>
            <w:r>
              <w:rPr>
                <w:rFonts w:ascii="Arial" w:cs="Arial" w:eastAsia="Arial" w:hAnsi="Arial"/>
                <w:sz w:val="15"/>
                <w:szCs w:val="15"/>
                <w:b w:val="1"/>
                <w:bCs w:val="1"/>
                <w:color w:val="auto"/>
              </w:rPr>
              <w:t>Balance, December 31, 2021</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38,820,222</w:t>
            </w: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80" w:type="dxa"/>
            <w:vAlign w:val="bottom"/>
            <w:tcBorders>
              <w:top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5"/>
                <w:szCs w:val="15"/>
                <w:color w:val="auto"/>
                <w:w w:val="93"/>
              </w:rPr>
              <w:t>(341,522)</w:t>
            </w: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5"/>
                <w:szCs w:val="15"/>
                <w:color w:val="auto"/>
                <w:w w:val="92"/>
              </w:rPr>
              <w:t>(5,566)</w:t>
            </w: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66,875</w:t>
            </w: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81,803</w:t>
            </w: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(76)</w:t>
            </w: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143,040</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95"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040"/>
          </w:cols>
          <w:pgMar w:left="320" w:top="129" w:right="539" w:bottom="1440" w:gutter="0" w:footer="0" w:header="0"/>
        </w:sectPr>
      </w:pPr>
    </w:p>
    <w:bookmarkStart w:id="49" w:name="page50"/>
    <w:bookmarkEnd w:id="49"/>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191"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INTERNATIONAL MONEY EXPRESS, INC.</w:t>
      </w:r>
    </w:p>
    <w:p>
      <w:pPr>
        <w:spacing w:after="0" w:line="26"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1"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(in thousands)</w:t>
      </w:r>
    </w:p>
    <w:p>
      <w:pPr>
        <w:spacing w:after="0" w:line="287" w:lineRule="exact"/>
        <w:rPr>
          <w:sz w:val="20"/>
          <w:szCs w:val="20"/>
          <w:color w:val="auto"/>
        </w:rPr>
      </w:pPr>
    </w:p>
    <w:tbl>
      <w:tblPr>
        <w:tblLayout w:type="fixed"/>
        <w:tblInd w:w="540" w:type="dxa"/>
        <w:tblCellMar>
          <w:top w:w="0" w:type="dxa"/>
          <w:left w:w="0" w:type="dxa"/>
          <w:bottom w:w="0" w:type="dxa"/>
          <w:right w:w="0" w:type="dxa"/>
        </w:tblCellMar>
      </w:tblPr>
      <w:tr>
        <w:trPr>
          <w:trHeight w:val="197"/>
        </w:trPr>
        <w:tc>
          <w:tcPr>
            <w:tcW w:w="37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ind w:left="340"/>
              <w:spacing w:after="0"/>
              <w:rPr>
                <w:sz w:val="20"/>
                <w:szCs w:val="20"/>
                <w:color w:val="auto"/>
              </w:rPr>
            </w:pPr>
            <w:r>
              <w:rPr>
                <w:rFonts w:ascii="Arial" w:cs="Arial" w:eastAsia="Arial" w:hAnsi="Arial"/>
                <w:sz w:val="15"/>
                <w:szCs w:val="15"/>
                <w:color w:val="auto"/>
              </w:rPr>
              <w:t>Year Ended December 31,</w:t>
            </w: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color w:val="auto"/>
              </w:rPr>
              <w:t>2021</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color w:val="auto"/>
              </w:rPr>
              <w:t>2019</w:t>
            </w:r>
          </w:p>
        </w:tc>
        <w:tc>
          <w:tcPr>
            <w:tcW w:w="0" w:type="dxa"/>
            <w:vAlign w:val="bottom"/>
          </w:tcPr>
          <w:p>
            <w:pPr>
              <w:spacing w:after="0"/>
              <w:rPr>
                <w:sz w:val="1"/>
                <w:szCs w:val="1"/>
                <w:color w:val="auto"/>
              </w:rPr>
            </w:pPr>
          </w:p>
        </w:tc>
      </w:tr>
      <w:tr>
        <w:trPr>
          <w:trHeight w:val="206"/>
        </w:trPr>
        <w:tc>
          <w:tcPr>
            <w:tcW w:w="3780" w:type="dxa"/>
            <w:vAlign w:val="bottom"/>
            <w:shd w:val="clear" w:color="auto" w:fill="CCEEFF"/>
          </w:tcPr>
          <w:p>
            <w:pPr>
              <w:ind w:left="560"/>
              <w:spacing w:after="0"/>
              <w:rPr>
                <w:sz w:val="20"/>
                <w:szCs w:val="20"/>
                <w:color w:val="auto"/>
              </w:rPr>
            </w:pPr>
            <w:r>
              <w:rPr>
                <w:rFonts w:ascii="Arial" w:cs="Arial" w:eastAsia="Arial" w:hAnsi="Arial"/>
                <w:sz w:val="15"/>
                <w:szCs w:val="15"/>
                <w:color w:val="auto"/>
              </w:rPr>
              <w:t>Cash flows from operating activities:</w:t>
            </w:r>
          </w:p>
        </w:tc>
        <w:tc>
          <w:tcPr>
            <w:tcW w:w="8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780" w:type="dxa"/>
            <w:vAlign w:val="bottom"/>
          </w:tcPr>
          <w:p>
            <w:pPr>
              <w:ind w:left="560"/>
              <w:spacing w:after="0"/>
              <w:rPr>
                <w:sz w:val="20"/>
                <w:szCs w:val="20"/>
                <w:color w:val="auto"/>
              </w:rPr>
            </w:pPr>
            <w:r>
              <w:rPr>
                <w:rFonts w:ascii="Arial" w:cs="Arial" w:eastAsia="Arial" w:hAnsi="Arial"/>
                <w:sz w:val="15"/>
                <w:szCs w:val="15"/>
                <w:color w:val="auto"/>
              </w:rPr>
              <w:t>Net income</w:t>
            </w:r>
          </w:p>
        </w:tc>
        <w:tc>
          <w:tcPr>
            <w:tcW w:w="84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46,843</w:t>
            </w:r>
          </w:p>
        </w:tc>
        <w:tc>
          <w:tcPr>
            <w:tcW w:w="100" w:type="dxa"/>
            <w:vAlign w:val="bottom"/>
          </w:tcPr>
          <w:p>
            <w:pPr>
              <w:spacing w:after="0"/>
              <w:rPr>
                <w:sz w:val="18"/>
                <w:szCs w:val="18"/>
                <w:color w:val="auto"/>
              </w:rPr>
            </w:pPr>
          </w:p>
        </w:tc>
        <w:tc>
          <w:tcPr>
            <w:tcW w:w="8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33,784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19,609</w:t>
            </w:r>
          </w:p>
        </w:tc>
        <w:tc>
          <w:tcPr>
            <w:tcW w:w="0" w:type="dxa"/>
            <w:vAlign w:val="bottom"/>
          </w:tcPr>
          <w:p>
            <w:pPr>
              <w:spacing w:after="0"/>
              <w:rPr>
                <w:sz w:val="1"/>
                <w:szCs w:val="1"/>
                <w:color w:val="auto"/>
              </w:rPr>
            </w:pPr>
          </w:p>
        </w:tc>
      </w:tr>
      <w:tr>
        <w:trPr>
          <w:trHeight w:val="184"/>
        </w:trPr>
        <w:tc>
          <w:tcPr>
            <w:tcW w:w="3780" w:type="dxa"/>
            <w:vAlign w:val="bottom"/>
            <w:shd w:val="clear" w:color="auto" w:fill="CCEEFF"/>
          </w:tcPr>
          <w:p>
            <w:pPr>
              <w:ind w:left="20"/>
              <w:spacing w:after="0"/>
              <w:rPr>
                <w:sz w:val="20"/>
                <w:szCs w:val="20"/>
                <w:color w:val="auto"/>
              </w:rPr>
            </w:pPr>
            <w:r>
              <w:rPr>
                <w:rFonts w:ascii="Arial" w:cs="Arial" w:eastAsia="Arial" w:hAnsi="Arial"/>
                <w:sz w:val="15"/>
                <w:szCs w:val="15"/>
                <w:color w:val="auto"/>
                <w:w w:val="93"/>
              </w:rPr>
              <w:t>Adjustments to reconcile net income to net cash provided by</w:t>
            </w:r>
          </w:p>
        </w:tc>
        <w:tc>
          <w:tcPr>
            <w:tcW w:w="8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780" w:type="dxa"/>
            <w:vAlign w:val="bottom"/>
            <w:shd w:val="clear" w:color="auto" w:fill="CCEEFF"/>
          </w:tcPr>
          <w:p>
            <w:pPr>
              <w:ind w:left="80"/>
              <w:spacing w:after="0"/>
              <w:rPr>
                <w:sz w:val="20"/>
                <w:szCs w:val="20"/>
                <w:color w:val="auto"/>
              </w:rPr>
            </w:pPr>
            <w:r>
              <w:rPr>
                <w:rFonts w:ascii="Arial" w:cs="Arial" w:eastAsia="Arial" w:hAnsi="Arial"/>
                <w:sz w:val="15"/>
                <w:szCs w:val="15"/>
                <w:color w:val="auto"/>
              </w:rPr>
              <w:t>(used in) operating activities:</w:t>
            </w:r>
          </w:p>
        </w:tc>
        <w:tc>
          <w:tcPr>
            <w:tcW w:w="8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780" w:type="dxa"/>
            <w:vAlign w:val="bottom"/>
          </w:tcPr>
          <w:p>
            <w:pPr>
              <w:ind w:left="840"/>
              <w:spacing w:after="0"/>
              <w:rPr>
                <w:sz w:val="20"/>
                <w:szCs w:val="20"/>
                <w:color w:val="auto"/>
              </w:rPr>
            </w:pPr>
            <w:r>
              <w:rPr>
                <w:rFonts w:ascii="Arial" w:cs="Arial" w:eastAsia="Arial" w:hAnsi="Arial"/>
                <w:sz w:val="15"/>
                <w:szCs w:val="15"/>
                <w:color w:val="auto"/>
              </w:rPr>
              <w:t>Depreciation and amortization</w:t>
            </w:r>
          </w:p>
        </w:tc>
        <w:tc>
          <w:tcPr>
            <w:tcW w:w="8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9,491</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10,828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12,689</w:t>
            </w:r>
          </w:p>
        </w:tc>
        <w:tc>
          <w:tcPr>
            <w:tcW w:w="0" w:type="dxa"/>
            <w:vAlign w:val="bottom"/>
          </w:tcPr>
          <w:p>
            <w:pPr>
              <w:spacing w:after="0"/>
              <w:rPr>
                <w:sz w:val="1"/>
                <w:szCs w:val="1"/>
                <w:color w:val="auto"/>
              </w:rPr>
            </w:pPr>
          </w:p>
        </w:tc>
      </w:tr>
      <w:tr>
        <w:trPr>
          <w:trHeight w:val="195"/>
        </w:trPr>
        <w:tc>
          <w:tcPr>
            <w:tcW w:w="3780" w:type="dxa"/>
            <w:vAlign w:val="bottom"/>
            <w:shd w:val="clear" w:color="auto" w:fill="CCEEFF"/>
          </w:tcPr>
          <w:p>
            <w:pPr>
              <w:ind w:left="840"/>
              <w:spacing w:after="0"/>
              <w:rPr>
                <w:sz w:val="20"/>
                <w:szCs w:val="20"/>
                <w:color w:val="auto"/>
              </w:rPr>
            </w:pPr>
            <w:r>
              <w:rPr>
                <w:rFonts w:ascii="Arial" w:cs="Arial" w:eastAsia="Arial" w:hAnsi="Arial"/>
                <w:sz w:val="15"/>
                <w:szCs w:val="15"/>
                <w:color w:val="auto"/>
              </w:rPr>
              <w:t>Share-based compensation</w:t>
            </w:r>
          </w:p>
        </w:tc>
        <w:tc>
          <w:tcPr>
            <w:tcW w:w="8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4,601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2,609</w:t>
            </w:r>
          </w:p>
        </w:tc>
        <w:tc>
          <w:tcPr>
            <w:tcW w:w="0" w:type="dxa"/>
            <w:vAlign w:val="bottom"/>
          </w:tcPr>
          <w:p>
            <w:pPr>
              <w:spacing w:after="0"/>
              <w:rPr>
                <w:sz w:val="1"/>
                <w:szCs w:val="1"/>
                <w:color w:val="auto"/>
              </w:rPr>
            </w:pPr>
          </w:p>
        </w:tc>
      </w:tr>
      <w:tr>
        <w:trPr>
          <w:trHeight w:val="195"/>
        </w:trPr>
        <w:tc>
          <w:tcPr>
            <w:tcW w:w="3780" w:type="dxa"/>
            <w:vAlign w:val="bottom"/>
          </w:tcPr>
          <w:p>
            <w:pPr>
              <w:ind w:left="840"/>
              <w:spacing w:after="0"/>
              <w:rPr>
                <w:sz w:val="20"/>
                <w:szCs w:val="20"/>
                <w:color w:val="auto"/>
              </w:rPr>
            </w:pPr>
            <w:r>
              <w:rPr>
                <w:rFonts w:ascii="Arial" w:cs="Arial" w:eastAsia="Arial" w:hAnsi="Arial"/>
                <w:sz w:val="15"/>
                <w:szCs w:val="15"/>
                <w:color w:val="auto"/>
              </w:rPr>
              <w:t>Provision for credit losses</w:t>
            </w:r>
          </w:p>
        </w:tc>
        <w:tc>
          <w:tcPr>
            <w:tcW w:w="8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1,537</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1,801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1,626</w:t>
            </w:r>
          </w:p>
        </w:tc>
        <w:tc>
          <w:tcPr>
            <w:tcW w:w="0" w:type="dxa"/>
            <w:vAlign w:val="bottom"/>
          </w:tcPr>
          <w:p>
            <w:pPr>
              <w:spacing w:after="0"/>
              <w:rPr>
                <w:sz w:val="1"/>
                <w:szCs w:val="1"/>
                <w:color w:val="auto"/>
              </w:rPr>
            </w:pPr>
          </w:p>
        </w:tc>
      </w:tr>
      <w:tr>
        <w:trPr>
          <w:trHeight w:val="195"/>
        </w:trPr>
        <w:tc>
          <w:tcPr>
            <w:tcW w:w="3780" w:type="dxa"/>
            <w:vAlign w:val="bottom"/>
            <w:shd w:val="clear" w:color="auto" w:fill="CCEEFF"/>
          </w:tcPr>
          <w:p>
            <w:pPr>
              <w:ind w:left="840"/>
              <w:spacing w:after="0"/>
              <w:rPr>
                <w:sz w:val="20"/>
                <w:szCs w:val="20"/>
                <w:color w:val="auto"/>
              </w:rPr>
            </w:pPr>
            <w:r>
              <w:rPr>
                <w:rFonts w:ascii="Arial" w:cs="Arial" w:eastAsia="Arial" w:hAnsi="Arial"/>
                <w:sz w:val="15"/>
                <w:szCs w:val="15"/>
                <w:color w:val="auto"/>
              </w:rPr>
              <w:t>Debt origination costs amortization</w:t>
            </w:r>
          </w:p>
        </w:tc>
        <w:tc>
          <w:tcPr>
            <w:tcW w:w="8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875</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734</w:t>
            </w:r>
          </w:p>
        </w:tc>
        <w:tc>
          <w:tcPr>
            <w:tcW w:w="0" w:type="dxa"/>
            <w:vAlign w:val="bottom"/>
          </w:tcPr>
          <w:p>
            <w:pPr>
              <w:spacing w:after="0"/>
              <w:rPr>
                <w:sz w:val="1"/>
                <w:szCs w:val="1"/>
                <w:color w:val="auto"/>
              </w:rPr>
            </w:pPr>
          </w:p>
        </w:tc>
      </w:tr>
      <w:tr>
        <w:trPr>
          <w:trHeight w:val="195"/>
        </w:trPr>
        <w:tc>
          <w:tcPr>
            <w:tcW w:w="3780" w:type="dxa"/>
            <w:vAlign w:val="bottom"/>
          </w:tcPr>
          <w:p>
            <w:pPr>
              <w:ind w:left="840"/>
              <w:spacing w:after="0"/>
              <w:rPr>
                <w:sz w:val="20"/>
                <w:szCs w:val="20"/>
                <w:color w:val="auto"/>
              </w:rPr>
            </w:pPr>
            <w:r>
              <w:rPr>
                <w:rFonts w:ascii="Arial" w:cs="Arial" w:eastAsia="Arial" w:hAnsi="Arial"/>
                <w:sz w:val="15"/>
                <w:szCs w:val="15"/>
                <w:color w:val="auto"/>
              </w:rPr>
              <w:t>Deferred income tax provision, net</w:t>
            </w:r>
          </w:p>
        </w:tc>
        <w:tc>
          <w:tcPr>
            <w:tcW w:w="8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734</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1,433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1,863</w:t>
            </w:r>
          </w:p>
        </w:tc>
        <w:tc>
          <w:tcPr>
            <w:tcW w:w="0" w:type="dxa"/>
            <w:vAlign w:val="bottom"/>
          </w:tcPr>
          <w:p>
            <w:pPr>
              <w:spacing w:after="0"/>
              <w:rPr>
                <w:sz w:val="1"/>
                <w:szCs w:val="1"/>
                <w:color w:val="auto"/>
              </w:rPr>
            </w:pPr>
          </w:p>
        </w:tc>
      </w:tr>
      <w:tr>
        <w:trPr>
          <w:trHeight w:val="215"/>
        </w:trPr>
        <w:tc>
          <w:tcPr>
            <w:tcW w:w="37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5"/>
                <w:szCs w:val="15"/>
                <w:color w:val="auto"/>
              </w:rPr>
              <w:t>Loss on disposal of property and equipment</w:t>
            </w:r>
          </w:p>
        </w:tc>
        <w:tc>
          <w:tcPr>
            <w:tcW w:w="8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1,423</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265</w:t>
            </w:r>
          </w:p>
        </w:tc>
        <w:tc>
          <w:tcPr>
            <w:tcW w:w="0" w:type="dxa"/>
            <w:vAlign w:val="bottom"/>
          </w:tcPr>
          <w:p>
            <w:pPr>
              <w:spacing w:after="0"/>
              <w:rPr>
                <w:sz w:val="1"/>
                <w:szCs w:val="1"/>
                <w:color w:val="auto"/>
              </w:rPr>
            </w:pPr>
          </w:p>
        </w:tc>
      </w:tr>
      <w:tr>
        <w:trPr>
          <w:trHeight w:val="178"/>
        </w:trPr>
        <w:tc>
          <w:tcPr>
            <w:tcW w:w="3780" w:type="dxa"/>
            <w:vAlign w:val="bottom"/>
          </w:tcPr>
          <w:p>
            <w:pPr>
              <w:ind w:left="940"/>
              <w:spacing w:after="0"/>
              <w:rPr>
                <w:sz w:val="20"/>
                <w:szCs w:val="20"/>
                <w:color w:val="auto"/>
              </w:rPr>
            </w:pPr>
            <w:r>
              <w:rPr>
                <w:rFonts w:ascii="Arial" w:cs="Arial" w:eastAsia="Arial" w:hAnsi="Arial"/>
                <w:sz w:val="15"/>
                <w:szCs w:val="15"/>
                <w:color w:val="auto"/>
              </w:rPr>
              <w:t>Total adjustments</w:t>
            </w:r>
          </w:p>
        </w:tc>
        <w:tc>
          <w:tcPr>
            <w:tcW w:w="8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18,661</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18,478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19,786</w:t>
            </w:r>
          </w:p>
        </w:tc>
        <w:tc>
          <w:tcPr>
            <w:tcW w:w="0" w:type="dxa"/>
            <w:vAlign w:val="bottom"/>
          </w:tcPr>
          <w:p>
            <w:pPr>
              <w:spacing w:after="0"/>
              <w:rPr>
                <w:sz w:val="1"/>
                <w:szCs w:val="1"/>
                <w:color w:val="auto"/>
              </w:rPr>
            </w:pPr>
          </w:p>
        </w:tc>
      </w:tr>
      <w:tr>
        <w:trPr>
          <w:trHeight w:val="195"/>
        </w:trPr>
        <w:tc>
          <w:tcPr>
            <w:tcW w:w="37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Changes in operating assets and liabilities:</w:t>
            </w:r>
          </w:p>
        </w:tc>
        <w:tc>
          <w:tcPr>
            <w:tcW w:w="8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80" w:type="dxa"/>
            <w:vAlign w:val="bottom"/>
          </w:tcPr>
          <w:p>
            <w:pPr>
              <w:ind w:left="840"/>
              <w:spacing w:after="0"/>
              <w:rPr>
                <w:sz w:val="20"/>
                <w:szCs w:val="20"/>
                <w:color w:val="auto"/>
              </w:rPr>
            </w:pPr>
            <w:r>
              <w:rPr>
                <w:rFonts w:ascii="Arial" w:cs="Arial" w:eastAsia="Arial" w:hAnsi="Arial"/>
                <w:sz w:val="15"/>
                <w:szCs w:val="15"/>
                <w:color w:val="auto"/>
              </w:rPr>
              <w:t>Accounts receivable, net</w:t>
            </w:r>
          </w:p>
        </w:tc>
        <w:tc>
          <w:tcPr>
            <w:tcW w:w="8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(13,846)</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(17,080)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(5,655)</w:t>
            </w:r>
          </w:p>
        </w:tc>
        <w:tc>
          <w:tcPr>
            <w:tcW w:w="0" w:type="dxa"/>
            <w:vAlign w:val="bottom"/>
          </w:tcPr>
          <w:p>
            <w:pPr>
              <w:spacing w:after="0"/>
              <w:rPr>
                <w:sz w:val="1"/>
                <w:szCs w:val="1"/>
                <w:color w:val="auto"/>
              </w:rPr>
            </w:pPr>
          </w:p>
        </w:tc>
      </w:tr>
      <w:tr>
        <w:trPr>
          <w:trHeight w:val="195"/>
        </w:trPr>
        <w:tc>
          <w:tcPr>
            <w:tcW w:w="3780" w:type="dxa"/>
            <w:vAlign w:val="bottom"/>
            <w:shd w:val="clear" w:color="auto" w:fill="CCEEFF"/>
          </w:tcPr>
          <w:p>
            <w:pPr>
              <w:ind w:left="840"/>
              <w:spacing w:after="0"/>
              <w:rPr>
                <w:sz w:val="20"/>
                <w:szCs w:val="20"/>
                <w:color w:val="auto"/>
              </w:rPr>
            </w:pPr>
            <w:r>
              <w:rPr>
                <w:rFonts w:ascii="Arial" w:cs="Arial" w:eastAsia="Arial" w:hAnsi="Arial"/>
                <w:sz w:val="15"/>
                <w:szCs w:val="15"/>
                <w:color w:val="auto"/>
              </w:rPr>
              <w:t>Prepaid wires, net</w:t>
            </w:r>
          </w:p>
        </w:tc>
        <w:tc>
          <w:tcPr>
            <w:tcW w:w="8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(3,887)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(35,598)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8,805</w:t>
            </w:r>
          </w:p>
        </w:tc>
        <w:tc>
          <w:tcPr>
            <w:tcW w:w="0" w:type="dxa"/>
            <w:vAlign w:val="bottom"/>
          </w:tcPr>
          <w:p>
            <w:pPr>
              <w:spacing w:after="0"/>
              <w:rPr>
                <w:sz w:val="1"/>
                <w:szCs w:val="1"/>
                <w:color w:val="auto"/>
              </w:rPr>
            </w:pPr>
          </w:p>
        </w:tc>
      </w:tr>
      <w:tr>
        <w:trPr>
          <w:trHeight w:val="195"/>
        </w:trPr>
        <w:tc>
          <w:tcPr>
            <w:tcW w:w="3780" w:type="dxa"/>
            <w:vAlign w:val="bottom"/>
          </w:tcPr>
          <w:p>
            <w:pPr>
              <w:ind w:left="840"/>
              <w:spacing w:after="0"/>
              <w:rPr>
                <w:sz w:val="20"/>
                <w:szCs w:val="20"/>
                <w:color w:val="auto"/>
              </w:rPr>
            </w:pPr>
            <w:r>
              <w:rPr>
                <w:rFonts w:ascii="Arial" w:cs="Arial" w:eastAsia="Arial" w:hAnsi="Arial"/>
                <w:sz w:val="15"/>
                <w:szCs w:val="15"/>
                <w:color w:val="auto"/>
              </w:rPr>
              <w:t>Prepaid expenses and other assets</w:t>
            </w:r>
          </w:p>
        </w:tc>
        <w:tc>
          <w:tcPr>
            <w:tcW w:w="8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(6,355)</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(1,137)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(659)</w:t>
            </w:r>
          </w:p>
        </w:tc>
        <w:tc>
          <w:tcPr>
            <w:tcW w:w="0" w:type="dxa"/>
            <w:vAlign w:val="bottom"/>
          </w:tcPr>
          <w:p>
            <w:pPr>
              <w:spacing w:after="0"/>
              <w:rPr>
                <w:sz w:val="1"/>
                <w:szCs w:val="1"/>
                <w:color w:val="auto"/>
              </w:rPr>
            </w:pPr>
          </w:p>
        </w:tc>
      </w:tr>
      <w:tr>
        <w:trPr>
          <w:trHeight w:val="195"/>
        </w:trPr>
        <w:tc>
          <w:tcPr>
            <w:tcW w:w="3780" w:type="dxa"/>
            <w:vAlign w:val="bottom"/>
            <w:shd w:val="clear" w:color="auto" w:fill="CCEEFF"/>
          </w:tcPr>
          <w:p>
            <w:pPr>
              <w:ind w:left="840"/>
              <w:spacing w:after="0"/>
              <w:rPr>
                <w:sz w:val="20"/>
                <w:szCs w:val="20"/>
                <w:color w:val="auto"/>
              </w:rPr>
            </w:pPr>
            <w:r>
              <w:rPr>
                <w:rFonts w:ascii="Arial" w:cs="Arial" w:eastAsia="Arial" w:hAnsi="Arial"/>
                <w:sz w:val="15"/>
                <w:szCs w:val="15"/>
                <w:color w:val="auto"/>
                <w:w w:val="95"/>
              </w:rPr>
              <w:t>Wire transfers and money orders payable, net</w:t>
            </w:r>
          </w:p>
        </w:tc>
        <w:tc>
          <w:tcPr>
            <w:tcW w:w="8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14,726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3,416</w:t>
            </w:r>
          </w:p>
        </w:tc>
        <w:tc>
          <w:tcPr>
            <w:tcW w:w="0" w:type="dxa"/>
            <w:vAlign w:val="bottom"/>
          </w:tcPr>
          <w:p>
            <w:pPr>
              <w:spacing w:after="0"/>
              <w:rPr>
                <w:sz w:val="1"/>
                <w:szCs w:val="1"/>
                <w:color w:val="auto"/>
              </w:rPr>
            </w:pPr>
          </w:p>
        </w:tc>
      </w:tr>
      <w:tr>
        <w:trPr>
          <w:trHeight w:val="150"/>
        </w:trPr>
        <w:tc>
          <w:tcPr>
            <w:tcW w:w="3780" w:type="dxa"/>
            <w:vAlign w:val="bottom"/>
          </w:tcPr>
          <w:p>
            <w:pPr>
              <w:ind w:left="840"/>
              <w:spacing w:after="0" w:line="150" w:lineRule="exact"/>
              <w:rPr>
                <w:sz w:val="20"/>
                <w:szCs w:val="20"/>
                <w:color w:val="auto"/>
              </w:rPr>
            </w:pPr>
            <w:r>
              <w:rPr>
                <w:rFonts w:ascii="Arial" w:cs="Arial" w:eastAsia="Arial" w:hAnsi="Arial"/>
                <w:sz w:val="15"/>
                <w:szCs w:val="15"/>
                <w:color w:val="auto"/>
              </w:rPr>
              <w:t>Accounts payable and accrued and other</w:t>
            </w:r>
          </w:p>
        </w:tc>
        <w:tc>
          <w:tcPr>
            <w:tcW w:w="8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21,956</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(1,419)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7,232</w:t>
            </w:r>
          </w:p>
        </w:tc>
        <w:tc>
          <w:tcPr>
            <w:tcW w:w="0" w:type="dxa"/>
            <w:vAlign w:val="bottom"/>
          </w:tcPr>
          <w:p>
            <w:pPr>
              <w:spacing w:after="0"/>
              <w:rPr>
                <w:sz w:val="1"/>
                <w:szCs w:val="1"/>
                <w:color w:val="auto"/>
              </w:rPr>
            </w:pPr>
          </w:p>
        </w:tc>
      </w:tr>
      <w:tr>
        <w:trPr>
          <w:trHeight w:val="186"/>
        </w:trPr>
        <w:tc>
          <w:tcPr>
            <w:tcW w:w="3780" w:type="dxa"/>
            <w:vAlign w:val="bottom"/>
            <w:tcBorders>
              <w:bottom w:val="single" w:sz="8" w:color="CCEEFF"/>
            </w:tcBorders>
          </w:tcPr>
          <w:p>
            <w:pPr>
              <w:ind w:left="300"/>
              <w:spacing w:after="0"/>
              <w:rPr>
                <w:sz w:val="20"/>
                <w:szCs w:val="20"/>
                <w:color w:val="auto"/>
              </w:rPr>
            </w:pPr>
            <w:r>
              <w:rPr>
                <w:rFonts w:ascii="Arial" w:cs="Arial" w:eastAsia="Arial" w:hAnsi="Arial"/>
                <w:sz w:val="15"/>
                <w:szCs w:val="15"/>
                <w:color w:val="auto"/>
              </w:rPr>
              <w:t>liabilities</w:t>
            </w:r>
          </w:p>
        </w:tc>
        <w:tc>
          <w:tcPr>
            <w:tcW w:w="8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5"/>
                <w:szCs w:val="15"/>
                <w:color w:val="auto"/>
                <w:w w:val="96"/>
              </w:rPr>
              <w:t>Net cash provided by (used in) operating activities</w:t>
            </w:r>
          </w:p>
        </w:tc>
        <w:tc>
          <w:tcPr>
            <w:tcW w:w="8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78,098</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52,534</w:t>
            </w:r>
          </w:p>
        </w:tc>
        <w:tc>
          <w:tcPr>
            <w:tcW w:w="0" w:type="dxa"/>
            <w:vAlign w:val="bottom"/>
          </w:tcPr>
          <w:p>
            <w:pPr>
              <w:spacing w:after="0"/>
              <w:rPr>
                <w:sz w:val="1"/>
                <w:szCs w:val="1"/>
                <w:color w:val="auto"/>
              </w:rPr>
            </w:pPr>
          </w:p>
        </w:tc>
      </w:tr>
      <w:tr>
        <w:trPr>
          <w:trHeight w:val="172"/>
        </w:trPr>
        <w:tc>
          <w:tcPr>
            <w:tcW w:w="3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780" w:type="dxa"/>
            <w:vAlign w:val="bottom"/>
            <w:shd w:val="clear" w:color="auto" w:fill="CCEEFF"/>
          </w:tcPr>
          <w:p>
            <w:pPr>
              <w:ind w:left="560"/>
              <w:spacing w:after="0"/>
              <w:rPr>
                <w:sz w:val="20"/>
                <w:szCs w:val="20"/>
                <w:color w:val="auto"/>
              </w:rPr>
            </w:pPr>
            <w:r>
              <w:rPr>
                <w:rFonts w:ascii="Arial" w:cs="Arial" w:eastAsia="Arial" w:hAnsi="Arial"/>
                <w:sz w:val="15"/>
                <w:szCs w:val="15"/>
                <w:color w:val="auto"/>
              </w:rPr>
              <w:t>Cash flows from investing activities:</w:t>
            </w:r>
          </w:p>
        </w:tc>
        <w:tc>
          <w:tcPr>
            <w:tcW w:w="8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80" w:type="dxa"/>
            <w:vAlign w:val="bottom"/>
          </w:tcPr>
          <w:p>
            <w:pPr>
              <w:ind w:left="680"/>
              <w:spacing w:after="0"/>
              <w:rPr>
                <w:sz w:val="20"/>
                <w:szCs w:val="20"/>
                <w:color w:val="auto"/>
              </w:rPr>
            </w:pPr>
            <w:r>
              <w:rPr>
                <w:rFonts w:ascii="Arial" w:cs="Arial" w:eastAsia="Arial" w:hAnsi="Arial"/>
                <w:sz w:val="15"/>
                <w:szCs w:val="15"/>
                <w:color w:val="auto"/>
              </w:rPr>
              <w:t>Purchases of property and equipment</w:t>
            </w:r>
          </w:p>
        </w:tc>
        <w:tc>
          <w:tcPr>
            <w:tcW w:w="8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(10,588)</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(4,062)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(6,469)</w:t>
            </w:r>
          </w:p>
        </w:tc>
        <w:tc>
          <w:tcPr>
            <w:tcW w:w="0" w:type="dxa"/>
            <w:vAlign w:val="bottom"/>
          </w:tcPr>
          <w:p>
            <w:pPr>
              <w:spacing w:after="0"/>
              <w:rPr>
                <w:sz w:val="1"/>
                <w:szCs w:val="1"/>
                <w:color w:val="auto"/>
              </w:rPr>
            </w:pPr>
          </w:p>
        </w:tc>
      </w:tr>
      <w:tr>
        <w:trPr>
          <w:trHeight w:val="215"/>
        </w:trPr>
        <w:tc>
          <w:tcPr>
            <w:tcW w:w="37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Acquisition of agent locations</w:t>
            </w: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0" w:type="dxa"/>
            <w:vAlign w:val="bottom"/>
          </w:tcPr>
          <w:p>
            <w:pPr>
              <w:spacing w:after="0"/>
              <w:rPr>
                <w:sz w:val="1"/>
                <w:szCs w:val="1"/>
                <w:color w:val="auto"/>
              </w:rPr>
            </w:pPr>
          </w:p>
        </w:tc>
      </w:tr>
      <w:tr>
        <w:trPr>
          <w:trHeight w:val="178"/>
        </w:trPr>
        <w:tc>
          <w:tcPr>
            <w:tcW w:w="3780" w:type="dxa"/>
            <w:vAlign w:val="bottom"/>
            <w:tcBorders>
              <w:top w:val="single" w:sz="8" w:color="CCEEFF"/>
            </w:tcBorders>
          </w:tcPr>
          <w:p>
            <w:pPr>
              <w:ind w:left="560"/>
              <w:spacing w:after="0"/>
              <w:rPr>
                <w:sz w:val="20"/>
                <w:szCs w:val="20"/>
                <w:color w:val="auto"/>
              </w:rPr>
            </w:pPr>
            <w:r>
              <w:rPr>
                <w:rFonts w:ascii="Arial" w:cs="Arial" w:eastAsia="Arial" w:hAnsi="Arial"/>
                <w:sz w:val="15"/>
                <w:szCs w:val="15"/>
                <w:color w:val="auto"/>
              </w:rPr>
              <w:t>Net cash used in investing activities</w:t>
            </w:r>
          </w:p>
        </w:tc>
        <w:tc>
          <w:tcPr>
            <w:tcW w:w="8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(10,773)</w:t>
            </w:r>
          </w:p>
        </w:tc>
        <w:tc>
          <w:tcPr>
            <w:tcW w:w="100" w:type="dxa"/>
            <w:vAlign w:val="bottom"/>
            <w:tcBorders>
              <w:top w:val="single" w:sz="8" w:color="CCEEFF"/>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(4,062)</w:t>
            </w:r>
          </w:p>
        </w:tc>
        <w:tc>
          <w:tcPr>
            <w:tcW w:w="10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(6,719)</w:t>
            </w:r>
          </w:p>
        </w:tc>
        <w:tc>
          <w:tcPr>
            <w:tcW w:w="0" w:type="dxa"/>
            <w:vAlign w:val="bottom"/>
          </w:tcPr>
          <w:p>
            <w:pPr>
              <w:spacing w:after="0"/>
              <w:rPr>
                <w:sz w:val="1"/>
                <w:szCs w:val="1"/>
                <w:color w:val="auto"/>
              </w:rPr>
            </w:pPr>
          </w:p>
        </w:tc>
      </w:tr>
      <w:tr>
        <w:trPr>
          <w:trHeight w:val="184"/>
        </w:trPr>
        <w:tc>
          <w:tcPr>
            <w:tcW w:w="37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780" w:type="dxa"/>
            <w:vAlign w:val="bottom"/>
          </w:tcPr>
          <w:p>
            <w:pPr>
              <w:ind w:left="560"/>
              <w:spacing w:after="0"/>
              <w:rPr>
                <w:sz w:val="20"/>
                <w:szCs w:val="20"/>
                <w:color w:val="auto"/>
              </w:rPr>
            </w:pPr>
            <w:r>
              <w:rPr>
                <w:rFonts w:ascii="Arial" w:cs="Arial" w:eastAsia="Arial" w:hAnsi="Arial"/>
                <w:sz w:val="15"/>
                <w:szCs w:val="15"/>
                <w:color w:val="auto"/>
              </w:rPr>
              <w:t>Cash flows from financing activities:</w:t>
            </w: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Borrowings under term loan facility</w:t>
            </w:r>
          </w:p>
        </w:tc>
        <w:tc>
          <w:tcPr>
            <w:tcW w:w="8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40,158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12,000</w:t>
            </w:r>
          </w:p>
        </w:tc>
        <w:tc>
          <w:tcPr>
            <w:tcW w:w="0" w:type="dxa"/>
            <w:vAlign w:val="bottom"/>
          </w:tcPr>
          <w:p>
            <w:pPr>
              <w:spacing w:after="0"/>
              <w:rPr>
                <w:sz w:val="1"/>
                <w:szCs w:val="1"/>
                <w:color w:val="auto"/>
              </w:rPr>
            </w:pPr>
          </w:p>
        </w:tc>
      </w:tr>
      <w:tr>
        <w:trPr>
          <w:trHeight w:val="195"/>
        </w:trPr>
        <w:tc>
          <w:tcPr>
            <w:tcW w:w="3780" w:type="dxa"/>
            <w:vAlign w:val="bottom"/>
          </w:tcPr>
          <w:p>
            <w:pPr>
              <w:ind w:left="680"/>
              <w:spacing w:after="0"/>
              <w:rPr>
                <w:sz w:val="20"/>
                <w:szCs w:val="20"/>
                <w:color w:val="auto"/>
              </w:rPr>
            </w:pPr>
            <w:r>
              <w:rPr>
                <w:rFonts w:ascii="Arial" w:cs="Arial" w:eastAsia="Arial" w:hAnsi="Arial"/>
                <w:sz w:val="15"/>
                <w:szCs w:val="15"/>
                <w:color w:val="auto"/>
              </w:rPr>
              <w:t>Repayments of term loan facility</w:t>
            </w:r>
          </w:p>
        </w:tc>
        <w:tc>
          <w:tcPr>
            <w:tcW w:w="8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(44,228)</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(7,661)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(4,956)</w:t>
            </w:r>
          </w:p>
        </w:tc>
        <w:tc>
          <w:tcPr>
            <w:tcW w:w="0" w:type="dxa"/>
            <w:vAlign w:val="bottom"/>
          </w:tcPr>
          <w:p>
            <w:pPr>
              <w:spacing w:after="0"/>
              <w:rPr>
                <w:sz w:val="1"/>
                <w:szCs w:val="1"/>
                <w:color w:val="auto"/>
              </w:rPr>
            </w:pPr>
          </w:p>
        </w:tc>
      </w:tr>
      <w:tr>
        <w:trPr>
          <w:trHeight w:val="195"/>
        </w:trPr>
        <w:tc>
          <w:tcPr>
            <w:tcW w:w="37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Repayments under revolving loan, net</w:t>
            </w:r>
          </w:p>
        </w:tc>
        <w:tc>
          <w:tcPr>
            <w:tcW w:w="8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(30,000)</w:t>
            </w:r>
          </w:p>
        </w:tc>
        <w:tc>
          <w:tcPr>
            <w:tcW w:w="0" w:type="dxa"/>
            <w:vAlign w:val="bottom"/>
          </w:tcPr>
          <w:p>
            <w:pPr>
              <w:spacing w:after="0"/>
              <w:rPr>
                <w:sz w:val="1"/>
                <w:szCs w:val="1"/>
                <w:color w:val="auto"/>
              </w:rPr>
            </w:pPr>
          </w:p>
        </w:tc>
      </w:tr>
      <w:tr>
        <w:trPr>
          <w:trHeight w:val="195"/>
        </w:trPr>
        <w:tc>
          <w:tcPr>
            <w:tcW w:w="3780" w:type="dxa"/>
            <w:vAlign w:val="bottom"/>
          </w:tcPr>
          <w:p>
            <w:pPr>
              <w:ind w:left="680"/>
              <w:spacing w:after="0"/>
              <w:rPr>
                <w:sz w:val="20"/>
                <w:szCs w:val="20"/>
                <w:color w:val="auto"/>
              </w:rPr>
            </w:pPr>
            <w:r>
              <w:rPr>
                <w:rFonts w:ascii="Arial" w:cs="Arial" w:eastAsia="Arial" w:hAnsi="Arial"/>
                <w:sz w:val="15"/>
                <w:szCs w:val="15"/>
                <w:color w:val="auto"/>
              </w:rPr>
              <w:t>Payment of debt origination costs</w:t>
            </w:r>
          </w:p>
        </w:tc>
        <w:tc>
          <w:tcPr>
            <w:tcW w:w="8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(2,944)</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8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(240)</w:t>
            </w:r>
          </w:p>
        </w:tc>
        <w:tc>
          <w:tcPr>
            <w:tcW w:w="0" w:type="dxa"/>
            <w:vAlign w:val="bottom"/>
          </w:tcPr>
          <w:p>
            <w:pPr>
              <w:spacing w:after="0"/>
              <w:rPr>
                <w:sz w:val="1"/>
                <w:szCs w:val="1"/>
                <w:color w:val="auto"/>
              </w:rPr>
            </w:pPr>
          </w:p>
        </w:tc>
      </w:tr>
      <w:tr>
        <w:trPr>
          <w:trHeight w:val="195"/>
        </w:trPr>
        <w:tc>
          <w:tcPr>
            <w:tcW w:w="37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Proceeds from exercise of options</w:t>
            </w:r>
          </w:p>
        </w:tc>
        <w:tc>
          <w:tcPr>
            <w:tcW w:w="8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3,813</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w:t>
            </w:r>
          </w:p>
        </w:tc>
        <w:tc>
          <w:tcPr>
            <w:tcW w:w="0" w:type="dxa"/>
            <w:vAlign w:val="bottom"/>
          </w:tcPr>
          <w:p>
            <w:pPr>
              <w:spacing w:after="0"/>
              <w:rPr>
                <w:sz w:val="1"/>
                <w:szCs w:val="1"/>
                <w:color w:val="auto"/>
              </w:rPr>
            </w:pPr>
          </w:p>
        </w:tc>
      </w:tr>
      <w:tr>
        <w:trPr>
          <w:trHeight w:val="195"/>
        </w:trPr>
        <w:tc>
          <w:tcPr>
            <w:tcW w:w="3780" w:type="dxa"/>
            <w:vAlign w:val="bottom"/>
          </w:tcPr>
          <w:p>
            <w:pPr>
              <w:ind w:left="680"/>
              <w:spacing w:after="0"/>
              <w:rPr>
                <w:sz w:val="20"/>
                <w:szCs w:val="20"/>
                <w:color w:val="auto"/>
              </w:rPr>
            </w:pPr>
            <w:r>
              <w:rPr>
                <w:rFonts w:ascii="Arial" w:cs="Arial" w:eastAsia="Arial" w:hAnsi="Arial"/>
                <w:sz w:val="15"/>
                <w:szCs w:val="15"/>
                <w:color w:val="auto"/>
              </w:rPr>
              <w:t>Payments for stock-based awards</w:t>
            </w:r>
          </w:p>
        </w:tc>
        <w:tc>
          <w:tcPr>
            <w:tcW w:w="8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(849)</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8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37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Repurchases of common stock</w:t>
            </w:r>
          </w:p>
        </w:tc>
        <w:tc>
          <w:tcPr>
            <w:tcW w:w="8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(5,566)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780" w:type="dxa"/>
            <w:vAlign w:val="bottom"/>
          </w:tcPr>
          <w:p>
            <w:pPr>
              <w:ind w:left="680"/>
              <w:spacing w:after="0"/>
              <w:rPr>
                <w:sz w:val="20"/>
                <w:szCs w:val="20"/>
                <w:color w:val="auto"/>
              </w:rPr>
            </w:pPr>
            <w:r>
              <w:rPr>
                <w:rFonts w:ascii="Arial" w:cs="Arial" w:eastAsia="Arial" w:hAnsi="Arial"/>
                <w:sz w:val="15"/>
                <w:szCs w:val="15"/>
                <w:color w:val="auto"/>
              </w:rPr>
              <w:t>Cash paid in warrant exchange</w:t>
            </w:r>
          </w:p>
        </w:tc>
        <w:tc>
          <w:tcPr>
            <w:tcW w:w="8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tcPr>
          <w:p>
            <w:pPr>
              <w:spacing w:after="0"/>
              <w:rPr>
                <w:sz w:val="17"/>
                <w:szCs w:val="17"/>
                <w:color w:val="auto"/>
              </w:rPr>
            </w:pPr>
          </w:p>
        </w:tc>
        <w:tc>
          <w:tcPr>
            <w:tcW w:w="138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(10,031)</w:t>
            </w:r>
          </w:p>
        </w:tc>
        <w:tc>
          <w:tcPr>
            <w:tcW w:w="0" w:type="dxa"/>
            <w:vAlign w:val="bottom"/>
          </w:tcPr>
          <w:p>
            <w:pPr>
              <w:spacing w:after="0"/>
              <w:rPr>
                <w:sz w:val="1"/>
                <w:szCs w:val="1"/>
                <w:color w:val="auto"/>
              </w:rPr>
            </w:pPr>
          </w:p>
        </w:tc>
      </w:tr>
      <w:tr>
        <w:trPr>
          <w:trHeight w:val="19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cash used in financing activities</w:t>
            </w:r>
          </w:p>
        </w:tc>
        <w:tc>
          <w:tcPr>
            <w:tcW w:w="8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(6,160)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(32,944)</w:t>
            </w:r>
          </w:p>
        </w:tc>
        <w:tc>
          <w:tcPr>
            <w:tcW w:w="0" w:type="dxa"/>
            <w:vAlign w:val="bottom"/>
          </w:tcPr>
          <w:p>
            <w:pPr>
              <w:spacing w:after="0"/>
              <w:rPr>
                <w:sz w:val="1"/>
                <w:szCs w:val="1"/>
                <w:color w:val="auto"/>
              </w:rPr>
            </w:pPr>
          </w:p>
        </w:tc>
      </w:tr>
      <w:tr>
        <w:trPr>
          <w:trHeight w:val="172"/>
        </w:trPr>
        <w:tc>
          <w:tcPr>
            <w:tcW w:w="3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7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5"/>
                <w:szCs w:val="15"/>
                <w:color w:val="auto"/>
              </w:rPr>
              <w:t>Effect of exchange rate changes on cash</w:t>
            </w:r>
          </w:p>
        </w:tc>
        <w:tc>
          <w:tcPr>
            <w:tcW w:w="8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217</w:t>
            </w:r>
          </w:p>
        </w:tc>
        <w:tc>
          <w:tcPr>
            <w:tcW w:w="0" w:type="dxa"/>
            <w:vAlign w:val="bottom"/>
          </w:tcPr>
          <w:p>
            <w:pPr>
              <w:spacing w:after="0"/>
              <w:rPr>
                <w:sz w:val="1"/>
                <w:szCs w:val="1"/>
                <w:color w:val="auto"/>
              </w:rPr>
            </w:pPr>
          </w:p>
        </w:tc>
      </w:tr>
      <w:tr>
        <w:trPr>
          <w:trHeight w:val="172"/>
        </w:trPr>
        <w:tc>
          <w:tcPr>
            <w:tcW w:w="3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780" w:type="dxa"/>
            <w:vAlign w:val="bottom"/>
            <w:shd w:val="clear" w:color="auto" w:fill="CCEEFF"/>
          </w:tcPr>
          <w:p>
            <w:pPr>
              <w:ind w:left="560"/>
              <w:spacing w:after="0"/>
              <w:rPr>
                <w:sz w:val="20"/>
                <w:szCs w:val="20"/>
                <w:color w:val="auto"/>
              </w:rPr>
            </w:pPr>
            <w:r>
              <w:rPr>
                <w:rFonts w:ascii="Arial" w:cs="Arial" w:eastAsia="Arial" w:hAnsi="Arial"/>
                <w:sz w:val="15"/>
                <w:szCs w:val="15"/>
                <w:color w:val="auto"/>
              </w:rPr>
              <w:t>Net increase (decrease) in cash</w:t>
            </w:r>
          </w:p>
        </w:tc>
        <w:tc>
          <w:tcPr>
            <w:tcW w:w="8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57,567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(11,210)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13,088</w:t>
            </w: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beginning of the year</w:t>
            </w:r>
          </w:p>
        </w:tc>
        <w:tc>
          <w:tcPr>
            <w:tcW w:w="8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74,907</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86,117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73,029</w:t>
            </w:r>
          </w:p>
        </w:tc>
        <w:tc>
          <w:tcPr>
            <w:tcW w:w="0" w:type="dxa"/>
            <w:vAlign w:val="bottom"/>
          </w:tcPr>
          <w:p>
            <w:pPr>
              <w:spacing w:after="0"/>
              <w:rPr>
                <w:sz w:val="1"/>
                <w:szCs w:val="1"/>
                <w:color w:val="auto"/>
              </w:rPr>
            </w:pPr>
          </w:p>
        </w:tc>
      </w:tr>
      <w:tr>
        <w:trPr>
          <w:trHeight w:val="172"/>
        </w:trPr>
        <w:tc>
          <w:tcPr>
            <w:tcW w:w="3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7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5"/>
                <w:szCs w:val="15"/>
                <w:color w:val="auto"/>
              </w:rPr>
              <w:t>Cash, end of the year</w:t>
            </w:r>
          </w:p>
        </w:tc>
        <w:tc>
          <w:tcPr>
            <w:tcW w:w="8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132,474</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74,907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86,117</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0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95"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0139"/>
          </w:cols>
          <w:pgMar w:left="320" w:top="129" w:right="1440" w:bottom="1440" w:gutter="0" w:footer="0" w:header="0"/>
        </w:sectPr>
      </w:pPr>
    </w:p>
    <w:bookmarkStart w:id="50" w:name="page51"/>
    <w:bookmarkEnd w:id="50"/>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191"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INTERNATIONAL MONEY EXPRESS, INC.</w:t>
      </w:r>
    </w:p>
    <w:p>
      <w:pPr>
        <w:spacing w:after="0" w:line="26"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CONSOLIDATED STATEMENTS OF CASH FLOWS (CONTINUED)</w:t>
      </w:r>
    </w:p>
    <w:p>
      <w:pPr>
        <w:spacing w:after="0" w:line="11"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(in thousands)</w:t>
      </w:r>
    </w:p>
    <w:p>
      <w:pPr>
        <w:spacing w:after="0" w:line="218" w:lineRule="exact"/>
        <w:rPr>
          <w:sz w:val="20"/>
          <w:szCs w:val="20"/>
          <w:color w:val="auto"/>
        </w:rPr>
      </w:pPr>
    </w:p>
    <w:tbl>
      <w:tblPr>
        <w:tblLayout w:type="fixed"/>
        <w:tblInd w:w="540" w:type="dxa"/>
        <w:tblCellMar>
          <w:top w:w="0" w:type="dxa"/>
          <w:left w:w="0" w:type="dxa"/>
          <w:bottom w:w="0" w:type="dxa"/>
          <w:right w:w="0" w:type="dxa"/>
        </w:tblCellMar>
      </w:tblPr>
      <w:tr>
        <w:trPr>
          <w:trHeight w:val="197"/>
        </w:trPr>
        <w:tc>
          <w:tcPr>
            <w:tcW w:w="38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ind w:left="360"/>
              <w:spacing w:after="0"/>
              <w:rPr>
                <w:sz w:val="20"/>
                <w:szCs w:val="20"/>
                <w:color w:val="auto"/>
              </w:rPr>
            </w:pPr>
            <w:r>
              <w:rPr>
                <w:rFonts w:ascii="Arial" w:cs="Arial" w:eastAsia="Arial" w:hAnsi="Arial"/>
                <w:sz w:val="15"/>
                <w:szCs w:val="15"/>
                <w:color w:val="auto"/>
              </w:rPr>
              <w:t>Year Ended December 31,</w:t>
            </w: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8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color w:val="auto"/>
              </w:rPr>
              <w:t>2021</w:t>
            </w:r>
          </w:p>
        </w:tc>
        <w:tc>
          <w:tcPr>
            <w:tcW w:w="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color w:val="auto"/>
              </w:rPr>
              <w:t>2020</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color w:val="auto"/>
              </w:rPr>
              <w:t>2019</w:t>
            </w:r>
          </w:p>
        </w:tc>
        <w:tc>
          <w:tcPr>
            <w:tcW w:w="0" w:type="dxa"/>
            <w:vAlign w:val="bottom"/>
          </w:tcPr>
          <w:p>
            <w:pPr>
              <w:spacing w:after="0"/>
              <w:rPr>
                <w:sz w:val="1"/>
                <w:szCs w:val="1"/>
                <w:color w:val="auto"/>
              </w:rPr>
            </w:pPr>
          </w:p>
        </w:tc>
      </w:tr>
      <w:tr>
        <w:trPr>
          <w:trHeight w:val="184"/>
        </w:trPr>
        <w:tc>
          <w:tcPr>
            <w:tcW w:w="3820" w:type="dxa"/>
            <w:vAlign w:val="bottom"/>
          </w:tcPr>
          <w:p>
            <w:pPr>
              <w:ind w:left="20"/>
              <w:spacing w:after="0"/>
              <w:rPr>
                <w:sz w:val="20"/>
                <w:szCs w:val="20"/>
                <w:color w:val="auto"/>
              </w:rPr>
            </w:pPr>
            <w:r>
              <w:rPr>
                <w:rFonts w:ascii="Arial" w:cs="Arial" w:eastAsia="Arial" w:hAnsi="Arial"/>
                <w:sz w:val="15"/>
                <w:szCs w:val="15"/>
                <w:b w:val="1"/>
                <w:bCs w:val="1"/>
                <w:color w:val="auto"/>
              </w:rPr>
              <w:t>Supplemental disclosure of cash flow information:</w:t>
            </w: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8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Cash paid for interest</w:t>
            </w:r>
          </w:p>
        </w:tc>
        <w:tc>
          <w:tcPr>
            <w:tcW w:w="8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3,666</w:t>
            </w:r>
          </w:p>
        </w:tc>
        <w:tc>
          <w:tcPr>
            <w:tcW w:w="8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5,812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8,768</w:t>
            </w:r>
          </w:p>
        </w:tc>
        <w:tc>
          <w:tcPr>
            <w:tcW w:w="0" w:type="dxa"/>
            <w:vAlign w:val="bottom"/>
          </w:tcPr>
          <w:p>
            <w:pPr>
              <w:spacing w:after="0"/>
              <w:rPr>
                <w:sz w:val="1"/>
                <w:szCs w:val="1"/>
                <w:color w:val="auto"/>
              </w:rPr>
            </w:pPr>
          </w:p>
        </w:tc>
      </w:tr>
      <w:tr>
        <w:trPr>
          <w:trHeight w:val="186"/>
        </w:trPr>
        <w:tc>
          <w:tcPr>
            <w:tcW w:w="3820" w:type="dxa"/>
            <w:vAlign w:val="bottom"/>
            <w:tcBorders>
              <w:bottom w:val="single" w:sz="8" w:color="CCEEFF"/>
            </w:tcBorders>
          </w:tcPr>
          <w:p>
            <w:pPr>
              <w:ind w:left="680"/>
              <w:spacing w:after="0"/>
              <w:rPr>
                <w:sz w:val="20"/>
                <w:szCs w:val="20"/>
                <w:color w:val="auto"/>
              </w:rPr>
            </w:pPr>
            <w:r>
              <w:rPr>
                <w:rFonts w:ascii="Arial" w:cs="Arial" w:eastAsia="Arial" w:hAnsi="Arial"/>
                <w:sz w:val="15"/>
                <w:szCs w:val="15"/>
                <w:color w:val="auto"/>
              </w:rPr>
              <w:t>Cash paid for income taxes</w:t>
            </w:r>
          </w:p>
        </w:tc>
        <w:tc>
          <w:tcPr>
            <w:tcW w:w="8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13,456</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11,140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4,870</w:t>
            </w: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820" w:type="dxa"/>
            <w:vAlign w:val="bottom"/>
          </w:tcPr>
          <w:p>
            <w:pPr>
              <w:ind w:left="20"/>
              <w:spacing w:after="0"/>
              <w:rPr>
                <w:sz w:val="20"/>
                <w:szCs w:val="20"/>
                <w:color w:val="auto"/>
              </w:rPr>
            </w:pPr>
            <w:r>
              <w:rPr>
                <w:rFonts w:ascii="Arial" w:cs="Arial" w:eastAsia="Arial" w:hAnsi="Arial"/>
                <w:sz w:val="15"/>
                <w:szCs w:val="15"/>
                <w:b w:val="1"/>
                <w:bCs w:val="1"/>
                <w:color w:val="auto"/>
                <w:w w:val="95"/>
              </w:rPr>
              <w:t>Supplemental disclosure of non-cash investing activity:</w:t>
            </w: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820" w:type="dxa"/>
            <w:vAlign w:val="bottom"/>
            <w:shd w:val="clear" w:color="auto" w:fill="CCEEFF"/>
          </w:tcPr>
          <w:p>
            <w:pPr>
              <w:ind w:left="680"/>
              <w:spacing w:after="0" w:line="150" w:lineRule="exact"/>
              <w:rPr>
                <w:sz w:val="20"/>
                <w:szCs w:val="20"/>
                <w:color w:val="auto"/>
              </w:rPr>
            </w:pPr>
            <w:r>
              <w:rPr>
                <w:rFonts w:ascii="Arial" w:cs="Arial" w:eastAsia="Arial" w:hAnsi="Arial"/>
                <w:sz w:val="15"/>
                <w:szCs w:val="15"/>
                <w:color w:val="auto"/>
              </w:rPr>
              <w:t>Agent business acquired in exchange for</w:t>
            </w:r>
          </w:p>
        </w:tc>
        <w:tc>
          <w:tcPr>
            <w:tcW w:w="82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380" w:type="dxa"/>
            <w:vAlign w:val="bottom"/>
            <w:gridSpan w:val="3"/>
            <w:vMerge w:val="restart"/>
            <w:shd w:val="clear" w:color="auto" w:fill="CCEEFF"/>
          </w:tcPr>
          <w:p>
            <w:pPr>
              <w:jc w:val="right"/>
              <w:ind w:right="480"/>
              <w:spacing w:after="0"/>
              <w:rPr>
                <w:sz w:val="20"/>
                <w:szCs w:val="20"/>
                <w:color w:val="auto"/>
              </w:rPr>
            </w:pPr>
            <w:r>
              <w:rPr>
                <w:rFonts w:ascii="Arial" w:cs="Arial" w:eastAsia="Arial" w:hAnsi="Arial"/>
                <w:sz w:val="15"/>
                <w:szCs w:val="15"/>
                <w:color w:val="auto"/>
              </w:rPr>
              <w:t>—</w:t>
            </w:r>
          </w:p>
        </w:tc>
        <w:tc>
          <w:tcPr>
            <w:tcW w:w="50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194"/>
        </w:trPr>
        <w:tc>
          <w:tcPr>
            <w:tcW w:w="38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receivables</w:t>
            </w:r>
          </w:p>
        </w:tc>
        <w:tc>
          <w:tcPr>
            <w:tcW w:w="820" w:type="dxa"/>
            <w:vAlign w:val="bottom"/>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380" w:type="dxa"/>
            <w:vAlign w:val="bottom"/>
            <w:gridSpan w:val="3"/>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8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w w:val="94"/>
              </w:rPr>
              <w:t>Supplemental disclosure of non-cash financing activity:</w:t>
            </w:r>
          </w:p>
        </w:tc>
        <w:tc>
          <w:tcPr>
            <w:tcW w:w="8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820" w:type="dxa"/>
            <w:vAlign w:val="bottom"/>
          </w:tcPr>
          <w:p>
            <w:pPr>
              <w:ind w:left="680"/>
              <w:spacing w:after="0" w:line="150" w:lineRule="exact"/>
              <w:rPr>
                <w:sz w:val="20"/>
                <w:szCs w:val="20"/>
                <w:color w:val="auto"/>
              </w:rPr>
            </w:pPr>
            <w:r>
              <w:rPr>
                <w:rFonts w:ascii="Arial" w:cs="Arial" w:eastAsia="Arial" w:hAnsi="Arial"/>
                <w:sz w:val="15"/>
                <w:szCs w:val="15"/>
                <w:color w:val="auto"/>
                <w:w w:val="92"/>
              </w:rPr>
              <w:t>Issuance of common stock for cashless exercise of</w:t>
            </w:r>
          </w:p>
        </w:tc>
        <w:tc>
          <w:tcPr>
            <w:tcW w:w="820" w:type="dxa"/>
            <w:vAlign w:val="bottom"/>
            <w:vMerge w:val="restart"/>
          </w:tcPr>
          <w:p>
            <w:pPr>
              <w:jc w:val="right"/>
              <w:ind w:right="104"/>
              <w:spacing w:after="0"/>
              <w:rPr>
                <w:sz w:val="20"/>
                <w:szCs w:val="20"/>
                <w:color w:val="auto"/>
              </w:rPr>
            </w:pPr>
            <w:r>
              <w:rPr>
                <w:rFonts w:ascii="Arial" w:cs="Arial" w:eastAsia="Arial" w:hAnsi="Arial"/>
                <w:sz w:val="15"/>
                <w:szCs w:val="15"/>
                <w:color w:val="auto"/>
              </w:rPr>
              <w:t>$</w:t>
            </w: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2,973</w:t>
            </w:r>
          </w:p>
        </w:tc>
        <w:tc>
          <w:tcPr>
            <w:tcW w:w="80" w:type="dxa"/>
            <w:vAlign w:val="bottom"/>
          </w:tcPr>
          <w:p>
            <w:pPr>
              <w:spacing w:after="0"/>
              <w:rPr>
                <w:sz w:val="13"/>
                <w:szCs w:val="13"/>
                <w:color w:val="auto"/>
              </w:rPr>
            </w:pPr>
          </w:p>
        </w:tc>
        <w:tc>
          <w:tcPr>
            <w:tcW w:w="840" w:type="dxa"/>
            <w:vAlign w:val="bottom"/>
            <w:vMerge w:val="restart"/>
          </w:tcPr>
          <w:p>
            <w:pPr>
              <w:jc w:val="right"/>
              <w:ind w:right="124"/>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130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vMerge w:val="restart"/>
          </w:tcPr>
          <w:p>
            <w:pPr>
              <w:jc w:val="right"/>
              <w:ind w:right="104"/>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194"/>
        </w:trPr>
        <w:tc>
          <w:tcPr>
            <w:tcW w:w="3820" w:type="dxa"/>
            <w:vAlign w:val="bottom"/>
          </w:tcPr>
          <w:p>
            <w:pPr>
              <w:ind w:left="120"/>
              <w:spacing w:after="0"/>
              <w:rPr>
                <w:sz w:val="20"/>
                <w:szCs w:val="20"/>
                <w:color w:val="auto"/>
              </w:rPr>
            </w:pPr>
            <w:r>
              <w:rPr>
                <w:rFonts w:ascii="Arial" w:cs="Arial" w:eastAsia="Arial" w:hAnsi="Arial"/>
                <w:sz w:val="15"/>
                <w:szCs w:val="15"/>
                <w:color w:val="auto"/>
              </w:rPr>
              <w:t>options</w:t>
            </w:r>
          </w:p>
        </w:tc>
        <w:tc>
          <w:tcPr>
            <w:tcW w:w="8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10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95"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0139"/>
          </w:cols>
          <w:pgMar w:left="320" w:top="129" w:right="1440" w:bottom="1440" w:gutter="0" w:footer="0" w:header="0"/>
        </w:sectPr>
      </w:pPr>
    </w:p>
    <w:bookmarkStart w:id="51" w:name="page52"/>
    <w:bookmarkEnd w:id="51"/>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INTERNATIONAL MONEY EXPRESS,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NOTE 1 – BASIS OF PRESENTATION AND BUSINESS</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International Money Express, Inc. (the “Company” or “us” or “we”) operates as a money transmitter between the United States of America (“United States” or “U.S.”) and Canada to Mexico, Guatemala and other countries in Latin America, Africa and Asia through a network of authorized agents located in various unaffiliated retail establishments and 36 Company-operated stores throughout the United States and Canada.</w:t>
      </w:r>
    </w:p>
    <w:p>
      <w:pPr>
        <w:spacing w:after="0" w:line="175"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During March 2020, a global pandemic was declared by the World Health Organization related to the rapidly growing outbreak of a novel strain of coronavirus (“COVID-19”). Although the worst effects of the pandemic appear to have subsided in the United States, the pandemic has had and continues to have a significant effect on economic conditions in the United States, and continues to cause significant uncertainties in the U.S. and global economies, particularly as a result of new variants of COVID-19, which appear to be causing an increase in COVID-19 cases in certain places around the world. Public health officials and medical professionals have warned that COVID-19 resurgences may continue to occur due to a variety of factors, including the extent of economic activity, social interaction, vaccination rates and the emergence of potent variants. It is unclear how long any resurgence will last, how severe it will be, and what safety measures governments and businesses will impose in response.</w:t>
      </w:r>
    </w:p>
    <w:p>
      <w:pPr>
        <w:spacing w:after="0" w:line="169" w:lineRule="exact"/>
        <w:rPr>
          <w:sz w:val="20"/>
          <w:szCs w:val="20"/>
          <w:color w:val="auto"/>
        </w:rPr>
      </w:pPr>
    </w:p>
    <w:p>
      <w:pPr>
        <w:jc w:val="both"/>
        <w:spacing w:after="0" w:line="306" w:lineRule="auto"/>
        <w:rPr>
          <w:sz w:val="20"/>
          <w:szCs w:val="20"/>
          <w:color w:val="auto"/>
        </w:rPr>
      </w:pPr>
      <w:r>
        <w:rPr>
          <w:rFonts w:ascii="Arial" w:cs="Arial" w:eastAsia="Arial" w:hAnsi="Arial"/>
          <w:sz w:val="13"/>
          <w:szCs w:val="13"/>
          <w:color w:val="auto"/>
        </w:rPr>
        <w:t>The extent to which the COVID-19 pandemic affects our business, operations and financial results depends, and will continue to depend, on numerous evolving factors that we may not be able to accurately predict. Although the Company’s operations continued effectively despite social distancing and other measures taken in response to the pandemic, the ultimate impact of the COVID-19 pandemic on our financial condition, results of operations and cash flows is dependent on future developments, including the duration or resurgence of the pandemic and the related extent of its severity, as well as its impact on the economic conditions, particularly the level of unemployment of our customers, inflation, interest rate levels and foreign exchange volatility, all of which remain uncertain and cannot be predicted at this time. If the global response to contain and remedy the COVID-19 pandemic escalates further or is unsuccessful, or if governmental decisions to ease pandemic related restrictions are ineffective, premature or counterproductive, or if an escalation in the global response to contain the COVID-19 pandemic is required or is unsuccessful, the Company could experience a material adverse effect on its financial condition, results of operations and cash flows.</w:t>
      </w:r>
    </w:p>
    <w:p>
      <w:pPr>
        <w:spacing w:after="0" w:line="15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consolidated financial statements of the Company include Intermex Holdings, Inc. (“Holdings”), its wholly-owned indirect subsidiary, Intermex Wire Transfer, LLC (“LLC”), Intermex Wire Transfers de Guatemala, S.A. (“Intermex Guatemala”) - 100% owned by LLC, Intermex Wire Transfer de Mexico, S.A. and Intermex Transfers de Mexico, S.A. (“Intermex Mexico”) - 98.0% directly owned by LLC and 2.0% directly owned by Holdings, Intermex Wire Transfer Corp. - 100% owned by LLC, Intermex Wire Transfer II, LLC - 100% owned by LLC and Canada International Transfers Corp. - 100% owned by LLC.</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accompanying financial statements in this Annual Report on Form 10-K are presented on a consolidated basis and include the accounts of the Company and its majority-owned subsidiaries. All significant inter-company balances and transactions have been eliminated in consolidation. The consolidated financial statements are prepared in accordance with accounting principles generally accepted in the U.S. (“GAAP”).</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NOTE 2 – SUMMARY OF SIGNIFICANT ACCOUNTING POLICIES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Use of Estimates</w:t>
      </w:r>
    </w:p>
    <w:p>
      <w:pPr>
        <w:spacing w:after="0" w:line="195" w:lineRule="exact"/>
        <w:rPr>
          <w:sz w:val="20"/>
          <w:szCs w:val="20"/>
          <w:color w:val="auto"/>
        </w:rPr>
      </w:pPr>
    </w:p>
    <w:p>
      <w:pPr>
        <w:jc w:val="both"/>
        <w:spacing w:after="0" w:line="323" w:lineRule="auto"/>
        <w:rPr>
          <w:sz w:val="20"/>
          <w:szCs w:val="20"/>
          <w:color w:val="auto"/>
        </w:rPr>
      </w:pPr>
      <w:r>
        <w:rPr>
          <w:rFonts w:ascii="Arial" w:cs="Arial" w:eastAsia="Arial" w:hAnsi="Arial"/>
          <w:sz w:val="14"/>
          <w:szCs w:val="14"/>
          <w:color w:val="auto"/>
        </w:rPr>
        <w:t>The preparation of consolidated financial statements in conformity with GAAP requires management to make estimates and assumptions that affect the reported amounts of assets and liabilities, the disclosure of contingent assets and liabilities, and the reported amounts of revenues and expenses. Actual results could differ from these estimates.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Earnings per Share</w:t>
      </w:r>
    </w:p>
    <w:p>
      <w:pPr>
        <w:spacing w:after="0" w:line="195"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Basic earnings per share is calculated by dividing net income by the weighted-average number of common shares outstanding for each period. Diluted earnings per share is calculated by dividing net income by the weighted-average number of common shares and common share equivalents outstanding for each period. Diluted earnings per share reflects the potential dilution that could occur if outstanding stock options at the presented dates are exercised and shares of restricted stock units (“RSUs”), restricted stock awards (“RSAs”) and performance stock units (“PSUs”) have vested, using the treasury stock method. Potential common shares are excluded from the computation of diluted earnings per common share when the effect would be anti-dilutive. All potential common shares are anti-dilutive in periods of net loss. Treasury stock shares that have been repurchased are not considered outstanding and therefore are excluded from the weighted average number of common shares outstanding calculation.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52" w:name="page53"/>
    <w:bookmarkEnd w:id="52"/>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Cash</w:t>
      </w:r>
    </w:p>
    <w:p>
      <w:pPr>
        <w:spacing w:after="0" w:line="195"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Cash is comprised of deposits in U.S. and foreign banks. The Company recognizes interest income from its cash deposits on an accrual basis. The Company considers cash equivalents to be short term, highly liquid investments with original maturities of three months or less.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Concentrations</w:t>
      </w:r>
    </w:p>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Company maintains certain of its cash balances in various U.S. banks, which at times, may exceed federally insured limits. The Company has not incurred any losses on these accounts. In addition, the Company maintains various bank accounts in Mexico, Guatemala and Canada, which are not insured. During the year ended December 31, 2021, the Company has not incurred any significant losses on these uninsured foreign bank accounts, with the exception of a $2.0 million valuation allowance recorded by the Company on the balance of deposits held as a result of the closure of a financial institution in Mexico during the third quarter of 2021 (see Note 5). Management believes it is not exposed to any significant credit risk regarding these accounts as it performs periodic reviews of the creditworthiness of the financial institutions the Company uses. Cash balances were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December 31,</w:t>
            </w:r>
          </w:p>
        </w:tc>
        <w:tc>
          <w:tcPr>
            <w:tcW w:w="900" w:type="dxa"/>
            <w:vAlign w:val="bottom"/>
            <w:tcBorders>
              <w:bottom w:val="single" w:sz="8" w:color="auto"/>
            </w:tcBorders>
          </w:tcPr>
          <w:p>
            <w:pPr>
              <w:spacing w:after="0"/>
              <w:rPr>
                <w:sz w:val="17"/>
                <w:szCs w:val="17"/>
                <w:color w:val="auto"/>
              </w:rPr>
            </w:pPr>
          </w:p>
        </w:tc>
      </w:tr>
      <w:tr>
        <w:trPr>
          <w:trHeight w:val="198"/>
        </w:trPr>
        <w:tc>
          <w:tcPr>
            <w:tcW w:w="50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color w:val="auto"/>
              </w:rPr>
              <w:t>2021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color w:val="auto"/>
              </w:rPr>
              <w:t>2020</w:t>
            </w:r>
          </w:p>
        </w:tc>
      </w:tr>
      <w:tr>
        <w:trPr>
          <w:trHeight w:val="195"/>
        </w:trPr>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Cash in U.S. dollars in U.S. banks</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130,032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72,566</w:t>
            </w:r>
          </w:p>
        </w:tc>
      </w:tr>
      <w:tr>
        <w:trPr>
          <w:trHeight w:val="195"/>
        </w:trPr>
        <w:tc>
          <w:tcPr>
            <w:tcW w:w="5020" w:type="dxa"/>
            <w:vAlign w:val="bottom"/>
          </w:tcPr>
          <w:p>
            <w:pPr>
              <w:spacing w:after="0"/>
              <w:rPr>
                <w:sz w:val="20"/>
                <w:szCs w:val="20"/>
                <w:color w:val="auto"/>
              </w:rPr>
            </w:pPr>
            <w:r>
              <w:rPr>
                <w:rFonts w:ascii="Arial" w:cs="Arial" w:eastAsia="Arial" w:hAnsi="Arial"/>
                <w:sz w:val="15"/>
                <w:szCs w:val="15"/>
                <w:color w:val="auto"/>
              </w:rPr>
              <w:t>Cash in foreign banks and foreign currency</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2,433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2,332</w:t>
            </w:r>
          </w:p>
        </w:tc>
      </w:tr>
      <w:tr>
        <w:trPr>
          <w:trHeight w:val="198"/>
        </w:trPr>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Petty cash</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w:t>
            </w:r>
          </w:p>
        </w:tc>
      </w:tr>
      <w:tr>
        <w:trPr>
          <w:trHeight w:val="195"/>
        </w:trPr>
        <w:tc>
          <w:tcPr>
            <w:tcW w:w="5020" w:type="dxa"/>
            <w:vAlign w:val="bottom"/>
          </w:tcPr>
          <w:p>
            <w:pPr>
              <w:spacing w:after="0"/>
              <w:rPr>
                <w:sz w:val="16"/>
                <w:szCs w:val="16"/>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132,474</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74,907</w:t>
            </w:r>
          </w:p>
        </w:tc>
      </w:tr>
      <w:tr>
        <w:trPr>
          <w:trHeight w:val="20"/>
        </w:trPr>
        <w:tc>
          <w:tcPr>
            <w:tcW w:w="5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jc w:val="both"/>
        <w:ind w:right="20"/>
        <w:spacing w:after="0" w:line="323" w:lineRule="auto"/>
        <w:rPr>
          <w:sz w:val="20"/>
          <w:szCs w:val="20"/>
          <w:color w:val="auto"/>
        </w:rPr>
      </w:pPr>
      <w:r>
        <w:rPr>
          <w:rFonts w:ascii="Arial" w:cs="Arial" w:eastAsia="Arial" w:hAnsi="Arial"/>
          <w:sz w:val="14"/>
          <w:szCs w:val="14"/>
          <w:color w:val="auto"/>
        </w:rPr>
        <w:t>A substantial portion of our paying agents are concentrated in a few large banks and financial institutions and large retail chains. Our largest paying agent by volume accounted for approximately 22% and 18% of the Company’s total remittance volume for the years ended December 31, 2021 and 2020, respectively, primarily from the U.S. to Mexico.</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Revenue Recognition</w:t>
      </w:r>
    </w:p>
    <w:p>
      <w:pPr>
        <w:spacing w:after="0" w:line="19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Revenues for wire transfer and money order fees are recognized at the time the transaction is processed. The Company acts as the principal for these transactions as the Company controls the service at all times prior to transferring the funds to the beneficiary, is primarily responsible for fulfilling the customer contracts, has the risk of loss and has the ability to establish transaction prices. Therefore, these fees are recognized on a gross basis equal to the full amount of the fee charged to the customer. These fees also vary by transaction primarily depending upon, the principal amount sent, the send and receive locations, as well as the respective currencies of the send and receive locations. Foreign exchange gain, net, which represents the difference between the exchange rate set by the Company and the rate realized, is recognized upon the disbursement of U.S. dollars to the entities from which the Company is acquiring foreign currency. Other income primarily represents revenues for technology services provided to the independent network of agents who utilize the Company’s technology in processing transactions and check cashing services, for which revenue is derived by a fee per transaction.</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Refer to Note 3 for the discussion related to revenue recognition and additional information on the Company’s revenue.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Business Combinations</w:t>
      </w:r>
    </w:p>
    <w:p>
      <w:pPr>
        <w:spacing w:after="0" w:line="195" w:lineRule="exact"/>
        <w:rPr>
          <w:sz w:val="20"/>
          <w:szCs w:val="20"/>
          <w:color w:val="auto"/>
        </w:rPr>
      </w:pPr>
    </w:p>
    <w:p>
      <w:pPr>
        <w:jc w:val="both"/>
        <w:ind w:right="20"/>
        <w:spacing w:after="0" w:line="265" w:lineRule="auto"/>
        <w:rPr>
          <w:sz w:val="20"/>
          <w:szCs w:val="20"/>
          <w:color w:val="auto"/>
        </w:rPr>
      </w:pPr>
      <w:r>
        <w:rPr>
          <w:rFonts w:ascii="Arial" w:cs="Arial" w:eastAsia="Arial" w:hAnsi="Arial"/>
          <w:sz w:val="15"/>
          <w:szCs w:val="15"/>
          <w:color w:val="auto"/>
        </w:rPr>
        <w:t>The Company accounts for its business combinations using the acquisition method, which requires that intangible assets be recognized apart from goodwill if they are contractual in nature or separately identifiable. Acquisitions are measured based on the fair value of consideration transferred and, if the consideration transferred is not cash, measurement is based on the fair value of the consideration transferred or the fair value of the assets acquired, whichever is more reliably measurable. The excess of the consideration transferred over the fair value of identifiable acquired assets and liabilities assumed is allocated to goodwill.</w:t>
      </w:r>
    </w:p>
    <w:p>
      <w:pPr>
        <w:spacing w:after="0" w:line="156"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valuation and allocation processes rely on significant assumptions made by management. In certain situations, the allocations of excess purchase price are based upon preliminary estimates and assumptions. Accordingly, the allocations are subject to revision when the Company receives updated information, including valuations and other analyses, which are completed within one year of the acquisition. Revisions to the fair values, which may be significant, are recorded when pending information is finalized, within one year from the acquisition date.</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Accounts Receivable and Allowance for Credit Losses</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Accounts receivable and agent advances receivable are recorded at their net realizable value, which is net of an allowance for credit losses. Accounts receivable are recorded upon initiation of the wire transfer and are typically due to the Company within five days. The Company maintains an allowance for credit losses for estimated losses resulting from the inability of its sending agents to make required payments.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53" w:name="page54"/>
    <w:bookmarkEnd w:id="53"/>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4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When preparing these estimates, management considers a number of factors, including the aging of a sending agent’s account, creditworthiness of specific sending agents, historical loss rates and other information. The Company reviews its allowance for credit losses policy periodically, reflecting current risks and changes in industry conditions and, when necessary, will increase its allowance for credit losses and recognize a provision for credit losses, included in other selling, general and administrative expenses in the consolidated statements of income and comprehensive income. Accounts receivable that are more than 90 days past due are charged off against the allowance for credit losses.</w:t>
      </w:r>
    </w:p>
    <w:p>
      <w:pPr>
        <w:spacing w:after="0" w:line="140"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In the third quarter of 2021, the Company modified its estimate of the allowance for credit losses and made refinements to the related calculation methodology of net historical loss rates for the different pools of accounts and agent advances receivable grouped based on similar characteristics.</w:t>
      </w:r>
    </w:p>
    <w:p>
      <w:pPr>
        <w:spacing w:after="0" w:line="141" w:lineRule="exact"/>
        <w:rPr>
          <w:sz w:val="20"/>
          <w:szCs w:val="20"/>
          <w:color w:val="auto"/>
        </w:rPr>
      </w:pPr>
    </w:p>
    <w:p>
      <w:pPr>
        <w:jc w:val="both"/>
        <w:ind w:right="20"/>
        <w:spacing w:after="0" w:line="270" w:lineRule="auto"/>
        <w:rPr>
          <w:sz w:val="20"/>
          <w:szCs w:val="20"/>
          <w:color w:val="auto"/>
        </w:rPr>
      </w:pPr>
      <w:r>
        <w:rPr>
          <w:rFonts w:ascii="Arial" w:cs="Arial" w:eastAsia="Arial" w:hAnsi="Arial"/>
          <w:sz w:val="15"/>
          <w:szCs w:val="15"/>
          <w:color w:val="auto"/>
        </w:rPr>
        <w:t>The aforementioned change was treated as a change in accounting estimate for accounting purposes and applied prospectively beginning August 2021. The impact of the change in estimate and any effect in comparability to prior periods are not material. Further, the change is not expected to materially impact any financial statement line items or the Company’s results from operations in a future period.</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Prepaid Wires, Net</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Prepaid wires, net represents funds provided to certain paying agents in advance of a transaction, net of wires pending to be picked up by the beneficiary of the money transfer.</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Prepaid Expenses and Other Assets</w:t>
      </w:r>
    </w:p>
    <w:p>
      <w:pPr>
        <w:spacing w:after="0" w:line="195" w:lineRule="exact"/>
        <w:rPr>
          <w:sz w:val="20"/>
          <w:szCs w:val="20"/>
          <w:color w:val="auto"/>
        </w:rPr>
      </w:pPr>
    </w:p>
    <w:p>
      <w:pPr>
        <w:jc w:val="both"/>
        <w:spacing w:after="0" w:line="323" w:lineRule="auto"/>
        <w:rPr>
          <w:sz w:val="20"/>
          <w:szCs w:val="20"/>
          <w:color w:val="auto"/>
        </w:rPr>
      </w:pPr>
      <w:r>
        <w:rPr>
          <w:rFonts w:ascii="Arial" w:cs="Arial" w:eastAsia="Arial" w:hAnsi="Arial"/>
          <w:sz w:val="14"/>
          <w:szCs w:val="14"/>
          <w:color w:val="auto"/>
        </w:rPr>
        <w:t>Prepaid expenses and other assets consist primarily of prepaid expenses, agent advances receivable (see Note 5) and deferred financing costs. Interest income on agent advances receivable is recognized on a cash basis due at the end of each calendar month, which is when the interest payments are due from the majority of the agent advances receivable.</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Wire Transfers Payable, Net</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Wire transfers payable, net represent wires pending to be picked up by the beneficiary of the money transfer net of funds provided to certain paying agents in advance of a transaction.</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Property and Equipment</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Property and equipment, including leasehold improvements, are stated at cost, or the allocated fair value in purchase accounting, less accumulated depreciation and amortization. The costs of additions and betterments that substantially extend the useful life of an asset are capitalized and the expenditures for ordinary repairs and maintenance are expensed in the period incurred as part of other selling, general and administrative expenses in the consolidated statements of income and comprehensive income. Depreciation is computed using the straight-line method over the estimated useful lives of the related assets. Leasehold improvements are amortized over the lease term or the estimated useful life of the improvement, whichever is shorter. At the time depreciable assets are retired or otherwise disposed, the cost and the related accumulated depreciation of such assets are eliminated from the accounts and any gain or loss is recognized in the current period. The Company capitalizes costs incurred for the development of internal use computer software, which are depreciated over five years using the straight-line method.</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Goodwill and Intangible Assets</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Goodwill and intangible assets result primarily from business combination acquisitions. Intangible assets include agent relationships, trade name, developed technology and other intangibles, all with finite lives. Other intangibles relate to the acquisition of certain agent locations. Upon the acquisition, the purchase price is first allocated to identifiable assets and liabilities, including the trade name and other intangibles, with any remaining purchase price recorded as goodwill.</w:t>
      </w:r>
    </w:p>
    <w:p>
      <w:pPr>
        <w:spacing w:after="0" w:line="15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Goodwill is not amortized; however, it is assessed for impairment at least annually, at the beginning of the fourth quarter, or more frequently if triggering events occur. For purposes of the annual assessment, management initially performs a qualitative assessment, which includes consideration of the economic, industry and market conditions in addition to our overall financial performance and the performance of these assets. If our qualitative assessment does not conclude that it is more likely than not that the estimated fair value of the reporting unit is greater than the carrying value, we perform a quantitative analysis. In a quantitative test, the fair value of a reporting unit is determined based on a discounted cash flow analysis. A discounted cash flow analysis requires us to make various assumptions, including assumptions about future cash flows, growth rates and discount rates. The assumptions about future cash flows and growth rates are based on our long-term projections. Assumptions used in our impairment testing are consistent with our internal forecasts and operating plans. If the fair value of the reporting unit exceeds its carrying amount, there is no impairment. If not, we recognize an impairment equal to the difference between the carrying amount of the reporting unit and its fair value, not to exceed the carrying amount of goodwill.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54" w:name="page55"/>
    <w:bookmarkEnd w:id="54"/>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40"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Company’s agent relationships, trade name and developed technology are amortized utilizing an accelerated method over their estimated useful lives of 15 years. Other intangible assets are amortized on a straight-line basis over a useful life of 10 years. The Company reviews for impairment indicators of finite-lived intangibles and other long-lived assets as described below in “Impairment of Long-Lived Assets.”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Impairment of Long-Lived Assets</w:t>
      </w:r>
    </w:p>
    <w:p>
      <w:pPr>
        <w:spacing w:after="0" w:line="195"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The Company evaluates long-lived assets, including amortizable intangible assets, for impairment whenever events or changes in circumstances indicate that the carrying amount of an asset may not be recoverable. Upon such an occurrence, recoverability of assets to be held and used is measured by comparing the carrying amount of an asset to forecasted undiscounted future net cash flows expected to be generated by the asset. If the carrying amount of the asset exceeds its estimated future cash flows, an impairment charge is recognized for the amount by which the carrying amount of the asset exceeds the fair value of the asset. For long-lived assets held for sale, assets are written down to fair value, less cost to sell. Fair value is determined based on discounted cash flows, appraised values or management’s estimates, depending upon the nature of the assets.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Debt Origination Costs</w:t>
      </w:r>
    </w:p>
    <w:p>
      <w:pPr>
        <w:spacing w:after="0" w:line="195"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The Company incurred debt origination costs related to the credit agreement, consisting of a term loan and a revolving credit facility and amortizes these costs over the life of the related debt using the straight-line method, which approximates the effective interest method. The unamortized portion of debt origination costs related to the term loan is recorded on the consolidated balance sheets as an offset to the related debt, while deferred up-front commitment fees paid directly to the lender related to the revolving credit facility are recorded within other assets in the consolidated balance sheets. Amortization of debt origination costs is included as a component of interest expense in the consolidated statements of income and comprehensive income.</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Advertising Costs</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Advertising costs are included in other selling, general and administrative expenses in the consolidated statements of income and comprehensive income and are expensed as incurred.</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The Company incurred advertising costs of approximately $2.5 million, $0.4 million and $1.2 million for the years ended December 31, 2021, 2020 and 2019,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Income Taxes</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Company accounts for income taxes in accordance with GAAP which requires, among other things, recognition of future tax benefits measured at enacted rates attributable to deductible temporary differences between financial statement and income tax bases of assets and liabilities and to tax net operating loss carryforwards to the extent that realization of said benefits is more likely than not.</w:t>
      </w:r>
    </w:p>
    <w:p>
      <w:pPr>
        <w:spacing w:after="0" w:line="152" w:lineRule="exact"/>
        <w:rPr>
          <w:sz w:val="20"/>
          <w:szCs w:val="20"/>
          <w:color w:val="auto"/>
        </w:rPr>
      </w:pPr>
    </w:p>
    <w:p>
      <w:pPr>
        <w:jc w:val="both"/>
        <w:spacing w:after="0" w:line="366" w:lineRule="auto"/>
        <w:rPr>
          <w:sz w:val="20"/>
          <w:szCs w:val="20"/>
          <w:color w:val="auto"/>
        </w:rPr>
      </w:pPr>
      <w:r>
        <w:rPr>
          <w:rFonts w:ascii="Arial" w:cs="Arial" w:eastAsia="Arial" w:hAnsi="Arial"/>
          <w:sz w:val="13"/>
          <w:szCs w:val="13"/>
          <w:color w:val="auto"/>
        </w:rPr>
        <w:t>The Company accounts for tax contingencies by assessing all material positions, including all significant uncertain positions, for all tax years that are open to assessment or challenge under tax statutes. Those positions that have only timing consequences are separately analyzed based on the recognition and measurement model provided in the tax guidance.</w:t>
      </w:r>
    </w:p>
    <w:p>
      <w:pPr>
        <w:spacing w:after="0" w:line="95"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As required by the uncertain tax position guidance, the Company recognizes the financial statement benefit of a position only after determining that the relevant tax authority would more likely than not sustain the position following an audit. For tax positions meeting the more likely-than-not threshold, the amount recognized in the financial statements is the largest benefit that has a greater than 50 percent likelihood of being realized upon ultimate settlement with the relevant tax authority. The Company is subject to income taxes in the U.S. federal jurisdiction and various state jurisdictions. Tax regulations within each jurisdiction are subject to the interpretation of the related tax laws and regulations and require significant judgment to apply. The Company applies the uncertain tax position guidance to all tax positions for which the statute of limitations remains open. The Company’s policy is to classify interest accrued as interest expense and penalties as other selling, general and administrative expenses.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Foreign subsidiaries of the Company are subject to taxes by local tax authorities.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Foreign Currency Translation and Transactions</w:t>
      </w:r>
    </w:p>
    <w:p>
      <w:pPr>
        <w:spacing w:after="0" w:line="195" w:lineRule="exact"/>
        <w:rPr>
          <w:sz w:val="20"/>
          <w:szCs w:val="20"/>
          <w:color w:val="auto"/>
        </w:rPr>
      </w:pPr>
    </w:p>
    <w:p>
      <w:pPr>
        <w:jc w:val="both"/>
        <w:ind w:right="20"/>
        <w:spacing w:after="0" w:line="265" w:lineRule="auto"/>
        <w:rPr>
          <w:sz w:val="20"/>
          <w:szCs w:val="20"/>
          <w:color w:val="auto"/>
        </w:rPr>
      </w:pPr>
      <w:r>
        <w:rPr>
          <w:rFonts w:ascii="Arial" w:cs="Arial" w:eastAsia="Arial" w:hAnsi="Arial"/>
          <w:sz w:val="15"/>
          <w:szCs w:val="15"/>
          <w:color w:val="auto"/>
        </w:rPr>
        <w:t>The financial statements and transactions of the Company’s foreign operations are maintained in their functional currency, which is other than the U.S. dollar. Assets and liabilities are translated at current exchange rates in effect at the balance sheet date. Revenue and expenses are translated at the average exchange rate for each period. Translation adjustments, which result from the process of translating the financial statements of the Company’s foreign operations into U.S. dollars, are recorded as a component of accumulated other comprehensive income (loss).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55" w:name="page56"/>
    <w:bookmarkEnd w:id="55"/>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40" w:lineRule="exact"/>
        <w:rPr>
          <w:sz w:val="20"/>
          <w:szCs w:val="20"/>
          <w:color w:val="auto"/>
        </w:rPr>
      </w:pPr>
    </w:p>
    <w:p>
      <w:pPr>
        <w:jc w:val="both"/>
        <w:ind w:right="20"/>
        <w:spacing w:after="0" w:line="285" w:lineRule="auto"/>
        <w:rPr>
          <w:sz w:val="20"/>
          <w:szCs w:val="20"/>
          <w:color w:val="auto"/>
        </w:rPr>
      </w:pPr>
      <w:r>
        <w:rPr>
          <w:rFonts w:ascii="Arial" w:cs="Arial" w:eastAsia="Arial" w:hAnsi="Arial"/>
          <w:sz w:val="15"/>
          <w:szCs w:val="15"/>
          <w:color w:val="auto"/>
        </w:rPr>
        <w:t>Gains from foreign currency transactions amounted to approximately $0.3 million, $0.2 million and $41.0 thousand for the years ended December 31, 2021, 2020 and 2019, respectively, and are included in other selling, general and administrative expenses in the consolidated statements of income and comprehensive income.</w:t>
      </w:r>
    </w:p>
    <w:p>
      <w:pPr>
        <w:spacing w:after="0" w:line="141"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We manage foreign currency risk through the structure of the business and an active risk management process. We currently settle with our payers in Latin America primarily by entering into foreign exchange spot transactions with local and foreign currency providers (“counterparties”). The foreign currency exposure on our foreign exchange spot transactions is limited by the fact that all transactions are settled within two business days from trade date. Foreign currency fluctuations, however, may negatively affect our average exchange gain per transaction. The Company had open spot foreign exchange contracts for Mexico and Guatemala amounting to approximately $48.6 million and $42.5 million at December 31, 2021 and 2020, respectively.</w:t>
      </w:r>
    </w:p>
    <w:p>
      <w:pPr>
        <w:spacing w:after="0" w:line="160"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In addition, included in wire transfers and money orders payable, net in our consolidated balance sheets as of December 31, 2021 and 2020, there are $17.8 million and $7.6 million, respectively, of wire transfers payable denominated in foreign currencies, primarily in Mexican pesos and Guatemalan quetzales.</w:t>
      </w:r>
    </w:p>
    <w:p>
      <w:pPr>
        <w:spacing w:after="0" w:line="141" w:lineRule="exact"/>
        <w:rPr>
          <w:sz w:val="20"/>
          <w:szCs w:val="20"/>
          <w:color w:val="auto"/>
        </w:rPr>
      </w:pPr>
    </w:p>
    <w:p>
      <w:pPr>
        <w:jc w:val="both"/>
        <w:ind w:right="20"/>
        <w:spacing w:after="0" w:line="285" w:lineRule="auto"/>
        <w:rPr>
          <w:sz w:val="20"/>
          <w:szCs w:val="20"/>
          <w:color w:val="auto"/>
        </w:rPr>
      </w:pPr>
      <w:r>
        <w:rPr>
          <w:rFonts w:ascii="Arial" w:cs="Arial" w:eastAsia="Arial" w:hAnsi="Arial"/>
          <w:sz w:val="15"/>
          <w:szCs w:val="15"/>
          <w:color w:val="auto"/>
        </w:rPr>
        <w:t>Also, included in prepaid wires, net in our consolidated balance sheets as of December 31, 2021 and 2020, there are $39.7 million and $50.1 million, respectively, of prepaid wires denominated in foreign currencies, primarily in Mexican pesos and Guatemalan quetzales.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Comprehensive Income (Loss)</w:t>
      </w:r>
    </w:p>
    <w:p>
      <w:pPr>
        <w:spacing w:after="0" w:line="195"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Comprehensive income (loss) consists of net income (loss) and the foreign currency translation adjustment and is presented in the consolidated statements of income and comprehensive income.</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Share-Based Compensation</w:t>
      </w:r>
    </w:p>
    <w:p>
      <w:pPr>
        <w:spacing w:after="0" w:line="195"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Company accounts for its share-based compensation expense related to equity instruments under GAAP, which requires the measurement and recognition of compensation costs for all equity-based payment awards made to employees and directors based on estimated fair values. We have elected to account for forfeitures as they occur. The Company may use either authorized and unissued shares or treasury shares to meet share issuance requirements. See Note 12 for further discussion related to the Company’s share-based compensation plans.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Segments</w:t>
      </w:r>
    </w:p>
    <w:p>
      <w:pPr>
        <w:spacing w:after="0" w:line="195" w:lineRule="exact"/>
        <w:rPr>
          <w:sz w:val="20"/>
          <w:szCs w:val="20"/>
          <w:color w:val="auto"/>
        </w:rPr>
      </w:pPr>
    </w:p>
    <w:p>
      <w:pPr>
        <w:jc w:val="both"/>
        <w:spacing w:after="0" w:line="330" w:lineRule="auto"/>
        <w:rPr>
          <w:sz w:val="20"/>
          <w:szCs w:val="20"/>
          <w:color w:val="auto"/>
        </w:rPr>
      </w:pPr>
      <w:r>
        <w:rPr>
          <w:rFonts w:ascii="Arial" w:cs="Arial" w:eastAsia="Arial" w:hAnsi="Arial"/>
          <w:sz w:val="13"/>
          <w:szCs w:val="13"/>
          <w:color w:val="auto"/>
        </w:rPr>
        <w:t>The Company’s business is organized around one reportable segment that provides money transmittal services between the U.S. and Canada to Mexico, Guatemala and other countries in Latin America, Africa and Asia through a network of authorized agents located in various unaffiliated retail establishments and 36 Company-operated stores throughout the U.S. and Canada. This is based on the objectives of the business and how our chief operating decision maker, the CEO and President, monitors operating performance and allocates resources.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Accounting Pronouncements</w:t>
      </w:r>
    </w:p>
    <w:p>
      <w:pPr>
        <w:spacing w:after="0" w:line="218"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auto"/>
        </w:rPr>
        <w:t xml:space="preserve">The Financial Accounting Standards Board (“FASB”) issued amended guidance, </w:t>
      </w:r>
      <w:r>
        <w:rPr>
          <w:rFonts w:ascii="Arial" w:cs="Arial" w:eastAsia="Arial" w:hAnsi="Arial"/>
          <w:sz w:val="15"/>
          <w:szCs w:val="15"/>
          <w:i w:val="1"/>
          <w:iCs w:val="1"/>
          <w:color w:val="auto"/>
        </w:rPr>
        <w:t>Intangibles – Goodwill and other (Topic 350): Simplifying the Test for Goodwill Impairment</w:t>
      </w:r>
      <w:r>
        <w:rPr>
          <w:rFonts w:ascii="Arial" w:cs="Arial" w:eastAsia="Arial" w:hAnsi="Arial"/>
          <w:sz w:val="15"/>
          <w:szCs w:val="15"/>
          <w:color w:val="auto"/>
        </w:rPr>
        <w:t>. The amended standard simplifies how an entity tests goodwill by eliminating Step 2 of the goodwill impairment test related to measuring an impairment charge. Instead, impairment will be recorded for the amount that the carrying amount of a reporting unit exceeds its fair value. This guidance was adopted by the Company on January 1, 2021. The adoption of this guidance did not have a material impact on the consolidated financial statements.</w:t>
      </w:r>
    </w:p>
    <w:p>
      <w:pPr>
        <w:spacing w:after="0" w:line="156"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 xml:space="preserve">The FASB issued amended guidance, </w:t>
      </w:r>
      <w:r>
        <w:rPr>
          <w:rFonts w:ascii="Arial" w:cs="Arial" w:eastAsia="Arial" w:hAnsi="Arial"/>
          <w:sz w:val="15"/>
          <w:szCs w:val="15"/>
          <w:i w:val="1"/>
          <w:iCs w:val="1"/>
          <w:color w:val="auto"/>
        </w:rPr>
        <w:t>Intangibles—Goodwill and Other—Internal-Use Software (Subtopic 350-40): Customer’s Accounting for Implementation Costs Incurred in a</w:t>
      </w:r>
      <w:r>
        <w:rPr>
          <w:rFonts w:ascii="Arial" w:cs="Arial" w:eastAsia="Arial" w:hAnsi="Arial"/>
          <w:sz w:val="15"/>
          <w:szCs w:val="15"/>
          <w:color w:val="auto"/>
        </w:rPr>
        <w:t xml:space="preserve"> </w:t>
      </w:r>
      <w:r>
        <w:rPr>
          <w:rFonts w:ascii="Arial" w:cs="Arial" w:eastAsia="Arial" w:hAnsi="Arial"/>
          <w:sz w:val="15"/>
          <w:szCs w:val="15"/>
          <w:i w:val="1"/>
          <w:iCs w:val="1"/>
          <w:color w:val="auto"/>
        </w:rPr>
        <w:t>Cloud Computing Arrangement That Is a Service Contract</w:t>
      </w:r>
      <w:r>
        <w:rPr>
          <w:rFonts w:ascii="Arial" w:cs="Arial" w:eastAsia="Arial" w:hAnsi="Arial"/>
          <w:sz w:val="15"/>
          <w:szCs w:val="15"/>
          <w:color w:val="auto"/>
        </w:rPr>
        <w:t>. The amended standard requires implementation costs incurred by customers in cloud computing arrangements to be</w:t>
      </w:r>
      <w:r>
        <w:rPr>
          <w:rFonts w:ascii="Arial" w:cs="Arial" w:eastAsia="Arial" w:hAnsi="Arial"/>
          <w:sz w:val="15"/>
          <w:szCs w:val="15"/>
          <w:i w:val="1"/>
          <w:iCs w:val="1"/>
          <w:color w:val="auto"/>
        </w:rPr>
        <w:t xml:space="preserve"> </w:t>
      </w:r>
      <w:r>
        <w:rPr>
          <w:rFonts w:ascii="Arial" w:cs="Arial" w:eastAsia="Arial" w:hAnsi="Arial"/>
          <w:sz w:val="15"/>
          <w:szCs w:val="15"/>
          <w:color w:val="auto"/>
        </w:rPr>
        <w:t>deferred and recognized over the term of the arrangement if those costs would be capitalized by the customers in a software licensing arrangement. This guidance was adopted by the Company on January 1, 2021. The adoption of this guidance did not have a material impact on the consolidated financial statements.</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 xml:space="preserve">The FASB issued guidance, </w:t>
      </w:r>
      <w:r>
        <w:rPr>
          <w:rFonts w:ascii="Arial" w:cs="Arial" w:eastAsia="Arial" w:hAnsi="Arial"/>
          <w:sz w:val="15"/>
          <w:szCs w:val="15"/>
          <w:i w:val="1"/>
          <w:iCs w:val="1"/>
          <w:color w:val="auto"/>
        </w:rPr>
        <w:t>Simplifying the Accounting for Income Taxes (Topic 740)</w:t>
      </w:r>
      <w:r>
        <w:rPr>
          <w:rFonts w:ascii="Arial" w:cs="Arial" w:eastAsia="Arial" w:hAnsi="Arial"/>
          <w:sz w:val="15"/>
          <w:szCs w:val="15"/>
          <w:color w:val="auto"/>
        </w:rPr>
        <w:t>, which removes certain exceptions to the general principles in Topic 740 and improves consistent application of and simplifies GAAP for other areas of Topic 740 by clarifying and amending existing guidance. This guidance was adopted by the Company on January 1, 2021. The adoption of this guidance did not have a material impact on the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56" w:name="page57"/>
    <w:bookmarkEnd w:id="56"/>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 xml:space="preserve">The FASB issued guidance, </w:t>
      </w:r>
      <w:r>
        <w:rPr>
          <w:rFonts w:ascii="Arial" w:cs="Arial" w:eastAsia="Arial" w:hAnsi="Arial"/>
          <w:sz w:val="14"/>
          <w:szCs w:val="14"/>
          <w:i w:val="1"/>
          <w:iCs w:val="1"/>
          <w:color w:val="auto"/>
        </w:rPr>
        <w:t>Leases (Topic 842)</w:t>
      </w:r>
      <w:r>
        <w:rPr>
          <w:rFonts w:ascii="Arial" w:cs="Arial" w:eastAsia="Arial" w:hAnsi="Arial"/>
          <w:sz w:val="14"/>
          <w:szCs w:val="14"/>
          <w:color w:val="auto"/>
        </w:rPr>
        <w:t>, to increase transparency and comparability among organizations by recognizing lease assets and lease liabilities on the balance sheet for those leases classified as operating leases under previous GAAP. The guidance requires that a lessee recognizes a liability to make lease payments (the lease liability) and a right-of-use (“ROU”) asset representing its right to use the underlying asset for the lease term on the balance sheet. Leases will be classified as financing or operating, with classification affecting the pattern of expense recognition in the consolidated statements of income and comprehensive income. The Company adopted the new standard, including the related amendments, effective January 1, 2022 using the modified retrospective approach and used the effective date as the date of initial application. Management has completed its analysis and determined that all of its leasing arrangements will be classified as operating leases. The Company elected to apply three practical expedients, including (i) the election not to reassess its prior conclusions about lease identification, lease classification and initial direct costs, (ii) to use hindsight in determining the lease term, and (iii) the election not to separate lease and non-lease components for arrangements where the Company is a lessee. Additionally, management has implemented new processes to facilitate the requirements of the new standard and determined the ROU asset and lease liability will each amount to approximately $5.6 million on January 1, 2022. We do not expect the adoption of this standard to have a material impact on our consolidated statement of income and comprehensive income and consolidated statement of cash flows.</w:t>
      </w:r>
    </w:p>
    <w:p>
      <w:pPr>
        <w:spacing w:after="0" w:line="170"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 xml:space="preserve">The FASB issued guidance, </w:t>
      </w:r>
      <w:r>
        <w:rPr>
          <w:rFonts w:ascii="Arial" w:cs="Arial" w:eastAsia="Arial" w:hAnsi="Arial"/>
          <w:sz w:val="15"/>
          <w:szCs w:val="15"/>
          <w:i w:val="1"/>
          <w:iCs w:val="1"/>
          <w:color w:val="auto"/>
        </w:rPr>
        <w:t>Financial Instruments – Credit Losses (Topic 326): Measurement of Credit Losses on Financial Instruments</w:t>
      </w:r>
      <w:r>
        <w:rPr>
          <w:rFonts w:ascii="Arial" w:cs="Arial" w:eastAsia="Arial" w:hAnsi="Arial"/>
          <w:sz w:val="15"/>
          <w:szCs w:val="15"/>
          <w:color w:val="auto"/>
        </w:rPr>
        <w:t>, regarding the measurement of credit losses for certain financial instruments. The new standard replaces the incurred loss model with a current expected credit loss (“CECL”) model. The CECL model is based on historical experience, adjusted for current conditions and reasonable and supportable forecasts. The Company is required to adopt the new guidance on December 31, 2022. The Company is currently evaluating the impact this guidance will have on the consolidated financial statements.</w:t>
      </w:r>
    </w:p>
    <w:p>
      <w:pPr>
        <w:spacing w:after="0" w:line="17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 xml:space="preserve">The FASB issued guidance, </w:t>
      </w:r>
      <w:r>
        <w:rPr>
          <w:rFonts w:ascii="Arial" w:cs="Arial" w:eastAsia="Arial" w:hAnsi="Arial"/>
          <w:sz w:val="14"/>
          <w:szCs w:val="14"/>
          <w:i w:val="1"/>
          <w:iCs w:val="1"/>
          <w:color w:val="auto"/>
        </w:rPr>
        <w:t>Reference Rate Reform (Topic 848): Facilitation of the Effects of Reference Rate Reform on Financial Reporting</w:t>
      </w:r>
      <w:r>
        <w:rPr>
          <w:rFonts w:ascii="Arial" w:cs="Arial" w:eastAsia="Arial" w:hAnsi="Arial"/>
          <w:sz w:val="14"/>
          <w:szCs w:val="14"/>
          <w:color w:val="auto"/>
        </w:rPr>
        <w:t>, which provides optional expedient and exceptions for applying generally accepted accounting principles to contracts, hedging relationships, and other transactions affected by reference rate reform if certain criteria are met. In response to the concerns about structural risks of interbank offered rates (“IBORs”) and, particularly, the risk of cessation of the LIBOR, regulators in several jurisdictions around the world have undertaken reference rate reform initiatives to identify alternative reference rates that are more observable or transaction based and less susceptible to manipulation. This accounting standards update provides companies with optional guidance to ease the potential accounting burden associated with transitioning away from reference rates that are expected to be discontinued. This new guidance may be adopted by the Company no later than December 1, 2022, with early adoption permitted. The potential adoption of this guidance is not expected to have a material impact on the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NOTE 3 – REVENUE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Company recognized in revenues from contracts with customers for the years ended December 31, 2021, 2020 and 2019, the following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4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180"/>
              <w:spacing w:after="0"/>
              <w:rPr>
                <w:sz w:val="20"/>
                <w:szCs w:val="20"/>
                <w:color w:val="auto"/>
              </w:rPr>
            </w:pPr>
            <w:r>
              <w:rPr>
                <w:rFonts w:ascii="Arial" w:cs="Arial" w:eastAsia="Arial" w:hAnsi="Arial"/>
                <w:sz w:val="15"/>
                <w:szCs w:val="15"/>
                <w:color w:val="auto"/>
              </w:rPr>
              <w:t>December 31,</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98"/>
        </w:trPr>
        <w:tc>
          <w:tcPr>
            <w:tcW w:w="50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2021</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color w:val="auto"/>
              </w:rPr>
              <w:t>2020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44"/>
              <w:spacing w:after="0"/>
              <w:rPr>
                <w:sz w:val="20"/>
                <w:szCs w:val="20"/>
                <w:color w:val="auto"/>
              </w:rPr>
            </w:pPr>
            <w:r>
              <w:rPr>
                <w:rFonts w:ascii="Arial" w:cs="Arial" w:eastAsia="Arial" w:hAnsi="Arial"/>
                <w:sz w:val="15"/>
                <w:szCs w:val="15"/>
                <w:color w:val="auto"/>
              </w:rPr>
              <w:t>2019</w:t>
            </w:r>
          </w:p>
        </w:tc>
      </w:tr>
      <w:tr>
        <w:trPr>
          <w:trHeight w:val="195"/>
        </w:trPr>
        <w:tc>
          <w:tcPr>
            <w:tcW w:w="5040" w:type="dxa"/>
            <w:vAlign w:val="bottom"/>
            <w:shd w:val="clear" w:color="auto" w:fill="CCEEFF"/>
          </w:tcPr>
          <w:p>
            <w:pPr>
              <w:ind w:left="40"/>
              <w:spacing w:after="0"/>
              <w:rPr>
                <w:sz w:val="20"/>
                <w:szCs w:val="20"/>
                <w:color w:val="auto"/>
              </w:rPr>
            </w:pPr>
            <w:r>
              <w:rPr>
                <w:rFonts w:ascii="Arial" w:cs="Arial" w:eastAsia="Arial" w:hAnsi="Arial"/>
                <w:sz w:val="15"/>
                <w:szCs w:val="15"/>
                <w:color w:val="auto"/>
              </w:rPr>
              <w:t>Wire transfer and money order fees</w:t>
            </w:r>
          </w:p>
        </w:tc>
        <w:tc>
          <w:tcPr>
            <w:tcW w:w="1080" w:type="dxa"/>
            <w:vAlign w:val="bottom"/>
            <w:shd w:val="clear" w:color="auto" w:fill="CCEEFF"/>
          </w:tcPr>
          <w:p>
            <w:pPr>
              <w:jc w:val="right"/>
              <w:ind w:right="904"/>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394,669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308,850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274,161</w:t>
            </w:r>
          </w:p>
        </w:tc>
      </w:tr>
      <w:tr>
        <w:trPr>
          <w:trHeight w:val="198"/>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Discounts and promotions</w:t>
            </w:r>
          </w:p>
        </w:tc>
        <w:tc>
          <w:tcPr>
            <w:tcW w:w="10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(1,080)</w:t>
            </w:r>
          </w:p>
        </w:tc>
      </w:tr>
      <w:tr>
        <w:trPr>
          <w:trHeight w:val="195"/>
        </w:trPr>
        <w:tc>
          <w:tcPr>
            <w:tcW w:w="5040" w:type="dxa"/>
            <w:vAlign w:val="bottom"/>
            <w:shd w:val="clear" w:color="auto" w:fill="CCEEFF"/>
          </w:tcPr>
          <w:p>
            <w:pPr>
              <w:ind w:left="40"/>
              <w:spacing w:after="0"/>
              <w:rPr>
                <w:sz w:val="20"/>
                <w:szCs w:val="20"/>
                <w:color w:val="auto"/>
              </w:rPr>
            </w:pPr>
            <w:r>
              <w:rPr>
                <w:rFonts w:ascii="Arial" w:cs="Arial" w:eastAsia="Arial" w:hAnsi="Arial"/>
                <w:sz w:val="15"/>
                <w:szCs w:val="15"/>
                <w:color w:val="auto"/>
              </w:rPr>
              <w:t>Wire transfer and money order fees, net</w:t>
            </w:r>
          </w:p>
        </w:tc>
        <w:tc>
          <w:tcPr>
            <w:tcW w:w="10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393,241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307,909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273,081</w:t>
            </w:r>
          </w:p>
        </w:tc>
      </w:tr>
      <w:tr>
        <w:trPr>
          <w:trHeight w:val="195"/>
        </w:trPr>
        <w:tc>
          <w:tcPr>
            <w:tcW w:w="5040" w:type="dxa"/>
            <w:vAlign w:val="bottom"/>
          </w:tcPr>
          <w:p>
            <w:pPr>
              <w:ind w:left="40"/>
              <w:spacing w:after="0"/>
              <w:rPr>
                <w:sz w:val="20"/>
                <w:szCs w:val="20"/>
                <w:color w:val="auto"/>
              </w:rPr>
            </w:pPr>
            <w:r>
              <w:rPr>
                <w:rFonts w:ascii="Arial" w:cs="Arial" w:eastAsia="Arial" w:hAnsi="Arial"/>
                <w:sz w:val="15"/>
                <w:szCs w:val="15"/>
                <w:color w:val="auto"/>
              </w:rPr>
              <w:t>Foreign exchange gain, net</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62,832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46,763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44,268</w:t>
            </w:r>
          </w:p>
        </w:tc>
      </w:tr>
      <w:tr>
        <w:trPr>
          <w:trHeight w:val="198"/>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Other income</w:t>
            </w:r>
          </w:p>
        </w:tc>
        <w:tc>
          <w:tcPr>
            <w:tcW w:w="10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2,537</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2,252</w:t>
            </w:r>
          </w:p>
        </w:tc>
      </w:tr>
      <w:tr>
        <w:trPr>
          <w:trHeight w:val="195"/>
        </w:trPr>
        <w:tc>
          <w:tcPr>
            <w:tcW w:w="5040" w:type="dxa"/>
            <w:vAlign w:val="bottom"/>
          </w:tcPr>
          <w:p>
            <w:pPr>
              <w:ind w:left="40"/>
              <w:spacing w:after="0"/>
              <w:rPr>
                <w:sz w:val="20"/>
                <w:szCs w:val="20"/>
                <w:color w:val="auto"/>
              </w:rPr>
            </w:pPr>
            <w:r>
              <w:rPr>
                <w:rFonts w:ascii="Arial" w:cs="Arial" w:eastAsia="Arial" w:hAnsi="Arial"/>
                <w:sz w:val="15"/>
                <w:szCs w:val="15"/>
                <w:color w:val="auto"/>
              </w:rPr>
              <w:t>Total revenues</w:t>
            </w:r>
          </w:p>
        </w:tc>
        <w:tc>
          <w:tcPr>
            <w:tcW w:w="1080" w:type="dxa"/>
            <w:vAlign w:val="bottom"/>
            <w:tcBorders>
              <w:bottom w:val="single" w:sz="8" w:color="auto"/>
            </w:tcBorders>
          </w:tcPr>
          <w:p>
            <w:pPr>
              <w:jc w:val="right"/>
              <w:ind w:right="904"/>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459,206</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357,209</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319,601</w:t>
            </w:r>
          </w:p>
        </w:tc>
      </w:tr>
      <w:tr>
        <w:trPr>
          <w:trHeight w:val="20"/>
        </w:trPr>
        <w:tc>
          <w:tcPr>
            <w:tcW w:w="5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There are no significant initial costs incurred to obtain contracts with customers, although the Company has a loyalty program under which customers earn one point for each wire transfer completed. Points can be redeemed for a discounted wire transaction fee or a foreign exchange rate that is more favorable to the customer. The customer benefits vary by country, and the earned points expire if the customer has not initiated and completed an eligible wire transfer transaction within the immediately preceding 180-day period. In addition, earned points will expire 30 days after the end of the program. Because the loyalty program benefits represent a future performance obligation, a portion of the initial consideration is recorded as deferred revenue loyalty program (see Note 9) and a corresponding loyalty program expense is recorded as contra revenue. Revenue from this performance obligation is recognized upon customers redeeming points or upon expiration of any points outstanding.</w:t>
      </w:r>
    </w:p>
    <w:p>
      <w:pPr>
        <w:spacing w:after="0" w:line="4" w:lineRule="exact"/>
        <w:rPr>
          <w:sz w:val="20"/>
          <w:szCs w:val="20"/>
          <w:color w:val="auto"/>
        </w:rPr>
      </w:pPr>
    </w:p>
    <w:p>
      <w:pPr>
        <w:jc w:val="both"/>
        <w:ind w:right="20"/>
        <w:spacing w:after="0" w:line="270" w:lineRule="auto"/>
        <w:rPr>
          <w:sz w:val="20"/>
          <w:szCs w:val="20"/>
          <w:color w:val="auto"/>
        </w:rPr>
      </w:pPr>
      <w:r>
        <w:rPr>
          <w:rFonts w:ascii="Arial" w:cs="Arial" w:eastAsia="Arial" w:hAnsi="Arial"/>
          <w:sz w:val="15"/>
          <w:szCs w:val="15"/>
          <w:color w:val="auto"/>
        </w:rPr>
        <w:t>Except for the loyalty program discussed above, our revenues include only one performance obligation, which is to collect the customer’s money and make funds available for payment, generally on the same day, to a designated recipient in the currency requested.</w:t>
      </w:r>
    </w:p>
    <w:p>
      <w:pPr>
        <w:spacing w:after="0" w:line="175" w:lineRule="exact"/>
        <w:rPr>
          <w:sz w:val="20"/>
          <w:szCs w:val="20"/>
          <w:color w:val="auto"/>
        </w:rPr>
      </w:pPr>
    </w:p>
    <w:p>
      <w:pPr>
        <w:jc w:val="both"/>
        <w:ind w:right="20"/>
        <w:spacing w:after="0" w:line="285" w:lineRule="auto"/>
        <w:rPr>
          <w:sz w:val="20"/>
          <w:szCs w:val="20"/>
          <w:color w:val="auto"/>
        </w:rPr>
      </w:pPr>
      <w:r>
        <w:rPr>
          <w:rFonts w:ascii="Arial" w:cs="Arial" w:eastAsia="Arial" w:hAnsi="Arial"/>
          <w:sz w:val="15"/>
          <w:szCs w:val="15"/>
          <w:color w:val="auto"/>
        </w:rPr>
        <w:t>The Company also offers several other services, including money orders, and check cashing through our sending agents, for which revenue is derived from a fee per transaction. For substantially all of the Company’s revenues, the Company acts as principal in the transactions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57" w:name="page58"/>
    <w:bookmarkEnd w:id="57"/>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40"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and reports revenue on a gross basis, because the Company controls the service at all times prior to transfer to the customer, is primarily responsible for fulfilling the customer contracts, has the risk of loss and has the ability to establish transaction prices.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NOTE 4 – ACCOUNTS RECEIVABLE AND AGENT ADVANCES RECEIVABLE, NET OF ALLOWANCE</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Accounts Receivable</w:t>
      </w:r>
    </w:p>
    <w:p>
      <w:pPr>
        <w:spacing w:after="0" w:line="218"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color w:val="auto"/>
        </w:rPr>
        <w:t>Accounts receivable represents outstanding balances from sending agents for pending wire transfers or money orders from our customers. The outstanding balance of accounts receivable, net of allowance for credit losses, consists of the following (in thousands):</w:t>
      </w:r>
    </w:p>
    <w:tbl>
      <w:tblPr>
        <w:tblLayout w:type="fixed"/>
        <w:tblInd w:w="0" w:type="dxa"/>
        <w:tblCellMar>
          <w:top w:w="0" w:type="dxa"/>
          <w:left w:w="0" w:type="dxa"/>
          <w:bottom w:w="0" w:type="dxa"/>
          <w:right w:w="0" w:type="dxa"/>
        </w:tblCellMar>
      </w:tblPr>
      <w:tr>
        <w:trPr>
          <w:trHeight w:val="197"/>
        </w:trPr>
        <w:tc>
          <w:tcPr>
            <w:tcW w:w="632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ind w:left="220"/>
              <w:spacing w:after="0"/>
              <w:rPr>
                <w:sz w:val="20"/>
                <w:szCs w:val="20"/>
                <w:color w:val="auto"/>
              </w:rPr>
            </w:pPr>
            <w:r>
              <w:rPr>
                <w:rFonts w:ascii="Arial" w:cs="Arial" w:eastAsia="Arial" w:hAnsi="Arial"/>
                <w:sz w:val="15"/>
                <w:szCs w:val="15"/>
                <w:color w:val="auto"/>
              </w:rPr>
              <w:t>December 31,</w:t>
            </w:r>
          </w:p>
        </w:tc>
        <w:tc>
          <w:tcPr>
            <w:tcW w:w="1160" w:type="dxa"/>
            <w:vAlign w:val="bottom"/>
            <w:tcBorders>
              <w:bottom w:val="single" w:sz="8" w:color="auto"/>
            </w:tcBorders>
          </w:tcPr>
          <w:p>
            <w:pPr>
              <w:spacing w:after="0"/>
              <w:rPr>
                <w:sz w:val="17"/>
                <w:szCs w:val="17"/>
                <w:color w:val="auto"/>
              </w:rPr>
            </w:pPr>
          </w:p>
        </w:tc>
      </w:tr>
      <w:tr>
        <w:trPr>
          <w:trHeight w:val="198"/>
        </w:trPr>
        <w:tc>
          <w:tcPr>
            <w:tcW w:w="63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2021</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color w:val="auto"/>
              </w:rPr>
              <w:t>2020</w:t>
            </w:r>
          </w:p>
        </w:tc>
      </w:tr>
      <w:tr>
        <w:trPr>
          <w:trHeight w:val="195"/>
        </w:trPr>
        <w:tc>
          <w:tcPr>
            <w:tcW w:w="6320" w:type="dxa"/>
            <w:vAlign w:val="bottom"/>
            <w:shd w:val="clear" w:color="auto" w:fill="CCEEFF"/>
          </w:tcPr>
          <w:p>
            <w:pPr>
              <w:spacing w:after="0"/>
              <w:rPr>
                <w:sz w:val="20"/>
                <w:szCs w:val="20"/>
                <w:color w:val="auto"/>
              </w:rPr>
            </w:pPr>
            <w:r>
              <w:rPr>
                <w:rFonts w:ascii="Arial" w:cs="Arial" w:eastAsia="Arial" w:hAnsi="Arial"/>
                <w:sz w:val="15"/>
                <w:szCs w:val="15"/>
                <w:color w:val="auto"/>
              </w:rPr>
              <w:t>Accounts receivable</w:t>
            </w:r>
          </w:p>
        </w:tc>
        <w:tc>
          <w:tcPr>
            <w:tcW w:w="1100" w:type="dxa"/>
            <w:vAlign w:val="bottom"/>
            <w:shd w:val="clear" w:color="auto" w:fill="CCEEFF"/>
          </w:tcPr>
          <w:p>
            <w:pPr>
              <w:jc w:val="right"/>
              <w:ind w:right="94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69,498</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8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ind w:left="680"/>
              <w:spacing w:after="0"/>
              <w:rPr>
                <w:sz w:val="20"/>
                <w:szCs w:val="20"/>
                <w:color w:val="auto"/>
              </w:rPr>
            </w:pPr>
            <w:r>
              <w:rPr>
                <w:rFonts w:ascii="Arial" w:cs="Arial" w:eastAsia="Arial" w:hAnsi="Arial"/>
                <w:sz w:val="15"/>
                <w:szCs w:val="15"/>
                <w:color w:val="auto"/>
              </w:rPr>
              <w:t>56,520</w:t>
            </w:r>
          </w:p>
        </w:tc>
      </w:tr>
      <w:tr>
        <w:trPr>
          <w:trHeight w:val="198"/>
        </w:trPr>
        <w:tc>
          <w:tcPr>
            <w:tcW w:w="63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Allowance for credit losses</w:t>
            </w: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w w:val="92"/>
              </w:rPr>
              <w:t>(2,181)</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700"/>
              <w:spacing w:after="0"/>
              <w:rPr>
                <w:sz w:val="20"/>
                <w:szCs w:val="20"/>
                <w:color w:val="auto"/>
              </w:rPr>
            </w:pPr>
            <w:r>
              <w:rPr>
                <w:rFonts w:ascii="Arial" w:cs="Arial" w:eastAsia="Arial" w:hAnsi="Arial"/>
                <w:sz w:val="15"/>
                <w:szCs w:val="15"/>
                <w:color w:val="auto"/>
                <w:w w:val="92"/>
              </w:rPr>
              <w:t>(1,503)</w:t>
            </w:r>
          </w:p>
        </w:tc>
      </w:tr>
      <w:tr>
        <w:trPr>
          <w:trHeight w:val="220"/>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Accounts receivable, net</w:t>
            </w:r>
          </w:p>
        </w:tc>
        <w:tc>
          <w:tcPr>
            <w:tcW w:w="1100" w:type="dxa"/>
            <w:vAlign w:val="bottom"/>
            <w:tcBorders>
              <w:bottom w:val="single" w:sz="8" w:color="auto"/>
            </w:tcBorders>
            <w:shd w:val="clear" w:color="auto" w:fill="CCEEFF"/>
          </w:tcPr>
          <w:p>
            <w:pPr>
              <w:jc w:val="right"/>
              <w:ind w:right="944"/>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rPr>
              <w:t>67,317</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5"/>
                <w:szCs w:val="15"/>
                <w:color w:val="auto"/>
              </w:rPr>
              <w:t>55,017</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Agent Advances Receivable</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The Company had agent advances receivable, net of allowance for credit losses, from sending agents as follows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ind w:left="160"/>
              <w:spacing w:after="0"/>
              <w:rPr>
                <w:sz w:val="20"/>
                <w:szCs w:val="20"/>
                <w:color w:val="auto"/>
              </w:rPr>
            </w:pPr>
            <w:r>
              <w:rPr>
                <w:rFonts w:ascii="Arial" w:cs="Arial" w:eastAsia="Arial" w:hAnsi="Arial"/>
                <w:sz w:val="15"/>
                <w:szCs w:val="15"/>
                <w:color w:val="auto"/>
              </w:rPr>
              <w:t>December 31,</w:t>
            </w:r>
          </w:p>
        </w:tc>
        <w:tc>
          <w:tcPr>
            <w:tcW w:w="1160" w:type="dxa"/>
            <w:vAlign w:val="bottom"/>
            <w:tcBorders>
              <w:bottom w:val="single" w:sz="8" w:color="auto"/>
            </w:tcBorders>
          </w:tcPr>
          <w:p>
            <w:pPr>
              <w:spacing w:after="0"/>
              <w:rPr>
                <w:sz w:val="17"/>
                <w:szCs w:val="17"/>
                <w:color w:val="auto"/>
              </w:rPr>
            </w:pPr>
          </w:p>
        </w:tc>
      </w:tr>
      <w:tr>
        <w:trPr>
          <w:trHeight w:val="198"/>
        </w:trPr>
        <w:tc>
          <w:tcPr>
            <w:tcW w:w="63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2021</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color w:val="auto"/>
              </w:rPr>
              <w:t>2020</w:t>
            </w:r>
          </w:p>
        </w:tc>
      </w:tr>
      <w:tr>
        <w:trPr>
          <w:trHeight w:val="195"/>
        </w:trPr>
        <w:tc>
          <w:tcPr>
            <w:tcW w:w="6320" w:type="dxa"/>
            <w:vAlign w:val="bottom"/>
            <w:shd w:val="clear" w:color="auto" w:fill="CCEEFF"/>
          </w:tcPr>
          <w:p>
            <w:pPr>
              <w:spacing w:after="0"/>
              <w:rPr>
                <w:sz w:val="20"/>
                <w:szCs w:val="20"/>
                <w:color w:val="auto"/>
              </w:rPr>
            </w:pPr>
            <w:r>
              <w:rPr>
                <w:rFonts w:ascii="Arial" w:cs="Arial" w:eastAsia="Arial" w:hAnsi="Arial"/>
                <w:sz w:val="15"/>
                <w:szCs w:val="15"/>
                <w:color w:val="auto"/>
              </w:rPr>
              <w:t>Agent advances receivable, current</w:t>
            </w:r>
          </w:p>
        </w:tc>
        <w:tc>
          <w:tcPr>
            <w:tcW w:w="1160" w:type="dxa"/>
            <w:vAlign w:val="bottom"/>
            <w:shd w:val="clear" w:color="auto" w:fill="CCEEFF"/>
          </w:tcPr>
          <w:p>
            <w:pPr>
              <w:jc w:val="right"/>
              <w:ind w:right="100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791</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8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center"/>
              <w:ind w:left="744"/>
              <w:spacing w:after="0"/>
              <w:rPr>
                <w:sz w:val="20"/>
                <w:szCs w:val="20"/>
                <w:color w:val="auto"/>
              </w:rPr>
            </w:pPr>
            <w:r>
              <w:rPr>
                <w:rFonts w:ascii="Arial" w:cs="Arial" w:eastAsia="Arial" w:hAnsi="Arial"/>
                <w:sz w:val="15"/>
                <w:szCs w:val="15"/>
                <w:color w:val="auto"/>
                <w:w w:val="87"/>
              </w:rPr>
              <w:t>710</w:t>
            </w:r>
          </w:p>
        </w:tc>
      </w:tr>
      <w:tr>
        <w:trPr>
          <w:trHeight w:val="198"/>
        </w:trPr>
        <w:tc>
          <w:tcPr>
            <w:tcW w:w="63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Allowance for credit losses</w:t>
            </w:r>
          </w:p>
        </w:tc>
        <w:tc>
          <w:tcPr>
            <w:tcW w:w="1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w w:val="97"/>
              </w:rPr>
              <w:t>(55)</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left="704"/>
              <w:spacing w:after="0"/>
              <w:rPr>
                <w:sz w:val="20"/>
                <w:szCs w:val="20"/>
                <w:color w:val="auto"/>
              </w:rPr>
            </w:pPr>
            <w:r>
              <w:rPr>
                <w:rFonts w:ascii="Arial" w:cs="Arial" w:eastAsia="Arial" w:hAnsi="Arial"/>
                <w:sz w:val="15"/>
                <w:szCs w:val="15"/>
                <w:color w:val="auto"/>
                <w:w w:val="96"/>
              </w:rPr>
              <w:t>(244)</w:t>
            </w:r>
          </w:p>
        </w:tc>
      </w:tr>
      <w:tr>
        <w:trPr>
          <w:trHeight w:val="220"/>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current</w:t>
            </w:r>
          </w:p>
        </w:tc>
        <w:tc>
          <w:tcPr>
            <w:tcW w:w="1160" w:type="dxa"/>
            <w:vAlign w:val="bottom"/>
            <w:tcBorders>
              <w:bottom w:val="single" w:sz="8" w:color="auto"/>
            </w:tcBorders>
            <w:shd w:val="clear" w:color="auto" w:fill="CCEEFF"/>
          </w:tcPr>
          <w:p>
            <w:pPr>
              <w:jc w:val="right"/>
              <w:ind w:right="1004"/>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5"/>
                <w:szCs w:val="15"/>
                <w:color w:val="auto"/>
              </w:rPr>
              <w:t>735</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center"/>
              <w:ind w:left="744"/>
              <w:spacing w:after="0"/>
              <w:rPr>
                <w:sz w:val="20"/>
                <w:szCs w:val="20"/>
                <w:color w:val="auto"/>
              </w:rPr>
            </w:pPr>
            <w:r>
              <w:rPr>
                <w:rFonts w:ascii="Arial" w:cs="Arial" w:eastAsia="Arial" w:hAnsi="Arial"/>
                <w:sz w:val="15"/>
                <w:szCs w:val="15"/>
                <w:color w:val="auto"/>
                <w:w w:val="87"/>
              </w:rPr>
              <w:t>466</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72"/>
        </w:trPr>
        <w:tc>
          <w:tcPr>
            <w:tcW w:w="6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5"/>
        </w:trPr>
        <w:tc>
          <w:tcPr>
            <w:tcW w:w="6320" w:type="dxa"/>
            <w:vAlign w:val="bottom"/>
            <w:shd w:val="clear" w:color="auto" w:fill="CCEEFF"/>
          </w:tcPr>
          <w:p>
            <w:pPr>
              <w:spacing w:after="0"/>
              <w:rPr>
                <w:sz w:val="20"/>
                <w:szCs w:val="20"/>
                <w:color w:val="auto"/>
              </w:rPr>
            </w:pPr>
            <w:r>
              <w:rPr>
                <w:rFonts w:ascii="Arial" w:cs="Arial" w:eastAsia="Arial" w:hAnsi="Arial"/>
                <w:sz w:val="15"/>
                <w:szCs w:val="15"/>
                <w:color w:val="auto"/>
              </w:rPr>
              <w:t>Agent advances receivable, long-term</w:t>
            </w:r>
          </w:p>
        </w:tc>
        <w:tc>
          <w:tcPr>
            <w:tcW w:w="1160" w:type="dxa"/>
            <w:vAlign w:val="bottom"/>
            <w:shd w:val="clear" w:color="auto" w:fill="CCEEFF"/>
          </w:tcPr>
          <w:p>
            <w:pPr>
              <w:jc w:val="right"/>
              <w:ind w:right="100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656</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8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center"/>
              <w:ind w:left="744"/>
              <w:spacing w:after="0"/>
              <w:rPr>
                <w:sz w:val="20"/>
                <w:szCs w:val="20"/>
                <w:color w:val="auto"/>
              </w:rPr>
            </w:pPr>
            <w:r>
              <w:rPr>
                <w:rFonts w:ascii="Arial" w:cs="Arial" w:eastAsia="Arial" w:hAnsi="Arial"/>
                <w:sz w:val="15"/>
                <w:szCs w:val="15"/>
                <w:color w:val="auto"/>
                <w:w w:val="87"/>
              </w:rPr>
              <w:t>816</w:t>
            </w:r>
          </w:p>
        </w:tc>
      </w:tr>
      <w:tr>
        <w:trPr>
          <w:trHeight w:val="198"/>
        </w:trPr>
        <w:tc>
          <w:tcPr>
            <w:tcW w:w="63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Allowance for credit losses</w:t>
            </w:r>
          </w:p>
        </w:tc>
        <w:tc>
          <w:tcPr>
            <w:tcW w:w="1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w w:val="97"/>
              </w:rPr>
              <w:t>(13)</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left="704"/>
              <w:spacing w:after="0"/>
              <w:rPr>
                <w:sz w:val="20"/>
                <w:szCs w:val="20"/>
                <w:color w:val="auto"/>
              </w:rPr>
            </w:pPr>
            <w:r>
              <w:rPr>
                <w:rFonts w:ascii="Arial" w:cs="Arial" w:eastAsia="Arial" w:hAnsi="Arial"/>
                <w:sz w:val="15"/>
                <w:szCs w:val="15"/>
                <w:color w:val="auto"/>
                <w:w w:val="96"/>
              </w:rPr>
              <w:t>(295)</w:t>
            </w:r>
          </w:p>
        </w:tc>
      </w:tr>
      <w:tr>
        <w:trPr>
          <w:trHeight w:val="220"/>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long-term</w:t>
            </w:r>
          </w:p>
        </w:tc>
        <w:tc>
          <w:tcPr>
            <w:tcW w:w="1160" w:type="dxa"/>
            <w:vAlign w:val="bottom"/>
            <w:tcBorders>
              <w:bottom w:val="single" w:sz="8" w:color="auto"/>
            </w:tcBorders>
            <w:shd w:val="clear" w:color="auto" w:fill="CCEEFF"/>
          </w:tcPr>
          <w:p>
            <w:pPr>
              <w:jc w:val="right"/>
              <w:ind w:right="1004"/>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5"/>
                <w:szCs w:val="15"/>
                <w:color w:val="auto"/>
              </w:rPr>
              <w:t>644</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center"/>
              <w:ind w:left="744"/>
              <w:spacing w:after="0"/>
              <w:rPr>
                <w:sz w:val="20"/>
                <w:szCs w:val="20"/>
                <w:color w:val="auto"/>
              </w:rPr>
            </w:pPr>
            <w:r>
              <w:rPr>
                <w:rFonts w:ascii="Arial" w:cs="Arial" w:eastAsia="Arial" w:hAnsi="Arial"/>
                <w:sz w:val="15"/>
                <w:szCs w:val="15"/>
                <w:color w:val="auto"/>
                <w:w w:val="87"/>
              </w:rPr>
              <w:t>521</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ind w:right="20"/>
        <w:spacing w:after="0" w:line="330" w:lineRule="auto"/>
        <w:rPr>
          <w:sz w:val="20"/>
          <w:szCs w:val="20"/>
          <w:color w:val="auto"/>
        </w:rPr>
      </w:pPr>
      <w:r>
        <w:rPr>
          <w:rFonts w:ascii="Arial" w:cs="Arial" w:eastAsia="Arial" w:hAnsi="Arial"/>
          <w:sz w:val="13"/>
          <w:szCs w:val="13"/>
          <w:color w:val="auto"/>
        </w:rPr>
        <w:t>The net current portion of agent advances receivable is included in prepaid expenses and other current assets (see Note 5), and the net long-term portion is included in other assets in the consolidated balance sheets. The agent advances receivable have interest rates ranging from 0% to 15.5% per annum. At December 31, 2021 and 2020, there were $1.4 million and $1.5 million, respectively, of agent advances receivable collateralized by personal guarantees from the sending agents and assets from their businesses in case of a default by the agent.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120" w:type="dxa"/>
            <w:vAlign w:val="bottom"/>
          </w:tcPr>
          <w:p>
            <w:pPr>
              <w:spacing w:after="0"/>
              <w:rPr>
                <w:sz w:val="20"/>
                <w:szCs w:val="20"/>
                <w:color w:val="auto"/>
              </w:rPr>
            </w:pPr>
            <w:r>
              <w:rPr>
                <w:rFonts w:ascii="Arial" w:cs="Arial" w:eastAsia="Arial" w:hAnsi="Arial"/>
                <w:sz w:val="15"/>
                <w:szCs w:val="15"/>
                <w:color w:val="auto"/>
              </w:rPr>
              <w:t>The maturities of agent advances receivable at December 31, 2021 are as follows (in thousands):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73"/>
        </w:trPr>
        <w:tc>
          <w:tcPr>
            <w:tcW w:w="8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224"/>
              <w:spacing w:after="0"/>
              <w:rPr>
                <w:sz w:val="20"/>
                <w:szCs w:val="20"/>
                <w:color w:val="auto"/>
              </w:rPr>
            </w:pPr>
            <w:r>
              <w:rPr>
                <w:rFonts w:ascii="Arial" w:cs="Arial" w:eastAsia="Arial" w:hAnsi="Arial"/>
                <w:sz w:val="15"/>
                <w:szCs w:val="15"/>
                <w:color w:val="auto"/>
              </w:rPr>
              <w:t>Outstanding</w:t>
            </w:r>
          </w:p>
        </w:tc>
      </w:tr>
      <w:tr>
        <w:trPr>
          <w:trHeight w:val="197"/>
        </w:trPr>
        <w:tc>
          <w:tcPr>
            <w:tcW w:w="8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rPr>
              <w:t>Balance</w:t>
            </w:r>
          </w:p>
        </w:tc>
      </w:tr>
      <w:tr>
        <w:trPr>
          <w:trHeight w:val="195"/>
        </w:trPr>
        <w:tc>
          <w:tcPr>
            <w:tcW w:w="8120" w:type="dxa"/>
            <w:vAlign w:val="bottom"/>
            <w:shd w:val="clear" w:color="auto" w:fill="CCEEFF"/>
          </w:tcPr>
          <w:p>
            <w:pPr>
              <w:spacing w:after="0"/>
              <w:rPr>
                <w:sz w:val="20"/>
                <w:szCs w:val="20"/>
                <w:color w:val="auto"/>
              </w:rPr>
            </w:pPr>
            <w:r>
              <w:rPr>
                <w:rFonts w:ascii="Arial" w:cs="Arial" w:eastAsia="Arial" w:hAnsi="Arial"/>
                <w:sz w:val="15"/>
                <w:szCs w:val="15"/>
                <w:color w:val="auto"/>
              </w:rPr>
              <w:t>Under 1 year</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791</w:t>
            </w:r>
          </w:p>
        </w:tc>
      </w:tr>
      <w:tr>
        <w:trPr>
          <w:trHeight w:val="198"/>
        </w:trPr>
        <w:tc>
          <w:tcPr>
            <w:tcW w:w="81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Between 1 and 2 years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656</w:t>
            </w:r>
          </w:p>
        </w:tc>
      </w:tr>
      <w:tr>
        <w:trPr>
          <w:trHeight w:val="220"/>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Allowance for Credit Losses</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The changes in the allowance for credit losses related to accounts receivable and agent advances receivable are as follows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0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ind w:left="60"/>
              <w:spacing w:after="0"/>
              <w:rPr>
                <w:sz w:val="20"/>
                <w:szCs w:val="20"/>
                <w:color w:val="auto"/>
              </w:rPr>
            </w:pPr>
            <w:r>
              <w:rPr>
                <w:rFonts w:ascii="Arial" w:cs="Arial" w:eastAsia="Arial" w:hAnsi="Arial"/>
                <w:sz w:val="15"/>
                <w:szCs w:val="15"/>
                <w:color w:val="auto"/>
                <w:w w:val="96"/>
              </w:rPr>
              <w:t>Year Ended December 31,</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98"/>
        </w:trPr>
        <w:tc>
          <w:tcPr>
            <w:tcW w:w="45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2021</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color w:val="auto"/>
              </w:rPr>
              <w:t>2020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44"/>
              <w:spacing w:after="0"/>
              <w:rPr>
                <w:sz w:val="20"/>
                <w:szCs w:val="20"/>
                <w:color w:val="auto"/>
              </w:rPr>
            </w:pPr>
            <w:r>
              <w:rPr>
                <w:rFonts w:ascii="Arial" w:cs="Arial" w:eastAsia="Arial" w:hAnsi="Arial"/>
                <w:sz w:val="15"/>
                <w:szCs w:val="15"/>
                <w:color w:val="auto"/>
              </w:rPr>
              <w:t>2019</w:t>
            </w:r>
          </w:p>
        </w:tc>
      </w:tr>
      <w:tr>
        <w:trPr>
          <w:trHeight w:val="195"/>
        </w:trPr>
        <w:tc>
          <w:tcPr>
            <w:tcW w:w="4500" w:type="dxa"/>
            <w:vAlign w:val="bottom"/>
            <w:shd w:val="clear" w:color="auto" w:fill="CCEEFF"/>
          </w:tcPr>
          <w:p>
            <w:pPr>
              <w:spacing w:after="0"/>
              <w:rPr>
                <w:sz w:val="20"/>
                <w:szCs w:val="20"/>
                <w:color w:val="auto"/>
              </w:rPr>
            </w:pPr>
            <w:r>
              <w:rPr>
                <w:rFonts w:ascii="Arial" w:cs="Arial" w:eastAsia="Arial" w:hAnsi="Arial"/>
                <w:sz w:val="15"/>
                <w:szCs w:val="15"/>
                <w:color w:val="auto"/>
              </w:rPr>
              <w:t>Beginning balance</w:t>
            </w:r>
          </w:p>
        </w:tc>
        <w:tc>
          <w:tcPr>
            <w:tcW w:w="1120" w:type="dxa"/>
            <w:vAlign w:val="bottom"/>
            <w:shd w:val="clear" w:color="auto" w:fill="CCEEFF"/>
          </w:tcPr>
          <w:p>
            <w:pPr>
              <w:jc w:val="right"/>
              <w:ind w:right="944"/>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2,042</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1,236</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1,290</w:t>
            </w:r>
          </w:p>
        </w:tc>
      </w:tr>
      <w:tr>
        <w:trPr>
          <w:trHeight w:val="195"/>
        </w:trPr>
        <w:tc>
          <w:tcPr>
            <w:tcW w:w="4500" w:type="dxa"/>
            <w:vAlign w:val="bottom"/>
          </w:tcPr>
          <w:p>
            <w:pPr>
              <w:spacing w:after="0"/>
              <w:rPr>
                <w:sz w:val="20"/>
                <w:szCs w:val="20"/>
                <w:color w:val="auto"/>
              </w:rPr>
            </w:pPr>
            <w:r>
              <w:rPr>
                <w:rFonts w:ascii="Arial" w:cs="Arial" w:eastAsia="Arial" w:hAnsi="Arial"/>
                <w:sz w:val="15"/>
                <w:szCs w:val="15"/>
                <w:color w:val="auto"/>
              </w:rPr>
              <w:t>Provision</w:t>
            </w:r>
          </w:p>
        </w:tc>
        <w:tc>
          <w:tcPr>
            <w:tcW w:w="1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1,537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1,801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4"/>
              <w:spacing w:after="0"/>
              <w:rPr>
                <w:sz w:val="20"/>
                <w:szCs w:val="20"/>
                <w:color w:val="auto"/>
              </w:rPr>
            </w:pPr>
            <w:r>
              <w:rPr>
                <w:rFonts w:ascii="Arial" w:cs="Arial" w:eastAsia="Arial" w:hAnsi="Arial"/>
                <w:sz w:val="15"/>
                <w:szCs w:val="15"/>
                <w:color w:val="auto"/>
              </w:rPr>
              <w:t>1,626</w:t>
            </w:r>
          </w:p>
        </w:tc>
      </w:tr>
      <w:tr>
        <w:trPr>
          <w:trHeight w:val="195"/>
        </w:trPr>
        <w:tc>
          <w:tcPr>
            <w:tcW w:w="4500" w:type="dxa"/>
            <w:vAlign w:val="bottom"/>
            <w:shd w:val="clear" w:color="auto" w:fill="CCEEFF"/>
          </w:tcPr>
          <w:p>
            <w:pPr>
              <w:spacing w:after="0"/>
              <w:rPr>
                <w:sz w:val="20"/>
                <w:szCs w:val="20"/>
                <w:color w:val="auto"/>
              </w:rPr>
            </w:pPr>
            <w:r>
              <w:rPr>
                <w:rFonts w:ascii="Arial" w:cs="Arial" w:eastAsia="Arial" w:hAnsi="Arial"/>
                <w:sz w:val="15"/>
                <w:szCs w:val="15"/>
                <w:color w:val="auto"/>
              </w:rPr>
              <w:t>Charge-offs</w:t>
            </w:r>
          </w:p>
        </w:tc>
        <w:tc>
          <w:tcPr>
            <w:tcW w:w="1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(1,972)</w:t>
            </w:r>
          </w:p>
        </w:tc>
      </w:tr>
      <w:tr>
        <w:trPr>
          <w:trHeight w:val="198"/>
        </w:trPr>
        <w:tc>
          <w:tcPr>
            <w:tcW w:w="45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Recoveries</w:t>
            </w:r>
          </w:p>
        </w:tc>
        <w:tc>
          <w:tcPr>
            <w:tcW w:w="1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292</w:t>
            </w:r>
          </w:p>
        </w:tc>
      </w:tr>
      <w:tr>
        <w:trPr>
          <w:trHeight w:val="220"/>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Ending Balance</w:t>
            </w:r>
          </w:p>
        </w:tc>
        <w:tc>
          <w:tcPr>
            <w:tcW w:w="1120" w:type="dxa"/>
            <w:vAlign w:val="bottom"/>
            <w:tcBorders>
              <w:bottom w:val="single" w:sz="8" w:color="auto"/>
            </w:tcBorders>
            <w:shd w:val="clear" w:color="auto" w:fill="CCEEFF"/>
          </w:tcPr>
          <w:p>
            <w:pPr>
              <w:jc w:val="right"/>
              <w:ind w:right="944"/>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2,249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2,042</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1,236</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auto"/>
        </w:rPr>
        <w:t>The allowance for credit losses allocated by financial instrument category is as follows (in thousands):</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72"/>
        </w:trPr>
        <w:tc>
          <w:tcPr>
            <w:tcW w:w="4500" w:type="dxa"/>
            <w:vAlign w:val="bottom"/>
            <w:gridSpan w:val="2"/>
          </w:tcPr>
          <w:p>
            <w:pPr>
              <w:spacing w:after="0"/>
              <w:rPr>
                <w:rFonts w:ascii="Arial" w:cs="Arial" w:eastAsia="Arial" w:hAnsi="Arial"/>
                <w:sz w:val="15"/>
                <w:szCs w:val="15"/>
                <w:i w:val="1"/>
                <w:iCs w:val="1"/>
                <w:color w:val="0000FF"/>
              </w:rPr>
            </w:pPr>
            <w:hyperlink w:anchor="page1">
              <w:r>
                <w:rPr>
                  <w:rFonts w:ascii="Arial" w:cs="Arial" w:eastAsia="Arial" w:hAnsi="Arial"/>
                  <w:sz w:val="15"/>
                  <w:szCs w:val="15"/>
                  <w:i w:val="1"/>
                  <w:iCs w:val="1"/>
                  <w:color w:val="0000FF"/>
                </w:rPr>
                <w:t>Index</w:t>
              </w:r>
            </w:hyperlink>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1"/>
        </w:trPr>
        <w:tc>
          <w:tcPr>
            <w:tcW w:w="340" w:type="dxa"/>
            <w:vAlign w:val="bottom"/>
            <w:tcBorders>
              <w:top w:val="single" w:sz="8" w:color="0000FF"/>
            </w:tcBorders>
          </w:tcPr>
          <w:p>
            <w:pPr>
              <w:spacing w:after="0"/>
              <w:rPr>
                <w:sz w:val="24"/>
                <w:szCs w:val="24"/>
                <w:color w:val="auto"/>
              </w:rPr>
            </w:pPr>
          </w:p>
        </w:tc>
        <w:tc>
          <w:tcPr>
            <w:tcW w:w="416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December 31,</w:t>
            </w: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40" w:type="dxa"/>
            <w:vAlign w:val="bottom"/>
            <w:tcBorders>
              <w:bottom w:val="single" w:sz="8" w:color="CCEEFF"/>
            </w:tcBorders>
          </w:tcPr>
          <w:p>
            <w:pPr>
              <w:spacing w:after="0"/>
              <w:rPr>
                <w:sz w:val="17"/>
                <w:szCs w:val="17"/>
                <w:color w:val="auto"/>
              </w:rPr>
            </w:pPr>
          </w:p>
        </w:tc>
        <w:tc>
          <w:tcPr>
            <w:tcW w:w="41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2021</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tcPr>
          <w:p>
            <w:pPr>
              <w:jc w:val="right"/>
              <w:ind w:right="224"/>
              <w:spacing w:after="0"/>
              <w:rPr>
                <w:sz w:val="20"/>
                <w:szCs w:val="20"/>
                <w:color w:val="auto"/>
              </w:rPr>
            </w:pPr>
            <w:r>
              <w:rPr>
                <w:rFonts w:ascii="Arial" w:cs="Arial" w:eastAsia="Arial" w:hAnsi="Arial"/>
                <w:sz w:val="15"/>
                <w:szCs w:val="15"/>
                <w:color w:val="auto"/>
              </w:rPr>
              <w:t>2020</w:t>
            </w:r>
          </w:p>
        </w:tc>
        <w:tc>
          <w:tcPr>
            <w:tcW w:w="40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44"/>
              <w:spacing w:after="0"/>
              <w:rPr>
                <w:sz w:val="20"/>
                <w:szCs w:val="20"/>
                <w:color w:val="auto"/>
              </w:rPr>
            </w:pPr>
            <w:r>
              <w:rPr>
                <w:rFonts w:ascii="Arial" w:cs="Arial" w:eastAsia="Arial" w:hAnsi="Arial"/>
                <w:sz w:val="15"/>
                <w:szCs w:val="15"/>
                <w:color w:val="auto"/>
              </w:rPr>
              <w:t>2019</w:t>
            </w:r>
          </w:p>
        </w:tc>
        <w:tc>
          <w:tcPr>
            <w:tcW w:w="0" w:type="dxa"/>
            <w:vAlign w:val="bottom"/>
          </w:tcPr>
          <w:p>
            <w:pPr>
              <w:spacing w:after="0"/>
              <w:rPr>
                <w:sz w:val="1"/>
                <w:szCs w:val="1"/>
                <w:color w:val="auto"/>
              </w:rPr>
            </w:pPr>
          </w:p>
        </w:tc>
      </w:tr>
      <w:tr>
        <w:trPr>
          <w:trHeight w:val="195"/>
        </w:trPr>
        <w:tc>
          <w:tcPr>
            <w:tcW w:w="4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Accounts receivable</w:t>
            </w:r>
          </w:p>
        </w:tc>
        <w:tc>
          <w:tcPr>
            <w:tcW w:w="1160" w:type="dxa"/>
            <w:vAlign w:val="bottom"/>
            <w:shd w:val="clear" w:color="auto" w:fill="CCEEFF"/>
          </w:tcPr>
          <w:p>
            <w:pPr>
              <w:jc w:val="right"/>
              <w:ind w:right="984"/>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2,181</w:t>
            </w: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124"/>
              <w:spacing w:after="0"/>
              <w:rPr>
                <w:sz w:val="20"/>
                <w:szCs w:val="20"/>
                <w:color w:val="auto"/>
              </w:rPr>
            </w:pPr>
            <w:r>
              <w:rPr>
                <w:rFonts w:ascii="Arial" w:cs="Arial" w:eastAsia="Arial" w:hAnsi="Arial"/>
                <w:sz w:val="15"/>
                <w:szCs w:val="15"/>
                <w:color w:val="auto"/>
                <w:w w:val="9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1,503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759</w:t>
            </w:r>
          </w:p>
        </w:tc>
        <w:tc>
          <w:tcPr>
            <w:tcW w:w="0" w:type="dxa"/>
            <w:vAlign w:val="bottom"/>
          </w:tcPr>
          <w:p>
            <w:pPr>
              <w:spacing w:after="0"/>
              <w:rPr>
                <w:sz w:val="1"/>
                <w:szCs w:val="1"/>
                <w:color w:val="auto"/>
              </w:rPr>
            </w:pPr>
          </w:p>
        </w:tc>
      </w:tr>
      <w:tr>
        <w:trPr>
          <w:trHeight w:val="198"/>
        </w:trPr>
        <w:tc>
          <w:tcPr>
            <w:tcW w:w="450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Agent advances receivable</w:t>
            </w:r>
          </w:p>
        </w:tc>
        <w:tc>
          <w:tcPr>
            <w:tcW w:w="1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539</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477</w:t>
            </w:r>
          </w:p>
        </w:tc>
        <w:tc>
          <w:tcPr>
            <w:tcW w:w="0" w:type="dxa"/>
            <w:vAlign w:val="bottom"/>
          </w:tcPr>
          <w:p>
            <w:pPr>
              <w:spacing w:after="0"/>
              <w:rPr>
                <w:sz w:val="1"/>
                <w:szCs w:val="1"/>
                <w:color w:val="auto"/>
              </w:rPr>
            </w:pPr>
          </w:p>
        </w:tc>
      </w:tr>
      <w:tr>
        <w:trPr>
          <w:trHeight w:val="220"/>
        </w:trPr>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Allowance for credit losses</w:t>
            </w:r>
          </w:p>
        </w:tc>
        <w:tc>
          <w:tcPr>
            <w:tcW w:w="1160" w:type="dxa"/>
            <w:vAlign w:val="bottom"/>
            <w:tcBorders>
              <w:bottom w:val="single" w:sz="8" w:color="auto"/>
            </w:tcBorders>
            <w:shd w:val="clear" w:color="auto" w:fill="CCEEFF"/>
          </w:tcPr>
          <w:p>
            <w:pPr>
              <w:jc w:val="right"/>
              <w:ind w:right="984"/>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2,249</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ind w:right="1124"/>
              <w:spacing w:after="0"/>
              <w:rPr>
                <w:sz w:val="20"/>
                <w:szCs w:val="20"/>
                <w:color w:val="auto"/>
              </w:rPr>
            </w:pPr>
            <w:r>
              <w:rPr>
                <w:rFonts w:ascii="Arial" w:cs="Arial" w:eastAsia="Arial" w:hAnsi="Arial"/>
                <w:sz w:val="15"/>
                <w:szCs w:val="15"/>
                <w:color w:val="auto"/>
                <w:w w:val="9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5"/>
              </w:rPr>
              <w:t>2,042</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1,236</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5"/>
                <w:szCs w:val="15"/>
                <w:color w:val="auto"/>
              </w:rPr>
              <w:t>NOTE 5 – PREPAID EXPENSES AND OTHER ASSETS</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450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660" w:type="dxa"/>
            <w:vAlign w:val="bottom"/>
            <w:gridSpan w:val="3"/>
          </w:tcPr>
          <w:p>
            <w:pPr>
              <w:spacing w:after="0"/>
              <w:rPr>
                <w:sz w:val="20"/>
                <w:szCs w:val="20"/>
                <w:color w:val="auto"/>
              </w:rPr>
            </w:pPr>
            <w:r>
              <w:rPr>
                <w:rFonts w:ascii="Arial" w:cs="Arial" w:eastAsia="Arial" w:hAnsi="Arial"/>
                <w:sz w:val="15"/>
                <w:szCs w:val="15"/>
                <w:color w:val="auto"/>
              </w:rPr>
              <w:t>Prepaid expenses and other current assets consisted of the following (in thousands):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5"/>
                <w:szCs w:val="15"/>
                <w:color w:val="auto"/>
                <w:w w:val="93"/>
              </w:rPr>
              <w:t>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40" w:type="dxa"/>
            <w:vAlign w:val="bottom"/>
            <w:tcBorders>
              <w:bottom w:val="single" w:sz="8" w:color="CCEEFF"/>
            </w:tcBorders>
          </w:tcPr>
          <w:p>
            <w:pPr>
              <w:spacing w:after="0"/>
              <w:rPr>
                <w:sz w:val="17"/>
                <w:szCs w:val="17"/>
                <w:color w:val="auto"/>
              </w:rPr>
            </w:pPr>
          </w:p>
        </w:tc>
        <w:tc>
          <w:tcPr>
            <w:tcW w:w="416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2021</w:t>
            </w:r>
          </w:p>
        </w:tc>
        <w:tc>
          <w:tcPr>
            <w:tcW w:w="4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color w:val="auto"/>
              </w:rPr>
              <w:t>2020</w:t>
            </w:r>
          </w:p>
        </w:tc>
        <w:tc>
          <w:tcPr>
            <w:tcW w:w="0" w:type="dxa"/>
            <w:vAlign w:val="bottom"/>
          </w:tcPr>
          <w:p>
            <w:pPr>
              <w:spacing w:after="0"/>
              <w:rPr>
                <w:sz w:val="1"/>
                <w:szCs w:val="1"/>
                <w:color w:val="auto"/>
              </w:rPr>
            </w:pPr>
          </w:p>
        </w:tc>
      </w:tr>
      <w:tr>
        <w:trPr>
          <w:trHeight w:val="195"/>
        </w:trPr>
        <w:tc>
          <w:tcPr>
            <w:tcW w:w="4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Prepaid insurance</w:t>
            </w:r>
          </w:p>
        </w:tc>
        <w:tc>
          <w:tcPr>
            <w:tcW w:w="1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124"/>
              <w:spacing w:after="0"/>
              <w:rPr>
                <w:sz w:val="20"/>
                <w:szCs w:val="20"/>
                <w:color w:val="auto"/>
              </w:rPr>
            </w:pPr>
            <w:r>
              <w:rPr>
                <w:rFonts w:ascii="Arial" w:cs="Arial" w:eastAsia="Arial" w:hAnsi="Arial"/>
                <w:sz w:val="15"/>
                <w:szCs w:val="15"/>
                <w:color w:val="auto"/>
                <w:w w:val="9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465</w:t>
            </w:r>
          </w:p>
        </w:tc>
        <w:tc>
          <w:tcPr>
            <w:tcW w:w="0" w:type="dxa"/>
            <w:vAlign w:val="bottom"/>
          </w:tcPr>
          <w:p>
            <w:pPr>
              <w:spacing w:after="0"/>
              <w:rPr>
                <w:sz w:val="1"/>
                <w:szCs w:val="1"/>
                <w:color w:val="auto"/>
              </w:rPr>
            </w:pPr>
          </w:p>
        </w:tc>
      </w:tr>
      <w:tr>
        <w:trPr>
          <w:trHeight w:val="195"/>
        </w:trPr>
        <w:tc>
          <w:tcPr>
            <w:tcW w:w="4500" w:type="dxa"/>
            <w:vAlign w:val="bottom"/>
            <w:gridSpan w:val="2"/>
          </w:tcPr>
          <w:p>
            <w:pPr>
              <w:spacing w:after="0"/>
              <w:rPr>
                <w:sz w:val="20"/>
                <w:szCs w:val="20"/>
                <w:color w:val="auto"/>
              </w:rPr>
            </w:pPr>
            <w:r>
              <w:rPr>
                <w:rFonts w:ascii="Arial" w:cs="Arial" w:eastAsia="Arial" w:hAnsi="Arial"/>
                <w:sz w:val="15"/>
                <w:szCs w:val="15"/>
                <w:color w:val="auto"/>
              </w:rPr>
              <w:t>Prepaid fees and services</w:t>
            </w:r>
          </w:p>
        </w:tc>
        <w:tc>
          <w:tcPr>
            <w:tcW w:w="1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w w:val="90"/>
              </w:rPr>
              <w:t>1,930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1,452</w:t>
            </w:r>
          </w:p>
        </w:tc>
        <w:tc>
          <w:tcPr>
            <w:tcW w:w="0" w:type="dxa"/>
            <w:vAlign w:val="bottom"/>
          </w:tcPr>
          <w:p>
            <w:pPr>
              <w:spacing w:after="0"/>
              <w:rPr>
                <w:sz w:val="1"/>
                <w:szCs w:val="1"/>
                <w:color w:val="auto"/>
              </w:rPr>
            </w:pPr>
          </w:p>
        </w:tc>
      </w:tr>
      <w:tr>
        <w:trPr>
          <w:trHeight w:val="195"/>
        </w:trPr>
        <w:tc>
          <w:tcPr>
            <w:tcW w:w="4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Agent advances receivable, net of allowance</w:t>
            </w:r>
          </w:p>
        </w:tc>
        <w:tc>
          <w:tcPr>
            <w:tcW w:w="1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466</w:t>
            </w:r>
          </w:p>
        </w:tc>
        <w:tc>
          <w:tcPr>
            <w:tcW w:w="0" w:type="dxa"/>
            <w:vAlign w:val="bottom"/>
          </w:tcPr>
          <w:p>
            <w:pPr>
              <w:spacing w:after="0"/>
              <w:rPr>
                <w:sz w:val="1"/>
                <w:szCs w:val="1"/>
                <w:color w:val="auto"/>
              </w:rPr>
            </w:pPr>
          </w:p>
        </w:tc>
      </w:tr>
      <w:tr>
        <w:trPr>
          <w:trHeight w:val="195"/>
        </w:trPr>
        <w:tc>
          <w:tcPr>
            <w:tcW w:w="4500" w:type="dxa"/>
            <w:vAlign w:val="bottom"/>
            <w:gridSpan w:val="2"/>
          </w:tcPr>
          <w:p>
            <w:pPr>
              <w:spacing w:after="0"/>
              <w:rPr>
                <w:sz w:val="20"/>
                <w:szCs w:val="20"/>
                <w:color w:val="auto"/>
              </w:rPr>
            </w:pPr>
            <w:r>
              <w:rPr>
                <w:rFonts w:ascii="Arial" w:cs="Arial" w:eastAsia="Arial" w:hAnsi="Arial"/>
                <w:sz w:val="15"/>
                <w:szCs w:val="15"/>
                <w:color w:val="auto"/>
              </w:rPr>
              <w:t>Assets pending settlement</w:t>
            </w:r>
          </w:p>
        </w:tc>
        <w:tc>
          <w:tcPr>
            <w:tcW w:w="1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331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218</w:t>
            </w:r>
          </w:p>
        </w:tc>
        <w:tc>
          <w:tcPr>
            <w:tcW w:w="0" w:type="dxa"/>
            <w:vAlign w:val="bottom"/>
          </w:tcPr>
          <w:p>
            <w:pPr>
              <w:spacing w:after="0"/>
              <w:rPr>
                <w:sz w:val="1"/>
                <w:szCs w:val="1"/>
                <w:color w:val="auto"/>
              </w:rPr>
            </w:pPr>
          </w:p>
        </w:tc>
      </w:tr>
      <w:tr>
        <w:trPr>
          <w:trHeight w:val="195"/>
        </w:trPr>
        <w:tc>
          <w:tcPr>
            <w:tcW w:w="4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Prepaid income taxes</w:t>
            </w:r>
          </w:p>
        </w:tc>
        <w:tc>
          <w:tcPr>
            <w:tcW w:w="1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1,563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198"/>
        </w:trPr>
        <w:tc>
          <w:tcPr>
            <w:tcW w:w="450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Prepaid expenses and current assets - other</w:t>
            </w:r>
          </w:p>
        </w:tc>
        <w:tc>
          <w:tcPr>
            <w:tcW w:w="116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0"/>
              </w:rPr>
              <w:t>1,506</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817</w:t>
            </w:r>
          </w:p>
        </w:tc>
        <w:tc>
          <w:tcPr>
            <w:tcW w:w="0" w:type="dxa"/>
            <w:vAlign w:val="bottom"/>
          </w:tcPr>
          <w:p>
            <w:pPr>
              <w:spacing w:after="0"/>
              <w:rPr>
                <w:sz w:val="1"/>
                <w:szCs w:val="1"/>
                <w:color w:val="auto"/>
              </w:rPr>
            </w:pPr>
          </w:p>
        </w:tc>
      </w:tr>
      <w:tr>
        <w:trPr>
          <w:trHeight w:val="215"/>
        </w:trPr>
        <w:tc>
          <w:tcPr>
            <w:tcW w:w="34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124"/>
              <w:spacing w:after="0"/>
              <w:rPr>
                <w:sz w:val="20"/>
                <w:szCs w:val="20"/>
                <w:color w:val="auto"/>
              </w:rPr>
            </w:pPr>
            <w:r>
              <w:rPr>
                <w:rFonts w:ascii="Arial" w:cs="Arial" w:eastAsia="Arial" w:hAnsi="Arial"/>
                <w:sz w:val="15"/>
                <w:szCs w:val="15"/>
                <w:color w:val="auto"/>
                <w:w w:val="9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6,988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3,521</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5"/>
                <w:szCs w:val="15"/>
                <w:color w:val="auto"/>
              </w:rPr>
              <w:t>Other assets consisted of the following (in thousands):</w:t>
            </w:r>
          </w:p>
        </w:tc>
        <w:tc>
          <w:tcPr>
            <w:tcW w:w="1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50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5"/>
                <w:szCs w:val="15"/>
                <w:color w:val="auto"/>
                <w:w w:val="93"/>
              </w:rPr>
              <w:t>December 31,</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40" w:type="dxa"/>
            <w:vAlign w:val="bottom"/>
            <w:tcBorders>
              <w:bottom w:val="single" w:sz="8" w:color="CCEEFF"/>
            </w:tcBorders>
          </w:tcPr>
          <w:p>
            <w:pPr>
              <w:spacing w:after="0"/>
              <w:rPr>
                <w:sz w:val="17"/>
                <w:szCs w:val="17"/>
                <w:color w:val="auto"/>
              </w:rPr>
            </w:pPr>
          </w:p>
        </w:tc>
        <w:tc>
          <w:tcPr>
            <w:tcW w:w="416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2021</w:t>
            </w:r>
          </w:p>
        </w:tc>
        <w:tc>
          <w:tcPr>
            <w:tcW w:w="4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color w:val="auto"/>
              </w:rPr>
              <w:t>2020</w:t>
            </w:r>
          </w:p>
        </w:tc>
        <w:tc>
          <w:tcPr>
            <w:tcW w:w="0" w:type="dxa"/>
            <w:vAlign w:val="bottom"/>
          </w:tcPr>
          <w:p>
            <w:pPr>
              <w:spacing w:after="0"/>
              <w:rPr>
                <w:sz w:val="1"/>
                <w:szCs w:val="1"/>
                <w:color w:val="auto"/>
              </w:rPr>
            </w:pPr>
          </w:p>
        </w:tc>
      </w:tr>
      <w:tr>
        <w:trPr>
          <w:trHeight w:val="195"/>
        </w:trPr>
        <w:tc>
          <w:tcPr>
            <w:tcW w:w="4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Revolving line origination fees</w:t>
            </w:r>
          </w:p>
        </w:tc>
        <w:tc>
          <w:tcPr>
            <w:tcW w:w="1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124"/>
              <w:spacing w:after="0"/>
              <w:rPr>
                <w:sz w:val="20"/>
                <w:szCs w:val="20"/>
                <w:color w:val="auto"/>
              </w:rPr>
            </w:pPr>
            <w:r>
              <w:rPr>
                <w:rFonts w:ascii="Arial" w:cs="Arial" w:eastAsia="Arial" w:hAnsi="Arial"/>
                <w:sz w:val="15"/>
                <w:szCs w:val="15"/>
                <w:color w:val="auto"/>
                <w:w w:val="9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2,032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423</w:t>
            </w:r>
          </w:p>
        </w:tc>
        <w:tc>
          <w:tcPr>
            <w:tcW w:w="0" w:type="dxa"/>
            <w:vAlign w:val="bottom"/>
          </w:tcPr>
          <w:p>
            <w:pPr>
              <w:spacing w:after="0"/>
              <w:rPr>
                <w:sz w:val="1"/>
                <w:szCs w:val="1"/>
                <w:color w:val="auto"/>
              </w:rPr>
            </w:pPr>
          </w:p>
        </w:tc>
      </w:tr>
      <w:tr>
        <w:trPr>
          <w:trHeight w:val="195"/>
        </w:trPr>
        <w:tc>
          <w:tcPr>
            <w:tcW w:w="4500" w:type="dxa"/>
            <w:vAlign w:val="bottom"/>
            <w:gridSpan w:val="2"/>
          </w:tcPr>
          <w:p>
            <w:pPr>
              <w:spacing w:after="0"/>
              <w:rPr>
                <w:sz w:val="20"/>
                <w:szCs w:val="20"/>
                <w:color w:val="auto"/>
              </w:rPr>
            </w:pPr>
            <w:r>
              <w:rPr>
                <w:rFonts w:ascii="Arial" w:cs="Arial" w:eastAsia="Arial" w:hAnsi="Arial"/>
                <w:sz w:val="15"/>
                <w:szCs w:val="15"/>
                <w:color w:val="auto"/>
              </w:rPr>
              <w:t>Agent incentives advances</w:t>
            </w:r>
          </w:p>
        </w:tc>
        <w:tc>
          <w:tcPr>
            <w:tcW w:w="1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w w:val="90"/>
              </w:rPr>
              <w:t>1,010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1,110</w:t>
            </w:r>
          </w:p>
        </w:tc>
        <w:tc>
          <w:tcPr>
            <w:tcW w:w="0" w:type="dxa"/>
            <w:vAlign w:val="bottom"/>
          </w:tcPr>
          <w:p>
            <w:pPr>
              <w:spacing w:after="0"/>
              <w:rPr>
                <w:sz w:val="1"/>
                <w:szCs w:val="1"/>
                <w:color w:val="auto"/>
              </w:rPr>
            </w:pPr>
          </w:p>
        </w:tc>
      </w:tr>
      <w:tr>
        <w:trPr>
          <w:trHeight w:val="195"/>
        </w:trPr>
        <w:tc>
          <w:tcPr>
            <w:tcW w:w="4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Agent advances receivable, net of allowance</w:t>
            </w:r>
          </w:p>
        </w:tc>
        <w:tc>
          <w:tcPr>
            <w:tcW w:w="1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521</w:t>
            </w:r>
          </w:p>
        </w:tc>
        <w:tc>
          <w:tcPr>
            <w:tcW w:w="0" w:type="dxa"/>
            <w:vAlign w:val="bottom"/>
          </w:tcPr>
          <w:p>
            <w:pPr>
              <w:spacing w:after="0"/>
              <w:rPr>
                <w:sz w:val="1"/>
                <w:szCs w:val="1"/>
                <w:color w:val="auto"/>
              </w:rPr>
            </w:pPr>
          </w:p>
        </w:tc>
      </w:tr>
      <w:tr>
        <w:trPr>
          <w:trHeight w:val="195"/>
        </w:trPr>
        <w:tc>
          <w:tcPr>
            <w:tcW w:w="4500" w:type="dxa"/>
            <w:vAlign w:val="bottom"/>
            <w:gridSpan w:val="2"/>
          </w:tcPr>
          <w:p>
            <w:pPr>
              <w:spacing w:after="0"/>
              <w:rPr>
                <w:sz w:val="20"/>
                <w:szCs w:val="20"/>
                <w:color w:val="auto"/>
              </w:rPr>
            </w:pPr>
            <w:r>
              <w:rPr>
                <w:rFonts w:ascii="Arial" w:cs="Arial" w:eastAsia="Arial" w:hAnsi="Arial"/>
                <w:sz w:val="15"/>
                <w:szCs w:val="15"/>
                <w:color w:val="auto"/>
              </w:rPr>
              <w:t>Funds held by seized banking entities, net of allowance</w:t>
            </w:r>
          </w:p>
        </w:tc>
        <w:tc>
          <w:tcPr>
            <w:tcW w:w="1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w w:val="90"/>
              </w:rPr>
              <w:t>3,114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130</w:t>
            </w:r>
          </w:p>
        </w:tc>
        <w:tc>
          <w:tcPr>
            <w:tcW w:w="0" w:type="dxa"/>
            <w:vAlign w:val="bottom"/>
          </w:tcPr>
          <w:p>
            <w:pPr>
              <w:spacing w:after="0"/>
              <w:rPr>
                <w:sz w:val="1"/>
                <w:szCs w:val="1"/>
                <w:color w:val="auto"/>
              </w:rPr>
            </w:pPr>
          </w:p>
        </w:tc>
      </w:tr>
      <w:tr>
        <w:trPr>
          <w:trHeight w:val="198"/>
        </w:trPr>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Other assets</w:t>
            </w:r>
          </w:p>
        </w:tc>
        <w:tc>
          <w:tcPr>
            <w:tcW w:w="1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634</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852</w:t>
            </w: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1124"/>
              <w:spacing w:after="0"/>
              <w:rPr>
                <w:sz w:val="20"/>
                <w:szCs w:val="20"/>
                <w:color w:val="auto"/>
              </w:rPr>
            </w:pPr>
            <w:r>
              <w:rPr>
                <w:rFonts w:ascii="Arial" w:cs="Arial" w:eastAsia="Arial" w:hAnsi="Arial"/>
                <w:sz w:val="15"/>
                <w:szCs w:val="15"/>
                <w:color w:val="auto"/>
                <w:w w:val="95"/>
              </w:rPr>
              <w:t>$</w:t>
            </w:r>
          </w:p>
        </w:tc>
        <w:tc>
          <w:tcPr>
            <w:tcW w:w="400" w:type="dxa"/>
            <w:vAlign w:val="bottom"/>
          </w:tcPr>
          <w:p>
            <w:pPr>
              <w:jc w:val="right"/>
              <w:spacing w:after="0"/>
              <w:rPr>
                <w:sz w:val="20"/>
                <w:szCs w:val="20"/>
                <w:color w:val="auto"/>
              </w:rPr>
            </w:pPr>
            <w:r>
              <w:rPr>
                <w:rFonts w:ascii="Arial" w:cs="Arial" w:eastAsia="Arial" w:hAnsi="Arial"/>
                <w:sz w:val="15"/>
                <w:szCs w:val="15"/>
                <w:color w:val="auto"/>
                <w:w w:val="90"/>
              </w:rPr>
              <w:t>7,434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440"/>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3,036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During September 2021, local banking regulators in Mexico resolved to close and liquidate a local financial institution, citing a lack of compliance with minimum capital requirements. The Company has approximately $5.1 million of exposure from deposits it held with this bank when it was closed. In accordance with the banking regulations in Mexico, large depositors such as the Company will be paid once the assets of the financial institution are liquidated. Currently, it is difficult to predict the length of the liquidation process or if the proceeds from the asset liquidation will be sufficient to recover a portion or all of its funds on deposit. Consequently, the Company recorded a valuation allowance of $2.0 million in connection with the balance of deposits held by the financial institution as a result of its closure.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440" w:type="dxa"/>
            <w:vAlign w:val="bottom"/>
          </w:tcPr>
          <w:p>
            <w:pPr>
              <w:spacing w:after="0"/>
              <w:rPr>
                <w:sz w:val="20"/>
                <w:szCs w:val="20"/>
                <w:color w:val="auto"/>
              </w:rPr>
            </w:pPr>
            <w:r>
              <w:rPr>
                <w:rFonts w:ascii="Arial" w:cs="Arial" w:eastAsia="Arial" w:hAnsi="Arial"/>
                <w:sz w:val="15"/>
                <w:szCs w:val="15"/>
                <w:color w:val="auto"/>
              </w:rPr>
              <w:t>NOTE 6 – PROPERTY AND EQUIPMENT</w:t>
            </w: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7"/>
        </w:trPr>
        <w:tc>
          <w:tcPr>
            <w:tcW w:w="4440" w:type="dxa"/>
            <w:vAlign w:val="bottom"/>
          </w:tcPr>
          <w:p>
            <w:pPr>
              <w:spacing w:after="0"/>
              <w:rPr>
                <w:sz w:val="20"/>
                <w:szCs w:val="20"/>
                <w:color w:val="auto"/>
              </w:rPr>
            </w:pPr>
            <w:r>
              <w:rPr>
                <w:rFonts w:ascii="Arial" w:cs="Arial" w:eastAsia="Arial" w:hAnsi="Arial"/>
                <w:sz w:val="15"/>
                <w:szCs w:val="15"/>
                <w:color w:val="auto"/>
              </w:rPr>
              <w:t>Property and equipment consists of the following (in thousands):</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4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60" w:type="dxa"/>
            <w:vAlign w:val="bottom"/>
            <w:gridSpan w:val="3"/>
            <w:vMerge w:val="restart"/>
          </w:tcPr>
          <w:p>
            <w:pPr>
              <w:jc w:val="right"/>
              <w:ind w:right="84"/>
              <w:spacing w:after="0"/>
              <w:rPr>
                <w:sz w:val="20"/>
                <w:szCs w:val="20"/>
                <w:color w:val="auto"/>
              </w:rPr>
            </w:pPr>
            <w:r>
              <w:rPr>
                <w:rFonts w:ascii="Arial" w:cs="Arial" w:eastAsia="Arial" w:hAnsi="Arial"/>
                <w:sz w:val="15"/>
                <w:szCs w:val="15"/>
                <w:color w:val="auto"/>
              </w:rPr>
              <w:t>December 31,</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20" w:type="dxa"/>
            <w:vAlign w:val="bottom"/>
            <w:gridSpan w:val="2"/>
          </w:tcPr>
          <w:p>
            <w:pPr>
              <w:jc w:val="center"/>
              <w:ind w:right="1520"/>
              <w:spacing w:after="0"/>
              <w:rPr>
                <w:sz w:val="20"/>
                <w:szCs w:val="20"/>
                <w:color w:val="auto"/>
              </w:rPr>
            </w:pPr>
            <w:r>
              <w:rPr>
                <w:rFonts w:ascii="Arial" w:cs="Arial" w:eastAsia="Arial" w:hAnsi="Arial"/>
                <w:sz w:val="15"/>
                <w:szCs w:val="15"/>
                <w:color w:val="auto"/>
                <w:w w:val="92"/>
              </w:rPr>
              <w:t>Estimated</w:t>
            </w:r>
          </w:p>
        </w:tc>
        <w:tc>
          <w:tcPr>
            <w:tcW w:w="0" w:type="dxa"/>
            <w:vAlign w:val="bottom"/>
          </w:tcPr>
          <w:p>
            <w:pPr>
              <w:spacing w:after="0"/>
              <w:rPr>
                <w:sz w:val="1"/>
                <w:szCs w:val="1"/>
                <w:color w:val="auto"/>
              </w:rPr>
            </w:pPr>
          </w:p>
        </w:tc>
      </w:tr>
      <w:tr>
        <w:trPr>
          <w:trHeight w:val="117"/>
        </w:trPr>
        <w:tc>
          <w:tcPr>
            <w:tcW w:w="44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3"/>
            <w:vMerge w:val="continue"/>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220" w:type="dxa"/>
            <w:vAlign w:val="bottom"/>
            <w:gridSpan w:val="2"/>
          </w:tcPr>
          <w:p>
            <w:pPr>
              <w:jc w:val="center"/>
              <w:ind w:right="1520"/>
              <w:spacing w:after="0" w:line="117" w:lineRule="exact"/>
              <w:rPr>
                <w:sz w:val="20"/>
                <w:szCs w:val="20"/>
                <w:color w:val="auto"/>
              </w:rPr>
            </w:pPr>
            <w:r>
              <w:rPr>
                <w:rFonts w:ascii="Arial" w:cs="Arial" w:eastAsia="Arial" w:hAnsi="Arial"/>
                <w:sz w:val="13"/>
                <w:szCs w:val="13"/>
                <w:color w:val="auto"/>
              </w:rPr>
              <w:t>Useful Life</w:t>
            </w:r>
          </w:p>
        </w:tc>
        <w:tc>
          <w:tcPr>
            <w:tcW w:w="0" w:type="dxa"/>
            <w:vAlign w:val="bottom"/>
          </w:tcPr>
          <w:p>
            <w:pPr>
              <w:spacing w:after="0"/>
              <w:rPr>
                <w:sz w:val="1"/>
                <w:szCs w:val="1"/>
                <w:color w:val="auto"/>
              </w:rPr>
            </w:pPr>
          </w:p>
        </w:tc>
      </w:tr>
      <w:tr>
        <w:trPr>
          <w:trHeight w:val="209"/>
        </w:trPr>
        <w:tc>
          <w:tcPr>
            <w:tcW w:w="4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ind w:right="624"/>
              <w:spacing w:after="0"/>
              <w:rPr>
                <w:sz w:val="20"/>
                <w:szCs w:val="20"/>
                <w:color w:val="auto"/>
              </w:rPr>
            </w:pPr>
            <w:r>
              <w:rPr>
                <w:rFonts w:ascii="Arial" w:cs="Arial" w:eastAsia="Arial" w:hAnsi="Arial"/>
                <w:sz w:val="15"/>
                <w:szCs w:val="15"/>
                <w:color w:val="auto"/>
              </w:rPr>
              <w:t>2021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right"/>
              <w:ind w:right="624"/>
              <w:spacing w:after="0"/>
              <w:rPr>
                <w:sz w:val="20"/>
                <w:szCs w:val="20"/>
                <w:color w:val="auto"/>
              </w:rPr>
            </w:pPr>
            <w:r>
              <w:rPr>
                <w:rFonts w:ascii="Arial" w:cs="Arial" w:eastAsia="Arial" w:hAnsi="Arial"/>
                <w:sz w:val="15"/>
                <w:szCs w:val="15"/>
                <w:color w:val="auto"/>
              </w:rPr>
              <w:t>2020</w:t>
            </w:r>
          </w:p>
        </w:tc>
        <w:tc>
          <w:tcPr>
            <w:tcW w:w="100" w:type="dxa"/>
            <w:vAlign w:val="bottom"/>
          </w:tcPr>
          <w:p>
            <w:pPr>
              <w:spacing w:after="0"/>
              <w:rPr>
                <w:sz w:val="18"/>
                <w:szCs w:val="18"/>
                <w:color w:val="auto"/>
              </w:rPr>
            </w:pPr>
          </w:p>
        </w:tc>
        <w:tc>
          <w:tcPr>
            <w:tcW w:w="3220" w:type="dxa"/>
            <w:vAlign w:val="bottom"/>
            <w:gridSpan w:val="2"/>
          </w:tcPr>
          <w:p>
            <w:pPr>
              <w:jc w:val="center"/>
              <w:ind w:right="1520"/>
              <w:spacing w:after="0"/>
              <w:rPr>
                <w:sz w:val="20"/>
                <w:szCs w:val="20"/>
                <w:color w:val="auto"/>
              </w:rPr>
            </w:pPr>
            <w:r>
              <w:rPr>
                <w:rFonts w:ascii="Arial" w:cs="Arial" w:eastAsia="Arial" w:hAnsi="Arial"/>
                <w:sz w:val="15"/>
                <w:szCs w:val="15"/>
                <w:color w:val="auto"/>
                <w:w w:val="92"/>
              </w:rPr>
              <w:t>(in years)</w:t>
            </w:r>
          </w:p>
        </w:tc>
        <w:tc>
          <w:tcPr>
            <w:tcW w:w="0" w:type="dxa"/>
            <w:vAlign w:val="bottom"/>
          </w:tcPr>
          <w:p>
            <w:pPr>
              <w:spacing w:after="0"/>
              <w:rPr>
                <w:sz w:val="1"/>
                <w:szCs w:val="1"/>
                <w:color w:val="auto"/>
              </w:rPr>
            </w:pPr>
          </w:p>
        </w:tc>
      </w:tr>
      <w:tr>
        <w:trPr>
          <w:trHeight w:val="195"/>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Computer software and equipment</w:t>
            </w:r>
          </w:p>
        </w:tc>
        <w:tc>
          <w:tcPr>
            <w:tcW w:w="380" w:type="dxa"/>
            <w:vAlign w:val="bottom"/>
            <w:tcBorders>
              <w:top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30,805</w:t>
            </w:r>
          </w:p>
        </w:tc>
        <w:tc>
          <w:tcPr>
            <w:tcW w:w="1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ind w:right="384"/>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22,337</w:t>
            </w:r>
          </w:p>
        </w:tc>
        <w:tc>
          <w:tcPr>
            <w:tcW w:w="10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0"/>
              </w:rPr>
              <w:t>3 to 5</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440" w:type="dxa"/>
            <w:vAlign w:val="bottom"/>
          </w:tcPr>
          <w:p>
            <w:pPr>
              <w:spacing w:after="0"/>
              <w:rPr>
                <w:sz w:val="20"/>
                <w:szCs w:val="20"/>
                <w:color w:val="auto"/>
              </w:rPr>
            </w:pPr>
            <w:r>
              <w:rPr>
                <w:rFonts w:ascii="Arial" w:cs="Arial" w:eastAsia="Arial" w:hAnsi="Arial"/>
                <w:sz w:val="15"/>
                <w:szCs w:val="15"/>
                <w:color w:val="auto"/>
              </w:rPr>
              <w:t>Office improvements</w:t>
            </w:r>
          </w:p>
        </w:tc>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1,575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1,122</w:t>
            </w:r>
          </w:p>
        </w:tc>
        <w:tc>
          <w:tcPr>
            <w:tcW w:w="1800" w:type="dxa"/>
            <w:vAlign w:val="bottom"/>
            <w:gridSpan w:val="2"/>
          </w:tcPr>
          <w:p>
            <w:pPr>
              <w:jc w:val="center"/>
              <w:ind w:left="4"/>
              <w:spacing w:after="0"/>
              <w:rPr>
                <w:sz w:val="20"/>
                <w:szCs w:val="20"/>
                <w:color w:val="auto"/>
              </w:rPr>
            </w:pPr>
            <w:r>
              <w:rPr>
                <w:rFonts w:ascii="Arial" w:cs="Arial" w:eastAsia="Arial" w:hAnsi="Arial"/>
                <w:sz w:val="15"/>
                <w:szCs w:val="15"/>
                <w:color w:val="auto"/>
                <w:w w:val="95"/>
              </w:rPr>
              <w:t>5</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Furniture and fixtures</w:t>
            </w:r>
          </w:p>
        </w:tc>
        <w:tc>
          <w:tcPr>
            <w:tcW w:w="3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835</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506</w:t>
            </w:r>
          </w:p>
        </w:tc>
        <w:tc>
          <w:tcPr>
            <w:tcW w:w="1800" w:type="dxa"/>
            <w:vAlign w:val="bottom"/>
            <w:tcBorders>
              <w:bottom w:val="single" w:sz="8" w:color="CCEEFF"/>
            </w:tcBorders>
            <w:gridSpan w:val="2"/>
            <w:shd w:val="clear" w:color="auto" w:fill="CCEEFF"/>
          </w:tcPr>
          <w:p>
            <w:pPr>
              <w:jc w:val="center"/>
              <w:ind w:left="4"/>
              <w:spacing w:after="0"/>
              <w:rPr>
                <w:sz w:val="20"/>
                <w:szCs w:val="20"/>
                <w:color w:val="auto"/>
              </w:rPr>
            </w:pPr>
            <w:r>
              <w:rPr>
                <w:rFonts w:ascii="Arial" w:cs="Arial" w:eastAsia="Arial" w:hAnsi="Arial"/>
                <w:sz w:val="15"/>
                <w:szCs w:val="15"/>
                <w:color w:val="auto"/>
                <w:w w:val="95"/>
              </w:rPr>
              <w:t>7</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33,215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23,965</w:t>
            </w: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Less accumulated depreciation</w:t>
            </w:r>
          </w:p>
        </w:tc>
        <w:tc>
          <w:tcPr>
            <w:tcW w:w="3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(15,310)</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(10,944)</w:t>
            </w: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440" w:type="dxa"/>
            <w:vAlign w:val="bottom"/>
          </w:tcPr>
          <w:p>
            <w:pPr>
              <w:spacing w:after="0"/>
              <w:rPr>
                <w:sz w:val="16"/>
                <w:szCs w:val="16"/>
                <w:color w:val="auto"/>
              </w:rPr>
            </w:pP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17,905</w:t>
            </w:r>
          </w:p>
        </w:tc>
        <w:tc>
          <w:tcPr>
            <w:tcW w:w="100" w:type="dxa"/>
            <w:vAlign w:val="bottom"/>
          </w:tcPr>
          <w:p>
            <w:pPr>
              <w:spacing w:after="0"/>
              <w:rPr>
                <w:sz w:val="16"/>
                <w:szCs w:val="16"/>
                <w:color w:val="auto"/>
              </w:rPr>
            </w:pPr>
          </w:p>
        </w:tc>
        <w:tc>
          <w:tcPr>
            <w:tcW w:w="54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13,021</w:t>
            </w: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4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gridSpan w:val="2"/>
          </w:tcPr>
          <w:p>
            <w:pPr>
              <w:ind w:left="660"/>
              <w:spacing w:after="0"/>
              <w:rPr>
                <w:sz w:val="20"/>
                <w:szCs w:val="20"/>
                <w:color w:val="auto"/>
              </w:rPr>
            </w:pPr>
            <w:r>
              <w:rPr>
                <w:rFonts w:ascii="Arial" w:cs="Arial" w:eastAsia="Arial" w:hAnsi="Arial"/>
                <w:sz w:val="15"/>
                <w:szCs w:val="15"/>
                <w:color w:val="auto"/>
              </w:rPr>
              <w:t>F-14</w:t>
            </w: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4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7127875</wp:posOffset>
            </wp:positionH>
            <wp:positionV relativeFrom="paragraph">
              <wp:posOffset>-26670</wp:posOffset>
            </wp:positionV>
            <wp:extent cx="32385" cy="40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2385"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59" w:name="page60"/>
    <w:bookmarkEnd w:id="59"/>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40"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Computer software and equipment above includes internal use software of approximately $4.7 million and $2.8 million at December 31, 2021 and 2020, respectively. During the third quarter of 2021, the Company wrote-off $1.0 million in software development expenditures, which is included in other selling, general and administrative expenses in the consolidated statements of income and comprehensive income.</w:t>
      </w:r>
    </w:p>
    <w:p>
      <w:pPr>
        <w:spacing w:after="0" w:line="175" w:lineRule="exact"/>
        <w:rPr>
          <w:sz w:val="20"/>
          <w:szCs w:val="20"/>
          <w:color w:val="auto"/>
        </w:rPr>
      </w:pPr>
    </w:p>
    <w:p>
      <w:pPr>
        <w:jc w:val="both"/>
        <w:ind w:right="20"/>
        <w:spacing w:after="0" w:line="285" w:lineRule="auto"/>
        <w:rPr>
          <w:sz w:val="20"/>
          <w:szCs w:val="20"/>
          <w:color w:val="auto"/>
        </w:rPr>
      </w:pPr>
      <w:r>
        <w:rPr>
          <w:rFonts w:ascii="Arial" w:cs="Arial" w:eastAsia="Arial" w:hAnsi="Arial"/>
          <w:sz w:val="15"/>
          <w:szCs w:val="15"/>
          <w:color w:val="auto"/>
        </w:rPr>
        <w:t>Depreciation expense included in depreciation and amortization expense in the consolidated statements of income and comprehensive income was approximately $4.3 million, $3.9 million and $3.3 million for the years ended December 31, 2021, 2020 and 2019, respectively.</w:t>
      </w:r>
    </w:p>
    <w:p>
      <w:pPr>
        <w:spacing w:after="0" w:line="164" w:lineRule="exact"/>
        <w:rPr>
          <w:sz w:val="20"/>
          <w:szCs w:val="20"/>
          <w:color w:val="auto"/>
        </w:rPr>
      </w:pPr>
    </w:p>
    <w:p>
      <w:pPr>
        <w:jc w:val="both"/>
        <w:ind w:right="20"/>
        <w:spacing w:after="0" w:line="285" w:lineRule="auto"/>
        <w:rPr>
          <w:sz w:val="20"/>
          <w:szCs w:val="20"/>
          <w:color w:val="auto"/>
        </w:rPr>
      </w:pPr>
      <w:r>
        <w:rPr>
          <w:rFonts w:ascii="Arial" w:cs="Arial" w:eastAsia="Arial" w:hAnsi="Arial"/>
          <w:sz w:val="15"/>
          <w:szCs w:val="15"/>
          <w:color w:val="auto"/>
        </w:rPr>
        <w:t>Repairs and maintenance expenses included in other selling, general and administrative expenses in the consolidated statements of income and comprehensive income were approximately $2.6 million, $2.0 million and $1.7 million for the years ended December 31, 2021, 2020 and 2019,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NOTE 7 – GOODWILL AND INTANGIBLE ASSETS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Goodwill consists of the following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5"/>
                <w:szCs w:val="15"/>
                <w:color w:val="auto"/>
              </w:rPr>
              <w:t>December 31,</w:t>
            </w:r>
          </w:p>
        </w:tc>
        <w:tc>
          <w:tcPr>
            <w:tcW w:w="1160" w:type="dxa"/>
            <w:vAlign w:val="bottom"/>
            <w:tcBorders>
              <w:bottom w:val="single" w:sz="8" w:color="auto"/>
            </w:tcBorders>
          </w:tcPr>
          <w:p>
            <w:pPr>
              <w:spacing w:after="0"/>
              <w:rPr>
                <w:sz w:val="17"/>
                <w:szCs w:val="17"/>
                <w:color w:val="auto"/>
              </w:rPr>
            </w:pPr>
          </w:p>
        </w:tc>
      </w:tr>
      <w:tr>
        <w:trPr>
          <w:trHeight w:val="198"/>
        </w:trPr>
        <w:tc>
          <w:tcPr>
            <w:tcW w:w="63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color w:val="auto"/>
              </w:rPr>
              <w:t>2021</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color w:val="auto"/>
              </w:rPr>
              <w:t>2020</w:t>
            </w:r>
          </w:p>
        </w:tc>
      </w:tr>
      <w:tr>
        <w:trPr>
          <w:trHeight w:val="184"/>
        </w:trPr>
        <w:tc>
          <w:tcPr>
            <w:tcW w:w="6320" w:type="dxa"/>
            <w:vAlign w:val="bottom"/>
            <w:shd w:val="clear" w:color="auto" w:fill="CCEEFF"/>
          </w:tcPr>
          <w:p>
            <w:pPr>
              <w:spacing w:after="0"/>
              <w:rPr>
                <w:sz w:val="20"/>
                <w:szCs w:val="20"/>
                <w:color w:val="auto"/>
              </w:rPr>
            </w:pPr>
            <w:r>
              <w:rPr>
                <w:rFonts w:ascii="Arial" w:cs="Arial" w:eastAsia="Arial" w:hAnsi="Arial"/>
                <w:sz w:val="15"/>
                <w:szCs w:val="15"/>
                <w:color w:val="auto"/>
              </w:rPr>
              <w:t>Indefinite life:</w:t>
            </w: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98"/>
        </w:trPr>
        <w:tc>
          <w:tcPr>
            <w:tcW w:w="63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Goodwill</w:t>
            </w: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36,260</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36,260</w:t>
            </w:r>
          </w:p>
        </w:tc>
      </w:tr>
      <w:tr>
        <w:trPr>
          <w:trHeight w:val="198"/>
        </w:trPr>
        <w:tc>
          <w:tcPr>
            <w:tcW w:w="6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indefinite life</w:t>
            </w: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36,260</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8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36,260</w:t>
            </w:r>
          </w:p>
        </w:tc>
      </w:tr>
    </w:tbl>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auto"/>
        </w:rPr>
        <w:t>Intangible assets consist of the following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5"/>
                <w:szCs w:val="15"/>
                <w:color w:val="auto"/>
                <w:w w:val="91"/>
              </w:rPr>
              <w:t>December 31, 2021</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5"/>
                <w:szCs w:val="15"/>
                <w:color w:val="auto"/>
                <w:w w:val="91"/>
              </w:rPr>
              <w:t>December 31, 2020</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5"/>
                <w:szCs w:val="15"/>
                <w:color w:val="auto"/>
                <w:w w:val="91"/>
              </w:rPr>
              <w:t>Gross Carrying</w:t>
            </w:r>
          </w:p>
        </w:tc>
        <w:tc>
          <w:tcPr>
            <w:tcW w:w="180" w:type="dxa"/>
            <w:vAlign w:val="bottom"/>
          </w:tcPr>
          <w:p>
            <w:pPr>
              <w:spacing w:after="0"/>
              <w:rPr>
                <w:sz w:val="13"/>
                <w:szCs w:val="13"/>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5"/>
                <w:szCs w:val="15"/>
                <w:color w:val="auto"/>
                <w:w w:val="94"/>
              </w:rPr>
              <w:t>Accumulated</w:t>
            </w:r>
          </w:p>
        </w:tc>
        <w:tc>
          <w:tcPr>
            <w:tcW w:w="220" w:type="dxa"/>
            <w:vAlign w:val="bottom"/>
          </w:tcPr>
          <w:p>
            <w:pPr>
              <w:spacing w:after="0"/>
              <w:rPr>
                <w:sz w:val="13"/>
                <w:szCs w:val="13"/>
                <w:color w:val="auto"/>
              </w:rPr>
            </w:pPr>
          </w:p>
        </w:tc>
        <w:tc>
          <w:tcPr>
            <w:tcW w:w="1200" w:type="dxa"/>
            <w:vAlign w:val="bottom"/>
            <w:gridSpan w:val="2"/>
          </w:tcPr>
          <w:p>
            <w:pPr>
              <w:jc w:val="center"/>
              <w:ind w:right="420"/>
              <w:spacing w:after="0" w:line="150" w:lineRule="exact"/>
              <w:rPr>
                <w:sz w:val="20"/>
                <w:szCs w:val="20"/>
                <w:color w:val="auto"/>
              </w:rPr>
            </w:pPr>
            <w:r>
              <w:rPr>
                <w:rFonts w:ascii="Arial" w:cs="Arial" w:eastAsia="Arial" w:hAnsi="Arial"/>
                <w:sz w:val="15"/>
                <w:szCs w:val="15"/>
                <w:color w:val="auto"/>
                <w:w w:val="94"/>
              </w:rPr>
              <w:t>Net</w:t>
            </w:r>
          </w:p>
        </w:tc>
        <w:tc>
          <w:tcPr>
            <w:tcW w:w="220" w:type="dxa"/>
            <w:vAlign w:val="bottom"/>
          </w:tcPr>
          <w:p>
            <w:pPr>
              <w:spacing w:after="0"/>
              <w:rPr>
                <w:sz w:val="13"/>
                <w:szCs w:val="13"/>
                <w:color w:val="auto"/>
              </w:rPr>
            </w:pPr>
          </w:p>
        </w:tc>
        <w:tc>
          <w:tcPr>
            <w:tcW w:w="1080" w:type="dxa"/>
            <w:vAlign w:val="bottom"/>
            <w:gridSpan w:val="2"/>
          </w:tcPr>
          <w:p>
            <w:pPr>
              <w:ind w:left="180"/>
              <w:spacing w:after="0" w:line="150" w:lineRule="exact"/>
              <w:rPr>
                <w:sz w:val="20"/>
                <w:szCs w:val="20"/>
                <w:color w:val="auto"/>
              </w:rPr>
            </w:pPr>
            <w:r>
              <w:rPr>
                <w:rFonts w:ascii="Arial" w:cs="Arial" w:eastAsia="Arial" w:hAnsi="Arial"/>
                <w:sz w:val="15"/>
                <w:szCs w:val="15"/>
                <w:color w:val="auto"/>
              </w:rPr>
              <w:t>Gross</w:t>
            </w:r>
          </w:p>
        </w:tc>
        <w:tc>
          <w:tcPr>
            <w:tcW w:w="160" w:type="dxa"/>
            <w:vAlign w:val="bottom"/>
          </w:tcPr>
          <w:p>
            <w:pPr>
              <w:spacing w:after="0"/>
              <w:rPr>
                <w:sz w:val="13"/>
                <w:szCs w:val="13"/>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5"/>
                <w:szCs w:val="15"/>
                <w:color w:val="auto"/>
                <w:w w:val="94"/>
              </w:rPr>
              <w:t>Accumulated</w:t>
            </w:r>
          </w:p>
        </w:tc>
        <w:tc>
          <w:tcPr>
            <w:tcW w:w="200" w:type="dxa"/>
            <w:vAlign w:val="bottom"/>
          </w:tcPr>
          <w:p>
            <w:pPr>
              <w:spacing w:after="0"/>
              <w:rPr>
                <w:sz w:val="13"/>
                <w:szCs w:val="13"/>
                <w:color w:val="auto"/>
              </w:rPr>
            </w:pPr>
          </w:p>
        </w:tc>
        <w:tc>
          <w:tcPr>
            <w:tcW w:w="1000" w:type="dxa"/>
            <w:vAlign w:val="bottom"/>
          </w:tcPr>
          <w:p>
            <w:pPr>
              <w:jc w:val="center"/>
              <w:ind w:right="144"/>
              <w:spacing w:after="0" w:line="150" w:lineRule="exact"/>
              <w:rPr>
                <w:sz w:val="20"/>
                <w:szCs w:val="20"/>
                <w:color w:val="auto"/>
              </w:rPr>
            </w:pPr>
            <w:r>
              <w:rPr>
                <w:rFonts w:ascii="Arial" w:cs="Arial" w:eastAsia="Arial" w:hAnsi="Arial"/>
                <w:sz w:val="15"/>
                <w:szCs w:val="15"/>
                <w:color w:val="auto"/>
                <w:w w:val="94"/>
              </w:rPr>
              <w:t>Net</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5"/>
                <w:szCs w:val="15"/>
                <w:color w:val="auto"/>
                <w:w w:val="98"/>
              </w:rPr>
              <w:t>Carrying</w:t>
            </w:r>
          </w:p>
        </w:tc>
        <w:tc>
          <w:tcPr>
            <w:tcW w:w="2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5"/>
                <w:szCs w:val="15"/>
                <w:color w:val="auto"/>
                <w:w w:val="95"/>
              </w:rPr>
              <w:t>Carrying</w:t>
            </w: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24"/>
              <w:spacing w:after="0" w:line="149" w:lineRule="exact"/>
              <w:rPr>
                <w:sz w:val="20"/>
                <w:szCs w:val="20"/>
                <w:color w:val="auto"/>
              </w:rPr>
            </w:pPr>
            <w:r>
              <w:rPr>
                <w:rFonts w:ascii="Arial" w:cs="Arial" w:eastAsia="Arial" w:hAnsi="Arial"/>
                <w:sz w:val="15"/>
                <w:szCs w:val="15"/>
                <w:color w:val="auto"/>
                <w:w w:val="98"/>
              </w:rPr>
              <w:t>Carrying</w:t>
            </w:r>
          </w:p>
        </w:tc>
        <w:tc>
          <w:tcPr>
            <w:tcW w:w="0" w:type="dxa"/>
            <w:vAlign w:val="bottom"/>
          </w:tcPr>
          <w:p>
            <w:pPr>
              <w:spacing w:after="0"/>
              <w:rPr>
                <w:sz w:val="1"/>
                <w:szCs w:val="1"/>
                <w:color w:val="auto"/>
              </w:rPr>
            </w:pPr>
          </w:p>
        </w:tc>
      </w:tr>
      <w:tr>
        <w:trPr>
          <w:trHeight w:val="197"/>
        </w:trPr>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5"/>
                <w:szCs w:val="15"/>
                <w:color w:val="auto"/>
                <w:w w:val="93"/>
              </w:rPr>
              <w:t>Value</w:t>
            </w:r>
          </w:p>
        </w:tc>
        <w:tc>
          <w:tcPr>
            <w:tcW w:w="18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5"/>
                <w:szCs w:val="15"/>
                <w:color w:val="auto"/>
                <w:w w:val="98"/>
              </w:rPr>
              <w:t>Amortization</w:t>
            </w:r>
          </w:p>
        </w:tc>
        <w:tc>
          <w:tcPr>
            <w:tcW w:w="22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5"/>
                <w:szCs w:val="15"/>
                <w:color w:val="auto"/>
                <w:w w:val="93"/>
              </w:rPr>
              <w:t>Value</w:t>
            </w:r>
          </w:p>
        </w:tc>
        <w:tc>
          <w:tcPr>
            <w:tcW w:w="22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5"/>
                <w:szCs w:val="15"/>
                <w:color w:val="auto"/>
                <w:w w:val="93"/>
              </w:rPr>
              <w:t>Value</w:t>
            </w: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5"/>
                <w:szCs w:val="15"/>
                <w:color w:val="auto"/>
                <w:w w:val="98"/>
              </w:rPr>
              <w:t>Amortization</w:t>
            </w:r>
          </w:p>
        </w:tc>
        <w:tc>
          <w:tcPr>
            <w:tcW w:w="200" w:type="dxa"/>
            <w:vAlign w:val="bottom"/>
          </w:tcPr>
          <w:p>
            <w:pPr>
              <w:spacing w:after="0"/>
              <w:rPr>
                <w:sz w:val="17"/>
                <w:szCs w:val="17"/>
                <w:color w:val="auto"/>
              </w:rPr>
            </w:pPr>
          </w:p>
        </w:tc>
        <w:tc>
          <w:tcPr>
            <w:tcW w:w="1000" w:type="dxa"/>
            <w:vAlign w:val="bottom"/>
          </w:tcPr>
          <w:p>
            <w:pPr>
              <w:jc w:val="center"/>
              <w:ind w:right="124"/>
              <w:spacing w:after="0"/>
              <w:rPr>
                <w:sz w:val="20"/>
                <w:szCs w:val="20"/>
                <w:color w:val="auto"/>
              </w:rPr>
            </w:pPr>
            <w:r>
              <w:rPr>
                <w:rFonts w:ascii="Arial" w:cs="Arial" w:eastAsia="Arial" w:hAnsi="Arial"/>
                <w:sz w:val="15"/>
                <w:szCs w:val="15"/>
                <w:color w:val="auto"/>
                <w:w w:val="93"/>
              </w:rPr>
              <w:t>Value</w:t>
            </w:r>
          </w:p>
        </w:tc>
        <w:tc>
          <w:tcPr>
            <w:tcW w:w="0" w:type="dxa"/>
            <w:vAlign w:val="bottom"/>
          </w:tcPr>
          <w:p>
            <w:pPr>
              <w:spacing w:after="0"/>
              <w:rPr>
                <w:sz w:val="1"/>
                <w:szCs w:val="1"/>
                <w:color w:val="auto"/>
              </w:rPr>
            </w:pPr>
          </w:p>
        </w:tc>
      </w:tr>
      <w:tr>
        <w:trPr>
          <w:trHeight w:val="184"/>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Amortizable:</w:t>
            </w:r>
          </w:p>
        </w:tc>
        <w:tc>
          <w:tcPr>
            <w:tcW w:w="1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120"/>
              <w:spacing w:after="0"/>
              <w:rPr>
                <w:sz w:val="20"/>
                <w:szCs w:val="20"/>
                <w:color w:val="auto"/>
              </w:rPr>
            </w:pPr>
            <w:r>
              <w:rPr>
                <w:rFonts w:ascii="Arial" w:cs="Arial" w:eastAsia="Arial" w:hAnsi="Arial"/>
                <w:sz w:val="15"/>
                <w:szCs w:val="15"/>
                <w:color w:val="auto"/>
              </w:rPr>
              <w:t>Agent relationships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40,500</w:t>
            </w:r>
          </w:p>
        </w:tc>
        <w:tc>
          <w:tcPr>
            <w:tcW w:w="80" w:type="dxa"/>
            <w:vAlign w:val="bottom"/>
          </w:tcPr>
          <w:p>
            <w:pPr>
              <w:spacing w:after="0"/>
              <w:rPr>
                <w:sz w:val="16"/>
                <w:szCs w:val="16"/>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(32,915)</w:t>
            </w:r>
          </w:p>
        </w:tc>
        <w:tc>
          <w:tcPr>
            <w:tcW w:w="100" w:type="dxa"/>
            <w:vAlign w:val="bottom"/>
          </w:tcPr>
          <w:p>
            <w:pPr>
              <w:spacing w:after="0"/>
              <w:rPr>
                <w:sz w:val="16"/>
                <w:szCs w:val="16"/>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7,585</w:t>
            </w:r>
          </w:p>
        </w:tc>
        <w:tc>
          <w:tcPr>
            <w:tcW w:w="220" w:type="dxa"/>
            <w:vAlign w:val="bottom"/>
          </w:tcPr>
          <w:p>
            <w:pPr>
              <w:spacing w:after="0"/>
              <w:rPr>
                <w:sz w:val="16"/>
                <w:szCs w:val="16"/>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40,500</w:t>
            </w:r>
          </w:p>
        </w:tc>
        <w:tc>
          <w:tcPr>
            <w:tcW w:w="100" w:type="dxa"/>
            <w:vAlign w:val="bottom"/>
          </w:tcPr>
          <w:p>
            <w:pPr>
              <w:spacing w:after="0"/>
              <w:rPr>
                <w:sz w:val="16"/>
                <w:szCs w:val="16"/>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(29,759)</w:t>
            </w:r>
          </w:p>
        </w:tc>
        <w:tc>
          <w:tcPr>
            <w:tcW w:w="80" w:type="dxa"/>
            <w:vAlign w:val="bottom"/>
          </w:tcPr>
          <w:p>
            <w:pPr>
              <w:spacing w:after="0"/>
              <w:rPr>
                <w:sz w:val="16"/>
                <w:szCs w:val="16"/>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10,741</w:t>
            </w:r>
          </w:p>
        </w:tc>
        <w:tc>
          <w:tcPr>
            <w:tcW w:w="0" w:type="dxa"/>
            <w:vAlign w:val="bottom"/>
          </w:tcPr>
          <w:p>
            <w:pPr>
              <w:spacing w:after="0"/>
              <w:rPr>
                <w:sz w:val="1"/>
                <w:szCs w:val="1"/>
                <w:color w:val="auto"/>
              </w:rPr>
            </w:pPr>
          </w:p>
        </w:tc>
      </w:tr>
      <w:tr>
        <w:trPr>
          <w:trHeight w:val="195"/>
        </w:trPr>
        <w:tc>
          <w:tcPr>
            <w:tcW w:w="31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Trade name</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15,500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(9,404)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6,096</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(7,964)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7,536</w:t>
            </w:r>
          </w:p>
        </w:tc>
        <w:tc>
          <w:tcPr>
            <w:tcW w:w="0" w:type="dxa"/>
            <w:vAlign w:val="bottom"/>
          </w:tcPr>
          <w:p>
            <w:pPr>
              <w:spacing w:after="0"/>
              <w:rPr>
                <w:sz w:val="1"/>
                <w:szCs w:val="1"/>
                <w:color w:val="auto"/>
              </w:rPr>
            </w:pPr>
          </w:p>
        </w:tc>
      </w:tr>
      <w:tr>
        <w:trPr>
          <w:trHeight w:val="195"/>
        </w:trPr>
        <w:tc>
          <w:tcPr>
            <w:tcW w:w="3120" w:type="dxa"/>
            <w:vAlign w:val="bottom"/>
          </w:tcPr>
          <w:p>
            <w:pPr>
              <w:ind w:left="120"/>
              <w:spacing w:after="0"/>
              <w:rPr>
                <w:sz w:val="20"/>
                <w:szCs w:val="20"/>
                <w:color w:val="auto"/>
              </w:rPr>
            </w:pPr>
            <w:r>
              <w:rPr>
                <w:rFonts w:ascii="Arial" w:cs="Arial" w:eastAsia="Arial" w:hAnsi="Arial"/>
                <w:sz w:val="15"/>
                <w:szCs w:val="15"/>
                <w:color w:val="auto"/>
              </w:rPr>
              <w:t>Developed technology</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6,600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(5,690)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910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6,600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(5,234)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1,366</w:t>
            </w:r>
          </w:p>
        </w:tc>
        <w:tc>
          <w:tcPr>
            <w:tcW w:w="0" w:type="dxa"/>
            <w:vAlign w:val="bottom"/>
          </w:tcPr>
          <w:p>
            <w:pPr>
              <w:spacing w:after="0"/>
              <w:rPr>
                <w:sz w:val="1"/>
                <w:szCs w:val="1"/>
                <w:color w:val="auto"/>
              </w:rPr>
            </w:pPr>
          </w:p>
        </w:tc>
      </w:tr>
      <w:tr>
        <w:trPr>
          <w:trHeight w:val="195"/>
        </w:trPr>
        <w:tc>
          <w:tcPr>
            <w:tcW w:w="31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intangibles</w:t>
            </w: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1,279</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(478)</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801</w:t>
            </w:r>
          </w:p>
        </w:tc>
        <w:tc>
          <w:tcPr>
            <w:tcW w:w="2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(368)</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787</w:t>
            </w:r>
          </w:p>
        </w:tc>
        <w:tc>
          <w:tcPr>
            <w:tcW w:w="0" w:type="dxa"/>
            <w:vAlign w:val="bottom"/>
          </w:tcPr>
          <w:p>
            <w:pPr>
              <w:spacing w:after="0"/>
              <w:rPr>
                <w:sz w:val="1"/>
                <w:szCs w:val="1"/>
                <w:color w:val="auto"/>
              </w:rPr>
            </w:pPr>
          </w:p>
        </w:tc>
      </w:tr>
      <w:tr>
        <w:trPr>
          <w:trHeight w:val="186"/>
        </w:trPr>
        <w:tc>
          <w:tcPr>
            <w:tcW w:w="3120" w:type="dxa"/>
            <w:vAlign w:val="bottom"/>
          </w:tcPr>
          <w:p>
            <w:pPr>
              <w:ind w:left="280"/>
              <w:spacing w:after="0"/>
              <w:rPr>
                <w:sz w:val="20"/>
                <w:szCs w:val="20"/>
                <w:color w:val="auto"/>
              </w:rPr>
            </w:pPr>
            <w:r>
              <w:rPr>
                <w:rFonts w:ascii="Arial" w:cs="Arial" w:eastAsia="Arial" w:hAnsi="Arial"/>
                <w:sz w:val="15"/>
                <w:szCs w:val="15"/>
                <w:color w:val="auto"/>
              </w:rPr>
              <w:t>Net amortizable intangible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63,879</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(48,487)</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15,392</w:t>
            </w:r>
          </w:p>
        </w:tc>
        <w:tc>
          <w:tcPr>
            <w:tcW w:w="220" w:type="dxa"/>
            <w:vAlign w:val="bottom"/>
          </w:tcPr>
          <w:p>
            <w:pPr>
              <w:spacing w:after="0"/>
              <w:rPr>
                <w:sz w:val="16"/>
                <w:szCs w:val="16"/>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63,755</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(43,325)</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20,430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right="20"/>
        <w:spacing w:after="0" w:line="261" w:lineRule="auto"/>
        <w:rPr>
          <w:sz w:val="20"/>
          <w:szCs w:val="20"/>
          <w:color w:val="auto"/>
        </w:rPr>
      </w:pPr>
      <w:r>
        <w:rPr>
          <w:rFonts w:ascii="Arial" w:cs="Arial" w:eastAsia="Arial" w:hAnsi="Arial"/>
          <w:sz w:val="15"/>
          <w:szCs w:val="15"/>
          <w:color w:val="auto"/>
        </w:rPr>
        <w:t>Goodwill and the majority of intangible assets on the consolidated balance sheets of the Company were recognized from a prior acquisition. The fair value measurements were based on significant inputs, such as the Company’s forecasted revenues, assumed turnover of agent locations, obsolescence assumptions for technology, market discount and royalty rates. These inputs are based on information not observable in the market and represent Level 3 measurements within the fair value hierarchy. Trade name refers to the Intermex name, branded on all agent locations and well recognized in the market. This fair value was determined using the relief-from-royalty method, which is based on the Company’s expected revenues and a royalty rate estimated using comparable market data. The Company determined it was appropriate to assign a finite useful life of 15 years to the trade name to provide better matching of the amortization expense during the period of expected benefits.</w:t>
      </w:r>
    </w:p>
    <w:p>
      <w:pPr>
        <w:spacing w:after="0" w:line="182"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The agent relationships intangible represents the network of independent sending agents. This intangible was valued using the excess earnings method, which was based on the Company’s forecasts and historical activity at agent locations in order to develop a turnover rate and expected useful life. Assuming a year-over-year location turnover rate of 17.4%, this resulted in an expected useful life for this intangible of 15 years. Developed technology includes the state-of-the-art system that the Company has continued to develop and improve upon over the past 20 years. This intangible was valued using the relief-from-royalty method based on the Company’s forecasted revenues, a royalty rate estimated using comparable market data, an expected obsolescence rate of 18.0% and an estimated useful life of 15 years. Other intangibles primarily relate to the acquisition of Company-operated stores, which are amortized on a straight-line basis over 10 years. The net book value of these intangibles was $0.8 million at both December 31, 2021 and 2020.</w:t>
      </w:r>
    </w:p>
    <w:p>
      <w:pPr>
        <w:spacing w:after="0" w:line="169"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Management believes it has made reasonable estimates and judgments concerning these risks and uncertainties. A change in the conditions, circumstances or strategy of the Company may result in a need to recognize an impairment charge.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60" w:name="page61"/>
    <w:bookmarkEnd w:id="60"/>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As a result of the annual impairment tests, the Company determined that goodwill was not impaired as of December 31, 2021 and 2020.</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the changes in goodwill and intangible assets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Goodwill</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Intangible Assets</w:t>
            </w:r>
          </w:p>
        </w:tc>
        <w:tc>
          <w:tcPr>
            <w:tcW w:w="0" w:type="dxa"/>
            <w:vAlign w:val="bottom"/>
          </w:tcPr>
          <w:p>
            <w:pPr>
              <w:spacing w:after="0"/>
              <w:rPr>
                <w:sz w:val="1"/>
                <w:szCs w:val="1"/>
                <w:color w:val="auto"/>
              </w:rPr>
            </w:pPr>
          </w:p>
        </w:tc>
      </w:tr>
      <w:tr>
        <w:trPr>
          <w:trHeight w:val="220"/>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Balance at December 31, 2018</w:t>
            </w:r>
          </w:p>
        </w:tc>
        <w:tc>
          <w:tcPr>
            <w:tcW w:w="1180" w:type="dxa"/>
            <w:vAlign w:val="bottom"/>
            <w:tcBorders>
              <w:bottom w:val="single" w:sz="8" w:color="auto"/>
            </w:tcBorders>
            <w:shd w:val="clear" w:color="auto" w:fill="CCEEFF"/>
          </w:tcPr>
          <w:p>
            <w:pPr>
              <w:jc w:val="right"/>
              <w:ind w:right="1024"/>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36,260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36,395</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Acquisition of agent locations</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32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gridSpan w:val="2"/>
          </w:tcPr>
          <w:p>
            <w:pPr>
              <w:jc w:val="right"/>
              <w:ind w:right="160"/>
              <w:spacing w:after="0" w:line="161"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1500" w:type="dxa"/>
            <w:vAlign w:val="bottom"/>
          </w:tcPr>
          <w:p>
            <w:pPr>
              <w:jc w:val="right"/>
              <w:spacing w:after="0" w:line="161" w:lineRule="exact"/>
              <w:rPr>
                <w:sz w:val="20"/>
                <w:szCs w:val="20"/>
                <w:color w:val="auto"/>
              </w:rPr>
            </w:pPr>
            <w:r>
              <w:rPr>
                <w:rFonts w:ascii="Arial" w:cs="Arial" w:eastAsia="Arial" w:hAnsi="Arial"/>
                <w:sz w:val="15"/>
                <w:szCs w:val="15"/>
                <w:color w:val="auto"/>
              </w:rPr>
              <w:t>335</w:t>
            </w:r>
          </w:p>
        </w:tc>
        <w:tc>
          <w:tcPr>
            <w:tcW w:w="0" w:type="dxa"/>
            <w:vAlign w:val="bottom"/>
          </w:tcPr>
          <w:p>
            <w:pPr>
              <w:spacing w:after="0"/>
              <w:rPr>
                <w:sz w:val="1"/>
                <w:szCs w:val="1"/>
                <w:color w:val="auto"/>
              </w:rPr>
            </w:pPr>
          </w:p>
        </w:tc>
      </w:tr>
      <w:tr>
        <w:trPr>
          <w:trHeight w:val="215"/>
        </w:trPr>
        <w:tc>
          <w:tcPr>
            <w:tcW w:w="6320" w:type="dxa"/>
            <w:vAlign w:val="bottom"/>
            <w:shd w:val="clear" w:color="auto" w:fill="CCEEFF"/>
          </w:tcPr>
          <w:p>
            <w:pPr>
              <w:spacing w:after="0"/>
              <w:rPr>
                <w:sz w:val="20"/>
                <w:szCs w:val="20"/>
                <w:color w:val="auto"/>
              </w:rPr>
            </w:pPr>
            <w:r>
              <w:rPr>
                <w:rFonts w:ascii="Arial" w:cs="Arial" w:eastAsia="Arial" w:hAnsi="Arial"/>
                <w:sz w:val="15"/>
                <w:szCs w:val="15"/>
                <w:color w:val="auto"/>
              </w:rPr>
              <w:t>Amortization expense</w:t>
            </w:r>
          </w:p>
        </w:tc>
        <w:tc>
          <w:tcPr>
            <w:tcW w:w="1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(9,349)</w:t>
            </w:r>
          </w:p>
        </w:tc>
        <w:tc>
          <w:tcPr>
            <w:tcW w:w="0" w:type="dxa"/>
            <w:vAlign w:val="bottom"/>
          </w:tcPr>
          <w:p>
            <w:pPr>
              <w:spacing w:after="0"/>
              <w:rPr>
                <w:sz w:val="1"/>
                <w:szCs w:val="1"/>
                <w:color w:val="auto"/>
              </w:rPr>
            </w:pPr>
          </w:p>
        </w:tc>
      </w:tr>
      <w:tr>
        <w:trPr>
          <w:trHeight w:val="178"/>
        </w:trPr>
        <w:tc>
          <w:tcPr>
            <w:tcW w:w="6320" w:type="dxa"/>
            <w:vAlign w:val="bottom"/>
            <w:tcBorders>
              <w:top w:val="single" w:sz="8" w:color="CCEEFF"/>
            </w:tcBorders>
          </w:tcPr>
          <w:p>
            <w:pPr>
              <w:spacing w:after="0"/>
              <w:rPr>
                <w:sz w:val="20"/>
                <w:szCs w:val="20"/>
                <w:color w:val="auto"/>
              </w:rPr>
            </w:pPr>
            <w:r>
              <w:rPr>
                <w:rFonts w:ascii="Arial" w:cs="Arial" w:eastAsia="Arial" w:hAnsi="Arial"/>
                <w:sz w:val="15"/>
                <w:szCs w:val="15"/>
                <w:color w:val="auto"/>
              </w:rPr>
              <w:t>Balance at December 31, 2019</w:t>
            </w:r>
          </w:p>
        </w:tc>
        <w:tc>
          <w:tcPr>
            <w:tcW w:w="1180" w:type="dxa"/>
            <w:vAlign w:val="bottom"/>
            <w:tcBorders>
              <w:top w:val="single" w:sz="8" w:color="auto"/>
            </w:tcBorders>
          </w:tcPr>
          <w:p>
            <w:pPr>
              <w:jc w:val="right"/>
              <w:ind w:right="1024"/>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36,260</w:t>
            </w: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27,381</w:t>
            </w:r>
          </w:p>
        </w:tc>
        <w:tc>
          <w:tcPr>
            <w:tcW w:w="0" w:type="dxa"/>
            <w:vAlign w:val="bottom"/>
          </w:tcPr>
          <w:p>
            <w:pPr>
              <w:spacing w:after="0"/>
              <w:rPr>
                <w:sz w:val="1"/>
                <w:szCs w:val="1"/>
                <w:color w:val="auto"/>
              </w:rPr>
            </w:pPr>
          </w:p>
        </w:tc>
      </w:tr>
      <w:tr>
        <w:trPr>
          <w:trHeight w:val="215"/>
        </w:trPr>
        <w:tc>
          <w:tcPr>
            <w:tcW w:w="6320" w:type="dxa"/>
            <w:vAlign w:val="bottom"/>
            <w:shd w:val="clear" w:color="auto" w:fill="CCEEFF"/>
          </w:tcPr>
          <w:p>
            <w:pPr>
              <w:spacing w:after="0"/>
              <w:rPr>
                <w:sz w:val="20"/>
                <w:szCs w:val="20"/>
                <w:color w:val="auto"/>
              </w:rPr>
            </w:pPr>
            <w:r>
              <w:rPr>
                <w:rFonts w:ascii="Arial" w:cs="Arial" w:eastAsia="Arial" w:hAnsi="Arial"/>
                <w:sz w:val="15"/>
                <w:szCs w:val="15"/>
                <w:color w:val="auto"/>
              </w:rPr>
              <w:t>Amortization expense</w:t>
            </w:r>
          </w:p>
        </w:tc>
        <w:tc>
          <w:tcPr>
            <w:tcW w:w="1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(6,951)</w:t>
            </w:r>
          </w:p>
        </w:tc>
        <w:tc>
          <w:tcPr>
            <w:tcW w:w="0" w:type="dxa"/>
            <w:vAlign w:val="bottom"/>
          </w:tcPr>
          <w:p>
            <w:pPr>
              <w:spacing w:after="0"/>
              <w:rPr>
                <w:sz w:val="1"/>
                <w:szCs w:val="1"/>
                <w:color w:val="auto"/>
              </w:rPr>
            </w:pPr>
          </w:p>
        </w:tc>
      </w:tr>
      <w:tr>
        <w:trPr>
          <w:trHeight w:val="178"/>
        </w:trPr>
        <w:tc>
          <w:tcPr>
            <w:tcW w:w="6320" w:type="dxa"/>
            <w:vAlign w:val="bottom"/>
            <w:tcBorders>
              <w:top w:val="single" w:sz="8" w:color="CCEEFF"/>
            </w:tcBorders>
          </w:tcPr>
          <w:p>
            <w:pPr>
              <w:spacing w:after="0"/>
              <w:rPr>
                <w:sz w:val="20"/>
                <w:szCs w:val="20"/>
                <w:color w:val="auto"/>
              </w:rPr>
            </w:pPr>
            <w:r>
              <w:rPr>
                <w:rFonts w:ascii="Arial" w:cs="Arial" w:eastAsia="Arial" w:hAnsi="Arial"/>
                <w:sz w:val="15"/>
                <w:szCs w:val="15"/>
                <w:color w:val="auto"/>
              </w:rPr>
              <w:t>Balance at December 31, 2020</w:t>
            </w:r>
          </w:p>
        </w:tc>
        <w:tc>
          <w:tcPr>
            <w:tcW w:w="1180" w:type="dxa"/>
            <w:vAlign w:val="bottom"/>
            <w:tcBorders>
              <w:top w:val="single" w:sz="8" w:color="auto"/>
            </w:tcBorders>
          </w:tcPr>
          <w:p>
            <w:pPr>
              <w:jc w:val="right"/>
              <w:ind w:right="1024"/>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36,260</w:t>
            </w: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20,430</w:t>
            </w:r>
          </w:p>
        </w:tc>
        <w:tc>
          <w:tcPr>
            <w:tcW w:w="0" w:type="dxa"/>
            <w:vAlign w:val="bottom"/>
          </w:tcPr>
          <w:p>
            <w:pPr>
              <w:spacing w:after="0"/>
              <w:rPr>
                <w:sz w:val="1"/>
                <w:szCs w:val="1"/>
                <w:color w:val="auto"/>
              </w:rPr>
            </w:pPr>
          </w:p>
        </w:tc>
      </w:tr>
      <w:tr>
        <w:trPr>
          <w:trHeight w:val="195"/>
        </w:trPr>
        <w:tc>
          <w:tcPr>
            <w:tcW w:w="6320" w:type="dxa"/>
            <w:vAlign w:val="bottom"/>
            <w:shd w:val="clear" w:color="auto" w:fill="CCEEFF"/>
          </w:tcPr>
          <w:p>
            <w:pPr>
              <w:spacing w:after="0"/>
              <w:rPr>
                <w:sz w:val="20"/>
                <w:szCs w:val="20"/>
                <w:color w:val="auto"/>
              </w:rPr>
            </w:pPr>
            <w:r>
              <w:rPr>
                <w:rFonts w:ascii="Arial" w:cs="Arial" w:eastAsia="Arial" w:hAnsi="Arial"/>
                <w:sz w:val="15"/>
                <w:szCs w:val="15"/>
                <w:color w:val="auto"/>
              </w:rPr>
              <w:t>Acquisition of agent locations</w:t>
            </w:r>
          </w:p>
        </w:tc>
        <w:tc>
          <w:tcPr>
            <w:tcW w:w="1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w:t>
            </w:r>
          </w:p>
        </w:tc>
        <w:tc>
          <w:tcPr>
            <w:tcW w:w="0" w:type="dxa"/>
            <w:vAlign w:val="bottom"/>
          </w:tcPr>
          <w:p>
            <w:pPr>
              <w:spacing w:after="0"/>
              <w:rPr>
                <w:sz w:val="1"/>
                <w:szCs w:val="1"/>
                <w:color w:val="auto"/>
              </w:rPr>
            </w:pPr>
          </w:p>
        </w:tc>
      </w:tr>
      <w:tr>
        <w:trPr>
          <w:trHeight w:val="198"/>
        </w:trPr>
        <w:tc>
          <w:tcPr>
            <w:tcW w:w="6320" w:type="dxa"/>
            <w:vAlign w:val="bottom"/>
          </w:tcPr>
          <w:p>
            <w:pPr>
              <w:spacing w:after="0"/>
              <w:rPr>
                <w:sz w:val="20"/>
                <w:szCs w:val="20"/>
                <w:color w:val="auto"/>
              </w:rPr>
            </w:pPr>
            <w:r>
              <w:rPr>
                <w:rFonts w:ascii="Arial" w:cs="Arial" w:eastAsia="Arial" w:hAnsi="Arial"/>
                <w:sz w:val="15"/>
                <w:szCs w:val="15"/>
                <w:color w:val="auto"/>
              </w:rPr>
              <w:t>Amortization expense</w:t>
            </w:r>
          </w:p>
        </w:tc>
        <w:tc>
          <w:tcPr>
            <w:tcW w:w="118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(5,162)</w:t>
            </w:r>
          </w:p>
        </w:tc>
        <w:tc>
          <w:tcPr>
            <w:tcW w:w="0" w:type="dxa"/>
            <w:vAlign w:val="bottom"/>
          </w:tcPr>
          <w:p>
            <w:pPr>
              <w:spacing w:after="0"/>
              <w:rPr>
                <w:sz w:val="1"/>
                <w:szCs w:val="1"/>
                <w:color w:val="auto"/>
              </w:rPr>
            </w:pPr>
          </w:p>
        </w:tc>
      </w:tr>
      <w:tr>
        <w:trPr>
          <w:trHeight w:val="220"/>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Balance at December 31, 2021</w:t>
            </w:r>
          </w:p>
        </w:tc>
        <w:tc>
          <w:tcPr>
            <w:tcW w:w="1180" w:type="dxa"/>
            <w:vAlign w:val="bottom"/>
            <w:tcBorders>
              <w:top w:val="single" w:sz="8" w:color="auto"/>
              <w:bottom w:val="single" w:sz="8" w:color="auto"/>
            </w:tcBorders>
            <w:shd w:val="clear" w:color="auto" w:fill="CCEEFF"/>
          </w:tcPr>
          <w:p>
            <w:pPr>
              <w:jc w:val="right"/>
              <w:ind w:right="1024"/>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36,260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15,392</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auto"/>
        </w:rPr>
        <w:t>Amortization expense related to intangible assets for the next five years and thereafter is as follows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20" w:type="dxa"/>
            <w:vAlign w:val="bottom"/>
            <w:shd w:val="clear" w:color="auto" w:fill="CCEEFF"/>
          </w:tcPr>
          <w:p>
            <w:pPr>
              <w:spacing w:after="0"/>
              <w:rPr>
                <w:sz w:val="20"/>
                <w:szCs w:val="20"/>
                <w:color w:val="auto"/>
              </w:rPr>
            </w:pPr>
            <w:r>
              <w:rPr>
                <w:rFonts w:ascii="Arial" w:cs="Arial" w:eastAsia="Arial" w:hAnsi="Arial"/>
                <w:sz w:val="15"/>
                <w:szCs w:val="15"/>
                <w:color w:val="auto"/>
              </w:rPr>
              <w:t>2022</w:t>
            </w: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4,010</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320" w:type="dxa"/>
            <w:vAlign w:val="bottom"/>
          </w:tcPr>
          <w:p>
            <w:pPr>
              <w:spacing w:after="0"/>
              <w:rPr>
                <w:sz w:val="20"/>
                <w:szCs w:val="20"/>
                <w:color w:val="auto"/>
              </w:rPr>
            </w:pPr>
            <w:r>
              <w:rPr>
                <w:rFonts w:ascii="Arial" w:cs="Arial" w:eastAsia="Arial" w:hAnsi="Arial"/>
                <w:sz w:val="15"/>
                <w:szCs w:val="15"/>
                <w:color w:val="auto"/>
              </w:rPr>
              <w:t>2023</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3,002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320" w:type="dxa"/>
            <w:vAlign w:val="bottom"/>
            <w:shd w:val="clear" w:color="auto" w:fill="CCEEFF"/>
          </w:tcPr>
          <w:p>
            <w:pPr>
              <w:spacing w:after="0"/>
              <w:rPr>
                <w:sz w:val="20"/>
                <w:szCs w:val="20"/>
                <w:color w:val="auto"/>
              </w:rPr>
            </w:pPr>
            <w:r>
              <w:rPr>
                <w:rFonts w:ascii="Arial" w:cs="Arial" w:eastAsia="Arial" w:hAnsi="Arial"/>
                <w:sz w:val="15"/>
                <w:szCs w:val="15"/>
                <w:color w:val="auto"/>
              </w:rPr>
              <w:t>2024</w:t>
            </w: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2,282</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320" w:type="dxa"/>
            <w:vAlign w:val="bottom"/>
          </w:tcPr>
          <w:p>
            <w:pPr>
              <w:spacing w:after="0"/>
              <w:rPr>
                <w:sz w:val="20"/>
                <w:szCs w:val="20"/>
                <w:color w:val="auto"/>
              </w:rPr>
            </w:pPr>
            <w:r>
              <w:rPr>
                <w:rFonts w:ascii="Arial" w:cs="Arial" w:eastAsia="Arial" w:hAnsi="Arial"/>
                <w:sz w:val="15"/>
                <w:szCs w:val="15"/>
                <w:color w:val="auto"/>
              </w:rPr>
              <w:t>2025</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1,730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320" w:type="dxa"/>
            <w:vAlign w:val="bottom"/>
            <w:shd w:val="clear" w:color="auto" w:fill="CCEEFF"/>
          </w:tcPr>
          <w:p>
            <w:pPr>
              <w:spacing w:after="0"/>
              <w:rPr>
                <w:sz w:val="20"/>
                <w:szCs w:val="20"/>
                <w:color w:val="auto"/>
              </w:rPr>
            </w:pPr>
            <w:r>
              <w:rPr>
                <w:rFonts w:ascii="Arial" w:cs="Arial" w:eastAsia="Arial" w:hAnsi="Arial"/>
                <w:sz w:val="15"/>
                <w:szCs w:val="15"/>
                <w:color w:val="auto"/>
              </w:rPr>
              <w:t>2026</w:t>
            </w: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1,310</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3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Thereafter</w:t>
            </w:r>
          </w:p>
        </w:tc>
        <w:tc>
          <w:tcPr>
            <w:tcW w:w="400" w:type="dxa"/>
            <w:vAlign w:val="bottom"/>
            <w:tcBorders>
              <w:bottom w:val="single" w:sz="8" w:color="CCEEFF"/>
            </w:tcBorders>
          </w:tcPr>
          <w:p>
            <w:pPr>
              <w:spacing w:after="0"/>
              <w:rPr>
                <w:sz w:val="17"/>
                <w:szCs w:val="17"/>
                <w:color w:val="auto"/>
              </w:rPr>
            </w:pPr>
          </w:p>
        </w:tc>
        <w:tc>
          <w:tcPr>
            <w:tcW w:w="13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3,058</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3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64"/>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15,392</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NOTE 8 – WIRE TRANSFERS AND MONEY ORDERS PAYABLE, NET</w:t>
            </w:r>
          </w:p>
        </w:tc>
        <w:tc>
          <w:tcPr>
            <w:tcW w:w="4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63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6320" w:type="dxa"/>
            <w:vAlign w:val="bottom"/>
          </w:tcPr>
          <w:p>
            <w:pPr>
              <w:spacing w:after="0"/>
              <w:rPr>
                <w:sz w:val="20"/>
                <w:szCs w:val="20"/>
                <w:color w:val="auto"/>
              </w:rPr>
            </w:pPr>
            <w:r>
              <w:rPr>
                <w:rFonts w:ascii="Arial" w:cs="Arial" w:eastAsia="Arial" w:hAnsi="Arial"/>
                <w:sz w:val="15"/>
                <w:szCs w:val="15"/>
                <w:color w:val="auto"/>
              </w:rPr>
              <w:t>Wire transfers and money orders payable, net, consisted of the following (in thousands):</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3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104"/>
              <w:spacing w:after="0"/>
              <w:rPr>
                <w:sz w:val="20"/>
                <w:szCs w:val="20"/>
                <w:color w:val="auto"/>
              </w:rPr>
            </w:pPr>
            <w:r>
              <w:rPr>
                <w:rFonts w:ascii="Arial" w:cs="Arial" w:eastAsia="Arial" w:hAnsi="Arial"/>
                <w:sz w:val="15"/>
                <w:szCs w:val="15"/>
                <w:color w:val="auto"/>
              </w:rPr>
              <w:t>December 31,</w:t>
            </w: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3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4"/>
              <w:spacing w:after="0"/>
              <w:rPr>
                <w:sz w:val="20"/>
                <w:szCs w:val="20"/>
                <w:color w:val="auto"/>
              </w:rPr>
            </w:pPr>
            <w:r>
              <w:rPr>
                <w:rFonts w:ascii="Arial" w:cs="Arial" w:eastAsia="Arial" w:hAnsi="Arial"/>
                <w:sz w:val="15"/>
                <w:szCs w:val="15"/>
                <w:color w:val="auto"/>
              </w:rPr>
              <w:t>2021</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320" w:type="dxa"/>
            <w:vAlign w:val="bottom"/>
            <w:shd w:val="clear" w:color="auto" w:fill="CCEEFF"/>
          </w:tcPr>
          <w:p>
            <w:pPr>
              <w:spacing w:after="0"/>
              <w:rPr>
                <w:sz w:val="20"/>
                <w:szCs w:val="20"/>
                <w:color w:val="auto"/>
              </w:rPr>
            </w:pPr>
            <w:r>
              <w:rPr>
                <w:rFonts w:ascii="Arial" w:cs="Arial" w:eastAsia="Arial" w:hAnsi="Arial"/>
                <w:sz w:val="15"/>
                <w:szCs w:val="15"/>
                <w:color w:val="auto"/>
              </w:rPr>
              <w:t>Wire transfers payable, net</w:t>
            </w: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20,744</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320" w:type="dxa"/>
            <w:vAlign w:val="bottom"/>
          </w:tcPr>
          <w:p>
            <w:pPr>
              <w:spacing w:after="0"/>
              <w:rPr>
                <w:sz w:val="20"/>
                <w:szCs w:val="20"/>
                <w:color w:val="auto"/>
              </w:rPr>
            </w:pPr>
            <w:r>
              <w:rPr>
                <w:rFonts w:ascii="Arial" w:cs="Arial" w:eastAsia="Arial" w:hAnsi="Arial"/>
                <w:sz w:val="15"/>
                <w:szCs w:val="15"/>
                <w:color w:val="auto"/>
              </w:rPr>
              <w:t>Customer voided wires payable</w:t>
            </w:r>
          </w:p>
        </w:tc>
        <w:tc>
          <w:tcPr>
            <w:tcW w:w="4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16,895</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13,374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Money orders payable</w:t>
            </w:r>
          </w:p>
        </w:tc>
        <w:tc>
          <w:tcPr>
            <w:tcW w:w="4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18,427</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320" w:type="dxa"/>
            <w:vAlign w:val="bottom"/>
          </w:tcPr>
          <w:p>
            <w:pPr>
              <w:spacing w:after="0"/>
              <w:rPr>
                <w:sz w:val="16"/>
                <w:szCs w:val="16"/>
                <w:color w:val="auto"/>
              </w:rPr>
            </w:pPr>
          </w:p>
        </w:tc>
        <w:tc>
          <w:tcPr>
            <w:tcW w:w="4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56,066</w:t>
            </w:r>
          </w:p>
        </w:tc>
        <w:tc>
          <w:tcPr>
            <w:tcW w:w="80" w:type="dxa"/>
            <w:vAlign w:val="bottom"/>
          </w:tcPr>
          <w:p>
            <w:pPr>
              <w:spacing w:after="0"/>
              <w:rPr>
                <w:sz w:val="16"/>
                <w:szCs w:val="16"/>
                <w:color w:val="auto"/>
              </w:rPr>
            </w:pPr>
          </w:p>
        </w:tc>
        <w:tc>
          <w:tcPr>
            <w:tcW w:w="54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41,746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Customer voided wires payable consist primarily of wire transfers that were not completed because the recipient did not collect the funds within 30 days and the sender has not claimed the funds and, therefore, are considered unclaimed property. Unclaimed property laws of each state in the United States in which we operate, the District of Columbia, and Puerto Rico require us to track certain information for all of our money remittances and payment instruments and, if the funds underlying such remittances and instruments are unclaimed at the end of an applicable statutory abandonment period, require us to remit the proceeds of the unclaimed property to the appropriate jurisdiction. Applicable statutory abandonment periods range from three to seven years.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61" w:name="page62"/>
    <w:bookmarkEnd w:id="61"/>
    <w:tbl>
      <w:tblPr>
        <w:tblLayout w:type="fixed"/>
        <w:tblInd w:w="8" w:type="dxa"/>
        <w:tblCellMar>
          <w:top w:w="0" w:type="dxa"/>
          <w:left w:w="0" w:type="dxa"/>
          <w:bottom w:w="0" w:type="dxa"/>
          <w:right w:w="0" w:type="dxa"/>
        </w:tblCellMar>
      </w:tblPr>
      <w:tr>
        <w:trPr>
          <w:trHeight w:val="172"/>
        </w:trPr>
        <w:tc>
          <w:tcPr>
            <w:tcW w:w="340" w:type="dxa"/>
            <w:vAlign w:val="bottom"/>
            <w:tcBorders>
              <w:bottom w:val="single" w:sz="8" w:color="0000FF"/>
            </w:tcBorders>
          </w:tcPr>
          <w:p>
            <w:pPr>
              <w:spacing w:after="0"/>
              <w:rPr>
                <w:rFonts w:ascii="Arial" w:cs="Arial" w:eastAsia="Arial" w:hAnsi="Arial"/>
                <w:sz w:val="15"/>
                <w:szCs w:val="15"/>
                <w:i w:val="1"/>
                <w:iCs w:val="1"/>
                <w:color w:val="0000FF"/>
                <w:w w:val="87"/>
              </w:rPr>
            </w:pPr>
            <w:hyperlink w:anchor="page1">
              <w:r>
                <w:rPr>
                  <w:rFonts w:ascii="Arial" w:cs="Arial" w:eastAsia="Arial" w:hAnsi="Arial"/>
                  <w:sz w:val="15"/>
                  <w:szCs w:val="15"/>
                  <w:i w:val="1"/>
                  <w:iCs w:val="1"/>
                  <w:color w:val="0000FF"/>
                  <w:w w:val="87"/>
                </w:rPr>
                <w:t>Index</w:t>
              </w:r>
            </w:hyperlink>
          </w:p>
        </w:tc>
        <w:tc>
          <w:tcPr>
            <w:tcW w:w="5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427"/>
        </w:trPr>
        <w:tc>
          <w:tcPr>
            <w:tcW w:w="6320" w:type="dxa"/>
            <w:vAlign w:val="bottom"/>
            <w:gridSpan w:val="2"/>
          </w:tcPr>
          <w:p>
            <w:pPr>
              <w:spacing w:after="0"/>
              <w:rPr>
                <w:sz w:val="20"/>
                <w:szCs w:val="20"/>
                <w:color w:val="auto"/>
              </w:rPr>
            </w:pPr>
            <w:r>
              <w:rPr>
                <w:rFonts w:ascii="Arial" w:cs="Arial" w:eastAsia="Arial" w:hAnsi="Arial"/>
                <w:sz w:val="15"/>
                <w:szCs w:val="15"/>
                <w:color w:val="auto"/>
              </w:rPr>
              <w:t>NOTE 9 – ACCRUED AND OTHER LIABILITIES</w:t>
            </w: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67"/>
        </w:trPr>
        <w:tc>
          <w:tcPr>
            <w:tcW w:w="6320" w:type="dxa"/>
            <w:vAlign w:val="bottom"/>
            <w:gridSpan w:val="2"/>
          </w:tcPr>
          <w:p>
            <w:pPr>
              <w:spacing w:after="0"/>
              <w:rPr>
                <w:sz w:val="20"/>
                <w:szCs w:val="20"/>
                <w:color w:val="auto"/>
              </w:rPr>
            </w:pPr>
            <w:r>
              <w:rPr>
                <w:rFonts w:ascii="Arial" w:cs="Arial" w:eastAsia="Arial" w:hAnsi="Arial"/>
                <w:sz w:val="15"/>
                <w:szCs w:val="15"/>
                <w:color w:val="auto"/>
              </w:rPr>
              <w:t>Accrued and other liabilities consisted of the following (in thousands):</w:t>
            </w: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27"/>
        </w:trPr>
        <w:tc>
          <w:tcPr>
            <w:tcW w:w="3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5"/>
                <w:szCs w:val="15"/>
                <w:color w:val="auto"/>
              </w:rPr>
              <w:t>December 31,</w:t>
            </w:r>
          </w:p>
        </w:tc>
        <w:tc>
          <w:tcPr>
            <w:tcW w:w="1160" w:type="dxa"/>
            <w:vAlign w:val="bottom"/>
            <w:tcBorders>
              <w:bottom w:val="single" w:sz="8" w:color="auto"/>
            </w:tcBorders>
          </w:tcPr>
          <w:p>
            <w:pPr>
              <w:spacing w:after="0"/>
              <w:rPr>
                <w:sz w:val="24"/>
                <w:szCs w:val="24"/>
                <w:color w:val="auto"/>
              </w:rPr>
            </w:pPr>
          </w:p>
        </w:tc>
      </w:tr>
      <w:tr>
        <w:trPr>
          <w:trHeight w:val="198"/>
        </w:trPr>
        <w:tc>
          <w:tcPr>
            <w:tcW w:w="34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2021</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color w:val="auto"/>
              </w:rPr>
              <w:t>2020</w:t>
            </w:r>
          </w:p>
        </w:tc>
      </w:tr>
      <w:tr>
        <w:trPr>
          <w:trHeight w:val="195"/>
        </w:trPr>
        <w:tc>
          <w:tcPr>
            <w:tcW w:w="6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Commissions payable to sending agents</w:t>
            </w:r>
          </w:p>
        </w:tc>
        <w:tc>
          <w:tcPr>
            <w:tcW w:w="1100" w:type="dxa"/>
            <w:vAlign w:val="bottom"/>
            <w:shd w:val="clear" w:color="auto" w:fill="CCEEFF"/>
          </w:tcPr>
          <w:p>
            <w:pPr>
              <w:jc w:val="right"/>
              <w:ind w:right="94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16,303</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12,500</w:t>
            </w:r>
          </w:p>
        </w:tc>
      </w:tr>
      <w:tr>
        <w:trPr>
          <w:trHeight w:val="195"/>
        </w:trPr>
        <w:tc>
          <w:tcPr>
            <w:tcW w:w="6320" w:type="dxa"/>
            <w:vAlign w:val="bottom"/>
            <w:gridSpan w:val="2"/>
          </w:tcPr>
          <w:p>
            <w:pPr>
              <w:spacing w:after="0"/>
              <w:rPr>
                <w:sz w:val="20"/>
                <w:szCs w:val="20"/>
                <w:color w:val="auto"/>
              </w:rPr>
            </w:pPr>
            <w:r>
              <w:rPr>
                <w:rFonts w:ascii="Arial" w:cs="Arial" w:eastAsia="Arial" w:hAnsi="Arial"/>
                <w:sz w:val="15"/>
                <w:szCs w:val="15"/>
                <w:color w:val="auto"/>
              </w:rPr>
              <w:t>Accrued salaries and benefits</w:t>
            </w:r>
          </w:p>
        </w:tc>
        <w:tc>
          <w:tcPr>
            <w:tcW w:w="1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4,892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2,957</w:t>
            </w:r>
          </w:p>
        </w:tc>
      </w:tr>
      <w:tr>
        <w:trPr>
          <w:trHeight w:val="195"/>
        </w:trPr>
        <w:tc>
          <w:tcPr>
            <w:tcW w:w="6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Accrued bank charges</w:t>
            </w:r>
          </w:p>
        </w:tc>
        <w:tc>
          <w:tcPr>
            <w:tcW w:w="1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1,371</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1,170</w:t>
            </w:r>
          </w:p>
        </w:tc>
      </w:tr>
      <w:tr>
        <w:trPr>
          <w:trHeight w:val="195"/>
        </w:trPr>
        <w:tc>
          <w:tcPr>
            <w:tcW w:w="6320" w:type="dxa"/>
            <w:vAlign w:val="bottom"/>
            <w:gridSpan w:val="2"/>
          </w:tcPr>
          <w:p>
            <w:pPr>
              <w:spacing w:after="0"/>
              <w:rPr>
                <w:sz w:val="20"/>
                <w:szCs w:val="20"/>
                <w:color w:val="auto"/>
              </w:rPr>
            </w:pPr>
            <w:r>
              <w:rPr>
                <w:rFonts w:ascii="Arial" w:cs="Arial" w:eastAsia="Arial" w:hAnsi="Arial"/>
                <w:sz w:val="15"/>
                <w:szCs w:val="15"/>
                <w:color w:val="auto"/>
              </w:rPr>
              <w:t>Accrued legal fees</w:t>
            </w:r>
          </w:p>
        </w:tc>
        <w:tc>
          <w:tcPr>
            <w:tcW w:w="1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422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75</w:t>
            </w:r>
          </w:p>
        </w:tc>
      </w:tr>
      <w:tr>
        <w:trPr>
          <w:trHeight w:val="195"/>
        </w:trPr>
        <w:tc>
          <w:tcPr>
            <w:tcW w:w="6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Accrued other professional fees</w:t>
            </w:r>
          </w:p>
        </w:tc>
        <w:tc>
          <w:tcPr>
            <w:tcW w:w="1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1,619</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826</w:t>
            </w:r>
          </w:p>
        </w:tc>
      </w:tr>
      <w:tr>
        <w:trPr>
          <w:trHeight w:val="195"/>
        </w:trPr>
        <w:tc>
          <w:tcPr>
            <w:tcW w:w="6320" w:type="dxa"/>
            <w:vAlign w:val="bottom"/>
            <w:gridSpan w:val="2"/>
          </w:tcPr>
          <w:p>
            <w:pPr>
              <w:spacing w:after="0"/>
              <w:rPr>
                <w:sz w:val="20"/>
                <w:szCs w:val="20"/>
                <w:color w:val="auto"/>
              </w:rPr>
            </w:pPr>
            <w:r>
              <w:rPr>
                <w:rFonts w:ascii="Arial" w:cs="Arial" w:eastAsia="Arial" w:hAnsi="Arial"/>
                <w:sz w:val="15"/>
                <w:szCs w:val="15"/>
                <w:color w:val="auto"/>
              </w:rPr>
              <w:t>Accrued taxes</w:t>
            </w:r>
          </w:p>
        </w:tc>
        <w:tc>
          <w:tcPr>
            <w:tcW w:w="1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4,908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1,276</w:t>
            </w:r>
          </w:p>
        </w:tc>
      </w:tr>
      <w:tr>
        <w:trPr>
          <w:trHeight w:val="195"/>
        </w:trPr>
        <w:tc>
          <w:tcPr>
            <w:tcW w:w="6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Deferred revenue loyalty program</w:t>
            </w:r>
          </w:p>
        </w:tc>
        <w:tc>
          <w:tcPr>
            <w:tcW w:w="1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3,391</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2,750</w:t>
            </w:r>
          </w:p>
        </w:tc>
      </w:tr>
      <w:tr>
        <w:trPr>
          <w:trHeight w:val="198"/>
        </w:trPr>
        <w:tc>
          <w:tcPr>
            <w:tcW w:w="632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Other</w:t>
            </w:r>
          </w:p>
        </w:tc>
        <w:tc>
          <w:tcPr>
            <w:tcW w:w="1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854</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826</w:t>
            </w:r>
          </w:p>
        </w:tc>
      </w:tr>
      <w:tr>
        <w:trPr>
          <w:trHeight w:val="220"/>
        </w:trPr>
        <w:tc>
          <w:tcPr>
            <w:tcW w:w="340" w:type="dxa"/>
            <w:vAlign w:val="bottom"/>
            <w:tcBorders>
              <w:bottom w:val="single" w:sz="8" w:color="CCEEFF"/>
            </w:tcBorders>
            <w:shd w:val="clear" w:color="auto" w:fill="CCEEFF"/>
          </w:tcPr>
          <w:p>
            <w:pPr>
              <w:spacing w:after="0"/>
              <w:rPr>
                <w:sz w:val="18"/>
                <w:szCs w:val="18"/>
                <w:color w:val="auto"/>
              </w:rPr>
            </w:pPr>
          </w:p>
        </w:tc>
        <w:tc>
          <w:tcPr>
            <w:tcW w:w="59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44"/>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33,760</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64"/>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22,380</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8"/>
          </w:cols>
          <w:pgMar w:left="312" w:top="116" w:right="319" w:bottom="1440" w:gutter="0" w:footer="0" w:header="0"/>
        </w:sectPr>
      </w:pPr>
    </w:p>
    <w:p>
      <w:pPr>
        <w:spacing w:after="0" w:line="76" w:lineRule="exact"/>
        <w:rPr>
          <w:sz w:val="20"/>
          <w:szCs w:val="20"/>
          <w:color w:val="auto"/>
        </w:rPr>
      </w:pPr>
    </w:p>
    <w:p>
      <w:pPr>
        <w:ind w:left="8"/>
        <w:spacing w:after="0"/>
        <w:rPr>
          <w:sz w:val="20"/>
          <w:szCs w:val="20"/>
          <w:color w:val="auto"/>
        </w:rPr>
      </w:pPr>
      <w:r>
        <w:rPr>
          <w:rFonts w:ascii="Arial" w:cs="Arial" w:eastAsia="Arial" w:hAnsi="Arial"/>
          <w:sz w:val="13"/>
          <w:szCs w:val="13"/>
          <w:color w:val="auto"/>
        </w:rPr>
        <w:t>The following table shows the changes in the deferred revenue loyalty program liability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6228080" cy="1238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28080" cy="123825"/>
                    </a:xfrm>
                    <a:prstGeom prst="rect">
                      <a:avLst/>
                    </a:prstGeom>
                    <a:noFill/>
                  </pic:spPr>
                </pic:pic>
              </a:graphicData>
            </a:graphic>
          </wp:anchor>
        </w:drawing>
      </w:r>
    </w:p>
    <w:p>
      <w:pPr>
        <w:spacing w:after="0" w:line="255" w:lineRule="exact"/>
        <w:rPr>
          <w:sz w:val="20"/>
          <w:szCs w:val="20"/>
          <w:color w:val="auto"/>
        </w:rPr>
      </w:pPr>
    </w:p>
    <w:p>
      <w:pPr>
        <w:ind w:left="8"/>
        <w:spacing w:after="0"/>
        <w:rPr>
          <w:sz w:val="20"/>
          <w:szCs w:val="20"/>
          <w:color w:val="auto"/>
        </w:rPr>
      </w:pPr>
      <w:r>
        <w:rPr>
          <w:rFonts w:ascii="Arial" w:cs="Arial" w:eastAsia="Arial" w:hAnsi="Arial"/>
          <w:sz w:val="15"/>
          <w:szCs w:val="15"/>
          <w:color w:val="auto"/>
        </w:rPr>
        <w:t>Balance, December 31, 2019</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5"/>
          <w:szCs w:val="15"/>
          <w:color w:val="auto"/>
        </w:rPr>
        <w:t>Revenue deferred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6228080" cy="1238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28080" cy="123825"/>
                    </a:xfrm>
                    <a:prstGeom prst="rect">
                      <a:avLst/>
                    </a:prstGeom>
                    <a:noFill/>
                  </pic:spPr>
                </pic:pic>
              </a:graphicData>
            </a:graphic>
          </wp:anchor>
        </w:drawing>
      </w:r>
    </w:p>
    <w:p>
      <w:pPr>
        <w:spacing w:after="0" w:line="3" w:lineRule="exact"/>
        <w:rPr>
          <w:sz w:val="20"/>
          <w:szCs w:val="20"/>
          <w:color w:val="auto"/>
        </w:rPr>
      </w:pPr>
    </w:p>
    <w:p>
      <w:pPr>
        <w:ind w:left="8"/>
        <w:spacing w:after="0"/>
        <w:rPr>
          <w:sz w:val="20"/>
          <w:szCs w:val="20"/>
          <w:color w:val="auto"/>
        </w:rPr>
      </w:pPr>
      <w:r>
        <w:rPr>
          <w:rFonts w:ascii="Arial" w:cs="Arial" w:eastAsia="Arial" w:hAnsi="Arial"/>
          <w:sz w:val="15"/>
          <w:szCs w:val="15"/>
          <w:color w:val="auto"/>
        </w:rPr>
        <w:t>Revenue recognized during the year</w:t>
      </w:r>
    </w:p>
    <w:p>
      <w:pPr>
        <w:spacing w:after="0" w:line="34" w:lineRule="exact"/>
        <w:rPr>
          <w:sz w:val="20"/>
          <w:szCs w:val="20"/>
          <w:color w:val="auto"/>
        </w:rPr>
      </w:pPr>
    </w:p>
    <w:p>
      <w:pPr>
        <w:ind w:left="8"/>
        <w:spacing w:after="0"/>
        <w:rPr>
          <w:sz w:val="20"/>
          <w:szCs w:val="20"/>
          <w:color w:val="auto"/>
        </w:rPr>
      </w:pPr>
      <w:r>
        <w:rPr>
          <w:rFonts w:ascii="Arial" w:cs="Arial" w:eastAsia="Arial" w:hAnsi="Arial"/>
          <w:sz w:val="15"/>
          <w:szCs w:val="15"/>
          <w:color w:val="auto"/>
        </w:rPr>
        <w:t>Balance,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6228080" cy="1238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28080" cy="123825"/>
                    </a:xfrm>
                    <a:prstGeom prst="rect">
                      <a:avLst/>
                    </a:prstGeom>
                    <a:noFill/>
                  </pic:spPr>
                </pic:pic>
              </a:graphicData>
            </a:graphic>
          </wp:anchor>
        </w:drawing>
      </w:r>
    </w:p>
    <w:p>
      <w:pPr>
        <w:spacing w:after="0" w:line="3" w:lineRule="exact"/>
        <w:rPr>
          <w:sz w:val="20"/>
          <w:szCs w:val="20"/>
          <w:color w:val="auto"/>
        </w:rPr>
      </w:pPr>
    </w:p>
    <w:p>
      <w:pPr>
        <w:ind w:left="8"/>
        <w:spacing w:after="0"/>
        <w:rPr>
          <w:sz w:val="20"/>
          <w:szCs w:val="20"/>
          <w:color w:val="auto"/>
        </w:rPr>
      </w:pPr>
      <w:r>
        <w:rPr>
          <w:rFonts w:ascii="Arial" w:cs="Arial" w:eastAsia="Arial" w:hAnsi="Arial"/>
          <w:sz w:val="15"/>
          <w:szCs w:val="15"/>
          <w:color w:val="auto"/>
        </w:rPr>
        <w:t>Revenue deferred during the year</w:t>
      </w:r>
    </w:p>
    <w:p>
      <w:pPr>
        <w:spacing w:after="0" w:line="34" w:lineRule="exact"/>
        <w:rPr>
          <w:sz w:val="20"/>
          <w:szCs w:val="20"/>
          <w:color w:val="auto"/>
        </w:rPr>
      </w:pPr>
    </w:p>
    <w:p>
      <w:pPr>
        <w:ind w:left="8"/>
        <w:spacing w:after="0"/>
        <w:rPr>
          <w:sz w:val="20"/>
          <w:szCs w:val="20"/>
          <w:color w:val="auto"/>
        </w:rPr>
      </w:pPr>
      <w:r>
        <w:rPr>
          <w:rFonts w:ascii="Arial" w:cs="Arial" w:eastAsia="Arial" w:hAnsi="Arial"/>
          <w:sz w:val="15"/>
          <w:szCs w:val="15"/>
          <w:color w:val="auto"/>
        </w:rPr>
        <w:t>Revenue recognized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6228080" cy="153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28080" cy="153035"/>
                    </a:xfrm>
                    <a:prstGeom prst="rect">
                      <a:avLst/>
                    </a:prstGeom>
                    <a:noFill/>
                  </pic:spPr>
                </pic:pic>
              </a:graphicData>
            </a:graphic>
          </wp:anchor>
        </w:drawing>
      </w:r>
    </w:p>
    <w:p>
      <w:pPr>
        <w:spacing w:after="0" w:line="37" w:lineRule="exact"/>
        <w:rPr>
          <w:sz w:val="20"/>
          <w:szCs w:val="20"/>
          <w:color w:val="auto"/>
        </w:rPr>
      </w:pPr>
    </w:p>
    <w:p>
      <w:pPr>
        <w:ind w:left="8"/>
        <w:spacing w:after="0"/>
        <w:rPr>
          <w:sz w:val="20"/>
          <w:szCs w:val="20"/>
          <w:color w:val="auto"/>
        </w:rPr>
      </w:pPr>
      <w:r>
        <w:rPr>
          <w:rFonts w:ascii="Arial" w:cs="Arial" w:eastAsia="Arial" w:hAnsi="Arial"/>
          <w:sz w:val="15"/>
          <w:szCs w:val="15"/>
          <w:color w:val="auto"/>
        </w:rPr>
        <w:t>Balance, December 31,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ind w:left="1283" w:hanging="1283"/>
        <w:spacing w:after="0"/>
        <w:tabs>
          <w:tab w:leader="none" w:pos="1283" w:val="left"/>
        </w:tabs>
        <w:numPr>
          <w:ilvl w:val="0"/>
          <w:numId w:val="23"/>
        </w:numPr>
        <w:rPr>
          <w:rFonts w:ascii="Arial" w:cs="Arial" w:eastAsia="Arial" w:hAnsi="Arial"/>
          <w:sz w:val="15"/>
          <w:szCs w:val="15"/>
          <w:color w:val="auto"/>
        </w:rPr>
      </w:pPr>
      <w:r>
        <w:rPr>
          <w:rFonts w:ascii="Arial" w:cs="Arial" w:eastAsia="Arial" w:hAnsi="Arial"/>
          <w:sz w:val="15"/>
          <w:szCs w:val="15"/>
          <w:color w:val="auto"/>
        </w:rPr>
        <w:t>2,495</w:t>
      </w:r>
    </w:p>
    <w:p>
      <w:pPr>
        <w:spacing w:after="0" w:line="22" w:lineRule="exact"/>
        <w:rPr>
          <w:rFonts w:ascii="Arial" w:cs="Arial" w:eastAsia="Arial" w:hAnsi="Arial"/>
          <w:sz w:val="15"/>
          <w:szCs w:val="15"/>
          <w:color w:val="auto"/>
        </w:rPr>
      </w:pPr>
    </w:p>
    <w:p>
      <w:pPr>
        <w:ind w:left="1283"/>
        <w:spacing w:after="0"/>
        <w:rPr>
          <w:rFonts w:ascii="Arial" w:cs="Arial" w:eastAsia="Arial" w:hAnsi="Arial"/>
          <w:sz w:val="15"/>
          <w:szCs w:val="15"/>
          <w:color w:val="auto"/>
        </w:rPr>
      </w:pPr>
      <w:r>
        <w:rPr>
          <w:rFonts w:ascii="Arial" w:cs="Arial" w:eastAsia="Arial" w:hAnsi="Arial"/>
          <w:sz w:val="15"/>
          <w:szCs w:val="15"/>
          <w:color w:val="auto"/>
        </w:rPr>
        <w:t>1,806</w:t>
      </w:r>
    </w:p>
    <w:p>
      <w:pPr>
        <w:spacing w:after="0" w:line="23" w:lineRule="exact"/>
        <w:rPr>
          <w:sz w:val="20"/>
          <w:szCs w:val="20"/>
          <w:color w:val="auto"/>
        </w:rPr>
      </w:pPr>
    </w:p>
    <w:p>
      <w:pPr>
        <w:jc w:val="right"/>
        <w:ind w:right="1480"/>
        <w:spacing w:after="0"/>
        <w:rPr>
          <w:sz w:val="20"/>
          <w:szCs w:val="20"/>
          <w:color w:val="auto"/>
        </w:rPr>
      </w:pPr>
      <w:r>
        <w:rPr>
          <w:rFonts w:ascii="Arial" w:cs="Arial" w:eastAsia="Arial" w:hAnsi="Arial"/>
          <w:sz w:val="15"/>
          <w:szCs w:val="15"/>
          <w:color w:val="auto"/>
        </w:rPr>
        <w:t>(1,551)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13970</wp:posOffset>
            </wp:positionV>
            <wp:extent cx="107823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78230" cy="6985"/>
                    </a:xfrm>
                    <a:prstGeom prst="rect">
                      <a:avLst/>
                    </a:prstGeom>
                    <a:noFill/>
                  </pic:spPr>
                </pic:pic>
              </a:graphicData>
            </a:graphic>
          </wp:anchor>
        </w:drawing>
      </w:r>
    </w:p>
    <w:p>
      <w:pPr>
        <w:spacing w:after="0" w:line="14" w:lineRule="exact"/>
        <w:rPr>
          <w:sz w:val="20"/>
          <w:szCs w:val="20"/>
          <w:color w:val="auto"/>
        </w:rPr>
      </w:pPr>
    </w:p>
    <w:p>
      <w:pPr>
        <w:ind w:left="1283"/>
        <w:spacing w:after="0"/>
        <w:rPr>
          <w:sz w:val="20"/>
          <w:szCs w:val="20"/>
          <w:color w:val="auto"/>
        </w:rPr>
      </w:pPr>
      <w:r>
        <w:rPr>
          <w:rFonts w:ascii="Arial" w:cs="Arial" w:eastAsia="Arial" w:hAnsi="Arial"/>
          <w:sz w:val="15"/>
          <w:szCs w:val="15"/>
          <w:color w:val="auto"/>
        </w:rPr>
        <w:t>2,750</w:t>
      </w:r>
    </w:p>
    <w:p>
      <w:pPr>
        <w:spacing w:after="0" w:line="23" w:lineRule="exact"/>
        <w:rPr>
          <w:sz w:val="20"/>
          <w:szCs w:val="20"/>
          <w:color w:val="auto"/>
        </w:rPr>
      </w:pPr>
    </w:p>
    <w:p>
      <w:pPr>
        <w:ind w:left="1283"/>
        <w:spacing w:after="0"/>
        <w:rPr>
          <w:sz w:val="20"/>
          <w:szCs w:val="20"/>
          <w:color w:val="auto"/>
        </w:rPr>
      </w:pPr>
      <w:r>
        <w:rPr>
          <w:rFonts w:ascii="Arial" w:cs="Arial" w:eastAsia="Arial" w:hAnsi="Arial"/>
          <w:sz w:val="15"/>
          <w:szCs w:val="15"/>
          <w:color w:val="auto"/>
        </w:rPr>
        <w:t>2,326</w:t>
      </w:r>
    </w:p>
    <w:p>
      <w:pPr>
        <w:spacing w:after="0" w:line="23" w:lineRule="exact"/>
        <w:rPr>
          <w:sz w:val="20"/>
          <w:szCs w:val="20"/>
          <w:color w:val="auto"/>
        </w:rPr>
      </w:pPr>
    </w:p>
    <w:p>
      <w:pPr>
        <w:jc w:val="right"/>
        <w:ind w:right="1480"/>
        <w:spacing w:after="0"/>
        <w:rPr>
          <w:sz w:val="20"/>
          <w:szCs w:val="20"/>
          <w:color w:val="auto"/>
        </w:rPr>
      </w:pPr>
      <w:r>
        <w:rPr>
          <w:rFonts w:ascii="Arial" w:cs="Arial" w:eastAsia="Arial" w:hAnsi="Arial"/>
          <w:sz w:val="15"/>
          <w:szCs w:val="15"/>
          <w:color w:val="auto"/>
        </w:rPr>
        <w:t>(1,685)</w:t>
      </w:r>
    </w:p>
    <w:p>
      <w:pPr>
        <w:spacing w:after="0" w:line="45" w:lineRule="exact"/>
        <w:rPr>
          <w:sz w:val="20"/>
          <w:szCs w:val="20"/>
          <w:color w:val="auto"/>
        </w:rPr>
      </w:pPr>
    </w:p>
    <w:p>
      <w:pPr>
        <w:ind w:left="1283" w:hanging="1283"/>
        <w:spacing w:after="0"/>
        <w:tabs>
          <w:tab w:leader="none" w:pos="1283" w:val="left"/>
        </w:tabs>
        <w:numPr>
          <w:ilvl w:val="0"/>
          <w:numId w:val="24"/>
        </w:numPr>
        <w:rPr>
          <w:rFonts w:ascii="Arial" w:cs="Arial" w:eastAsia="Arial" w:hAnsi="Arial"/>
          <w:sz w:val="15"/>
          <w:szCs w:val="15"/>
          <w:color w:val="auto"/>
        </w:rPr>
      </w:pPr>
      <w:r>
        <w:rPr>
          <w:rFonts w:ascii="Arial" w:cs="Arial" w:eastAsia="Arial" w:hAnsi="Arial"/>
          <w:sz w:val="15"/>
          <w:szCs w:val="15"/>
          <w:color w:val="auto"/>
        </w:rPr>
        <w:t>3,391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35560</wp:posOffset>
            </wp:positionV>
            <wp:extent cx="107823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78230" cy="698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405" w:space="720"/>
            <w:col w:w="3143"/>
          </w:cols>
          <w:pgMar w:left="312" w:top="116" w:right="319" w:bottom="1440" w:gutter="0" w:footer="0" w:header="0"/>
          <w:type w:val="continuous"/>
        </w:sectPr>
      </w:pPr>
    </w:p>
    <w:p>
      <w:pPr>
        <w:spacing w:after="0" w:line="109" w:lineRule="exact"/>
        <w:rPr>
          <w:sz w:val="20"/>
          <w:szCs w:val="20"/>
          <w:color w:val="auto"/>
        </w:rPr>
      </w:pPr>
    </w:p>
    <w:p>
      <w:pPr>
        <w:ind w:left="8"/>
        <w:spacing w:after="0"/>
        <w:rPr>
          <w:sz w:val="20"/>
          <w:szCs w:val="20"/>
          <w:color w:val="auto"/>
        </w:rPr>
      </w:pPr>
      <w:r>
        <w:rPr>
          <w:rFonts w:ascii="Arial" w:cs="Arial" w:eastAsia="Arial" w:hAnsi="Arial"/>
          <w:sz w:val="15"/>
          <w:szCs w:val="15"/>
          <w:color w:val="auto"/>
        </w:rPr>
        <w:t>NOTE 10 – DEBT</w:t>
      </w:r>
    </w:p>
    <w:p>
      <w:pPr>
        <w:spacing w:after="0" w:line="195" w:lineRule="exact"/>
        <w:rPr>
          <w:sz w:val="20"/>
          <w:szCs w:val="20"/>
          <w:color w:val="auto"/>
        </w:rPr>
      </w:pPr>
    </w:p>
    <w:p>
      <w:pPr>
        <w:ind w:left="8"/>
        <w:spacing w:after="0"/>
        <w:rPr>
          <w:sz w:val="20"/>
          <w:szCs w:val="20"/>
          <w:color w:val="auto"/>
        </w:rPr>
      </w:pPr>
      <w:r>
        <w:rPr>
          <w:rFonts w:ascii="Arial" w:cs="Arial" w:eastAsia="Arial" w:hAnsi="Arial"/>
          <w:sz w:val="14"/>
          <w:szCs w:val="14"/>
          <w:color w:val="auto"/>
        </w:rPr>
        <w:t>Debt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304800</wp:posOffset>
            </wp:positionV>
            <wp:extent cx="5995035" cy="138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95035" cy="13843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8"/>
        <w:spacing w:after="0"/>
        <w:rPr>
          <w:sz w:val="20"/>
          <w:szCs w:val="20"/>
          <w:color w:val="auto"/>
        </w:rPr>
      </w:pPr>
      <w:r>
        <w:rPr>
          <w:rFonts w:ascii="Arial" w:cs="Arial" w:eastAsia="Arial" w:hAnsi="Arial"/>
          <w:sz w:val="15"/>
          <w:szCs w:val="15"/>
          <w:color w:val="auto"/>
        </w:rPr>
        <w:t>Term loan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5995035" cy="1238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95035" cy="123825"/>
                    </a:xfrm>
                    <a:prstGeom prst="rect">
                      <a:avLst/>
                    </a:prstGeom>
                    <a:noFill/>
                  </pic:spPr>
                </pic:pic>
              </a:graphicData>
            </a:graphic>
          </wp:anchor>
        </w:drawing>
      </w:r>
    </w:p>
    <w:p>
      <w:pPr>
        <w:spacing w:after="0" w:line="209" w:lineRule="exact"/>
        <w:rPr>
          <w:sz w:val="20"/>
          <w:szCs w:val="20"/>
          <w:color w:val="auto"/>
        </w:rPr>
      </w:pPr>
    </w:p>
    <w:p>
      <w:pPr>
        <w:ind w:left="8"/>
        <w:spacing w:after="0"/>
        <w:rPr>
          <w:sz w:val="20"/>
          <w:szCs w:val="20"/>
          <w:color w:val="auto"/>
        </w:rPr>
      </w:pPr>
      <w:r>
        <w:rPr>
          <w:rFonts w:ascii="Arial" w:cs="Arial" w:eastAsia="Arial" w:hAnsi="Arial"/>
          <w:sz w:val="15"/>
          <w:szCs w:val="15"/>
          <w:color w:val="auto"/>
        </w:rPr>
        <w:t xml:space="preserve">Less: Current portion of long term debt </w:t>
      </w:r>
      <w:r>
        <w:rPr>
          <w:rFonts w:ascii="Arial" w:cs="Arial" w:eastAsia="Arial" w:hAnsi="Arial"/>
          <w:sz w:val="19"/>
          <w:szCs w:val="19"/>
          <w:color w:val="auto"/>
          <w:vertAlign w:val="superscript"/>
        </w:rPr>
        <w:t>(1)</w:t>
      </w:r>
    </w:p>
    <w:p>
      <w:pPr>
        <w:ind w:left="8"/>
        <w:spacing w:after="0"/>
        <w:rPr>
          <w:sz w:val="20"/>
          <w:szCs w:val="20"/>
          <w:color w:val="auto"/>
        </w:rPr>
      </w:pPr>
      <w:r>
        <w:rPr>
          <w:rFonts w:ascii="Arial" w:cs="Arial" w:eastAsia="Arial" w:hAnsi="Arial"/>
          <w:sz w:val="15"/>
          <w:szCs w:val="15"/>
          <w:color w:val="auto"/>
        </w:rPr>
        <w:t>Less: Debt origination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5995035"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9503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940"/>
        <w:spacing w:after="0"/>
        <w:rPr>
          <w:sz w:val="20"/>
          <w:szCs w:val="20"/>
          <w:color w:val="auto"/>
        </w:rPr>
      </w:pPr>
      <w:r>
        <w:rPr>
          <w:rFonts w:ascii="Arial" w:cs="Arial" w:eastAsia="Arial" w:hAnsi="Arial"/>
          <w:sz w:val="15"/>
          <w:szCs w:val="15"/>
          <w:color w:val="auto"/>
        </w:rPr>
        <w:t>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5"/>
                <w:szCs w:val="15"/>
                <w:color w:val="auto"/>
              </w:rPr>
              <w:t>2021</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5"/>
                <w:szCs w:val="15"/>
                <w:color w:val="auto"/>
              </w:rPr>
              <w:t>2020</w:t>
            </w:r>
          </w:p>
        </w:tc>
      </w:tr>
      <w:tr>
        <w:trPr>
          <w:trHeight w:val="198"/>
        </w:trPr>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ind w:left="540"/>
              <w:spacing w:after="0"/>
              <w:rPr>
                <w:sz w:val="20"/>
                <w:szCs w:val="20"/>
                <w:color w:val="auto"/>
              </w:rPr>
            </w:pPr>
            <w:r>
              <w:rPr>
                <w:rFonts w:ascii="Arial" w:cs="Arial" w:eastAsia="Arial" w:hAnsi="Arial"/>
                <w:sz w:val="15"/>
                <w:szCs w:val="15"/>
                <w:color w:val="auto"/>
              </w:rPr>
              <w:t>85,313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ind w:left="540"/>
              <w:spacing w:after="0"/>
              <w:rPr>
                <w:sz w:val="20"/>
                <w:szCs w:val="20"/>
                <w:color w:val="auto"/>
              </w:rPr>
            </w:pPr>
            <w:r>
              <w:rPr>
                <w:rFonts w:ascii="Arial" w:cs="Arial" w:eastAsia="Arial" w:hAnsi="Arial"/>
                <w:sz w:val="15"/>
                <w:szCs w:val="15"/>
                <w:color w:val="auto"/>
              </w:rPr>
              <w:t>89,383</w:t>
            </w:r>
          </w:p>
        </w:tc>
      </w:tr>
      <w:tr>
        <w:trPr>
          <w:trHeight w:val="195"/>
        </w:trPr>
        <w:tc>
          <w:tcPr>
            <w:tcW w:w="300" w:type="dxa"/>
            <w:vAlign w:val="bottom"/>
          </w:tcPr>
          <w:p>
            <w:pPr>
              <w:spacing w:after="0"/>
              <w:rPr>
                <w:sz w:val="16"/>
                <w:szCs w:val="16"/>
                <w:color w:val="auto"/>
              </w:rPr>
            </w:pPr>
          </w:p>
        </w:tc>
        <w:tc>
          <w:tcPr>
            <w:tcW w:w="1020" w:type="dxa"/>
            <w:vAlign w:val="bottom"/>
          </w:tcPr>
          <w:p>
            <w:pPr>
              <w:ind w:left="540"/>
              <w:spacing w:after="0"/>
              <w:rPr>
                <w:sz w:val="20"/>
                <w:szCs w:val="20"/>
                <w:color w:val="auto"/>
              </w:rPr>
            </w:pPr>
            <w:r>
              <w:rPr>
                <w:rFonts w:ascii="Arial" w:cs="Arial" w:eastAsia="Arial" w:hAnsi="Arial"/>
                <w:sz w:val="15"/>
                <w:szCs w:val="15"/>
                <w:color w:val="auto"/>
              </w:rPr>
              <w:t>85,313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ind w:left="540"/>
              <w:spacing w:after="0"/>
              <w:rPr>
                <w:sz w:val="20"/>
                <w:szCs w:val="20"/>
                <w:color w:val="auto"/>
              </w:rPr>
            </w:pPr>
            <w:r>
              <w:rPr>
                <w:rFonts w:ascii="Arial" w:cs="Arial" w:eastAsia="Arial" w:hAnsi="Arial"/>
                <w:sz w:val="15"/>
                <w:szCs w:val="15"/>
                <w:color w:val="auto"/>
              </w:rPr>
              <w:t>89,383</w:t>
            </w:r>
          </w:p>
        </w:tc>
      </w:tr>
      <w:tr>
        <w:trPr>
          <w:trHeight w:val="195"/>
        </w:trPr>
        <w:tc>
          <w:tcPr>
            <w:tcW w:w="300" w:type="dxa"/>
            <w:vAlign w:val="bottom"/>
          </w:tcPr>
          <w:p>
            <w:pPr>
              <w:spacing w:after="0"/>
              <w:rPr>
                <w:sz w:val="16"/>
                <w:szCs w:val="16"/>
                <w:color w:val="auto"/>
              </w:rPr>
            </w:pPr>
          </w:p>
        </w:tc>
        <w:tc>
          <w:tcPr>
            <w:tcW w:w="1020" w:type="dxa"/>
            <w:vAlign w:val="bottom"/>
          </w:tcPr>
          <w:p>
            <w:pPr>
              <w:ind w:left="560"/>
              <w:spacing w:after="0"/>
              <w:rPr>
                <w:sz w:val="20"/>
                <w:szCs w:val="20"/>
                <w:color w:val="auto"/>
              </w:rPr>
            </w:pPr>
            <w:r>
              <w:rPr>
                <w:rFonts w:ascii="Arial" w:cs="Arial" w:eastAsia="Arial" w:hAnsi="Arial"/>
                <w:sz w:val="15"/>
                <w:szCs w:val="15"/>
                <w:color w:val="auto"/>
                <w:w w:val="92"/>
              </w:rPr>
              <w:t>(3,882)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ind w:left="540"/>
              <w:spacing w:after="0"/>
              <w:rPr>
                <w:sz w:val="20"/>
                <w:szCs w:val="20"/>
                <w:color w:val="auto"/>
              </w:rPr>
            </w:pPr>
            <w:r>
              <w:rPr>
                <w:rFonts w:ascii="Arial" w:cs="Arial" w:eastAsia="Arial" w:hAnsi="Arial"/>
                <w:sz w:val="15"/>
                <w:szCs w:val="15"/>
                <w:color w:val="auto"/>
                <w:w w:val="96"/>
              </w:rPr>
              <w:t>(7,044)</w:t>
            </w:r>
          </w:p>
        </w:tc>
      </w:tr>
      <w:tr>
        <w:trPr>
          <w:trHeight w:val="198"/>
        </w:trPr>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560"/>
              <w:spacing w:after="0"/>
              <w:rPr>
                <w:sz w:val="20"/>
                <w:szCs w:val="20"/>
                <w:color w:val="auto"/>
              </w:rPr>
            </w:pPr>
            <w:r>
              <w:rPr>
                <w:rFonts w:ascii="Arial" w:cs="Arial" w:eastAsia="Arial" w:hAnsi="Arial"/>
                <w:sz w:val="15"/>
                <w:szCs w:val="15"/>
                <w:color w:val="auto"/>
                <w:w w:val="92"/>
              </w:rPr>
              <w:t>(2,220)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540"/>
              <w:spacing w:after="0"/>
              <w:rPr>
                <w:sz w:val="20"/>
                <w:szCs w:val="20"/>
                <w:color w:val="auto"/>
              </w:rPr>
            </w:pPr>
            <w:r>
              <w:rPr>
                <w:rFonts w:ascii="Arial" w:cs="Arial" w:eastAsia="Arial" w:hAnsi="Arial"/>
                <w:sz w:val="15"/>
                <w:szCs w:val="15"/>
                <w:color w:val="auto"/>
                <w:w w:val="96"/>
              </w:rPr>
              <w:t>(1,760)</w:t>
            </w:r>
          </w:p>
        </w:tc>
      </w:tr>
      <w:tr>
        <w:trPr>
          <w:trHeight w:val="195"/>
        </w:trPr>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ind w:left="540"/>
              <w:spacing w:after="0"/>
              <w:rPr>
                <w:sz w:val="20"/>
                <w:szCs w:val="20"/>
                <w:color w:val="auto"/>
              </w:rPr>
            </w:pPr>
            <w:r>
              <w:rPr>
                <w:rFonts w:ascii="Arial" w:cs="Arial" w:eastAsia="Arial" w:hAnsi="Arial"/>
                <w:sz w:val="15"/>
                <w:szCs w:val="15"/>
                <w:color w:val="auto"/>
              </w:rPr>
              <w:t>79,211</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ind w:left="540"/>
              <w:spacing w:after="0"/>
              <w:rPr>
                <w:sz w:val="20"/>
                <w:szCs w:val="20"/>
                <w:color w:val="auto"/>
              </w:rPr>
            </w:pPr>
            <w:r>
              <w:rPr>
                <w:rFonts w:ascii="Arial" w:cs="Arial" w:eastAsia="Arial" w:hAnsi="Arial"/>
                <w:sz w:val="15"/>
                <w:szCs w:val="15"/>
                <w:color w:val="auto"/>
              </w:rPr>
              <w:t>80,579</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2">
            <w:col w:w="5988" w:space="720"/>
            <w:col w:w="4560"/>
          </w:cols>
          <w:pgMar w:left="312" w:top="116" w:right="319" w:bottom="1440" w:gutter="0" w:footer="0" w:header="0"/>
          <w:type w:val="continuous"/>
        </w:sectPr>
      </w:pPr>
    </w:p>
    <w:p>
      <w:pPr>
        <w:ind w:left="268" w:hanging="268"/>
        <w:spacing w:after="0" w:line="229" w:lineRule="auto"/>
        <w:tabs>
          <w:tab w:leader="none" w:pos="268" w:val="left"/>
        </w:tabs>
        <w:numPr>
          <w:ilvl w:val="0"/>
          <w:numId w:val="25"/>
        </w:numPr>
        <w:rPr>
          <w:rFonts w:ascii="Arial" w:cs="Arial" w:eastAsia="Arial" w:hAnsi="Arial"/>
          <w:sz w:val="20"/>
          <w:szCs w:val="20"/>
          <w:color w:val="auto"/>
          <w:vertAlign w:val="superscript"/>
        </w:rPr>
      </w:pPr>
      <w:r>
        <w:rPr>
          <w:rFonts w:ascii="Arial" w:cs="Arial" w:eastAsia="Arial" w:hAnsi="Arial"/>
          <w:sz w:val="12"/>
          <w:szCs w:val="12"/>
          <w:color w:val="auto"/>
        </w:rPr>
        <w:t>Current portion of long-term debt is net of debt origination costs of approximately $0.5 million and $0.6 million at December 31, 2021 and 2020, respectively.</w:t>
      </w:r>
    </w:p>
    <w:p>
      <w:pPr>
        <w:spacing w:after="0" w:line="194" w:lineRule="exact"/>
        <w:rPr>
          <w:sz w:val="20"/>
          <w:szCs w:val="20"/>
          <w:color w:val="auto"/>
        </w:rPr>
      </w:pPr>
    </w:p>
    <w:p>
      <w:pPr>
        <w:jc w:val="both"/>
        <w:ind w:left="8"/>
        <w:spacing w:after="0" w:line="285" w:lineRule="auto"/>
        <w:rPr>
          <w:sz w:val="20"/>
          <w:szCs w:val="20"/>
          <w:color w:val="auto"/>
        </w:rPr>
      </w:pPr>
      <w:r>
        <w:rPr>
          <w:rFonts w:ascii="Arial" w:cs="Arial" w:eastAsia="Arial" w:hAnsi="Arial"/>
          <w:sz w:val="14"/>
          <w:szCs w:val="14"/>
          <w:color w:val="auto"/>
        </w:rPr>
        <w:t>The Company and certain of its domestic subsidiaries as borrowers and the other guarantors from time to time party thereto (collectively, the “Loan Parties”) entered into a financing agreement with a group of banking institutions, dated November 7, 2018 and further amended on December 7, 2018 (the “Original Credit Agreement”). The Original Credit Agreement provided for a $35.0 million revolving credit facility, a $90.0 million term loan facility and an up to $30.0 million incremental facility of which $12.0 million was utilized in 2019 for the term loan facility and $10.0 million was utilized in May of 2021 for the revolving credit facility (see below). The Original Credit Agreement also provided for the issuance of letters of credit, which would reduce availability under the revolving credit facility. The maturity date of the Original Credit Agreement was November 7, 2023.</w:t>
      </w:r>
    </w:p>
    <w:p>
      <w:pPr>
        <w:spacing w:after="0" w:line="168" w:lineRule="exact"/>
        <w:rPr>
          <w:sz w:val="20"/>
          <w:szCs w:val="20"/>
          <w:color w:val="auto"/>
        </w:rPr>
      </w:pPr>
    </w:p>
    <w:p>
      <w:pPr>
        <w:jc w:val="both"/>
        <w:ind w:left="8"/>
        <w:spacing w:after="0" w:line="262" w:lineRule="auto"/>
        <w:rPr>
          <w:sz w:val="20"/>
          <w:szCs w:val="20"/>
          <w:color w:val="auto"/>
        </w:rPr>
      </w:pPr>
      <w:r>
        <w:rPr>
          <w:rFonts w:ascii="Arial" w:cs="Arial" w:eastAsia="Arial" w:hAnsi="Arial"/>
          <w:sz w:val="15"/>
          <w:szCs w:val="15"/>
          <w:color w:val="auto"/>
        </w:rPr>
        <w:t>Effective as of May 12, 2021, the Company amended the Original Credit Agreement by entering into Increase Joinder No. 2 (the “Joinder No. 2”) to the Original Credit Agreement, which was accounted for as a debt modification, under which the revolving line of credit commitment under the Original Credit Agreement was increased by $10.0 million to an aggregate of $45.0 million. The Joinder No. 2 did not have any impact to any of the terms of the term loan facility under the Original Credit Agreement. The Company incurred debt origination costs of $76.8 thousand in the second quarter of 2021, which were capitalized and will be amortized over the remaining life of the revolving line of credit facility, as described below, using the straight-line method, as it is not significantly different than the effective interest method.</w:t>
      </w:r>
    </w:p>
    <w:p>
      <w:pPr>
        <w:spacing w:after="0" w:line="2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78040"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16" w:right="319" w:bottom="1440" w:gutter="0" w:footer="0" w:header="0"/>
          <w:type w:val="continuous"/>
        </w:sectPr>
      </w:pPr>
    </w:p>
    <w:bookmarkStart w:id="62" w:name="page63"/>
    <w:bookmarkEnd w:id="62"/>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On June 24, 2021, the Loan Parties entered into an Amended and Restated Credit Agreement (the “A&amp;R Credit Agreement”) with a group of banking institutions. The A&amp;R Credit Agreement amended and restated in its entirety the Original Credit Agreement. The A&amp;R Credit Agreement provides for a $150.0 million revolving credit facility, an $87.5 million term loan facility and an uncommitted incremental facility, which may be utilized for additional revolving or term loans, of up to $70.0 million. The A&amp;R Credit Agreement also provides for the issuance of letters of credit, which would reduce availability under the revolving credit facility. The proceeds of the term loan were used to refinance the existing term loan facility under the Original Credit Agreement, and the revolving credit facility is available for working capital, general corporate purposes and to pay fees and expenses in connection with this transaction. The maturity date of the A&amp;R Credit Agreement is June 24, 2026.</w:t>
      </w:r>
    </w:p>
    <w:p>
      <w:pPr>
        <w:spacing w:after="0" w:line="182"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This refinancing was accounted for as a debt modification. The balance of the unamortized debt origination costs of $1.8 million under the Original Credit Agreement, the origination costs paid to the Loan Parties of $1.0 million in connection with the term loan facility of the A&amp;R Credit Agreement and debt origination costs paid to the Loan Parties and third-party costs of $1.8 million incurred in connection with the revolving credit facility of the A&amp;R Credit Agreement will be associated with the new arrangement, and therefore, they will be amortized over the remaining life of the A&amp;R Credit Agreement using the straight-line method, as it is not significantly different than the effective interest method. Debt origination costs paid to third parties related to a portion of the term loan facility in connection with the A&amp;R Credit Agreement were expensed as incurred during the second quarter of 2021.</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unamortized portion of debt origination costs totaled approximately $4.5 million and $2.2 million at December 31, 2021 and 2020, respectively. Amortization of debt origination costs is included as a component of interest expense in the consolidated statements of income and comprehensive income and amounted to approximately $0.9 million, $0.8 million and $0.7 million for the years ended December 31, 2021, 2020, and 2019, respectively.</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At the election of the Company, interest on the term loan facility and revolving credit facility under the A&amp;R Credit Agreement is determined by reference to either LIBOR (subject to replacement) or a “base rate”, in each case plus an applicable margin ranging between 2.50% and 3.00% per annum for LIBOR loans and between 1.50% and 2.00% per annum for base rate loans depending on the level of our consolidated leverage ratio, as calculated pursuant to the terms of the A&amp;R Credit Agreement. The Company is also required to pay a fee on the unused portion of the revolving credit facility equal to 0.35% per annum. The effective interest rates for the year ended December 31, 2021 for the term loan facility and revolving credit facility were 4.23% and 0.78%, respectively.</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Interest is payable (x)(i) generally on the last day of each interest period selected for LIBOR loans, but in any event, not less frequently than every three months, and (ii) on the last business day of each quarter for base rate loans and (y) at final maturity. The principal amount of the term loan facility under the A&amp;R Credit Agreement must be repaid in consecutive quarterly installments of 5.0% in years 1 and 2, 7.5% in year 3, and 10.0% in years 4 and 5, in each case on the last day of each quarter, commencing in September 2021 with a final balloon payment at maturity. The term loans under the A&amp;R Credit Agreement may be prepaid at any time without premium or penalty. Revolving loans may be borrowed, repaid and reborrowed from time to time in accordance with the terms and conditions of the A&amp;R Credit Agreement. The Company is also required to repay the loans upon receipt of net proceeds from certain casualty events, upon the disposition of certain property and upon incurrence of indebtedness not permitted by the A&amp;R Credit Agreement. In addition, the Company is required to make mandatory prepayments annually from excess cash flow if the Company’s consolidated leverage ratio (as calculated under the A&amp;R Credit Agreement) is greater than or equal to 3.0, and the remainder of any such excess cash flow is contributed to the available amount which may be used for a variety of purposes, including investments and distributions.</w:t>
      </w:r>
    </w:p>
    <w:p>
      <w:pPr>
        <w:spacing w:after="0" w:line="183"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A&amp;R Credit Agreement contains financial covenants that require the Company to maintain a quarterly minimum fixed charge coverage ratio of 1.25:1.00 and a quarterly maximum consolidated leverage ratio of 3.25:1.00. The A&amp;R Credit Agreement also contains covenants that limit the Company’s and its subsidiaries’ ability to, among other things, grant liens, incur additional indebtedness, make acquisitions or investments, dispose of certain assets, change the nature of their businesses, enter into certain transactions with affiliates or amend the terms of material indebtedness.</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 addition, the A&amp;R Credit Agreement generally restricts the payment of dividends or cash distributions by the Company with certain exceptions, including the following: i) to repurchase the Company’s common stock from current or former employees in an aggregate amount of up to $10.0 million per calendar year, and ii) other restricted payments in an aggregate amount not to exceed $40.0 million plus the Available Amount (as defined in the A&amp;R Credit Agreement).</w:t>
      </w:r>
    </w:p>
    <w:p>
      <w:pPr>
        <w:spacing w:after="0" w:line="175"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The obligations under the A&amp;R Credit Agreement are guaranteed by the Company and certain domestic subsidiaries of the Company and secured by liens on substantially all of the assets of the Loan Parties, subject to certain exclusions and limitations.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72"/>
        </w:trPr>
        <w:tc>
          <w:tcPr>
            <w:tcW w:w="340" w:type="dxa"/>
            <w:vAlign w:val="bottom"/>
            <w:tcBorders>
              <w:bottom w:val="single" w:sz="8" w:color="0000FF"/>
            </w:tcBorders>
          </w:tcPr>
          <w:p>
            <w:pPr>
              <w:spacing w:after="0"/>
              <w:rPr>
                <w:rFonts w:ascii="Arial" w:cs="Arial" w:eastAsia="Arial" w:hAnsi="Arial"/>
                <w:sz w:val="15"/>
                <w:szCs w:val="15"/>
                <w:i w:val="1"/>
                <w:iCs w:val="1"/>
                <w:color w:val="0000FF"/>
                <w:w w:val="87"/>
              </w:rPr>
            </w:pPr>
            <w:hyperlink w:anchor="page1">
              <w:r>
                <w:rPr>
                  <w:rFonts w:ascii="Arial" w:cs="Arial" w:eastAsia="Arial" w:hAnsi="Arial"/>
                  <w:sz w:val="15"/>
                  <w:szCs w:val="15"/>
                  <w:i w:val="1"/>
                  <w:iCs w:val="1"/>
                  <w:color w:val="0000FF"/>
                  <w:w w:val="87"/>
                </w:rPr>
                <w:t>Index</w:t>
              </w:r>
            </w:hyperlink>
          </w:p>
        </w:tc>
        <w:tc>
          <w:tcPr>
            <w:tcW w:w="7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427"/>
        </w:trPr>
        <w:tc>
          <w:tcPr>
            <w:tcW w:w="8120" w:type="dxa"/>
            <w:vAlign w:val="bottom"/>
            <w:gridSpan w:val="2"/>
          </w:tcPr>
          <w:p>
            <w:pPr>
              <w:spacing w:after="0"/>
              <w:rPr>
                <w:sz w:val="20"/>
                <w:szCs w:val="20"/>
                <w:color w:val="auto"/>
              </w:rPr>
            </w:pPr>
            <w:r>
              <w:rPr>
                <w:rFonts w:ascii="Arial" w:cs="Arial" w:eastAsia="Arial" w:hAnsi="Arial"/>
                <w:sz w:val="15"/>
                <w:szCs w:val="15"/>
                <w:color w:val="auto"/>
              </w:rPr>
              <w:t>The scheduled annual payments of the term loan at December 31, 2021 are as follows (in thousands):</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9"/>
        </w:trPr>
        <w:tc>
          <w:tcPr>
            <w:tcW w:w="340" w:type="dxa"/>
            <w:vAlign w:val="bottom"/>
          </w:tcPr>
          <w:p>
            <w:pPr>
              <w:spacing w:after="0"/>
              <w:rPr>
                <w:sz w:val="19"/>
                <w:szCs w:val="19"/>
                <w:color w:val="auto"/>
              </w:rPr>
            </w:pPr>
          </w:p>
        </w:tc>
        <w:tc>
          <w:tcPr>
            <w:tcW w:w="7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95"/>
        </w:trPr>
        <w:tc>
          <w:tcPr>
            <w:tcW w:w="340" w:type="dxa"/>
            <w:vAlign w:val="bottom"/>
            <w:shd w:val="clear" w:color="auto" w:fill="CCEEFF"/>
          </w:tcPr>
          <w:p>
            <w:pPr>
              <w:spacing w:after="0"/>
              <w:rPr>
                <w:sz w:val="20"/>
                <w:szCs w:val="20"/>
                <w:color w:val="auto"/>
              </w:rPr>
            </w:pPr>
            <w:r>
              <w:rPr>
                <w:rFonts w:ascii="Arial" w:cs="Arial" w:eastAsia="Arial" w:hAnsi="Arial"/>
                <w:sz w:val="15"/>
                <w:szCs w:val="15"/>
                <w:color w:val="auto"/>
                <w:w w:val="95"/>
              </w:rPr>
              <w:t>2022</w:t>
            </w:r>
          </w:p>
        </w:tc>
        <w:tc>
          <w:tcPr>
            <w:tcW w:w="77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4,375</w:t>
            </w:r>
          </w:p>
        </w:tc>
      </w:tr>
      <w:tr>
        <w:trPr>
          <w:trHeight w:val="195"/>
        </w:trPr>
        <w:tc>
          <w:tcPr>
            <w:tcW w:w="340" w:type="dxa"/>
            <w:vAlign w:val="bottom"/>
          </w:tcPr>
          <w:p>
            <w:pPr>
              <w:spacing w:after="0"/>
              <w:rPr>
                <w:sz w:val="20"/>
                <w:szCs w:val="20"/>
                <w:color w:val="auto"/>
              </w:rPr>
            </w:pPr>
            <w:r>
              <w:rPr>
                <w:rFonts w:ascii="Arial" w:cs="Arial" w:eastAsia="Arial" w:hAnsi="Arial"/>
                <w:sz w:val="15"/>
                <w:szCs w:val="15"/>
                <w:color w:val="auto"/>
                <w:w w:val="95"/>
              </w:rPr>
              <w:t>2023</w:t>
            </w:r>
          </w:p>
        </w:tc>
        <w:tc>
          <w:tcPr>
            <w:tcW w:w="7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5,469</w:t>
            </w:r>
          </w:p>
        </w:tc>
      </w:tr>
      <w:tr>
        <w:trPr>
          <w:trHeight w:val="195"/>
        </w:trPr>
        <w:tc>
          <w:tcPr>
            <w:tcW w:w="340" w:type="dxa"/>
            <w:vAlign w:val="bottom"/>
            <w:shd w:val="clear" w:color="auto" w:fill="CCEEFF"/>
          </w:tcPr>
          <w:p>
            <w:pPr>
              <w:spacing w:after="0"/>
              <w:rPr>
                <w:sz w:val="20"/>
                <w:szCs w:val="20"/>
                <w:color w:val="auto"/>
              </w:rPr>
            </w:pPr>
            <w:r>
              <w:rPr>
                <w:rFonts w:ascii="Arial" w:cs="Arial" w:eastAsia="Arial" w:hAnsi="Arial"/>
                <w:sz w:val="15"/>
                <w:szCs w:val="15"/>
                <w:color w:val="auto"/>
                <w:w w:val="95"/>
              </w:rPr>
              <w:t>2024</w:t>
            </w:r>
          </w:p>
        </w:tc>
        <w:tc>
          <w:tcPr>
            <w:tcW w:w="77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7,656</w:t>
            </w:r>
          </w:p>
        </w:tc>
      </w:tr>
      <w:tr>
        <w:trPr>
          <w:trHeight w:val="195"/>
        </w:trPr>
        <w:tc>
          <w:tcPr>
            <w:tcW w:w="340" w:type="dxa"/>
            <w:vAlign w:val="bottom"/>
          </w:tcPr>
          <w:p>
            <w:pPr>
              <w:spacing w:after="0"/>
              <w:rPr>
                <w:sz w:val="20"/>
                <w:szCs w:val="20"/>
                <w:color w:val="auto"/>
              </w:rPr>
            </w:pPr>
            <w:r>
              <w:rPr>
                <w:rFonts w:ascii="Arial" w:cs="Arial" w:eastAsia="Arial" w:hAnsi="Arial"/>
                <w:sz w:val="15"/>
                <w:szCs w:val="15"/>
                <w:color w:val="auto"/>
                <w:w w:val="95"/>
              </w:rPr>
              <w:t>2025</w:t>
            </w:r>
          </w:p>
        </w:tc>
        <w:tc>
          <w:tcPr>
            <w:tcW w:w="7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8,750</w:t>
            </w:r>
          </w:p>
        </w:tc>
      </w:tr>
      <w:tr>
        <w:trPr>
          <w:trHeight w:val="195"/>
        </w:trPr>
        <w:tc>
          <w:tcPr>
            <w:tcW w:w="340" w:type="dxa"/>
            <w:vAlign w:val="bottom"/>
            <w:shd w:val="clear" w:color="auto" w:fill="CCEEFF"/>
          </w:tcPr>
          <w:p>
            <w:pPr>
              <w:spacing w:after="0"/>
              <w:rPr>
                <w:sz w:val="20"/>
                <w:szCs w:val="20"/>
                <w:color w:val="auto"/>
              </w:rPr>
            </w:pPr>
            <w:r>
              <w:rPr>
                <w:rFonts w:ascii="Arial" w:cs="Arial" w:eastAsia="Arial" w:hAnsi="Arial"/>
                <w:sz w:val="15"/>
                <w:szCs w:val="15"/>
                <w:color w:val="auto"/>
                <w:w w:val="95"/>
              </w:rPr>
              <w:t>2026</w:t>
            </w:r>
          </w:p>
        </w:tc>
        <w:tc>
          <w:tcPr>
            <w:tcW w:w="77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59,063</w:t>
            </w:r>
          </w:p>
        </w:tc>
      </w:tr>
      <w:tr>
        <w:trPr>
          <w:trHeight w:val="186"/>
        </w:trPr>
        <w:tc>
          <w:tcPr>
            <w:tcW w:w="340" w:type="dxa"/>
            <w:vAlign w:val="bottom"/>
          </w:tcPr>
          <w:p>
            <w:pPr>
              <w:spacing w:after="0"/>
              <w:rPr>
                <w:sz w:val="16"/>
                <w:szCs w:val="16"/>
                <w:color w:val="auto"/>
              </w:rPr>
            </w:pPr>
          </w:p>
        </w:tc>
        <w:tc>
          <w:tcPr>
            <w:tcW w:w="7780" w:type="dxa"/>
            <w:vAlign w:val="bottom"/>
          </w:tcPr>
          <w:p>
            <w:pPr>
              <w:spacing w:after="0"/>
              <w:rPr>
                <w:sz w:val="16"/>
                <w:szCs w:val="16"/>
                <w:color w:val="auto"/>
              </w:rPr>
            </w:pPr>
          </w:p>
        </w:tc>
        <w:tc>
          <w:tcPr>
            <w:tcW w:w="46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85,313</w:t>
            </w:r>
          </w:p>
        </w:tc>
      </w:tr>
      <w:tr>
        <w:trPr>
          <w:trHeight w:val="20"/>
        </w:trPr>
        <w:tc>
          <w:tcPr>
            <w:tcW w:w="34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NOTE 11 </w:t>
      </w:r>
      <w:r>
        <w:rPr>
          <w:rFonts w:ascii="Arial" w:cs="Arial" w:eastAsia="Arial" w:hAnsi="Arial"/>
          <w:sz w:val="15"/>
          <w:szCs w:val="15"/>
          <w:b w:val="1"/>
          <w:bCs w:val="1"/>
          <w:i w:val="1"/>
          <w:iCs w:val="1"/>
          <w:color w:val="auto"/>
        </w:rPr>
        <w:t>–</w:t>
      </w:r>
      <w:r>
        <w:rPr>
          <w:rFonts w:ascii="Arial" w:cs="Arial" w:eastAsia="Arial" w:hAnsi="Arial"/>
          <w:sz w:val="15"/>
          <w:szCs w:val="15"/>
          <w:color w:val="auto"/>
        </w:rPr>
        <w:t xml:space="preserve"> FAIR VALUE MEASUREMENTS</w:t>
      </w:r>
    </w:p>
    <w:p>
      <w:pPr>
        <w:spacing w:after="0" w:line="195" w:lineRule="exact"/>
        <w:rPr>
          <w:sz w:val="20"/>
          <w:szCs w:val="20"/>
          <w:color w:val="auto"/>
        </w:rPr>
      </w:pPr>
    </w:p>
    <w:p>
      <w:pPr>
        <w:jc w:val="both"/>
        <w:spacing w:after="0" w:line="309" w:lineRule="auto"/>
        <w:rPr>
          <w:sz w:val="20"/>
          <w:szCs w:val="20"/>
          <w:color w:val="auto"/>
        </w:rPr>
      </w:pPr>
      <w:r>
        <w:rPr>
          <w:rFonts w:ascii="Arial" w:cs="Arial" w:eastAsia="Arial" w:hAnsi="Arial"/>
          <w:sz w:val="13"/>
          <w:szCs w:val="13"/>
          <w:color w:val="auto"/>
        </w:rPr>
        <w:t xml:space="preserve">The Company determines fair value in accordance with the provisions of FASB guidance, </w:t>
      </w:r>
      <w:r>
        <w:rPr>
          <w:rFonts w:ascii="Arial" w:cs="Arial" w:eastAsia="Arial" w:hAnsi="Arial"/>
          <w:sz w:val="13"/>
          <w:szCs w:val="13"/>
          <w:i w:val="1"/>
          <w:iCs w:val="1"/>
          <w:color w:val="auto"/>
        </w:rPr>
        <w:t>Fair Value Measurements and Disclosures</w:t>
      </w:r>
      <w:r>
        <w:rPr>
          <w:rFonts w:ascii="Arial" w:cs="Arial" w:eastAsia="Arial" w:hAnsi="Arial"/>
          <w:sz w:val="13"/>
          <w:szCs w:val="13"/>
          <w:color w:val="auto"/>
        </w:rPr>
        <w:t>, which defines fair value as an exit price, representing the amount that would be received from the sale of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As a basis for considering such assumptions, a three-level fair value hierarchy that prioritizes the inputs used to measure fair value was established. There are three levels of inputs used to measure fair value and for disclosure purposes. Level 1 relates to quoted market prices for identical assets or liabilities in active markets. Level 2 relates to observable inputs other than quoted prices included in Level 1. Level 3 relates to unobservable inputs that are supported by little or no market activity and that are significant to the fair value of the assets or liabilities.</w:t>
      </w:r>
    </w:p>
    <w:p>
      <w:pPr>
        <w:spacing w:after="0" w:line="15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Company’s non-financial assets measured at fair value on a nonrecurring basis include goodwill and intangible assets. The determination of our intangible fair values includes several assumptions and inputs (Level 3) that are subject to various risks and uncertainties. Management believes it has made reasonable estimates and judgments concerning these risks and uncertainties. All other financial assets and liabilities are carried at amortized cost.</w:t>
      </w:r>
    </w:p>
    <w:p>
      <w:pPr>
        <w:spacing w:after="0" w:line="175" w:lineRule="exact"/>
        <w:rPr>
          <w:sz w:val="20"/>
          <w:szCs w:val="20"/>
          <w:color w:val="auto"/>
        </w:rPr>
      </w:pPr>
    </w:p>
    <w:p>
      <w:pPr>
        <w:jc w:val="both"/>
        <w:ind w:right="20"/>
        <w:spacing w:after="0" w:line="323" w:lineRule="auto"/>
        <w:rPr>
          <w:sz w:val="20"/>
          <w:szCs w:val="20"/>
          <w:color w:val="auto"/>
        </w:rPr>
      </w:pPr>
      <w:r>
        <w:rPr>
          <w:rFonts w:ascii="Arial" w:cs="Arial" w:eastAsia="Arial" w:hAnsi="Arial"/>
          <w:sz w:val="14"/>
          <w:szCs w:val="14"/>
          <w:color w:val="auto"/>
        </w:rPr>
        <w:t>The Company’s cash balances are representative of their fair values as these balances are comprised of deposits available on demand. The carrying amounts of accounts receivable, prepaid wires, accounts payable and wire transfers and money orders payable are representative of their fair values because of the short turnover of these instruments.</w:t>
      </w:r>
    </w:p>
    <w:p>
      <w:pPr>
        <w:spacing w:after="0" w:line="140"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Company’s financial liabilities include its revolving credit facility and term loan facility. The fair value of the term loan facility, which approximates book value, is estimated by discounting the future cash flows using a current market interest rate. The estimated fair value of the revolving credit facility would approximate face value given the payment schedule and interest rate structure, which approximates current market interest rates.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NOTE 12 – SHARE-BASED COMPENSATION</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International Money Express, Inc. Omnibus Equity Compensation Plans</w:t>
      </w:r>
    </w:p>
    <w:p>
      <w:pPr>
        <w:spacing w:after="0" w:line="218"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On June 26, 2020, at the 2020 Annual Meeting of Stockholders, the Company’s stockholders approved the International Money Express, Inc. 2020 Omnibus Equity Compensation Plan (the “2020 Plan”), which provides for the granting of stock-based incentive awards, including stock options, restricted stock units (“RSUs”), restricted stock awards (“RSAs”) and performance stock units (“PSUs”) to employees and independent directors of the Company. There are approximately 3.7 million shares of the Company’s common stock approved for issuance under the 2020 Plan, which includes 0.4 million shares that were previously subject to awards granted under the International Money Express, Inc. 2018 Omnibus Equity Compensation Plan (the “2018 Plan” and together with the 2020 Plan, the “Plans”). As of December 31, 2021, 2.9 million shares remained available for grant of future awards under the 2020 Plan. The 2018 Plan was terminated effective June 26, 2020, and no additional awards may be granted under the 2018 Plan.</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Stock Options</w:t>
      </w:r>
    </w:p>
    <w:p>
      <w:pPr>
        <w:spacing w:after="0" w:line="218"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value of each option grant is estimated on the grant date using the Black-Scholes option pricing model (“BSM”). The option pricing model requires the input of highly subjective assumptions, including the grant date fair value of our common stock, expected volatility, risk-free interest rates, expected term and expected dividend yield. To determine the grant date fair value of the Company’s common stock, we use the closing market price of our common stock at the grant date. We also use an expected volatility based on the historical volatility of the Company’s common stock and the “simplified” method for calculating the expected life of our stock options as the options are “plain vanilla” and we do not have any significant historical post-vesting activity. We have elected to account for forfeitures as they occur. The risk-free interest rates are obtained from publicly available U.S. Treasury yield curve rates.</w:t>
      </w:r>
    </w:p>
    <w:p>
      <w:pPr>
        <w:spacing w:after="0" w:line="182" w:lineRule="exact"/>
        <w:rPr>
          <w:sz w:val="20"/>
          <w:szCs w:val="20"/>
          <w:color w:val="auto"/>
        </w:rPr>
      </w:pPr>
    </w:p>
    <w:p>
      <w:pPr>
        <w:jc w:val="both"/>
        <w:ind w:right="20"/>
        <w:spacing w:after="0" w:line="285" w:lineRule="auto"/>
        <w:rPr>
          <w:sz w:val="20"/>
          <w:szCs w:val="20"/>
          <w:color w:val="auto"/>
        </w:rPr>
      </w:pPr>
      <w:r>
        <w:rPr>
          <w:rFonts w:ascii="Arial" w:cs="Arial" w:eastAsia="Arial" w:hAnsi="Arial"/>
          <w:sz w:val="15"/>
          <w:szCs w:val="15"/>
          <w:color w:val="auto"/>
        </w:rPr>
        <w:t>The Company used the following assumptions for the BSM to determine the fair value of the stock options granted during the year ended December 31, 2020; there were no options granted during the year ended December 31, 2021.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64" w:name="page65"/>
    <w:bookmarkEnd w:id="64"/>
    <w:tbl>
      <w:tblPr>
        <w:tblLayout w:type="fixed"/>
        <w:tblInd w:w="8" w:type="dxa"/>
        <w:tblCellMar>
          <w:top w:w="0" w:type="dxa"/>
          <w:left w:w="0" w:type="dxa"/>
          <w:bottom w:w="0" w:type="dxa"/>
          <w:right w:w="0" w:type="dxa"/>
        </w:tblCellMar>
      </w:tblPr>
      <w:tr>
        <w:trPr>
          <w:trHeight w:val="172"/>
        </w:trPr>
        <w:tc>
          <w:tcPr>
            <w:tcW w:w="7620" w:type="dxa"/>
            <w:vAlign w:val="bottom"/>
            <w:gridSpan w:val="2"/>
          </w:tcPr>
          <w:p>
            <w:pPr>
              <w:spacing w:after="0"/>
              <w:rPr>
                <w:rFonts w:ascii="Arial" w:cs="Arial" w:eastAsia="Arial" w:hAnsi="Arial"/>
                <w:sz w:val="15"/>
                <w:szCs w:val="15"/>
                <w:i w:val="1"/>
                <w:iCs w:val="1"/>
                <w:color w:val="0000FF"/>
              </w:rPr>
            </w:pPr>
            <w:hyperlink w:anchor="page1">
              <w:r>
                <w:rPr>
                  <w:rFonts w:ascii="Arial" w:cs="Arial" w:eastAsia="Arial" w:hAnsi="Arial"/>
                  <w:sz w:val="15"/>
                  <w:szCs w:val="15"/>
                  <w:i w:val="1"/>
                  <w:iCs w:val="1"/>
                  <w:color w:val="0000FF"/>
                </w:rPr>
                <w:t>Index</w:t>
              </w:r>
            </w:hyperlink>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668"/>
        </w:trPr>
        <w:tc>
          <w:tcPr>
            <w:tcW w:w="340" w:type="dxa"/>
            <w:vAlign w:val="bottom"/>
            <w:tcBorders>
              <w:top w:val="single" w:sz="8" w:color="0000FF"/>
            </w:tcBorders>
          </w:tcPr>
          <w:p>
            <w:pPr>
              <w:spacing w:after="0"/>
              <w:rPr>
                <w:sz w:val="24"/>
                <w:szCs w:val="24"/>
                <w:color w:val="auto"/>
              </w:rPr>
            </w:pPr>
          </w:p>
        </w:tc>
        <w:tc>
          <w:tcPr>
            <w:tcW w:w="7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color w:val="auto"/>
              </w:rPr>
              <w:t>Year Ended</w:t>
            </w:r>
          </w:p>
        </w:tc>
      </w:tr>
      <w:tr>
        <w:trPr>
          <w:trHeight w:val="186"/>
        </w:trPr>
        <w:tc>
          <w:tcPr>
            <w:tcW w:w="340" w:type="dxa"/>
            <w:vAlign w:val="bottom"/>
            <w:tcBorders>
              <w:bottom w:val="single" w:sz="8" w:color="CCEEFF"/>
            </w:tcBorders>
          </w:tcPr>
          <w:p>
            <w:pPr>
              <w:spacing w:after="0"/>
              <w:rPr>
                <w:sz w:val="16"/>
                <w:szCs w:val="16"/>
                <w:color w:val="auto"/>
              </w:rPr>
            </w:pPr>
          </w:p>
        </w:tc>
        <w:tc>
          <w:tcPr>
            <w:tcW w:w="7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97"/>
              </w:rPr>
              <w:t>December 31, 2020</w:t>
            </w:r>
          </w:p>
        </w:tc>
      </w:tr>
      <w:tr>
        <w:trPr>
          <w:trHeight w:val="186"/>
        </w:trPr>
        <w:tc>
          <w:tcPr>
            <w:tcW w:w="7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Weighted-average grant date price of our common stock (per share)</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12.94</w:t>
            </w:r>
          </w:p>
        </w:tc>
      </w:tr>
      <w:tr>
        <w:trPr>
          <w:trHeight w:val="195"/>
        </w:trPr>
        <w:tc>
          <w:tcPr>
            <w:tcW w:w="7620" w:type="dxa"/>
            <w:vAlign w:val="bottom"/>
            <w:gridSpan w:val="2"/>
          </w:tcPr>
          <w:p>
            <w:pPr>
              <w:spacing w:after="0"/>
              <w:rPr>
                <w:sz w:val="20"/>
                <w:szCs w:val="20"/>
                <w:color w:val="auto"/>
              </w:rPr>
            </w:pPr>
            <w:r>
              <w:rPr>
                <w:rFonts w:ascii="Arial" w:cs="Arial" w:eastAsia="Arial" w:hAnsi="Arial"/>
                <w:sz w:val="15"/>
                <w:szCs w:val="15"/>
                <w:color w:val="auto"/>
              </w:rPr>
              <w:t>Weighted-average expected volatility</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45.2 %</w:t>
            </w:r>
          </w:p>
        </w:tc>
      </w:tr>
      <w:tr>
        <w:trPr>
          <w:trHeight w:val="195"/>
        </w:trPr>
        <w:tc>
          <w:tcPr>
            <w:tcW w:w="7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Weighted-average risk-free interest rate</w:t>
            </w: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0.5 %</w:t>
            </w:r>
          </w:p>
        </w:tc>
      </w:tr>
      <w:tr>
        <w:trPr>
          <w:trHeight w:val="195"/>
        </w:trPr>
        <w:tc>
          <w:tcPr>
            <w:tcW w:w="7620" w:type="dxa"/>
            <w:vAlign w:val="bottom"/>
            <w:gridSpan w:val="2"/>
          </w:tcPr>
          <w:p>
            <w:pPr>
              <w:spacing w:after="0"/>
              <w:rPr>
                <w:sz w:val="20"/>
                <w:szCs w:val="20"/>
                <w:color w:val="auto"/>
              </w:rPr>
            </w:pPr>
            <w:r>
              <w:rPr>
                <w:rFonts w:ascii="Arial" w:cs="Arial" w:eastAsia="Arial" w:hAnsi="Arial"/>
                <w:sz w:val="15"/>
                <w:szCs w:val="15"/>
                <w:color w:val="auto"/>
              </w:rPr>
              <w:t>Expected term (in years)</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6.25</w:t>
            </w:r>
          </w:p>
        </w:tc>
      </w:tr>
      <w:tr>
        <w:trPr>
          <w:trHeight w:val="195"/>
        </w:trPr>
        <w:tc>
          <w:tcPr>
            <w:tcW w:w="7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Expected dividend yield</w:t>
            </w: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0.0 %</w:t>
            </w:r>
          </w:p>
        </w:tc>
      </w:tr>
    </w:tbl>
    <w:p>
      <w:pPr>
        <w:spacing w:after="0" w:line="276" w:lineRule="exact"/>
        <w:rPr>
          <w:sz w:val="20"/>
          <w:szCs w:val="20"/>
          <w:color w:val="auto"/>
        </w:rPr>
      </w:pPr>
    </w:p>
    <w:p>
      <w:pPr>
        <w:jc w:val="both"/>
        <w:ind w:left="8"/>
        <w:spacing w:after="0" w:line="285" w:lineRule="auto"/>
        <w:rPr>
          <w:sz w:val="20"/>
          <w:szCs w:val="20"/>
          <w:color w:val="auto"/>
        </w:rPr>
      </w:pPr>
      <w:r>
        <w:rPr>
          <w:rFonts w:ascii="Arial" w:cs="Arial" w:eastAsia="Arial" w:hAnsi="Arial"/>
          <w:sz w:val="14"/>
          <w:szCs w:val="14"/>
          <w:color w:val="auto"/>
        </w:rPr>
        <w:t>Share-based compensation is recognized as an expense on a straight-line basis over the requisite service period, which is generally the vesting period. The stock options issued under the Plans have 10-year terms and generally vest in four equal annual installments beginning one year after the date of the grant. The Company recognized compensation expense for stock options of approximately $2.4 million, $2.8 million and $2.6 million for the years ended December 31, 2021, 2020 and 2019, respectively, which is included in salaries and benefits in the consolidated statements of income and comprehensive income. As of December 31, 2021, there were 1.9 million outstanding stock options awarded under the Plans and unrecognized compensation expense of approximately $2.9 million is expected to be recognized over a weighted-average period of 1.3 years.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5"/>
          <w:szCs w:val="15"/>
          <w:color w:val="auto"/>
        </w:rPr>
        <w:t>A summary of the stock option activity during the year ended December 31, 2021 is presented below:</w:t>
      </w:r>
    </w:p>
    <w:p>
      <w:pPr>
        <w:spacing w:after="0" w:line="2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3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60"/>
              <w:spacing w:after="0"/>
              <w:rPr>
                <w:sz w:val="20"/>
                <w:szCs w:val="20"/>
                <w:color w:val="auto"/>
              </w:rPr>
            </w:pPr>
            <w:r>
              <w:rPr>
                <w:rFonts w:ascii="Arial" w:cs="Arial" w:eastAsia="Arial" w:hAnsi="Arial"/>
                <w:sz w:val="15"/>
                <w:szCs w:val="15"/>
                <w:color w:val="auto"/>
                <w:w w:val="90"/>
              </w:rPr>
              <w:t>Weighted-Average</w:t>
            </w:r>
          </w:p>
        </w:tc>
        <w:tc>
          <w:tcPr>
            <w:tcW w:w="80" w:type="dxa"/>
            <w:vAlign w:val="bottom"/>
          </w:tcPr>
          <w:p>
            <w:pPr>
              <w:spacing w:after="0"/>
              <w:rPr>
                <w:sz w:val="14"/>
                <w:szCs w:val="14"/>
                <w:color w:val="auto"/>
              </w:rPr>
            </w:pPr>
          </w:p>
        </w:tc>
        <w:tc>
          <w:tcPr>
            <w:tcW w:w="1240" w:type="dxa"/>
            <w:vAlign w:val="bottom"/>
            <w:vMerge w:val="restart"/>
          </w:tcPr>
          <w:p>
            <w:pPr>
              <w:jc w:val="center"/>
              <w:ind w:right="24"/>
              <w:spacing w:after="0"/>
              <w:rPr>
                <w:sz w:val="20"/>
                <w:szCs w:val="20"/>
                <w:color w:val="auto"/>
              </w:rPr>
            </w:pPr>
            <w:r>
              <w:rPr>
                <w:rFonts w:ascii="Arial" w:cs="Arial" w:eastAsia="Arial" w:hAnsi="Arial"/>
                <w:sz w:val="15"/>
                <w:szCs w:val="15"/>
                <w:color w:val="auto"/>
                <w:w w:val="91"/>
              </w:rPr>
              <w:t>Weighted-Average</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320" w:type="dxa"/>
            <w:vAlign w:val="bottom"/>
            <w:vMerge w:val="restart"/>
          </w:tcPr>
          <w:p>
            <w:pPr>
              <w:jc w:val="right"/>
              <w:ind w:right="244"/>
              <w:spacing w:after="0"/>
              <w:rPr>
                <w:sz w:val="20"/>
                <w:szCs w:val="20"/>
                <w:color w:val="auto"/>
              </w:rPr>
            </w:pPr>
            <w:r>
              <w:rPr>
                <w:rFonts w:ascii="Arial" w:cs="Arial" w:eastAsia="Arial" w:hAnsi="Arial"/>
                <w:sz w:val="15"/>
                <w:szCs w:val="15"/>
                <w:color w:val="auto"/>
              </w:rPr>
              <w:t>Number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vMerge w:val="restart"/>
          </w:tcPr>
          <w:p>
            <w:pPr>
              <w:spacing w:after="0"/>
              <w:rPr>
                <w:sz w:val="20"/>
                <w:szCs w:val="20"/>
                <w:color w:val="auto"/>
              </w:rPr>
            </w:pPr>
            <w:r>
              <w:rPr>
                <w:rFonts w:ascii="Arial" w:cs="Arial" w:eastAsia="Arial" w:hAnsi="Arial"/>
                <w:sz w:val="15"/>
                <w:szCs w:val="15"/>
                <w:color w:val="auto"/>
              </w:rPr>
              <w:t>Weighted-Average</w:t>
            </w: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5"/>
                <w:szCs w:val="15"/>
                <w:color w:val="auto"/>
                <w:w w:val="94"/>
              </w:rPr>
              <w:t>Remaining</w:t>
            </w:r>
          </w:p>
        </w:tc>
        <w:tc>
          <w:tcPr>
            <w:tcW w:w="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5"/>
                <w:szCs w:val="15"/>
                <w:color w:val="auto"/>
                <w:w w:val="93"/>
              </w:rPr>
              <w:t>Contractual</w:t>
            </w:r>
          </w:p>
        </w:tc>
        <w:tc>
          <w:tcPr>
            <w:tcW w:w="80" w:type="dxa"/>
            <w:vAlign w:val="bottom"/>
          </w:tcPr>
          <w:p>
            <w:pPr>
              <w:spacing w:after="0"/>
              <w:rPr>
                <w:sz w:val="12"/>
                <w:szCs w:val="12"/>
                <w:color w:val="auto"/>
              </w:rPr>
            </w:pPr>
          </w:p>
        </w:tc>
        <w:tc>
          <w:tcPr>
            <w:tcW w:w="1240" w:type="dxa"/>
            <w:vAlign w:val="bottom"/>
          </w:tcPr>
          <w:p>
            <w:pPr>
              <w:jc w:val="center"/>
              <w:ind w:right="4"/>
              <w:spacing w:after="0" w:line="149" w:lineRule="exact"/>
              <w:rPr>
                <w:sz w:val="20"/>
                <w:szCs w:val="20"/>
                <w:color w:val="auto"/>
              </w:rPr>
            </w:pPr>
            <w:r>
              <w:rPr>
                <w:rFonts w:ascii="Arial" w:cs="Arial" w:eastAsia="Arial" w:hAnsi="Arial"/>
                <w:sz w:val="15"/>
                <w:szCs w:val="15"/>
                <w:color w:val="auto"/>
                <w:w w:val="92"/>
              </w:rPr>
              <w:t>Grant Date</w:t>
            </w:r>
          </w:p>
        </w:tc>
        <w:tc>
          <w:tcPr>
            <w:tcW w:w="0" w:type="dxa"/>
            <w:vAlign w:val="bottom"/>
          </w:tcPr>
          <w:p>
            <w:pPr>
              <w:spacing w:after="0"/>
              <w:rPr>
                <w:sz w:val="1"/>
                <w:szCs w:val="1"/>
                <w:color w:val="auto"/>
              </w:rPr>
            </w:pPr>
          </w:p>
        </w:tc>
      </w:tr>
      <w:tr>
        <w:trPr>
          <w:trHeight w:val="197"/>
        </w:trPr>
        <w:tc>
          <w:tcPr>
            <w:tcW w:w="38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rPr>
              <w:t>Options</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Exercise Price</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0"/>
              </w:rPr>
              <w:t>Term (Years)</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24"/>
              <w:spacing w:after="0"/>
              <w:rPr>
                <w:sz w:val="20"/>
                <w:szCs w:val="20"/>
                <w:color w:val="auto"/>
              </w:rPr>
            </w:pPr>
            <w:r>
              <w:rPr>
                <w:rFonts w:ascii="Arial" w:cs="Arial" w:eastAsia="Arial" w:hAnsi="Arial"/>
                <w:sz w:val="15"/>
                <w:szCs w:val="15"/>
                <w:color w:val="auto"/>
                <w:w w:val="90"/>
              </w:rPr>
              <w:t>Fair Value</w:t>
            </w:r>
          </w:p>
        </w:tc>
        <w:tc>
          <w:tcPr>
            <w:tcW w:w="0" w:type="dxa"/>
            <w:vAlign w:val="bottom"/>
          </w:tcPr>
          <w:p>
            <w:pPr>
              <w:spacing w:after="0"/>
              <w:rPr>
                <w:sz w:val="1"/>
                <w:szCs w:val="1"/>
                <w:color w:val="auto"/>
              </w:rPr>
            </w:pPr>
          </w:p>
        </w:tc>
      </w:tr>
      <w:tr>
        <w:trPr>
          <w:trHeight w:val="195"/>
        </w:trPr>
        <w:tc>
          <w:tcPr>
            <w:tcW w:w="3880" w:type="dxa"/>
            <w:vAlign w:val="bottom"/>
            <w:shd w:val="clear" w:color="auto" w:fill="CCEEFF"/>
          </w:tcPr>
          <w:p>
            <w:pPr>
              <w:spacing w:after="0"/>
              <w:rPr>
                <w:sz w:val="20"/>
                <w:szCs w:val="20"/>
                <w:color w:val="auto"/>
              </w:rPr>
            </w:pPr>
            <w:r>
              <w:rPr>
                <w:rFonts w:ascii="Arial" w:cs="Arial" w:eastAsia="Arial" w:hAnsi="Arial"/>
                <w:sz w:val="15"/>
                <w:szCs w:val="15"/>
                <w:color w:val="auto"/>
              </w:rPr>
              <w:t>Outstanding at December 31, 2020</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2,714,902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10.97</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4.03</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20"/>
                <w:szCs w:val="20"/>
                <w:color w:val="auto"/>
              </w:rPr>
            </w:pPr>
            <w:r>
              <w:rPr>
                <w:rFonts w:ascii="Arial" w:cs="Arial" w:eastAsia="Arial" w:hAnsi="Arial"/>
                <w:sz w:val="15"/>
                <w:szCs w:val="15"/>
                <w:color w:val="auto"/>
              </w:rPr>
              <w:t>Granted</w:t>
            </w: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3880" w:type="dxa"/>
            <w:vAlign w:val="bottom"/>
            <w:shd w:val="clear" w:color="auto" w:fill="CCEEFF"/>
          </w:tcPr>
          <w:p>
            <w:pPr>
              <w:spacing w:after="0" w:line="195" w:lineRule="exact"/>
              <w:rPr>
                <w:sz w:val="20"/>
                <w:szCs w:val="20"/>
                <w:color w:val="auto"/>
              </w:rPr>
            </w:pPr>
            <w:r>
              <w:rPr>
                <w:rFonts w:ascii="Arial" w:cs="Arial" w:eastAsia="Arial" w:hAnsi="Arial"/>
                <w:sz w:val="15"/>
                <w:szCs w:val="15"/>
                <w:color w:val="auto"/>
              </w:rPr>
              <w:t>Exercised</w:t>
            </w:r>
            <w:r>
              <w:rPr>
                <w:rFonts w:ascii="Arial" w:cs="Arial" w:eastAsia="Arial" w:hAnsi="Arial"/>
                <w:sz w:val="19"/>
                <w:szCs w:val="19"/>
                <w:color w:val="auto"/>
                <w:vertAlign w:val="superscript"/>
              </w:rPr>
              <w:t>(1)</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(691,090)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9.93</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3.54</w:t>
            </w:r>
          </w:p>
        </w:tc>
        <w:tc>
          <w:tcPr>
            <w:tcW w:w="0" w:type="dxa"/>
            <w:vAlign w:val="bottom"/>
          </w:tcPr>
          <w:p>
            <w:pPr>
              <w:spacing w:after="0"/>
              <w:rPr>
                <w:sz w:val="1"/>
                <w:szCs w:val="1"/>
                <w:color w:val="auto"/>
              </w:rPr>
            </w:pPr>
          </w:p>
        </w:tc>
      </w:tr>
      <w:tr>
        <w:trPr>
          <w:trHeight w:val="195"/>
        </w:trPr>
        <w:tc>
          <w:tcPr>
            <w:tcW w:w="38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(125,125)</w:t>
            </w:r>
          </w:p>
        </w:tc>
        <w:tc>
          <w:tcPr>
            <w:tcW w:w="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CCEEFF"/>
            </w:tcBorders>
          </w:tcPr>
          <w:p>
            <w:pPr>
              <w:jc w:val="right"/>
              <w:ind w:right="4"/>
              <w:spacing w:after="0"/>
              <w:rPr>
                <w:sz w:val="20"/>
                <w:szCs w:val="20"/>
                <w:color w:val="auto"/>
              </w:rPr>
            </w:pPr>
            <w:r>
              <w:rPr>
                <w:rFonts w:ascii="Arial" w:cs="Arial" w:eastAsia="Arial" w:hAnsi="Arial"/>
                <w:sz w:val="15"/>
                <w:szCs w:val="15"/>
                <w:color w:val="auto"/>
              </w:rPr>
              <w:t>12.59</w:t>
            </w:r>
          </w:p>
        </w:tc>
        <w:tc>
          <w:tcPr>
            <w:tcW w:w="8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5.85</w:t>
            </w:r>
          </w:p>
        </w:tc>
        <w:tc>
          <w:tcPr>
            <w:tcW w:w="0" w:type="dxa"/>
            <w:vAlign w:val="bottom"/>
          </w:tcPr>
          <w:p>
            <w:pPr>
              <w:spacing w:after="0"/>
              <w:rPr>
                <w:sz w:val="1"/>
                <w:szCs w:val="1"/>
                <w:color w:val="auto"/>
              </w:rPr>
            </w:pPr>
          </w:p>
        </w:tc>
      </w:tr>
      <w:tr>
        <w:trPr>
          <w:trHeight w:val="211"/>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Outstanding at December 31, 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1,898,687</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11.24</w:t>
            </w:r>
          </w:p>
        </w:tc>
        <w:tc>
          <w:tcPr>
            <w:tcW w:w="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7.11</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4.17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8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880" w:type="dxa"/>
            <w:vAlign w:val="bottom"/>
            <w:tcBorders>
              <w:bottom w:val="single" w:sz="8" w:color="CCEEFF"/>
            </w:tcBorders>
            <w:shd w:val="clear" w:color="auto" w:fill="CCEEFF"/>
          </w:tcPr>
          <w:p>
            <w:pPr>
              <w:spacing w:after="0" w:line="186" w:lineRule="exact"/>
              <w:rPr>
                <w:sz w:val="20"/>
                <w:szCs w:val="20"/>
                <w:color w:val="auto"/>
              </w:rPr>
            </w:pPr>
            <w:r>
              <w:rPr>
                <w:rFonts w:ascii="Arial" w:cs="Arial" w:eastAsia="Arial" w:hAnsi="Arial"/>
                <w:sz w:val="15"/>
                <w:szCs w:val="15"/>
                <w:color w:val="auto"/>
              </w:rPr>
              <w:t>Exercisable at December 31, 2021</w:t>
            </w:r>
            <w:r>
              <w:rPr>
                <w:rFonts w:ascii="Arial" w:cs="Arial" w:eastAsia="Arial" w:hAnsi="Arial"/>
                <w:sz w:val="19"/>
                <w:szCs w:val="19"/>
                <w:color w:val="auto"/>
                <w:vertAlign w:val="superscript"/>
              </w:rPr>
              <w:t>(2)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1,061,086</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10.76</w:t>
            </w:r>
          </w:p>
        </w:tc>
        <w:tc>
          <w:tcPr>
            <w:tcW w:w="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6.87</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148" w:hanging="148"/>
        <w:spacing w:after="0"/>
        <w:tabs>
          <w:tab w:leader="none" w:pos="148"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The aggregate intrinsic value of stock options exercised during the year ended December 31, 2021 was $4.7 million.</w:t>
      </w:r>
    </w:p>
    <w:p>
      <w:pPr>
        <w:spacing w:after="0" w:line="1" w:lineRule="exact"/>
        <w:rPr>
          <w:rFonts w:ascii="Arial" w:cs="Arial" w:eastAsia="Arial" w:hAnsi="Arial"/>
          <w:sz w:val="18"/>
          <w:szCs w:val="18"/>
          <w:color w:val="auto"/>
          <w:vertAlign w:val="superscript"/>
        </w:rPr>
      </w:pPr>
    </w:p>
    <w:p>
      <w:pPr>
        <w:ind w:left="148" w:hanging="148"/>
        <w:spacing w:after="0" w:line="211" w:lineRule="auto"/>
        <w:tabs>
          <w:tab w:leader="none" w:pos="148"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The aggregate fair value of all vested/exercisable options outstanding as of December 31, 2021 was $4.1 million.</w:t>
      </w:r>
    </w:p>
    <w:p>
      <w:pPr>
        <w:spacing w:after="0" w:line="196" w:lineRule="exact"/>
        <w:rPr>
          <w:sz w:val="20"/>
          <w:szCs w:val="20"/>
          <w:color w:val="auto"/>
        </w:rPr>
      </w:pPr>
    </w:p>
    <w:p>
      <w:pPr>
        <w:ind w:left="8"/>
        <w:spacing w:after="0"/>
        <w:rPr>
          <w:sz w:val="20"/>
          <w:szCs w:val="20"/>
          <w:color w:val="auto"/>
        </w:rPr>
      </w:pPr>
      <w:r>
        <w:rPr>
          <w:rFonts w:ascii="Arial" w:cs="Arial" w:eastAsia="Arial" w:hAnsi="Arial"/>
          <w:sz w:val="15"/>
          <w:szCs w:val="15"/>
          <w:u w:val="single" w:color="auto"/>
          <w:color w:val="auto"/>
        </w:rPr>
        <w:t>Restricted Stock Units</w:t>
      </w:r>
    </w:p>
    <w:p>
      <w:pPr>
        <w:spacing w:after="0" w:line="218" w:lineRule="exact"/>
        <w:rPr>
          <w:sz w:val="20"/>
          <w:szCs w:val="20"/>
          <w:color w:val="auto"/>
        </w:rPr>
      </w:pPr>
    </w:p>
    <w:p>
      <w:pPr>
        <w:jc w:val="both"/>
        <w:ind w:left="8"/>
        <w:spacing w:after="0" w:line="262" w:lineRule="auto"/>
        <w:rPr>
          <w:sz w:val="20"/>
          <w:szCs w:val="20"/>
          <w:color w:val="auto"/>
        </w:rPr>
      </w:pPr>
      <w:r>
        <w:rPr>
          <w:rFonts w:ascii="Arial" w:cs="Arial" w:eastAsia="Arial" w:hAnsi="Arial"/>
          <w:sz w:val="15"/>
          <w:szCs w:val="15"/>
          <w:color w:val="auto"/>
        </w:rPr>
        <w:t>The RSUs granted under the Plans to the Company’s employees generally vest in four equal annual installments beginning one year after the date of the grant, while RSUs issued to the Company’s independent directors vest on the one-year anniversary from the grant date. The Company recognized compensation expense for all RSUs of approximately $1.2 million, $0.4 million and $0.2 million for the years ended December 31, 2021, 2020 and 2019, respectively, which is included in salaries and benefits in the consolidated statements of income and comprehensive income. As of December 31, 2021, unrecognized compensation expense of approximately $2.8 million is expected to be recognized over a weighted-average period of 1.9 years.</w:t>
      </w:r>
    </w:p>
    <w:p>
      <w:pPr>
        <w:spacing w:after="0" w:line="2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78040"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16" w:right="319" w:bottom="1440" w:gutter="0" w:footer="0" w:header="0"/>
        </w:sectPr>
      </w:pPr>
    </w:p>
    <w:bookmarkStart w:id="65" w:name="page66"/>
    <w:bookmarkEnd w:id="65"/>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color w:val="auto"/>
        </w:rPr>
        <w:t>A summary of the RSU grant activity during the year ended December 31, 2021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268605</wp:posOffset>
            </wp:positionV>
            <wp:extent cx="5995035" cy="1308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95035" cy="13081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Outstanding (nonvested) at December 31, 2020</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5995035" cy="1238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95035" cy="12382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Vested (and settled)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5995035"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95035" cy="14541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Outstanding (nonvested) at December 31, 2021</w:t>
      </w:r>
    </w:p>
    <w:p>
      <w:pPr>
        <w:spacing w:after="0" w:line="32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Share Awards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320" w:type="dxa"/>
            <w:vAlign w:val="bottom"/>
          </w:tcPr>
          <w:p>
            <w:pPr>
              <w:jc w:val="right"/>
              <w:ind w:right="84"/>
              <w:spacing w:after="0"/>
              <w:rPr>
                <w:sz w:val="20"/>
                <w:szCs w:val="20"/>
                <w:color w:val="auto"/>
              </w:rPr>
            </w:pPr>
            <w:r>
              <w:rPr>
                <w:rFonts w:ascii="Arial" w:cs="Arial" w:eastAsia="Arial" w:hAnsi="Arial"/>
                <w:sz w:val="15"/>
                <w:szCs w:val="15"/>
                <w:color w:val="auto"/>
              </w:rPr>
              <w:t>Number of RSU</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ind w:right="24"/>
              <w:spacing w:after="0"/>
              <w:rPr>
                <w:sz w:val="20"/>
                <w:szCs w:val="20"/>
                <w:color w:val="auto"/>
              </w:rPr>
            </w:pPr>
            <w:r>
              <w:rPr>
                <w:rFonts w:ascii="Arial" w:cs="Arial" w:eastAsia="Arial" w:hAnsi="Arial"/>
                <w:sz w:val="15"/>
                <w:szCs w:val="15"/>
                <w:color w:val="auto"/>
                <w:w w:val="90"/>
              </w:rPr>
              <w:t>Weighted-Average</w:t>
            </w:r>
          </w:p>
        </w:tc>
      </w:tr>
      <w:tr>
        <w:trPr>
          <w:trHeight w:val="197"/>
        </w:trPr>
        <w:tc>
          <w:tcPr>
            <w:tcW w:w="132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rPr>
              <w:t>awards</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Grant Price</w:t>
            </w:r>
          </w:p>
        </w:tc>
      </w:tr>
      <w:tr>
        <w:trPr>
          <w:trHeight w:val="195"/>
        </w:trPr>
        <w:tc>
          <w:tcPr>
            <w:tcW w:w="1320" w:type="dxa"/>
            <w:vAlign w:val="bottom"/>
          </w:tcPr>
          <w:p>
            <w:pPr>
              <w:jc w:val="right"/>
              <w:spacing w:after="0"/>
              <w:rPr>
                <w:sz w:val="20"/>
                <w:szCs w:val="20"/>
                <w:color w:val="auto"/>
              </w:rPr>
            </w:pPr>
            <w:r>
              <w:rPr>
                <w:rFonts w:ascii="Arial" w:cs="Arial" w:eastAsia="Arial" w:hAnsi="Arial"/>
                <w:sz w:val="15"/>
                <w:szCs w:val="15"/>
                <w:color w:val="auto"/>
              </w:rPr>
              <w:t>40,881</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13.38</w:t>
            </w:r>
          </w:p>
        </w:tc>
      </w:tr>
      <w:tr>
        <w:trPr>
          <w:trHeight w:val="195"/>
        </w:trPr>
        <w:tc>
          <w:tcPr>
            <w:tcW w:w="1320" w:type="dxa"/>
            <w:vAlign w:val="bottom"/>
          </w:tcPr>
          <w:p>
            <w:pPr>
              <w:jc w:val="right"/>
              <w:spacing w:after="0"/>
              <w:rPr>
                <w:sz w:val="20"/>
                <w:szCs w:val="20"/>
                <w:color w:val="auto"/>
              </w:rPr>
            </w:pPr>
            <w:r>
              <w:rPr>
                <w:rFonts w:ascii="Arial" w:cs="Arial" w:eastAsia="Arial" w:hAnsi="Arial"/>
                <w:sz w:val="15"/>
                <w:szCs w:val="15"/>
                <w:color w:val="auto"/>
              </w:rPr>
              <w:t>290,783</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15.02</w:t>
            </w:r>
          </w:p>
        </w:tc>
      </w:tr>
      <w:tr>
        <w:trPr>
          <w:trHeight w:val="195"/>
        </w:trPr>
        <w:tc>
          <w:tcPr>
            <w:tcW w:w="1320" w:type="dxa"/>
            <w:vAlign w:val="bottom"/>
          </w:tcPr>
          <w:p>
            <w:pPr>
              <w:jc w:val="right"/>
              <w:spacing w:after="0"/>
              <w:rPr>
                <w:sz w:val="20"/>
                <w:szCs w:val="20"/>
                <w:color w:val="auto"/>
              </w:rPr>
            </w:pPr>
            <w:r>
              <w:rPr>
                <w:rFonts w:ascii="Arial" w:cs="Arial" w:eastAsia="Arial" w:hAnsi="Arial"/>
                <w:sz w:val="15"/>
                <w:szCs w:val="15"/>
                <w:color w:val="auto"/>
              </w:rPr>
              <w:t>(47,728)</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14.11</w:t>
            </w:r>
          </w:p>
        </w:tc>
      </w:tr>
      <w:tr>
        <w:trPr>
          <w:trHeight w:val="198"/>
        </w:trPr>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(52,002)</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14.73</w:t>
            </w:r>
          </w:p>
        </w:tc>
      </w:tr>
      <w:tr>
        <w:trPr>
          <w:trHeight w:val="195"/>
        </w:trPr>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231,934</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14.99</w:t>
            </w: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648" w:lineRule="exact"/>
        <w:rPr>
          <w:sz w:val="20"/>
          <w:szCs w:val="20"/>
          <w:color w:val="auto"/>
        </w:rPr>
      </w:pPr>
    </w:p>
    <w:p>
      <w:pPr>
        <w:sectPr>
          <w:pgSz w:w="11900" w:h="16838" w:orient="portrait"/>
          <w:cols w:equalWidth="0" w:num="2">
            <w:col w:w="6100" w:space="600"/>
            <w:col w:w="4560"/>
          </w:cols>
          <w:pgMar w:left="320" w:top="129" w:right="319" w:bottom="1440" w:gutter="0" w:footer="0" w:header="0"/>
        </w:sectPr>
      </w:pPr>
    </w:p>
    <w:p>
      <w:pPr>
        <w:spacing w:after="0" w:line="1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Under the 2020 Plan and effective October 1, 2020, the Lead Independent Director and Chairs of the Committees of the Board of Directors are granted, in aggregate, $64.0 thousand in awards of fully vested shares of the Company’s common stock, payable on a quarterly basis at the end of each quarter in payment of fees earned in such capacities. During the year ended December 31, 2021, 4,133 fully vested shares were granted to the Lead Independent Director and Chairs of the Committees of the Board of Directors resulting in compensation expense of $64.0 thousand recognized and included in salaries and benefits in the consolidated statements of income and comprehensive income.</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Restricted Stock Awards</w:t>
      </w:r>
    </w:p>
    <w:p>
      <w:pPr>
        <w:spacing w:after="0" w:line="21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RSAs issued under the 2020 Plan to the Company’s employees generally vest in four equal annual installments beginning one year after the date of grant. The Company recognized compensation expense for RSAs granted of $258.6 thousand for the year ended December 31, 2021, which is included in salaries and benefits in the consolidated statements of income and comprehensive income. No compensation expense for RSAs was recognized for the years ended December 31, 2020 and 2019. As of December 31, 2021, there was $1.0 million of unrecognized compensation expense related to RSAs, which is expected to be recognized over a weighted-average period of 2.1 years.</w:t>
      </w:r>
    </w:p>
    <w:p>
      <w:pPr>
        <w:sectPr>
          <w:pgSz w:w="11900" w:h="16838" w:orient="portrait"/>
          <w:cols w:equalWidth="0" w:num="1">
            <w:col w:w="11260"/>
          </w:cols>
          <w:pgMar w:left="320" w:top="129" w:right="319"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A summary of the RSA activity during the year ended December 31, 2021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268605</wp:posOffset>
            </wp:positionV>
            <wp:extent cx="5995035" cy="1308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95035" cy="13081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Outstanding (nonvested) at December 31, 2020</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5995035" cy="1238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95035" cy="12382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Vested (and settled)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5995035"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95035" cy="14541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Outstanding (nonvested) at December 31, 2021</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320" w:type="dxa"/>
            <w:vAlign w:val="bottom"/>
            <w:vMerge w:val="restart"/>
          </w:tcPr>
          <w:p>
            <w:pPr>
              <w:jc w:val="right"/>
              <w:ind w:right="44"/>
              <w:spacing w:after="0"/>
              <w:rPr>
                <w:sz w:val="20"/>
                <w:szCs w:val="20"/>
                <w:color w:val="auto"/>
              </w:rPr>
            </w:pPr>
            <w:r>
              <w:rPr>
                <w:rFonts w:ascii="Arial" w:cs="Arial" w:eastAsia="Arial" w:hAnsi="Arial"/>
                <w:sz w:val="15"/>
                <w:szCs w:val="15"/>
                <w:color w:val="auto"/>
              </w:rPr>
              <w:t>Number of RSAs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ind w:right="24"/>
              <w:spacing w:after="0"/>
              <w:rPr>
                <w:sz w:val="20"/>
                <w:szCs w:val="20"/>
                <w:color w:val="auto"/>
              </w:rPr>
            </w:pPr>
            <w:r>
              <w:rPr>
                <w:rFonts w:ascii="Arial" w:cs="Arial" w:eastAsia="Arial" w:hAnsi="Arial"/>
                <w:sz w:val="15"/>
                <w:szCs w:val="15"/>
                <w:color w:val="auto"/>
                <w:w w:val="90"/>
              </w:rPr>
              <w:t>Weighted-Average</w:t>
            </w:r>
          </w:p>
        </w:tc>
        <w:tc>
          <w:tcPr>
            <w:tcW w:w="0" w:type="dxa"/>
            <w:vAlign w:val="bottom"/>
          </w:tcPr>
          <w:p>
            <w:pPr>
              <w:spacing w:after="0"/>
              <w:rPr>
                <w:sz w:val="1"/>
                <w:szCs w:val="1"/>
                <w:color w:val="auto"/>
              </w:rPr>
            </w:pPr>
          </w:p>
        </w:tc>
      </w:tr>
      <w:tr>
        <w:trPr>
          <w:trHeight w:val="197"/>
        </w:trPr>
        <w:tc>
          <w:tcPr>
            <w:tcW w:w="13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Grant Price</w:t>
            </w:r>
          </w:p>
        </w:tc>
        <w:tc>
          <w:tcPr>
            <w:tcW w:w="0" w:type="dxa"/>
            <w:vAlign w:val="bottom"/>
          </w:tcPr>
          <w:p>
            <w:pPr>
              <w:spacing w:after="0"/>
              <w:rPr>
                <w:sz w:val="1"/>
                <w:szCs w:val="1"/>
                <w:color w:val="auto"/>
              </w:rPr>
            </w:pPr>
          </w:p>
        </w:tc>
      </w:tr>
      <w:tr>
        <w:trPr>
          <w:trHeight w:val="195"/>
        </w:trPr>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1320" w:type="dxa"/>
            <w:vAlign w:val="bottom"/>
          </w:tcPr>
          <w:p>
            <w:pPr>
              <w:jc w:val="right"/>
              <w:spacing w:after="0"/>
              <w:rPr>
                <w:sz w:val="20"/>
                <w:szCs w:val="20"/>
                <w:color w:val="auto"/>
              </w:rPr>
            </w:pPr>
            <w:r>
              <w:rPr>
                <w:rFonts w:ascii="Arial" w:cs="Arial" w:eastAsia="Arial" w:hAnsi="Arial"/>
                <w:sz w:val="15"/>
                <w:szCs w:val="15"/>
                <w:color w:val="auto"/>
              </w:rPr>
              <w:t>88,215</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14.17</w:t>
            </w:r>
          </w:p>
        </w:tc>
        <w:tc>
          <w:tcPr>
            <w:tcW w:w="0" w:type="dxa"/>
            <w:vAlign w:val="bottom"/>
          </w:tcPr>
          <w:p>
            <w:pPr>
              <w:spacing w:after="0"/>
              <w:rPr>
                <w:sz w:val="1"/>
                <w:szCs w:val="1"/>
                <w:color w:val="auto"/>
              </w:rPr>
            </w:pPr>
          </w:p>
        </w:tc>
      </w:tr>
      <w:tr>
        <w:trPr>
          <w:trHeight w:val="195"/>
        </w:trPr>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88,215</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14.17</w:t>
            </w:r>
          </w:p>
        </w:tc>
        <w:tc>
          <w:tcPr>
            <w:tcW w:w="0" w:type="dxa"/>
            <w:vAlign w:val="bottom"/>
          </w:tcPr>
          <w:p>
            <w:pPr>
              <w:spacing w:after="0"/>
              <w:rPr>
                <w:sz w:val="1"/>
                <w:szCs w:val="1"/>
                <w:color w:val="auto"/>
              </w:rPr>
            </w:pP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80" w:space="720"/>
            <w:col w:w="4560"/>
          </w:cols>
          <w:pgMar w:left="320" w:top="129" w:right="319" w:bottom="1440" w:gutter="0" w:footer="0" w:header="0"/>
          <w:type w:val="continuous"/>
        </w:sectPr>
      </w:pP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Performance Stock Units</w:t>
      </w:r>
    </w:p>
    <w:p>
      <w:pPr>
        <w:spacing w:after="0" w:line="218"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PSUs granted under the 2020 Plan to the Company’s employees generally vest subject to attainment of performance criteria during the service period established by the Compensation Committee. Each PSU represents the right to receive one share of common stock, and the actual number of shares issuable upon vesting is determined based upon performance compared to financial performance targets. The PSUs vest based on the achievement of certain revenue targets for a period of two years combined with a service period of three years. Compensation cost is recognized over the requisite service period when it is probable that the performance condition will be satisfied. The Company recognized compensation expense for PSUs of $0.7 million for the year ended December 31, 2021, which is included in salaries and benefits in the consolidated statements of income and comprehensive income. There was no compensation expense for PSUs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type w:val="continuous"/>
        </w:sectPr>
      </w:pPr>
    </w:p>
    <w:bookmarkStart w:id="66" w:name="page67"/>
    <w:bookmarkEnd w:id="66"/>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40"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recognized for the years ended December 31, 2020 and 2019. As of December 31, 2021, there was $1.7 million of unrecognized compensation expense related to PSUs, which is expected to be recognized over a weighted-average period of 2.0 years.</w:t>
      </w:r>
    </w:p>
    <w:p>
      <w:pPr>
        <w:sectPr>
          <w:pgSz w:w="11900" w:h="16838" w:orient="portrait"/>
          <w:cols w:equalWidth="0" w:num="1">
            <w:col w:w="11260"/>
          </w:cols>
          <w:pgMar w:left="320" w:top="129" w:right="319" w:bottom="1440" w:gutter="0" w:footer="0" w:header="0"/>
        </w:sectPr>
      </w:pP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A summary of the PSU activity during the year ended December 31, 2021 is presented below:</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00" w:type="dxa"/>
            <w:vAlign w:val="bottom"/>
          </w:tcPr>
          <w:p>
            <w:pPr>
              <w:spacing w:after="0"/>
              <w:rPr>
                <w:sz w:val="17"/>
                <w:szCs w:val="17"/>
                <w:color w:val="auto"/>
              </w:rPr>
            </w:pPr>
          </w:p>
        </w:tc>
        <w:tc>
          <w:tcPr>
            <w:tcW w:w="13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Number of PSUs</w:t>
            </w:r>
          </w:p>
        </w:tc>
        <w:tc>
          <w:tcPr>
            <w:tcW w:w="0" w:type="dxa"/>
            <w:vAlign w:val="bottom"/>
          </w:tcPr>
          <w:p>
            <w:pPr>
              <w:spacing w:after="0"/>
              <w:rPr>
                <w:sz w:val="1"/>
                <w:szCs w:val="1"/>
                <w:color w:val="auto"/>
              </w:rPr>
            </w:pPr>
          </w:p>
        </w:tc>
      </w:tr>
      <w:tr>
        <w:trPr>
          <w:trHeight w:val="195"/>
        </w:trPr>
        <w:tc>
          <w:tcPr>
            <w:tcW w:w="5300" w:type="dxa"/>
            <w:vAlign w:val="bottom"/>
          </w:tcPr>
          <w:p>
            <w:pPr>
              <w:spacing w:after="0"/>
              <w:rPr>
                <w:sz w:val="20"/>
                <w:szCs w:val="20"/>
                <w:color w:val="auto"/>
              </w:rPr>
            </w:pPr>
            <w:r>
              <w:rPr>
                <w:rFonts w:ascii="Arial" w:cs="Arial" w:eastAsia="Arial" w:hAnsi="Arial"/>
                <w:sz w:val="15"/>
                <w:szCs w:val="15"/>
                <w:color w:val="auto"/>
              </w:rPr>
              <w:t>Outstanding (nonvested) at December 31, 2020</w:t>
            </w:r>
          </w:p>
        </w:tc>
        <w:tc>
          <w:tcPr>
            <w:tcW w:w="13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5300" w:type="dxa"/>
            <w:vAlign w:val="bottom"/>
          </w:tcPr>
          <w:p>
            <w:pPr>
              <w:spacing w:after="0"/>
              <w:rPr>
                <w:sz w:val="20"/>
                <w:szCs w:val="20"/>
                <w:color w:val="auto"/>
              </w:rPr>
            </w:pPr>
            <w:r>
              <w:rPr>
                <w:rFonts w:ascii="Arial" w:cs="Arial" w:eastAsia="Arial" w:hAnsi="Arial"/>
                <w:sz w:val="15"/>
                <w:szCs w:val="15"/>
                <w:color w:val="auto"/>
              </w:rPr>
              <w:t>Granted</w:t>
            </w:r>
          </w:p>
        </w:tc>
        <w:tc>
          <w:tcPr>
            <w:tcW w:w="1320" w:type="dxa"/>
            <w:vAlign w:val="bottom"/>
          </w:tcPr>
          <w:p>
            <w:pPr>
              <w:jc w:val="right"/>
              <w:ind w:right="4"/>
              <w:spacing w:after="0"/>
              <w:rPr>
                <w:sz w:val="20"/>
                <w:szCs w:val="20"/>
                <w:color w:val="auto"/>
              </w:rPr>
            </w:pPr>
            <w:r>
              <w:rPr>
                <w:rFonts w:ascii="Arial" w:cs="Arial" w:eastAsia="Arial" w:hAnsi="Arial"/>
                <w:sz w:val="15"/>
                <w:szCs w:val="15"/>
                <w:color w:val="auto"/>
              </w:rPr>
              <w:t>171,500</w:t>
            </w:r>
          </w:p>
        </w:tc>
        <w:tc>
          <w:tcPr>
            <w:tcW w:w="0" w:type="dxa"/>
            <w:vAlign w:val="bottom"/>
          </w:tcPr>
          <w:p>
            <w:pPr>
              <w:spacing w:after="0"/>
              <w:rPr>
                <w:sz w:val="1"/>
                <w:szCs w:val="1"/>
                <w:color w:val="auto"/>
              </w:rPr>
            </w:pPr>
          </w:p>
        </w:tc>
      </w:tr>
      <w:tr>
        <w:trPr>
          <w:trHeight w:val="195"/>
        </w:trPr>
        <w:tc>
          <w:tcPr>
            <w:tcW w:w="5300" w:type="dxa"/>
            <w:vAlign w:val="bottom"/>
          </w:tcPr>
          <w:p>
            <w:pPr>
              <w:spacing w:after="0"/>
              <w:rPr>
                <w:sz w:val="20"/>
                <w:szCs w:val="20"/>
                <w:color w:val="auto"/>
              </w:rPr>
            </w:pPr>
            <w:r>
              <w:rPr>
                <w:rFonts w:ascii="Arial" w:cs="Arial" w:eastAsia="Arial" w:hAnsi="Arial"/>
                <w:sz w:val="15"/>
                <w:szCs w:val="15"/>
                <w:color w:val="auto"/>
              </w:rPr>
              <w:t>Vested (and settled)</w:t>
            </w:r>
          </w:p>
        </w:tc>
        <w:tc>
          <w:tcPr>
            <w:tcW w:w="13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5300" w:type="dxa"/>
            <w:vAlign w:val="bottom"/>
          </w:tcPr>
          <w:p>
            <w:pPr>
              <w:spacing w:after="0"/>
              <w:rPr>
                <w:sz w:val="20"/>
                <w:szCs w:val="20"/>
                <w:color w:val="auto"/>
              </w:rPr>
            </w:pPr>
            <w:r>
              <w:rPr>
                <w:rFonts w:ascii="Arial" w:cs="Arial" w:eastAsia="Arial" w:hAnsi="Arial"/>
                <w:sz w:val="15"/>
                <w:szCs w:val="15"/>
                <w:color w:val="auto"/>
              </w:rPr>
              <w:t>Forfeited</w:t>
            </w:r>
          </w:p>
        </w:tc>
        <w:tc>
          <w:tcPr>
            <w:tcW w:w="13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5300" w:type="dxa"/>
            <w:vAlign w:val="bottom"/>
          </w:tcPr>
          <w:p>
            <w:pPr>
              <w:spacing w:after="0"/>
              <w:rPr>
                <w:sz w:val="20"/>
                <w:szCs w:val="20"/>
                <w:color w:val="auto"/>
              </w:rPr>
            </w:pPr>
            <w:r>
              <w:rPr>
                <w:rFonts w:ascii="Arial" w:cs="Arial" w:eastAsia="Arial" w:hAnsi="Arial"/>
                <w:sz w:val="15"/>
                <w:szCs w:val="15"/>
                <w:color w:val="auto"/>
              </w:rPr>
              <w:t>Outstanding (nonvested) at December 31, 2021</w:t>
            </w:r>
          </w:p>
        </w:tc>
        <w:tc>
          <w:tcPr>
            <w:tcW w:w="13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171,500</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5"/>
                <w:szCs w:val="15"/>
                <w:color w:val="auto"/>
              </w:rPr>
              <w:t xml:space="preserve">NOTE 13 </w:t>
            </w:r>
            <w:r>
              <w:rPr>
                <w:rFonts w:ascii="Arial" w:cs="Arial" w:eastAsia="Arial" w:hAnsi="Arial"/>
                <w:sz w:val="15"/>
                <w:szCs w:val="15"/>
                <w:b w:val="1"/>
                <w:bCs w:val="1"/>
                <w:i w:val="1"/>
                <w:iCs w:val="1"/>
                <w:color w:val="auto"/>
              </w:rPr>
              <w:t>–</w:t>
            </w:r>
            <w:r>
              <w:rPr>
                <w:rFonts w:ascii="Arial" w:cs="Arial" w:eastAsia="Arial" w:hAnsi="Arial"/>
                <w:sz w:val="15"/>
                <w:szCs w:val="15"/>
                <w:color w:val="auto"/>
              </w:rPr>
              <w:t xml:space="preserve"> EQUITY</w:t>
            </w: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530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-968375</wp:posOffset>
            </wp:positionV>
            <wp:extent cx="5995035" cy="1308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95035" cy="13081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-713105</wp:posOffset>
            </wp:positionV>
            <wp:extent cx="5995035" cy="1238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95035" cy="1238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-458470</wp:posOffset>
            </wp:positionV>
            <wp:extent cx="5995035"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9503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420" w:type="dxa"/>
            <w:vAlign w:val="bottom"/>
            <w:gridSpan w:val="2"/>
          </w:tcPr>
          <w:p>
            <w:pPr>
              <w:jc w:val="center"/>
              <w:ind w:right="80"/>
              <w:spacing w:after="0"/>
              <w:rPr>
                <w:sz w:val="20"/>
                <w:szCs w:val="20"/>
                <w:color w:val="auto"/>
              </w:rPr>
            </w:pPr>
            <w:r>
              <w:rPr>
                <w:rFonts w:ascii="Arial" w:cs="Arial" w:eastAsia="Arial" w:hAnsi="Arial"/>
                <w:sz w:val="15"/>
                <w:szCs w:val="15"/>
                <w:color w:val="auto"/>
                <w:w w:val="91"/>
              </w:rPr>
              <w:t>Weighted-Average</w:t>
            </w: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5"/>
                <w:szCs w:val="15"/>
                <w:color w:val="auto"/>
                <w:w w:val="94"/>
              </w:rPr>
              <w:t>Remaining</w:t>
            </w:r>
          </w:p>
        </w:tc>
        <w:tc>
          <w:tcPr>
            <w:tcW w:w="80" w:type="dxa"/>
            <w:vAlign w:val="bottom"/>
          </w:tcPr>
          <w:p>
            <w:pPr>
              <w:spacing w:after="0"/>
              <w:rPr>
                <w:sz w:val="12"/>
                <w:szCs w:val="12"/>
                <w:color w:val="auto"/>
              </w:rPr>
            </w:pPr>
          </w:p>
        </w:tc>
        <w:tc>
          <w:tcPr>
            <w:tcW w:w="1240" w:type="dxa"/>
            <w:vAlign w:val="bottom"/>
            <w:vMerge w:val="restart"/>
          </w:tcPr>
          <w:p>
            <w:pPr>
              <w:jc w:val="right"/>
              <w:ind w:right="24"/>
              <w:spacing w:after="0"/>
              <w:rPr>
                <w:sz w:val="20"/>
                <w:szCs w:val="20"/>
                <w:color w:val="auto"/>
              </w:rPr>
            </w:pPr>
            <w:r>
              <w:rPr>
                <w:rFonts w:ascii="Arial" w:cs="Arial" w:eastAsia="Arial" w:hAnsi="Arial"/>
                <w:sz w:val="15"/>
                <w:szCs w:val="15"/>
                <w:color w:val="auto"/>
                <w:w w:val="90"/>
              </w:rPr>
              <w:t>Weighted-Average</w:t>
            </w:r>
          </w:p>
        </w:tc>
        <w:tc>
          <w:tcPr>
            <w:tcW w:w="0" w:type="dxa"/>
            <w:vAlign w:val="bottom"/>
          </w:tcPr>
          <w:p>
            <w:pPr>
              <w:spacing w:after="0"/>
              <w:rPr>
                <w:sz w:val="1"/>
                <w:szCs w:val="1"/>
                <w:color w:val="auto"/>
              </w:rPr>
            </w:pPr>
          </w:p>
        </w:tc>
      </w:tr>
      <w:tr>
        <w:trPr>
          <w:trHeight w:val="149"/>
        </w:trPr>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5"/>
                <w:szCs w:val="15"/>
                <w:color w:val="auto"/>
                <w:w w:val="93"/>
              </w:rPr>
              <w:t>Contractual</w:t>
            </w:r>
          </w:p>
        </w:tc>
        <w:tc>
          <w:tcPr>
            <w:tcW w:w="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0"/>
              </w:rPr>
              <w:t>Term (Years)</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Grant Price</w:t>
            </w: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ind w:left="864"/>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14.17</w:t>
            </w:r>
          </w:p>
        </w:tc>
        <w:tc>
          <w:tcPr>
            <w:tcW w:w="0" w:type="dxa"/>
            <w:vAlign w:val="bottom"/>
          </w:tcPr>
          <w:p>
            <w:pPr>
              <w:spacing w:after="0"/>
              <w:rPr>
                <w:sz w:val="1"/>
                <w:szCs w:val="1"/>
                <w:color w:val="auto"/>
              </w:rPr>
            </w:pPr>
          </w:p>
        </w:tc>
      </w:tr>
      <w:tr>
        <w:trPr>
          <w:trHeight w:val="195"/>
        </w:trPr>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9"/>
        </w:trPr>
        <w:tc>
          <w:tcPr>
            <w:tcW w:w="1320" w:type="dxa"/>
            <w:vAlign w:val="bottom"/>
          </w:tcPr>
          <w:p>
            <w:pPr>
              <w:jc w:val="right"/>
              <w:spacing w:after="0"/>
              <w:rPr>
                <w:sz w:val="20"/>
                <w:szCs w:val="20"/>
                <w:color w:val="auto"/>
              </w:rPr>
            </w:pPr>
            <w:r>
              <w:rPr>
                <w:rFonts w:ascii="Arial" w:cs="Arial" w:eastAsia="Arial" w:hAnsi="Arial"/>
                <w:sz w:val="15"/>
                <w:szCs w:val="15"/>
                <w:color w:val="auto"/>
              </w:rPr>
              <w:t>9.17</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14.17</w:t>
            </w:r>
          </w:p>
        </w:tc>
        <w:tc>
          <w:tcPr>
            <w:tcW w:w="0" w:type="dxa"/>
            <w:vAlign w:val="bottom"/>
          </w:tcPr>
          <w:p>
            <w:pPr>
              <w:spacing w:after="0"/>
              <w:rPr>
                <w:sz w:val="1"/>
                <w:szCs w:val="1"/>
                <w:color w:val="auto"/>
              </w:rPr>
            </w:pPr>
          </w:p>
        </w:tc>
      </w:tr>
    </w:tbl>
    <w:p>
      <w:pPr>
        <w:spacing w:after="0" w:line="666" w:lineRule="exact"/>
        <w:rPr>
          <w:sz w:val="20"/>
          <w:szCs w:val="20"/>
          <w:color w:val="auto"/>
        </w:rPr>
      </w:pPr>
    </w:p>
    <w:p>
      <w:pPr>
        <w:sectPr>
          <w:pgSz w:w="11900" w:h="16838" w:orient="portrait"/>
          <w:cols w:equalWidth="0" w:num="2">
            <w:col w:w="6620" w:space="80"/>
            <w:col w:w="4560"/>
          </w:cols>
          <w:pgMar w:left="320" w:top="129" w:right="319" w:bottom="1440" w:gutter="0" w:footer="0" w:header="0"/>
          <w:type w:val="continuous"/>
        </w:sectPr>
      </w:pPr>
    </w:p>
    <w:p>
      <w:pPr>
        <w:jc w:val="both"/>
        <w:spacing w:after="0" w:line="280" w:lineRule="auto"/>
        <w:rPr>
          <w:sz w:val="20"/>
          <w:szCs w:val="20"/>
          <w:color w:val="auto"/>
        </w:rPr>
      </w:pPr>
      <w:r>
        <w:rPr>
          <w:rFonts w:ascii="Arial" w:cs="Arial" w:eastAsia="Arial" w:hAnsi="Arial"/>
          <w:sz w:val="14"/>
          <w:szCs w:val="14"/>
          <w:color w:val="auto"/>
        </w:rPr>
        <w:t>In August 2021, the Company’s Board of Directors approved a stock repurchase program (the “Repurchase Program”) that authorizes the Company to purchase up to $40.0 million of outstanding shares of the Company’s common stock.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Repurchase Program does not have an expiration date. Under the terms of the A&amp;R Credit Agreement, the Company has restrictions that limit the maximum amount of repurchases to (i) $40.0 million in the aggregate (plus the Available Amount as defined in the A&amp;R Credit Agreement) and (ii) $10.0 million annually for shares held by any current or former officer, director, employee or consultant (or any spouses, ex-spouses or estates of the foregoing) of the Company or its subsidiaries.</w:t>
      </w:r>
    </w:p>
    <w:p>
      <w:pPr>
        <w:spacing w:after="0" w:line="172"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Company accounts for purchases of treasury stock under the cost method. Any direct costs incurred to acquire treasury stock are considered stock issue costs and added to the cost of the treasury stock. During the year ended December 31, 2021, the Company purchased 341,522 shares for an aggregate purchase price totaling $5.6 million. As of December 31, 2021, the remaining amount available for future share repurchases under the Repurchase Program was $34.4 million.</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NOTE 14 – EARNINGS PER SHARE</w:t>
      </w:r>
    </w:p>
    <w:p>
      <w:pPr>
        <w:spacing w:after="0" w:line="195" w:lineRule="exact"/>
        <w:rPr>
          <w:sz w:val="20"/>
          <w:szCs w:val="20"/>
          <w:color w:val="auto"/>
        </w:rPr>
      </w:pPr>
    </w:p>
    <w:p>
      <w:pPr>
        <w:jc w:val="both"/>
        <w:ind w:right="20"/>
        <w:spacing w:after="0" w:line="270" w:lineRule="auto"/>
        <w:rPr>
          <w:sz w:val="20"/>
          <w:szCs w:val="20"/>
          <w:color w:val="auto"/>
        </w:rPr>
      </w:pPr>
      <w:r>
        <w:rPr>
          <w:rFonts w:ascii="Arial" w:cs="Arial" w:eastAsia="Arial" w:hAnsi="Arial"/>
          <w:sz w:val="15"/>
          <w:szCs w:val="15"/>
          <w:color w:val="auto"/>
        </w:rPr>
        <w:t>Basic earnings per share is calculated by dividing net income for the year by the weighted average number of common shares outstanding for the period. In computing dilutive earnings per share, basic earnings per share is adjusted for the assumed issuance of all applicable potentially dilutive share-based awards, including common stock options, RSUs, RSAs and PSUs.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172"/>
        </w:trPr>
        <w:tc>
          <w:tcPr>
            <w:tcW w:w="340" w:type="dxa"/>
            <w:vAlign w:val="bottom"/>
            <w:tcBorders>
              <w:bottom w:val="single" w:sz="8" w:color="0000FF"/>
            </w:tcBorders>
          </w:tcPr>
          <w:p>
            <w:pPr>
              <w:spacing w:after="0"/>
              <w:rPr>
                <w:rFonts w:ascii="Arial" w:cs="Arial" w:eastAsia="Arial" w:hAnsi="Arial"/>
                <w:sz w:val="15"/>
                <w:szCs w:val="15"/>
                <w:i w:val="1"/>
                <w:iCs w:val="1"/>
                <w:color w:val="0000FF"/>
                <w:w w:val="87"/>
              </w:rPr>
            </w:pPr>
            <w:hyperlink w:anchor="page1">
              <w:r>
                <w:rPr>
                  <w:rFonts w:ascii="Arial" w:cs="Arial" w:eastAsia="Arial" w:hAnsi="Arial"/>
                  <w:sz w:val="15"/>
                  <w:szCs w:val="15"/>
                  <w:i w:val="1"/>
                  <w:iCs w:val="1"/>
                  <w:color w:val="0000FF"/>
                  <w:w w:val="87"/>
                </w:rPr>
                <w:t>Index</w:t>
              </w:r>
            </w:hyperlink>
          </w:p>
        </w:tc>
        <w:tc>
          <w:tcPr>
            <w:tcW w:w="4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27"/>
        </w:trPr>
        <w:tc>
          <w:tcPr>
            <w:tcW w:w="6700" w:type="dxa"/>
            <w:vAlign w:val="bottom"/>
            <w:gridSpan w:val="4"/>
          </w:tcPr>
          <w:p>
            <w:pPr>
              <w:spacing w:after="0"/>
              <w:rPr>
                <w:sz w:val="20"/>
                <w:szCs w:val="20"/>
                <w:color w:val="auto"/>
              </w:rPr>
            </w:pPr>
            <w:r>
              <w:rPr>
                <w:rFonts w:ascii="Arial" w:cs="Arial" w:eastAsia="Arial" w:hAnsi="Arial"/>
                <w:sz w:val="15"/>
                <w:szCs w:val="15"/>
                <w:color w:val="auto"/>
                <w:w w:val="91"/>
              </w:rPr>
              <w:t>Below are basic and diluted earnings per share for the periods indicated (in thousands, except for share data):</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27"/>
        </w:trPr>
        <w:tc>
          <w:tcPr>
            <w:tcW w:w="34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ind w:left="40"/>
              <w:spacing w:after="0"/>
              <w:rPr>
                <w:sz w:val="20"/>
                <w:szCs w:val="20"/>
                <w:color w:val="auto"/>
              </w:rPr>
            </w:pPr>
            <w:r>
              <w:rPr>
                <w:rFonts w:ascii="Arial" w:cs="Arial" w:eastAsia="Arial" w:hAnsi="Arial"/>
                <w:sz w:val="15"/>
                <w:szCs w:val="15"/>
                <w:color w:val="auto"/>
                <w:w w:val="88"/>
              </w:rPr>
              <w:t>Year Ended December 31,</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98"/>
        </w:trPr>
        <w:tc>
          <w:tcPr>
            <w:tcW w:w="340" w:type="dxa"/>
            <w:vAlign w:val="bottom"/>
            <w:tcBorders>
              <w:bottom w:val="single" w:sz="8" w:color="CCEEFF"/>
            </w:tcBorders>
          </w:tcPr>
          <w:p>
            <w:pPr>
              <w:spacing w:after="0"/>
              <w:rPr>
                <w:sz w:val="17"/>
                <w:szCs w:val="17"/>
                <w:color w:val="auto"/>
              </w:rPr>
            </w:pPr>
          </w:p>
        </w:tc>
        <w:tc>
          <w:tcPr>
            <w:tcW w:w="49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color w:val="auto"/>
              </w:rPr>
              <w:t>2021</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color w:val="auto"/>
              </w:rPr>
              <w:t>2019</w:t>
            </w:r>
          </w:p>
        </w:tc>
      </w:tr>
      <w:tr>
        <w:trPr>
          <w:trHeight w:val="215"/>
        </w:trPr>
        <w:tc>
          <w:tcPr>
            <w:tcW w:w="5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 for basic and diluted income per common share</w:t>
            </w: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46,843</w:t>
            </w: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33,784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19,609</w:t>
            </w:r>
          </w:p>
        </w:tc>
      </w:tr>
      <w:tr>
        <w:trPr>
          <w:trHeight w:val="166"/>
        </w:trPr>
        <w:tc>
          <w:tcPr>
            <w:tcW w:w="5320" w:type="dxa"/>
            <w:vAlign w:val="bottom"/>
            <w:tcBorders>
              <w:top w:val="single" w:sz="8" w:color="CCEEFF"/>
            </w:tcBorders>
            <w:gridSpan w:val="2"/>
          </w:tcPr>
          <w:p>
            <w:pPr>
              <w:spacing w:after="0" w:line="167" w:lineRule="exact"/>
              <w:rPr>
                <w:sz w:val="20"/>
                <w:szCs w:val="20"/>
                <w:color w:val="auto"/>
              </w:rPr>
            </w:pPr>
            <w:r>
              <w:rPr>
                <w:rFonts w:ascii="Arial" w:cs="Arial" w:eastAsia="Arial" w:hAnsi="Arial"/>
                <w:sz w:val="15"/>
                <w:szCs w:val="15"/>
                <w:color w:val="auto"/>
              </w:rPr>
              <w:t>Shares:</w:t>
            </w: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r>
      <w:tr>
        <w:trPr>
          <w:trHeight w:val="195"/>
        </w:trPr>
        <w:tc>
          <w:tcPr>
            <w:tcW w:w="5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Weighted-average common shares outstanding – basic</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38,474,040</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38,060,290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37,428,345</w:t>
            </w:r>
          </w:p>
        </w:tc>
      </w:tr>
      <w:tr>
        <w:trPr>
          <w:trHeight w:val="195"/>
        </w:trPr>
        <w:tc>
          <w:tcPr>
            <w:tcW w:w="5320" w:type="dxa"/>
            <w:vAlign w:val="bottom"/>
            <w:gridSpan w:val="2"/>
          </w:tcPr>
          <w:p>
            <w:pPr>
              <w:spacing w:after="0"/>
              <w:rPr>
                <w:sz w:val="20"/>
                <w:szCs w:val="20"/>
                <w:color w:val="auto"/>
              </w:rPr>
            </w:pPr>
            <w:r>
              <w:rPr>
                <w:rFonts w:ascii="Arial" w:cs="Arial" w:eastAsia="Arial" w:hAnsi="Arial"/>
                <w:sz w:val="15"/>
                <w:szCs w:val="15"/>
                <w:color w:val="auto"/>
              </w:rPr>
              <w:t>Effect of dilutive securities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5"/>
        </w:trPr>
        <w:tc>
          <w:tcPr>
            <w:tcW w:w="53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RSUs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48,077</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10,566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12,416</w:t>
            </w:r>
          </w:p>
        </w:tc>
      </w:tr>
      <w:tr>
        <w:trPr>
          <w:trHeight w:val="195"/>
        </w:trPr>
        <w:tc>
          <w:tcPr>
            <w:tcW w:w="5320" w:type="dxa"/>
            <w:vAlign w:val="bottom"/>
            <w:gridSpan w:val="2"/>
          </w:tcPr>
          <w:p>
            <w:pPr>
              <w:ind w:left="120"/>
              <w:spacing w:after="0"/>
              <w:rPr>
                <w:sz w:val="20"/>
                <w:szCs w:val="20"/>
                <w:color w:val="auto"/>
              </w:rPr>
            </w:pPr>
            <w:r>
              <w:rPr>
                <w:rFonts w:ascii="Arial" w:cs="Arial" w:eastAsia="Arial" w:hAnsi="Arial"/>
                <w:sz w:val="15"/>
                <w:szCs w:val="15"/>
                <w:color w:val="auto"/>
              </w:rPr>
              <w:t>Stock options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532,972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287,315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140,640</w:t>
            </w:r>
          </w:p>
        </w:tc>
      </w:tr>
      <w:tr>
        <w:trPr>
          <w:trHeight w:val="195"/>
        </w:trPr>
        <w:tc>
          <w:tcPr>
            <w:tcW w:w="53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RSAs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14,667</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5"/>
        </w:trPr>
        <w:tc>
          <w:tcPr>
            <w:tcW w:w="5320" w:type="dxa"/>
            <w:vAlign w:val="bottom"/>
            <w:gridSpan w:val="2"/>
          </w:tcPr>
          <w:p>
            <w:pPr>
              <w:ind w:left="120"/>
              <w:spacing w:after="0"/>
              <w:rPr>
                <w:sz w:val="20"/>
                <w:szCs w:val="20"/>
                <w:color w:val="auto"/>
              </w:rPr>
            </w:pPr>
            <w:r>
              <w:rPr>
                <w:rFonts w:ascii="Arial" w:cs="Arial" w:eastAsia="Arial" w:hAnsi="Arial"/>
                <w:sz w:val="15"/>
                <w:szCs w:val="15"/>
                <w:color w:val="auto"/>
              </w:rPr>
              <w:t>PSUs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33,694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53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Warrants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12,757</w:t>
            </w:r>
          </w:p>
        </w:tc>
      </w:tr>
      <w:tr>
        <w:trPr>
          <w:trHeight w:val="198"/>
        </w:trPr>
        <w:tc>
          <w:tcPr>
            <w:tcW w:w="5320" w:type="dxa"/>
            <w:vAlign w:val="bottom"/>
            <w:tcBorders>
              <w:top w:val="single" w:sz="8" w:color="CCEEFF"/>
              <w:bottom w:val="single" w:sz="8" w:color="CCEEFF"/>
            </w:tcBorders>
            <w:gridSpan w:val="2"/>
          </w:tcPr>
          <w:p>
            <w:pPr>
              <w:spacing w:after="0"/>
              <w:rPr>
                <w:sz w:val="20"/>
                <w:szCs w:val="20"/>
                <w:color w:val="auto"/>
              </w:rPr>
            </w:pPr>
            <w:r>
              <w:rPr>
                <w:rFonts w:ascii="Arial" w:cs="Arial" w:eastAsia="Arial" w:hAnsi="Arial"/>
                <w:sz w:val="15"/>
                <w:szCs w:val="15"/>
                <w:color w:val="auto"/>
              </w:rPr>
              <w:t>Weighted-average common shares outstanding – diluted</w:t>
            </w: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39,103,450</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38,358,171</w:t>
            </w:r>
          </w:p>
        </w:tc>
        <w:tc>
          <w:tcPr>
            <w:tcW w:w="100" w:type="dxa"/>
            <w:vAlign w:val="bottom"/>
            <w:tcBorders>
              <w:top w:val="single" w:sz="8" w:color="CCEEFF"/>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37,594,158</w:t>
            </w:r>
          </w:p>
        </w:tc>
      </w:tr>
      <w:tr>
        <w:trPr>
          <w:trHeight w:val="218"/>
        </w:trPr>
        <w:tc>
          <w:tcPr>
            <w:tcW w:w="34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95"/>
        </w:trPr>
        <w:tc>
          <w:tcPr>
            <w:tcW w:w="5320" w:type="dxa"/>
            <w:vAlign w:val="bottom"/>
            <w:gridSpan w:val="2"/>
          </w:tcPr>
          <w:p>
            <w:pPr>
              <w:spacing w:after="0"/>
              <w:rPr>
                <w:sz w:val="20"/>
                <w:szCs w:val="20"/>
                <w:color w:val="auto"/>
              </w:rPr>
            </w:pPr>
            <w:r>
              <w:rPr>
                <w:rFonts w:ascii="Arial" w:cs="Arial" w:eastAsia="Arial" w:hAnsi="Arial"/>
                <w:sz w:val="15"/>
                <w:szCs w:val="15"/>
                <w:color w:val="auto"/>
              </w:rPr>
              <w:t>Earnings per common share - basic</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1.22</w:t>
            </w:r>
          </w:p>
        </w:tc>
        <w:tc>
          <w:tcPr>
            <w:tcW w:w="46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0.89</w:t>
            </w:r>
          </w:p>
        </w:tc>
        <w:tc>
          <w:tcPr>
            <w:tcW w:w="100" w:type="dxa"/>
            <w:vAlign w:val="bottom"/>
          </w:tcPr>
          <w:p>
            <w:pPr>
              <w:spacing w:after="0"/>
              <w:rPr>
                <w:sz w:val="16"/>
                <w:szCs w:val="16"/>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0.52</w:t>
            </w:r>
          </w:p>
        </w:tc>
      </w:tr>
      <w:tr>
        <w:trPr>
          <w:trHeight w:val="195"/>
        </w:trPr>
        <w:tc>
          <w:tcPr>
            <w:tcW w:w="5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Earnings per common share - diluted</w:t>
            </w: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w:t>
            </w: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0.52</w:t>
            </w:r>
          </w:p>
        </w:tc>
      </w:tr>
    </w:tbl>
    <w:p>
      <w:pPr>
        <w:spacing w:after="0" w:line="276"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As of December 31, 2021, there were 0.4 million options and 35.2 thousand RSUs excluded from the diluted earnings per share calculation because, under the treasury stock method, the inclusion of these would be anti-dilutive.</w:t>
      </w:r>
    </w:p>
    <w:p>
      <w:pPr>
        <w:spacing w:after="0" w:line="164"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As of December 31, 2020, there were 0.7 million options and 10.9 thousand RSUs excluded from the diluted earnings per share calculation because, under the treasury stock method, the inclusion of these would be anti-dilutive.</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As of December 31, 2019, there were 0.5 million options and 19.0 thousand RSUs excluded from the diluted earnings per share calculation because, under the treasury stock method, the inclusion of these would be anti-dilutive. The Warrants were included in the calculation of the diluted earnings per share for the periods for which they were outstanding; the shares issued in exchange for the Warrants tendered in the Warrants Offer were included in the basic earnings per share beginning on the date the shares were issued. All Warrants ceased to exist after they were tendered in a tender offer during 2019.</w:t>
      </w:r>
    </w:p>
    <w:p>
      <w:pPr>
        <w:spacing w:after="0" w:line="179" w:lineRule="exact"/>
        <w:rPr>
          <w:sz w:val="20"/>
          <w:szCs w:val="20"/>
          <w:color w:val="auto"/>
        </w:rPr>
      </w:pPr>
    </w:p>
    <w:p>
      <w:pPr>
        <w:jc w:val="both"/>
        <w:ind w:right="20"/>
        <w:spacing w:after="0" w:line="270" w:lineRule="auto"/>
        <w:rPr>
          <w:sz w:val="20"/>
          <w:szCs w:val="20"/>
          <w:color w:val="auto"/>
        </w:rPr>
      </w:pPr>
      <w:r>
        <w:rPr>
          <w:rFonts w:ascii="Arial" w:cs="Arial" w:eastAsia="Arial" w:hAnsi="Arial"/>
          <w:sz w:val="15"/>
          <w:szCs w:val="15"/>
          <w:color w:val="auto"/>
        </w:rPr>
        <w:t>As discussed in Note 13, during the third quarter of 2021, the Company’s Board of Directors authorized the Repurchase Program, under which the Company repurchased 341,522 shares of treasury stock for $5.6 million in the year ended December 31, 2021. The effect of these repurchases on the Company’s weighted average shares outstanding for the year ended December 31, 2021 was a reduction of 43,098 shares due to the timing of the repurchases.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72"/>
        </w:trPr>
        <w:tc>
          <w:tcPr>
            <w:tcW w:w="340" w:type="dxa"/>
            <w:vAlign w:val="bottom"/>
            <w:tcBorders>
              <w:bottom w:val="single" w:sz="8" w:color="0000FF"/>
            </w:tcBorders>
          </w:tcPr>
          <w:p>
            <w:pPr>
              <w:spacing w:after="0"/>
              <w:rPr>
                <w:rFonts w:ascii="Arial" w:cs="Arial" w:eastAsia="Arial" w:hAnsi="Arial"/>
                <w:sz w:val="15"/>
                <w:szCs w:val="15"/>
                <w:i w:val="1"/>
                <w:iCs w:val="1"/>
                <w:color w:val="0000FF"/>
                <w:w w:val="87"/>
              </w:rPr>
            </w:pPr>
            <w:hyperlink w:anchor="page1">
              <w:r>
                <w:rPr>
                  <w:rFonts w:ascii="Arial" w:cs="Arial" w:eastAsia="Arial" w:hAnsi="Arial"/>
                  <w:sz w:val="15"/>
                  <w:szCs w:val="15"/>
                  <w:i w:val="1"/>
                  <w:iCs w:val="1"/>
                  <w:color w:val="0000FF"/>
                  <w:w w:val="87"/>
                </w:rPr>
                <w:t>Index</w:t>
              </w:r>
            </w:hyperlink>
          </w:p>
        </w:tc>
        <w:tc>
          <w:tcPr>
            <w:tcW w:w="5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427"/>
        </w:trPr>
        <w:tc>
          <w:tcPr>
            <w:tcW w:w="5400" w:type="dxa"/>
            <w:vAlign w:val="bottom"/>
            <w:gridSpan w:val="2"/>
          </w:tcPr>
          <w:p>
            <w:pPr>
              <w:spacing w:after="0"/>
              <w:rPr>
                <w:sz w:val="20"/>
                <w:szCs w:val="20"/>
                <w:color w:val="auto"/>
              </w:rPr>
            </w:pPr>
            <w:r>
              <w:rPr>
                <w:rFonts w:ascii="Arial" w:cs="Arial" w:eastAsia="Arial" w:hAnsi="Arial"/>
                <w:sz w:val="15"/>
                <w:szCs w:val="15"/>
                <w:color w:val="auto"/>
              </w:rPr>
              <w:t xml:space="preserve">NOTE 15 </w:t>
            </w:r>
            <w:r>
              <w:rPr>
                <w:rFonts w:ascii="Arial" w:cs="Arial" w:eastAsia="Arial" w:hAnsi="Arial"/>
                <w:sz w:val="15"/>
                <w:szCs w:val="15"/>
                <w:b w:val="1"/>
                <w:bCs w:val="1"/>
                <w:i w:val="1"/>
                <w:iCs w:val="1"/>
                <w:color w:val="auto"/>
              </w:rPr>
              <w:t>–</w:t>
            </w:r>
            <w:r>
              <w:rPr>
                <w:rFonts w:ascii="Arial" w:cs="Arial" w:eastAsia="Arial" w:hAnsi="Arial"/>
                <w:sz w:val="15"/>
                <w:szCs w:val="15"/>
                <w:color w:val="auto"/>
              </w:rPr>
              <w:t xml:space="preserve"> INCOME TAXES</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7"/>
        </w:trPr>
        <w:tc>
          <w:tcPr>
            <w:tcW w:w="5400" w:type="dxa"/>
            <w:vAlign w:val="bottom"/>
            <w:gridSpan w:val="2"/>
          </w:tcPr>
          <w:p>
            <w:pPr>
              <w:spacing w:after="0"/>
              <w:rPr>
                <w:sz w:val="20"/>
                <w:szCs w:val="20"/>
                <w:color w:val="auto"/>
              </w:rPr>
            </w:pPr>
            <w:r>
              <w:rPr>
                <w:rFonts w:ascii="Arial" w:cs="Arial" w:eastAsia="Arial" w:hAnsi="Arial"/>
                <w:sz w:val="15"/>
                <w:szCs w:val="15"/>
                <w:color w:val="auto"/>
              </w:rPr>
              <w:t>The provision for income taxes consists of the following (in thousands):</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1"/>
        </w:trPr>
        <w:tc>
          <w:tcPr>
            <w:tcW w:w="3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6"/>
          </w:tcPr>
          <w:p>
            <w:pPr>
              <w:ind w:left="20"/>
              <w:spacing w:after="0"/>
              <w:rPr>
                <w:sz w:val="20"/>
                <w:szCs w:val="20"/>
                <w:color w:val="auto"/>
              </w:rPr>
            </w:pPr>
            <w:r>
              <w:rPr>
                <w:rFonts w:ascii="Arial" w:cs="Arial" w:eastAsia="Arial" w:hAnsi="Arial"/>
                <w:sz w:val="15"/>
                <w:szCs w:val="15"/>
                <w:color w:val="auto"/>
                <w:w w:val="90"/>
              </w:rPr>
              <w:t>Year Ended December 31,</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198"/>
        </w:trPr>
        <w:tc>
          <w:tcPr>
            <w:tcW w:w="340" w:type="dxa"/>
            <w:vAlign w:val="bottom"/>
            <w:tcBorders>
              <w:bottom w:val="single" w:sz="8" w:color="CCEEFF"/>
            </w:tcBorders>
          </w:tcPr>
          <w:p>
            <w:pPr>
              <w:spacing w:after="0"/>
              <w:rPr>
                <w:sz w:val="17"/>
                <w:szCs w:val="17"/>
                <w:color w:val="auto"/>
              </w:rPr>
            </w:pPr>
          </w:p>
        </w:tc>
        <w:tc>
          <w:tcPr>
            <w:tcW w:w="50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2021</w:t>
            </w:r>
          </w:p>
        </w:tc>
        <w:tc>
          <w:tcPr>
            <w:tcW w:w="5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color w:val="auto"/>
              </w:rPr>
              <w:t>2020</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color w:val="auto"/>
              </w:rPr>
              <w:t>2019</w:t>
            </w:r>
          </w:p>
        </w:tc>
      </w:tr>
      <w:tr>
        <w:trPr>
          <w:trHeight w:val="184"/>
        </w:trPr>
        <w:tc>
          <w:tcPr>
            <w:tcW w:w="5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Current tax provision:</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5"/>
        </w:trPr>
        <w:tc>
          <w:tcPr>
            <w:tcW w:w="5400" w:type="dxa"/>
            <w:vAlign w:val="bottom"/>
            <w:gridSpan w:val="2"/>
          </w:tcPr>
          <w:p>
            <w:pPr>
              <w:ind w:left="120"/>
              <w:spacing w:after="0"/>
              <w:rPr>
                <w:sz w:val="20"/>
                <w:szCs w:val="20"/>
                <w:color w:val="auto"/>
              </w:rPr>
            </w:pPr>
            <w:r>
              <w:rPr>
                <w:rFonts w:ascii="Arial" w:cs="Arial" w:eastAsia="Arial" w:hAnsi="Arial"/>
                <w:sz w:val="15"/>
                <w:szCs w:val="15"/>
                <w:color w:val="auto"/>
              </w:rPr>
              <w:t>Foreign</w:t>
            </w:r>
          </w:p>
        </w:tc>
        <w:tc>
          <w:tcPr>
            <w:tcW w:w="880" w:type="dxa"/>
            <w:vAlign w:val="bottom"/>
          </w:tcPr>
          <w:p>
            <w:pPr>
              <w:jc w:val="right"/>
              <w:ind w:right="724"/>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212</w:t>
            </w:r>
          </w:p>
        </w:tc>
        <w:tc>
          <w:tcPr>
            <w:tcW w:w="44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201</w:t>
            </w:r>
          </w:p>
        </w:tc>
      </w:tr>
      <w:tr>
        <w:trPr>
          <w:trHeight w:val="195"/>
        </w:trPr>
        <w:tc>
          <w:tcPr>
            <w:tcW w:w="54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Federal</w:t>
            </w: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11,702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8,080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4,668</w:t>
            </w:r>
          </w:p>
        </w:tc>
      </w:tr>
      <w:tr>
        <w:trPr>
          <w:trHeight w:val="198"/>
        </w:trPr>
        <w:tc>
          <w:tcPr>
            <w:tcW w:w="5400" w:type="dxa"/>
            <w:vAlign w:val="bottom"/>
            <w:tcBorders>
              <w:bottom w:val="single" w:sz="8" w:color="CCEEFF"/>
            </w:tcBorders>
            <w:gridSpan w:val="2"/>
          </w:tcPr>
          <w:p>
            <w:pPr>
              <w:ind w:left="120"/>
              <w:spacing w:after="0"/>
              <w:rPr>
                <w:sz w:val="20"/>
                <w:szCs w:val="20"/>
                <w:color w:val="auto"/>
              </w:rPr>
            </w:pPr>
            <w:r>
              <w:rPr>
                <w:rFonts w:ascii="Arial" w:cs="Arial" w:eastAsia="Arial" w:hAnsi="Arial"/>
                <w:sz w:val="15"/>
                <w:szCs w:val="15"/>
                <w:color w:val="auto"/>
              </w:rPr>
              <w:t>State</w:t>
            </w: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3,824</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2,780</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1,591</w:t>
            </w:r>
          </w:p>
        </w:tc>
      </w:tr>
      <w:tr>
        <w:trPr>
          <w:trHeight w:val="195"/>
        </w:trPr>
        <w:tc>
          <w:tcPr>
            <w:tcW w:w="540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Total Current</w:t>
            </w: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15,738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11,084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6,460</w:t>
            </w:r>
          </w:p>
        </w:tc>
      </w:tr>
      <w:tr>
        <w:trPr>
          <w:trHeight w:val="229"/>
        </w:trPr>
        <w:tc>
          <w:tcPr>
            <w:tcW w:w="5400" w:type="dxa"/>
            <w:vAlign w:val="bottom"/>
            <w:gridSpan w:val="2"/>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95"/>
        </w:trPr>
        <w:tc>
          <w:tcPr>
            <w:tcW w:w="5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Deferred tax provision:</w:t>
            </w: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5"/>
        </w:trPr>
        <w:tc>
          <w:tcPr>
            <w:tcW w:w="5400" w:type="dxa"/>
            <w:vAlign w:val="bottom"/>
            <w:gridSpan w:val="2"/>
          </w:tcPr>
          <w:p>
            <w:pPr>
              <w:ind w:left="120"/>
              <w:spacing w:after="0"/>
              <w:rPr>
                <w:sz w:val="20"/>
                <w:szCs w:val="20"/>
                <w:color w:val="auto"/>
              </w:rPr>
            </w:pPr>
            <w:r>
              <w:rPr>
                <w:rFonts w:ascii="Arial" w:cs="Arial" w:eastAsia="Arial" w:hAnsi="Arial"/>
                <w:sz w:val="15"/>
                <w:szCs w:val="15"/>
                <w:color w:val="auto"/>
              </w:rPr>
              <w:t>Federal</w:t>
            </w:r>
          </w:p>
        </w:tc>
        <w:tc>
          <w:tcPr>
            <w:tcW w:w="8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667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1,089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1,290</w:t>
            </w:r>
          </w:p>
        </w:tc>
      </w:tr>
      <w:tr>
        <w:trPr>
          <w:trHeight w:val="198"/>
        </w:trPr>
        <w:tc>
          <w:tcPr>
            <w:tcW w:w="5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color w:val="auto"/>
              </w:rPr>
              <w:t>State</w:t>
            </w:r>
          </w:p>
        </w:tc>
        <w:tc>
          <w:tcPr>
            <w:tcW w:w="8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344</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573</w:t>
            </w:r>
          </w:p>
        </w:tc>
      </w:tr>
      <w:tr>
        <w:trPr>
          <w:trHeight w:val="198"/>
        </w:trPr>
        <w:tc>
          <w:tcPr>
            <w:tcW w:w="5400" w:type="dxa"/>
            <w:vAlign w:val="bottom"/>
            <w:tcBorders>
              <w:bottom w:val="single" w:sz="8" w:color="CCEEFF"/>
            </w:tcBorders>
            <w:gridSpan w:val="2"/>
          </w:tcPr>
          <w:p>
            <w:pPr>
              <w:ind w:left="280"/>
              <w:spacing w:after="0"/>
              <w:rPr>
                <w:sz w:val="20"/>
                <w:szCs w:val="20"/>
                <w:color w:val="auto"/>
              </w:rPr>
            </w:pPr>
            <w:r>
              <w:rPr>
                <w:rFonts w:ascii="Arial" w:cs="Arial" w:eastAsia="Arial" w:hAnsi="Arial"/>
                <w:sz w:val="15"/>
                <w:szCs w:val="15"/>
                <w:color w:val="auto"/>
              </w:rPr>
              <w:t>Total deferred</w:t>
            </w: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734</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1,433</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1,863</w:t>
            </w:r>
          </w:p>
        </w:tc>
      </w:tr>
      <w:tr>
        <w:trPr>
          <w:trHeight w:val="215"/>
        </w:trPr>
        <w:tc>
          <w:tcPr>
            <w:tcW w:w="540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Total tax provision</w:t>
            </w:r>
          </w:p>
        </w:tc>
        <w:tc>
          <w:tcPr>
            <w:tcW w:w="880" w:type="dxa"/>
            <w:vAlign w:val="bottom"/>
            <w:shd w:val="clear" w:color="auto" w:fill="CCEEFF"/>
          </w:tcPr>
          <w:p>
            <w:pPr>
              <w:jc w:val="right"/>
              <w:ind w:right="724"/>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16,472</w:t>
            </w: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12,517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8,323</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color w:val="auto"/>
        </w:rPr>
        <w:t>A reconciliation between the income tax provision at the U.S. statutory tax rate and the Company’s income tax provision on the consolidated statements of income and comprehensive income is below (in thousands):</w:t>
      </w:r>
    </w:p>
    <w:tbl>
      <w:tblPr>
        <w:tblLayout w:type="fixed"/>
        <w:tblInd w:w="0" w:type="dxa"/>
        <w:tblCellMar>
          <w:top w:w="0" w:type="dxa"/>
          <w:left w:w="0" w:type="dxa"/>
          <w:bottom w:w="0" w:type="dxa"/>
          <w:right w:w="0" w:type="dxa"/>
        </w:tblCellMar>
      </w:tblPr>
      <w:tr>
        <w:trPr>
          <w:trHeight w:val="197"/>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5"/>
                <w:szCs w:val="15"/>
                <w:color w:val="auto"/>
                <w:w w:val="91"/>
              </w:rPr>
              <w:t>Year Ended December 31,</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8"/>
        </w:trPr>
        <w:tc>
          <w:tcPr>
            <w:tcW w:w="5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color w:val="auto"/>
              </w:rPr>
              <w:t>2019</w:t>
            </w:r>
          </w:p>
        </w:tc>
      </w:tr>
      <w:tr>
        <w:trPr>
          <w:trHeight w:val="195"/>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Income before income taxes</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63,315</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46,301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27,932</w:t>
            </w:r>
          </w:p>
        </w:tc>
      </w:tr>
      <w:tr>
        <w:trPr>
          <w:trHeight w:val="198"/>
        </w:trPr>
        <w:tc>
          <w:tcPr>
            <w:tcW w:w="51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U.S. statutory tax rate</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21 %</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21 %</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21 %</w:t>
            </w:r>
          </w:p>
        </w:tc>
      </w:tr>
      <w:tr>
        <w:trPr>
          <w:trHeight w:val="195"/>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Income tax expense at statutory rate</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13,296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9,723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5,866</w:t>
            </w:r>
          </w:p>
        </w:tc>
      </w:tr>
      <w:tr>
        <w:trPr>
          <w:trHeight w:val="229"/>
        </w:trPr>
        <w:tc>
          <w:tcPr>
            <w:tcW w:w="5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95"/>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State tax expense, net of federal</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3,073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2,530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1,639</w:t>
            </w:r>
          </w:p>
        </w:tc>
      </w:tr>
      <w:tr>
        <w:trPr>
          <w:trHeight w:val="195"/>
        </w:trPr>
        <w:tc>
          <w:tcPr>
            <w:tcW w:w="5160" w:type="dxa"/>
            <w:vAlign w:val="bottom"/>
          </w:tcPr>
          <w:p>
            <w:pPr>
              <w:spacing w:after="0"/>
              <w:rPr>
                <w:sz w:val="20"/>
                <w:szCs w:val="20"/>
                <w:color w:val="auto"/>
              </w:rPr>
            </w:pPr>
            <w:r>
              <w:rPr>
                <w:rFonts w:ascii="Arial" w:cs="Arial" w:eastAsia="Arial" w:hAnsi="Arial"/>
                <w:sz w:val="15"/>
                <w:szCs w:val="15"/>
                <w:color w:val="auto"/>
              </w:rPr>
              <w:t>Foreign tax rates different from U.S. statutory rate</w:t>
            </w:r>
          </w:p>
        </w:tc>
        <w:tc>
          <w:tcPr>
            <w:tcW w:w="340" w:type="dxa"/>
            <w:vAlign w:val="bottom"/>
          </w:tcPr>
          <w:p>
            <w:pPr>
              <w:spacing w:after="0"/>
              <w:rPr>
                <w:sz w:val="16"/>
                <w:szCs w:val="16"/>
                <w:color w:val="auto"/>
              </w:rPr>
            </w:pPr>
          </w:p>
        </w:tc>
        <w:tc>
          <w:tcPr>
            <w:tcW w:w="1140" w:type="dxa"/>
            <w:vAlign w:val="bottom"/>
          </w:tcPr>
          <w:p>
            <w:pPr>
              <w:jc w:val="right"/>
              <w:ind w:right="104"/>
              <w:spacing w:after="0"/>
              <w:rPr>
                <w:sz w:val="20"/>
                <w:szCs w:val="20"/>
                <w:color w:val="auto"/>
              </w:rPr>
            </w:pPr>
            <w:r>
              <w:rPr>
                <w:rFonts w:ascii="Arial" w:cs="Arial" w:eastAsia="Arial" w:hAnsi="Arial"/>
                <w:sz w:val="15"/>
                <w:szCs w:val="15"/>
                <w:color w:val="auto"/>
              </w:rPr>
              <w:t>273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104"/>
              <w:spacing w:after="0"/>
              <w:rPr>
                <w:sz w:val="20"/>
                <w:szCs w:val="20"/>
                <w:color w:val="auto"/>
              </w:rPr>
            </w:pPr>
            <w:r>
              <w:rPr>
                <w:rFonts w:ascii="Arial" w:cs="Arial" w:eastAsia="Arial" w:hAnsi="Arial"/>
                <w:sz w:val="15"/>
                <w:szCs w:val="15"/>
                <w:color w:val="auto"/>
              </w:rPr>
              <w:t>264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260</w:t>
            </w:r>
          </w:p>
        </w:tc>
      </w:tr>
      <w:tr>
        <w:trPr>
          <w:trHeight w:val="195"/>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Non-deductible expenses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337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374</w:t>
            </w:r>
          </w:p>
        </w:tc>
      </w:tr>
      <w:tr>
        <w:trPr>
          <w:trHeight w:val="195"/>
        </w:trPr>
        <w:tc>
          <w:tcPr>
            <w:tcW w:w="5160" w:type="dxa"/>
            <w:vAlign w:val="bottom"/>
          </w:tcPr>
          <w:p>
            <w:pPr>
              <w:spacing w:after="0"/>
              <w:rPr>
                <w:sz w:val="20"/>
                <w:szCs w:val="20"/>
                <w:color w:val="auto"/>
              </w:rPr>
            </w:pPr>
            <w:r>
              <w:rPr>
                <w:rFonts w:ascii="Arial" w:cs="Arial" w:eastAsia="Arial" w:hAnsi="Arial"/>
                <w:sz w:val="15"/>
                <w:szCs w:val="15"/>
                <w:color w:val="auto"/>
              </w:rPr>
              <w:t>Change in tax rate</w:t>
            </w:r>
          </w:p>
        </w:tc>
        <w:tc>
          <w:tcPr>
            <w:tcW w:w="340" w:type="dxa"/>
            <w:vAlign w:val="bottom"/>
          </w:tcPr>
          <w:p>
            <w:pPr>
              <w:spacing w:after="0"/>
              <w:rPr>
                <w:sz w:val="16"/>
                <w:szCs w:val="16"/>
                <w:color w:val="auto"/>
              </w:rPr>
            </w:pPr>
          </w:p>
        </w:tc>
        <w:tc>
          <w:tcPr>
            <w:tcW w:w="114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64"/>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71</w:t>
            </w:r>
          </w:p>
        </w:tc>
      </w:tr>
      <w:tr>
        <w:trPr>
          <w:trHeight w:val="198"/>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(507)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(48)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113</w:t>
            </w:r>
          </w:p>
        </w:tc>
      </w:tr>
      <w:tr>
        <w:trPr>
          <w:trHeight w:val="195"/>
        </w:trPr>
        <w:tc>
          <w:tcPr>
            <w:tcW w:w="5160" w:type="dxa"/>
            <w:vAlign w:val="bottom"/>
          </w:tcPr>
          <w:p>
            <w:pPr>
              <w:ind w:left="120"/>
              <w:spacing w:after="0"/>
              <w:rPr>
                <w:sz w:val="20"/>
                <w:szCs w:val="20"/>
                <w:color w:val="auto"/>
              </w:rPr>
            </w:pPr>
            <w:r>
              <w:rPr>
                <w:rFonts w:ascii="Arial" w:cs="Arial" w:eastAsia="Arial" w:hAnsi="Arial"/>
                <w:sz w:val="15"/>
                <w:szCs w:val="15"/>
                <w:color w:val="auto"/>
              </w:rPr>
              <w:t>Total tax provision</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04"/>
              <w:spacing w:after="0"/>
              <w:rPr>
                <w:sz w:val="20"/>
                <w:szCs w:val="20"/>
                <w:color w:val="auto"/>
              </w:rPr>
            </w:pPr>
            <w:r>
              <w:rPr>
                <w:rFonts w:ascii="Arial" w:cs="Arial" w:eastAsia="Arial" w:hAnsi="Arial"/>
                <w:sz w:val="15"/>
                <w:szCs w:val="15"/>
                <w:color w:val="auto"/>
              </w:rPr>
              <w:t>16,472</w:t>
            </w:r>
          </w:p>
        </w:tc>
        <w:tc>
          <w:tcPr>
            <w:tcW w:w="4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104"/>
              <w:spacing w:after="0"/>
              <w:rPr>
                <w:sz w:val="20"/>
                <w:szCs w:val="20"/>
                <w:color w:val="auto"/>
              </w:rPr>
            </w:pPr>
            <w:r>
              <w:rPr>
                <w:rFonts w:ascii="Arial" w:cs="Arial" w:eastAsia="Arial" w:hAnsi="Arial"/>
                <w:sz w:val="15"/>
                <w:szCs w:val="15"/>
                <w:color w:val="auto"/>
              </w:rPr>
              <w:t>12,517</w:t>
            </w:r>
          </w:p>
        </w:tc>
        <w:tc>
          <w:tcPr>
            <w:tcW w:w="100" w:type="dxa"/>
            <w:vAlign w:val="bottom"/>
          </w:tcPr>
          <w:p>
            <w:pPr>
              <w:spacing w:after="0"/>
              <w:rPr>
                <w:sz w:val="16"/>
                <w:szCs w:val="16"/>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8,323</w:t>
            </w:r>
          </w:p>
        </w:tc>
      </w:tr>
      <w:tr>
        <w:trPr>
          <w:trHeight w:val="20"/>
        </w:trPr>
        <w:tc>
          <w:tcPr>
            <w:tcW w:w="5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presented in the income tax reconciliation above, the tax provision recognized on the consolidated statements of income and comprehensive income was impacted by state taxes, non-deductible officer compensation and share-based compensation tax benefits, and foreign tax rates applicable to the Company’s foreign subsidiaries that are higher or lower than the U.S. statutory rate. The Company is also subject to tax in various U.S. state jurisdictions. Changes in the annual allocation and apportionment of the Company’s activity amongst these state jurisdictions results in changes to the blended state rate utilized to measure the Company’s deferred tax assets and liabilities.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69" w:name="page70"/>
    <w:bookmarkEnd w:id="69"/>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color w:val="auto"/>
        </w:rPr>
        <w:t>Deferred tax assets and liabilities are recognized for the expected tax consequences of temporary differences between the book and tax bases of the Company’s assets and liabilities.</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outlines the principal components of the deferred tax assets and liabilities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December 31,</w:t>
            </w:r>
          </w:p>
        </w:tc>
        <w:tc>
          <w:tcPr>
            <w:tcW w:w="880" w:type="dxa"/>
            <w:vAlign w:val="bottom"/>
            <w:tcBorders>
              <w:bottom w:val="single" w:sz="8" w:color="auto"/>
            </w:tcBorders>
          </w:tcPr>
          <w:p>
            <w:pPr>
              <w:spacing w:after="0"/>
              <w:rPr>
                <w:sz w:val="17"/>
                <w:szCs w:val="17"/>
                <w:color w:val="auto"/>
              </w:rPr>
            </w:pPr>
          </w:p>
        </w:tc>
      </w:tr>
      <w:tr>
        <w:trPr>
          <w:trHeight w:val="198"/>
        </w:trPr>
        <w:tc>
          <w:tcPr>
            <w:tcW w:w="67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color w:val="auto"/>
              </w:rPr>
              <w:t>2021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color w:val="auto"/>
              </w:rPr>
              <w:t>2020</w:t>
            </w:r>
          </w:p>
        </w:tc>
      </w:tr>
      <w:tr>
        <w:trPr>
          <w:trHeight w:val="184"/>
        </w:trPr>
        <w:tc>
          <w:tcPr>
            <w:tcW w:w="6700" w:type="dxa"/>
            <w:vAlign w:val="bottom"/>
            <w:shd w:val="clear" w:color="auto" w:fill="CCEEFF"/>
          </w:tcPr>
          <w:p>
            <w:pPr>
              <w:spacing w:after="0"/>
              <w:rPr>
                <w:sz w:val="20"/>
                <w:szCs w:val="20"/>
                <w:color w:val="auto"/>
              </w:rPr>
            </w:pPr>
            <w:r>
              <w:rPr>
                <w:rFonts w:ascii="Arial" w:cs="Arial" w:eastAsia="Arial" w:hAnsi="Arial"/>
                <w:sz w:val="15"/>
                <w:szCs w:val="15"/>
                <w:color w:val="auto"/>
              </w:rPr>
              <w:t>Deferred tax assets: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95"/>
        </w:trPr>
        <w:tc>
          <w:tcPr>
            <w:tcW w:w="6700" w:type="dxa"/>
            <w:vAlign w:val="bottom"/>
          </w:tcPr>
          <w:p>
            <w:pPr>
              <w:ind w:left="120"/>
              <w:spacing w:after="0"/>
              <w:rPr>
                <w:sz w:val="20"/>
                <w:szCs w:val="20"/>
                <w:color w:val="auto"/>
              </w:rPr>
            </w:pPr>
            <w:r>
              <w:rPr>
                <w:rFonts w:ascii="Arial" w:cs="Arial" w:eastAsia="Arial" w:hAnsi="Arial"/>
                <w:sz w:val="15"/>
                <w:szCs w:val="15"/>
                <w:color w:val="auto"/>
              </w:rPr>
              <w:t>U.S. federal and state net operating losses</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4,181</w:t>
            </w:r>
          </w:p>
        </w:tc>
        <w:tc>
          <w:tcPr>
            <w:tcW w:w="100" w:type="dxa"/>
            <w:vAlign w:val="bottom"/>
          </w:tcPr>
          <w:p>
            <w:pPr>
              <w:spacing w:after="0"/>
              <w:rPr>
                <w:sz w:val="16"/>
                <w:szCs w:val="16"/>
                <w:color w:val="auto"/>
              </w:rPr>
            </w:pP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5,529</w:t>
            </w:r>
          </w:p>
        </w:tc>
      </w:tr>
      <w:tr>
        <w:trPr>
          <w:trHeight w:val="195"/>
        </w:trPr>
        <w:tc>
          <w:tcPr>
            <w:tcW w:w="6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Foreign net operating losses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w:t>
            </w:r>
          </w:p>
        </w:tc>
      </w:tr>
      <w:tr>
        <w:trPr>
          <w:trHeight w:val="195"/>
        </w:trPr>
        <w:tc>
          <w:tcPr>
            <w:tcW w:w="6700" w:type="dxa"/>
            <w:vAlign w:val="bottom"/>
          </w:tcPr>
          <w:p>
            <w:pPr>
              <w:ind w:left="120"/>
              <w:spacing w:after="0"/>
              <w:rPr>
                <w:sz w:val="20"/>
                <w:szCs w:val="20"/>
                <w:color w:val="auto"/>
              </w:rPr>
            </w:pPr>
            <w:r>
              <w:rPr>
                <w:rFonts w:ascii="Arial" w:cs="Arial" w:eastAsia="Arial" w:hAnsi="Arial"/>
                <w:sz w:val="15"/>
                <w:szCs w:val="15"/>
                <w:color w:val="auto"/>
              </w:rPr>
              <w:t>Allowance for credit losses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537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483</w:t>
            </w:r>
          </w:p>
        </w:tc>
      </w:tr>
      <w:tr>
        <w:trPr>
          <w:trHeight w:val="195"/>
        </w:trPr>
        <w:tc>
          <w:tcPr>
            <w:tcW w:w="6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Share-based compensation</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1,468</w:t>
            </w:r>
          </w:p>
        </w:tc>
      </w:tr>
      <w:tr>
        <w:trPr>
          <w:trHeight w:val="195"/>
        </w:trPr>
        <w:tc>
          <w:tcPr>
            <w:tcW w:w="6700" w:type="dxa"/>
            <w:vAlign w:val="bottom"/>
          </w:tcPr>
          <w:p>
            <w:pPr>
              <w:ind w:left="120"/>
              <w:spacing w:after="0"/>
              <w:rPr>
                <w:sz w:val="20"/>
                <w:szCs w:val="20"/>
                <w:color w:val="auto"/>
              </w:rPr>
            </w:pPr>
            <w:r>
              <w:rPr>
                <w:rFonts w:ascii="Arial" w:cs="Arial" w:eastAsia="Arial" w:hAnsi="Arial"/>
                <w:sz w:val="15"/>
                <w:szCs w:val="15"/>
                <w:color w:val="auto"/>
              </w:rPr>
              <w:t>Accrued compensation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762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487</w:t>
            </w:r>
          </w:p>
        </w:tc>
      </w:tr>
      <w:tr>
        <w:trPr>
          <w:trHeight w:val="195"/>
        </w:trPr>
        <w:tc>
          <w:tcPr>
            <w:tcW w:w="6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Deferred revenue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725</w:t>
            </w:r>
          </w:p>
        </w:tc>
      </w:tr>
      <w:tr>
        <w:trPr>
          <w:trHeight w:val="198"/>
        </w:trPr>
        <w:tc>
          <w:tcPr>
            <w:tcW w:w="67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827</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95"/>
        </w:trPr>
        <w:tc>
          <w:tcPr>
            <w:tcW w:w="6700" w:type="dxa"/>
            <w:vAlign w:val="bottom"/>
            <w:shd w:val="clear" w:color="auto" w:fill="CCEEFF"/>
          </w:tcPr>
          <w:p>
            <w:pPr>
              <w:spacing w:after="0"/>
              <w:rPr>
                <w:sz w:val="20"/>
                <w:szCs w:val="20"/>
                <w:color w:val="auto"/>
              </w:rPr>
            </w:pPr>
            <w:r>
              <w:rPr>
                <w:rFonts w:ascii="Arial" w:cs="Arial" w:eastAsia="Arial" w:hAnsi="Arial"/>
                <w:sz w:val="15"/>
                <w:szCs w:val="15"/>
                <w:color w:val="auto"/>
              </w:rPr>
              <w:t>Total deferred tax assets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9,304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8,857</w:t>
            </w:r>
          </w:p>
        </w:tc>
      </w:tr>
      <w:tr>
        <w:trPr>
          <w:trHeight w:val="229"/>
        </w:trPr>
        <w:tc>
          <w:tcPr>
            <w:tcW w:w="6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95"/>
        </w:trPr>
        <w:tc>
          <w:tcPr>
            <w:tcW w:w="6700" w:type="dxa"/>
            <w:vAlign w:val="bottom"/>
            <w:shd w:val="clear" w:color="auto" w:fill="CCEEFF"/>
          </w:tcPr>
          <w:p>
            <w:pPr>
              <w:spacing w:after="0"/>
              <w:rPr>
                <w:sz w:val="20"/>
                <w:szCs w:val="20"/>
                <w:color w:val="auto"/>
              </w:rPr>
            </w:pPr>
            <w:r>
              <w:rPr>
                <w:rFonts w:ascii="Arial" w:cs="Arial" w:eastAsia="Arial" w:hAnsi="Arial"/>
                <w:sz w:val="15"/>
                <w:szCs w:val="15"/>
                <w:color w:val="auto"/>
              </w:rPr>
              <w:t>Deferred tax liabilities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95"/>
        </w:trPr>
        <w:tc>
          <w:tcPr>
            <w:tcW w:w="6700" w:type="dxa"/>
            <w:vAlign w:val="bottom"/>
          </w:tcPr>
          <w:p>
            <w:pPr>
              <w:ind w:left="120"/>
              <w:spacing w:after="0"/>
              <w:rPr>
                <w:sz w:val="20"/>
                <w:szCs w:val="20"/>
                <w:color w:val="auto"/>
              </w:rPr>
            </w:pPr>
            <w:r>
              <w:rPr>
                <w:rFonts w:ascii="Arial" w:cs="Arial" w:eastAsia="Arial" w:hAnsi="Arial"/>
                <w:sz w:val="15"/>
                <w:szCs w:val="15"/>
                <w:color w:val="auto"/>
              </w:rPr>
              <w:t>Depreciation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(3,176)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(2,460)</w:t>
            </w:r>
          </w:p>
        </w:tc>
      </w:tr>
      <w:tr>
        <w:trPr>
          <w:trHeight w:val="195"/>
        </w:trPr>
        <w:tc>
          <w:tcPr>
            <w:tcW w:w="6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Intangible amortization</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(6,914)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(6,924)</w:t>
            </w:r>
          </w:p>
        </w:tc>
      </w:tr>
      <w:tr>
        <w:trPr>
          <w:trHeight w:val="198"/>
        </w:trPr>
        <w:tc>
          <w:tcPr>
            <w:tcW w:w="67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Debt origination costs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95"/>
        </w:trPr>
        <w:tc>
          <w:tcPr>
            <w:tcW w:w="6700" w:type="dxa"/>
            <w:vAlign w:val="bottom"/>
            <w:shd w:val="clear" w:color="auto" w:fill="CCEEFF"/>
          </w:tcPr>
          <w:p>
            <w:pPr>
              <w:spacing w:after="0"/>
              <w:rPr>
                <w:sz w:val="20"/>
                <w:szCs w:val="20"/>
                <w:color w:val="auto"/>
              </w:rPr>
            </w:pPr>
            <w:r>
              <w:rPr>
                <w:rFonts w:ascii="Arial" w:cs="Arial" w:eastAsia="Arial" w:hAnsi="Arial"/>
                <w:sz w:val="15"/>
                <w:szCs w:val="15"/>
                <w:color w:val="auto"/>
              </w:rPr>
              <w:t>Total deferred tax liabilities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(9,384)</w:t>
            </w:r>
          </w:p>
        </w:tc>
      </w:tr>
      <w:tr>
        <w:trPr>
          <w:trHeight w:val="229"/>
        </w:trPr>
        <w:tc>
          <w:tcPr>
            <w:tcW w:w="6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95"/>
        </w:trPr>
        <w:tc>
          <w:tcPr>
            <w:tcW w:w="6700" w:type="dxa"/>
            <w:vAlign w:val="bottom"/>
            <w:shd w:val="clear" w:color="auto" w:fill="CCEEFF"/>
          </w:tcPr>
          <w:p>
            <w:pPr>
              <w:spacing w:after="0"/>
              <w:rPr>
                <w:sz w:val="20"/>
                <w:szCs w:val="20"/>
                <w:color w:val="auto"/>
              </w:rPr>
            </w:pPr>
            <w:r>
              <w:rPr>
                <w:rFonts w:ascii="Arial" w:cs="Arial" w:eastAsia="Arial" w:hAnsi="Arial"/>
                <w:sz w:val="15"/>
                <w:szCs w:val="15"/>
                <w:color w:val="auto"/>
              </w:rPr>
              <w:t>Valuation allowance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w:t>
            </w:r>
          </w:p>
        </w:tc>
      </w:tr>
      <w:tr>
        <w:trPr>
          <w:trHeight w:val="221"/>
        </w:trPr>
        <w:tc>
          <w:tcPr>
            <w:tcW w:w="67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20"/>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deferred tax liability</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(1,426)</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At December 31, 2021, the Company had pre-tax federal, state and foreign net operating loss carryforwards of approximately $17.4 million, $13.7 million and $0.9 million, respectively, which are available to reduce future taxable income. With few exceptions, these net operating loss carryforwards will expire from 2030 through 2037 for federal losses, from 2029 through 2037 for state losses, and from 2039 through 2041 for foreign losses. Utilization of the Company’s net operating loss carryforwards is now subject to an annual limitation under Internal Revenue Code Section 382. The Company has recorded a deferred tax asset for only the portion of its net operating loss carryforward that it expects to realize before expiration.</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With few exceptions, the Company is no longer subject to U.S. federal, state or local income tax examinations by tax authorities for the years prior to 2018. However, the Company has certain net operating loss carryforwards from tax years 2010 through 2017 that are subject to examination. As of December 31, 2021 and 2020, the Company did not have any amounts accrued for interest and penalties or recorded for uncertain tax positions.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 January 2020, Intermex Holdings II, Inc., the Company’s previous parent company, was notified by the IRS that its 2017 federal income tax return was selected for examination. In August 2020, the examination was closed with no changes to the reported tax. As of December 31, 2021 and 2020, no amounts for tax, interest, or penalties have been paid or accrued as a result of this examination.</w:t>
      </w:r>
    </w:p>
    <w:p>
      <w:pPr>
        <w:spacing w:after="0" w:line="175"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 xml:space="preserve">In accordance with criteria under FASB guidance, </w:t>
      </w:r>
      <w:r>
        <w:rPr>
          <w:rFonts w:ascii="Arial" w:cs="Arial" w:eastAsia="Arial" w:hAnsi="Arial"/>
          <w:sz w:val="15"/>
          <w:szCs w:val="15"/>
          <w:i w:val="1"/>
          <w:iCs w:val="1"/>
          <w:color w:val="auto"/>
        </w:rPr>
        <w:t>Income Taxes</w:t>
      </w:r>
      <w:r>
        <w:rPr>
          <w:rFonts w:ascii="Arial" w:cs="Arial" w:eastAsia="Arial" w:hAnsi="Arial"/>
          <w:sz w:val="15"/>
          <w:szCs w:val="15"/>
          <w:color w:val="auto"/>
        </w:rPr>
        <w:t>, a valuation allowance is recorded to reduce the carrying amounts of deferred tax assets unless it is more likely than not that such assets will be realized. After consideration of all evidence, both positive and negative, management has determined that no valuation allowance is required at December 31, 2021 or 2020 on the Company’s U.S. deferred tax assets. However, a valuation allowance of $0.2 million as of both December 31, 2021 and 2020 has been recorded on deferred tax assets associated with Canadian net operating loss carryforwards.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On March 27, 2020, the United States enacted the Coronavirus Aid, Relief, and Economic Security (“CARES”) Act. The CARES Act is an emergency economic stimulus package that includes spending and tax breaks to strengthen the United States economy and fund a nationwide effort to curtail the effects of COVID-19. The CARES Act provides various tax law changes in response to the COVID-19 pandemic, including increasing the ability to deduct interest expense, providing for deferral on tax deposits, and amending certain provisions of the previously enacted Tax Cuts and Jobs Act. After considering the provisions of the CARES Act, the Company determined that the CARES Act did not have a material effect on its annual effective tax rate and the income tax provision for the years ended December 31, 2021 and 2020.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70" w:name="page71"/>
    <w:bookmarkEnd w:id="70"/>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NOTE 16 </w:t>
      </w:r>
      <w:r>
        <w:rPr>
          <w:rFonts w:ascii="Arial" w:cs="Arial" w:eastAsia="Arial" w:hAnsi="Arial"/>
          <w:sz w:val="15"/>
          <w:szCs w:val="15"/>
          <w:b w:val="1"/>
          <w:bCs w:val="1"/>
          <w:i w:val="1"/>
          <w:iCs w:val="1"/>
          <w:color w:val="auto"/>
        </w:rPr>
        <w:t>–</w:t>
      </w:r>
      <w:r>
        <w:rPr>
          <w:rFonts w:ascii="Arial" w:cs="Arial" w:eastAsia="Arial" w:hAnsi="Arial"/>
          <w:sz w:val="15"/>
          <w:szCs w:val="15"/>
          <w:color w:val="auto"/>
        </w:rPr>
        <w:t xml:space="preserve"> COMMITMENTS AND CONTINGENCIES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Leases</w:t>
      </w:r>
    </w:p>
    <w:p>
      <w:pPr>
        <w:spacing w:after="0" w:line="218"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Company is a party to leases for office space, warehouses and Company-operated store locations. Rent expense under all operating leases, included in other selling, general and administrative expenses in the consolidated statements of income and comprehensive income, amounted to approximately $2.4 million, $2.2 million and $2.1 million for the years ended December 31, 2021, 2020 and 2019,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At December 31, 2021, future minimum rental payments required under operating leases for the next five years and thereafter are as follows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shd w:val="clear" w:color="auto" w:fill="CCEEFF"/>
          </w:tcPr>
          <w:p>
            <w:pPr>
              <w:spacing w:after="0"/>
              <w:rPr>
                <w:sz w:val="20"/>
                <w:szCs w:val="20"/>
                <w:color w:val="auto"/>
              </w:rPr>
            </w:pPr>
            <w:r>
              <w:rPr>
                <w:rFonts w:ascii="Arial" w:cs="Arial" w:eastAsia="Arial" w:hAnsi="Arial"/>
                <w:sz w:val="15"/>
                <w:szCs w:val="15"/>
                <w:color w:val="auto"/>
              </w:rPr>
              <w:t>2022</w:t>
            </w:r>
          </w:p>
        </w:tc>
        <w:tc>
          <w:tcPr>
            <w:tcW w:w="50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1,625</w:t>
            </w:r>
          </w:p>
        </w:tc>
      </w:tr>
      <w:tr>
        <w:trPr>
          <w:trHeight w:val="195"/>
        </w:trPr>
        <w:tc>
          <w:tcPr>
            <w:tcW w:w="8120" w:type="dxa"/>
            <w:vAlign w:val="bottom"/>
          </w:tcPr>
          <w:p>
            <w:pPr>
              <w:spacing w:after="0"/>
              <w:rPr>
                <w:sz w:val="20"/>
                <w:szCs w:val="20"/>
                <w:color w:val="auto"/>
              </w:rPr>
            </w:pPr>
            <w:r>
              <w:rPr>
                <w:rFonts w:ascii="Arial" w:cs="Arial" w:eastAsia="Arial" w:hAnsi="Arial"/>
                <w:sz w:val="15"/>
                <w:szCs w:val="15"/>
                <w:color w:val="auto"/>
              </w:rPr>
              <w:t>2023</w:t>
            </w:r>
          </w:p>
        </w:tc>
        <w:tc>
          <w:tcPr>
            <w:tcW w:w="5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1,237</w:t>
            </w:r>
          </w:p>
        </w:tc>
      </w:tr>
      <w:tr>
        <w:trPr>
          <w:trHeight w:val="195"/>
        </w:trPr>
        <w:tc>
          <w:tcPr>
            <w:tcW w:w="8120" w:type="dxa"/>
            <w:vAlign w:val="bottom"/>
            <w:shd w:val="clear" w:color="auto" w:fill="CCEEFF"/>
          </w:tcPr>
          <w:p>
            <w:pPr>
              <w:spacing w:after="0"/>
              <w:rPr>
                <w:sz w:val="20"/>
                <w:szCs w:val="20"/>
                <w:color w:val="auto"/>
              </w:rPr>
            </w:pPr>
            <w:r>
              <w:rPr>
                <w:rFonts w:ascii="Arial" w:cs="Arial" w:eastAsia="Arial" w:hAnsi="Arial"/>
                <w:sz w:val="15"/>
                <w:szCs w:val="15"/>
                <w:color w:val="auto"/>
              </w:rPr>
              <w:t>2024</w:t>
            </w: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1,031</w:t>
            </w:r>
          </w:p>
        </w:tc>
      </w:tr>
      <w:tr>
        <w:trPr>
          <w:trHeight w:val="195"/>
        </w:trPr>
        <w:tc>
          <w:tcPr>
            <w:tcW w:w="8120" w:type="dxa"/>
            <w:vAlign w:val="bottom"/>
          </w:tcPr>
          <w:p>
            <w:pPr>
              <w:spacing w:after="0"/>
              <w:rPr>
                <w:sz w:val="20"/>
                <w:szCs w:val="20"/>
                <w:color w:val="auto"/>
              </w:rPr>
            </w:pPr>
            <w:r>
              <w:rPr>
                <w:rFonts w:ascii="Arial" w:cs="Arial" w:eastAsia="Arial" w:hAnsi="Arial"/>
                <w:sz w:val="15"/>
                <w:szCs w:val="15"/>
                <w:color w:val="auto"/>
              </w:rPr>
              <w:t>2025</w:t>
            </w:r>
          </w:p>
        </w:tc>
        <w:tc>
          <w:tcPr>
            <w:tcW w:w="5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861</w:t>
            </w:r>
          </w:p>
        </w:tc>
      </w:tr>
      <w:tr>
        <w:trPr>
          <w:trHeight w:val="195"/>
        </w:trPr>
        <w:tc>
          <w:tcPr>
            <w:tcW w:w="8120" w:type="dxa"/>
            <w:vAlign w:val="bottom"/>
            <w:shd w:val="clear" w:color="auto" w:fill="CCEEFF"/>
          </w:tcPr>
          <w:p>
            <w:pPr>
              <w:spacing w:after="0"/>
              <w:rPr>
                <w:sz w:val="20"/>
                <w:szCs w:val="20"/>
                <w:color w:val="auto"/>
              </w:rPr>
            </w:pPr>
            <w:r>
              <w:rPr>
                <w:rFonts w:ascii="Arial" w:cs="Arial" w:eastAsia="Arial" w:hAnsi="Arial"/>
                <w:sz w:val="15"/>
                <w:szCs w:val="15"/>
                <w:color w:val="auto"/>
              </w:rPr>
              <w:t>2026</w:t>
            </w: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w:t>
            </w:r>
          </w:p>
        </w:tc>
      </w:tr>
      <w:tr>
        <w:trPr>
          <w:trHeight w:val="198"/>
        </w:trPr>
        <w:tc>
          <w:tcPr>
            <w:tcW w:w="81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Thereafter</w:t>
            </w: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w:t>
            </w:r>
          </w:p>
        </w:tc>
      </w:tr>
      <w:tr>
        <w:trPr>
          <w:trHeight w:val="220"/>
        </w:trPr>
        <w:tc>
          <w:tcPr>
            <w:tcW w:w="8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4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4,870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Contingencies and Legal Proceedings</w:t>
      </w:r>
    </w:p>
    <w:p>
      <w:pPr>
        <w:spacing w:after="0" w:line="195"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Company is subject to legal proceedings and claims that have arisen in the ordinary course of its business and have not been finally adjudicated. Although there can be no assurance as to the ultimate disposition of these matters, it is the opinion of the Company’s management, based upon the information available at this time and the stage of the proceedings, that it is not possible to determine the probability of loss or estimate of damages, and therefore, the Company has not established a reserve for any of these proceedings, except for the matter related to a complaint filed under the Telephone Consumer Protection Act of 1991 (the “TCPA claim”) described below.</w:t>
      </w:r>
    </w:p>
    <w:p>
      <w:pPr>
        <w:spacing w:after="0" w:line="179"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On May 30, 2019, Stuart Sawyer filed a putative class action complaint in the United States District Court for the Southern District of Florida asserting a claim under the TCPA, 47 U.S.C. § 227, et seq., based on allegations that since May 30, 2015, the Company had sent text messages to class members’ wireless telephones without their consent. The litigation was settled under a definitive Settlement Agreement on March 16, 2020, subsequently approved by the Court. The Settlement Agreement provides for resolution of Mr. Sawyer’s TCPA claims and the claims of a class of similarly situated individuals, as defined in the complaint, who received text messages from the Company during the period May 30, 2015 through October 7, 2019, and for the creation of a $3.25 million settlement fund that will be used to pay all class member claims, class counsel’s fees and the costs of administering the settlement.</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settlement fund will be managed by a duly-appointed settlement administrator which will be authorized to, among other things, make payments from the fund in accordance with the terms of the Settlement Agreement and the final judgment in the case. No amount of the settlement fund will revert to the Company; instead, any unclaimed funds will be sent to a consumer advocacy organization approved by the Court.</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settlement fund and related legal expenses were paid in full in October 2020, and therefore, no remaining balance is included in accrued and other liabilities in the consolidated balance sheet as of December 31, 2021 or 2020. The settlement amount and related legal fees amounted to $3.8 million out of which approximately $0.1 million and $3.7 million were incurred during the years ended December 31, 2020 and 2019, respectively, and are included in other selling, general and administrative expenses in the consolidated statements of income and comprehensive income. There were no expenses related to the settlement amount or legal expenses during the year ended December 31, 2021.</w:t>
      </w:r>
    </w:p>
    <w:p>
      <w:pPr>
        <w:spacing w:after="0" w:line="16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Company operates in 50 U.S. states, two U.S. territories and three other countries. Money transmitters and their agents are under regulation by state and federal laws. Violations may result in civil or criminal penalties or a prohibition from providing money transfer services in a particular jurisdiction. It is the opinion of the Company’s management, based on information available at this time, that the expected outcome of regulatory examinations will not have a material adverse effect on either the results of operations or financial condition of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Regulatory Requirements</w:t>
      </w:r>
    </w:p>
    <w:p>
      <w:pPr>
        <w:spacing w:after="0" w:line="218" w:lineRule="exact"/>
        <w:rPr>
          <w:sz w:val="20"/>
          <w:szCs w:val="20"/>
          <w:color w:val="auto"/>
        </w:rPr>
      </w:pPr>
    </w:p>
    <w:p>
      <w:pPr>
        <w:jc w:val="both"/>
        <w:spacing w:after="0" w:line="331" w:lineRule="auto"/>
        <w:rPr>
          <w:sz w:val="20"/>
          <w:szCs w:val="20"/>
          <w:color w:val="auto"/>
        </w:rPr>
      </w:pPr>
      <w:r>
        <w:rPr>
          <w:rFonts w:ascii="Arial" w:cs="Arial" w:eastAsia="Arial" w:hAnsi="Arial"/>
          <w:sz w:val="13"/>
          <w:szCs w:val="13"/>
          <w:color w:val="auto"/>
        </w:rPr>
        <w:t>Pursuant to applicable licensing laws, certain domestic subsidiaries of the Company are required to maintain minimum tangible net worth and liquid assets (eligible securities) to cover the amount outstanding of wire transfers and money orders payable. As of December 31, 2021 and 2020, the Company’s subsidiaries were in compliance with these two requirements.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71" w:name="page72"/>
    <w:bookmarkEnd w:id="71"/>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NOTE 17 </w:t>
      </w:r>
      <w:r>
        <w:rPr>
          <w:rFonts w:ascii="Arial" w:cs="Arial" w:eastAsia="Arial" w:hAnsi="Arial"/>
          <w:sz w:val="15"/>
          <w:szCs w:val="15"/>
          <w:b w:val="1"/>
          <w:bCs w:val="1"/>
          <w:i w:val="1"/>
          <w:iCs w:val="1"/>
          <w:color w:val="auto"/>
        </w:rPr>
        <w:t>–</w:t>
      </w:r>
      <w:r>
        <w:rPr>
          <w:rFonts w:ascii="Arial" w:cs="Arial" w:eastAsia="Arial" w:hAnsi="Arial"/>
          <w:sz w:val="15"/>
          <w:szCs w:val="15"/>
          <w:color w:val="auto"/>
        </w:rPr>
        <w:t xml:space="preserve"> DEFINED CONTRIBUTION PLAN</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Company has a defined contribution plan available to most of its employees, where the Company makes contributions to the plan based on employee contributions. Total employer contribution expense included in salaries and benefits in the consolidated statements of income and comprehensive income was approximately $0.2 million, $0.1 million and $0.1 million for the years ended December 31, 2021, 2020 and 2019, respectively.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72" w:name="page73"/>
    <w:bookmarkEnd w:id="72"/>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36"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b w:val="1"/>
          <w:bCs w:val="1"/>
          <w:color w:val="auto"/>
        </w:rPr>
        <w:t>ITEM 9.</w:t>
        <w:tab/>
        <w:t>CHANGES IN AND DISAGREEMENTS WITH ACCOUNTANTS ON ACCOUNTING AND FINANCIAL DISCLOSURE</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None.</w:t>
      </w:r>
    </w:p>
    <w:p>
      <w:pPr>
        <w:spacing w:after="0" w:line="214"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b w:val="1"/>
          <w:bCs w:val="1"/>
          <w:color w:val="auto"/>
        </w:rPr>
        <w:t>ITEM 9A.</w:t>
        <w:tab/>
        <w:t>CONTROLS AND PROCEDURES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Evaluation of Disclosure Controls and Procedures</w:t>
      </w:r>
    </w:p>
    <w:p>
      <w:pPr>
        <w:spacing w:after="0" w:line="199" w:lineRule="exact"/>
        <w:rPr>
          <w:sz w:val="20"/>
          <w:szCs w:val="20"/>
          <w:color w:val="auto"/>
        </w:rPr>
      </w:pPr>
    </w:p>
    <w:p>
      <w:pPr>
        <w:jc w:val="both"/>
        <w:ind w:firstLine="275"/>
        <w:spacing w:after="0" w:line="290" w:lineRule="auto"/>
        <w:rPr>
          <w:sz w:val="20"/>
          <w:szCs w:val="20"/>
          <w:color w:val="auto"/>
        </w:rPr>
      </w:pPr>
      <w:r>
        <w:rPr>
          <w:rFonts w:ascii="Arial" w:cs="Arial" w:eastAsia="Arial" w:hAnsi="Arial"/>
          <w:sz w:val="14"/>
          <w:szCs w:val="14"/>
          <w:color w:val="auto"/>
        </w:rPr>
        <w:t>We maintain disclosure controls and procedures (as defined in Rules 13a-15(e) and 15d-15(e) under the Securities Exchange Act of 1934, as amended (the “Exchange Act”)) that are designed to ensure that information required to be disclosed in our reports filed pursuant to the Exchange Act is recorded, processed, summarized and reported within the time periods specified in the SEC’s rules, regulations and related forms, and that such information is accumulated and communicated to our management, including our Chief Executive Officer and President, and Chief Financial Officer, as appropriate, to allow timely decisions regarding required disclosure.</w:t>
      </w:r>
    </w:p>
    <w:p>
      <w:pPr>
        <w:spacing w:after="0" w:line="162" w:lineRule="exact"/>
        <w:rPr>
          <w:sz w:val="20"/>
          <w:szCs w:val="20"/>
          <w:color w:val="auto"/>
        </w:rPr>
      </w:pPr>
    </w:p>
    <w:p>
      <w:pPr>
        <w:jc w:val="both"/>
        <w:ind w:firstLine="275"/>
        <w:spacing w:after="0" w:line="298" w:lineRule="auto"/>
        <w:rPr>
          <w:sz w:val="20"/>
          <w:szCs w:val="20"/>
          <w:color w:val="auto"/>
        </w:rPr>
      </w:pPr>
      <w:r>
        <w:rPr>
          <w:rFonts w:ascii="Arial" w:cs="Arial" w:eastAsia="Arial" w:hAnsi="Arial"/>
          <w:sz w:val="14"/>
          <w:szCs w:val="14"/>
          <w:color w:val="auto"/>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w:t>
      </w:r>
    </w:p>
    <w:p>
      <w:pPr>
        <w:spacing w:after="0" w:line="157" w:lineRule="exact"/>
        <w:rPr>
          <w:sz w:val="20"/>
          <w:szCs w:val="20"/>
          <w:color w:val="auto"/>
        </w:rPr>
      </w:pPr>
    </w:p>
    <w:p>
      <w:pPr>
        <w:jc w:val="both"/>
        <w:ind w:firstLine="275"/>
        <w:spacing w:after="0" w:line="261" w:lineRule="auto"/>
        <w:rPr>
          <w:sz w:val="20"/>
          <w:szCs w:val="20"/>
          <w:color w:val="auto"/>
        </w:rPr>
      </w:pPr>
      <w:r>
        <w:rPr>
          <w:rFonts w:ascii="Arial" w:cs="Arial" w:eastAsia="Arial" w:hAnsi="Arial"/>
          <w:sz w:val="15"/>
          <w:szCs w:val="15"/>
          <w:color w:val="auto"/>
        </w:rPr>
        <w:t>As required by Rules 13a-15(b) and 15d-15(b) under the Exchange Act, our Chief Executive Officer and President, and Chief Financial Officer, carried out an evaluation of the effectiveness of our disclosure controls and procedures as of December 31, 2021. Based on their evaluation, the Company’s principal executive officer and principal financial officer concluded that the Company’s disclosure controls and procedures were effective and operating to provide reasonable assurance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President, and Chief Financial Officer, as appropriate, to allow timely decisions regarding required disclosure as of December 31, 2021.</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Report on Internal Control over Financial Reporting</w:t>
      </w:r>
    </w:p>
    <w:p>
      <w:pPr>
        <w:spacing w:after="0" w:line="199"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as such term is defined in the Securities Exchange Act of 1934 Rule 13a-15(f). Our management, with the participation of our Chief Executive Officer and President, and our Chief Financial Officer, conducted an evaluation of the effectiveness of our internal control over financial reporting based on the 2013 Internal Control – Integrated Framework (the “COSO Framework”). Based on this evaluation under the COSO Framework, our management concluded that our internal control over financial reporting was effective as of December 31, 2021.</w:t>
      </w:r>
    </w:p>
    <w:p>
      <w:pPr>
        <w:spacing w:after="0" w:line="179" w:lineRule="exact"/>
        <w:rPr>
          <w:sz w:val="20"/>
          <w:szCs w:val="20"/>
          <w:color w:val="auto"/>
        </w:rPr>
      </w:pPr>
    </w:p>
    <w:p>
      <w:pPr>
        <w:jc w:val="both"/>
        <w:ind w:right="20" w:firstLine="275"/>
        <w:spacing w:after="0" w:line="323" w:lineRule="auto"/>
        <w:rPr>
          <w:sz w:val="20"/>
          <w:szCs w:val="20"/>
          <w:color w:val="auto"/>
        </w:rPr>
      </w:pPr>
      <w:r>
        <w:rPr>
          <w:rFonts w:ascii="Arial" w:cs="Arial" w:eastAsia="Arial" w:hAnsi="Arial"/>
          <w:sz w:val="14"/>
          <w:szCs w:val="14"/>
          <w:color w:val="auto"/>
        </w:rPr>
        <w:t>This Annual Report on Form 10-K does not include an attestation report of the Company’s registered independent public accounting firm on management’s assessment regarding internal control over financial reporting due to the exemption from such requirements established by rules of the SEC for emerging growth companies.</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Changes in Internal Control Over Financial Reporting</w:t>
      </w:r>
    </w:p>
    <w:p>
      <w:pPr>
        <w:spacing w:after="0" w:line="199" w:lineRule="exact"/>
        <w:rPr>
          <w:sz w:val="20"/>
          <w:szCs w:val="20"/>
          <w:color w:val="auto"/>
        </w:rPr>
      </w:pPr>
    </w:p>
    <w:p>
      <w:pPr>
        <w:jc w:val="both"/>
        <w:ind w:right="20" w:firstLine="275"/>
        <w:spacing w:after="0" w:line="270" w:lineRule="auto"/>
        <w:rPr>
          <w:sz w:val="20"/>
          <w:szCs w:val="20"/>
          <w:color w:val="auto"/>
        </w:rPr>
      </w:pPr>
      <w:r>
        <w:rPr>
          <w:rFonts w:ascii="Arial" w:cs="Arial" w:eastAsia="Arial" w:hAnsi="Arial"/>
          <w:sz w:val="15"/>
          <w:szCs w:val="15"/>
          <w:color w:val="auto"/>
        </w:rPr>
        <w:t>Notwithstanding operational changes in response to the COVID-19 pandemic, during the most recently completed fiscal quarter, there have been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171"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9B.</w:t>
        <w:tab/>
        <w:t>OTHER INFORMATION</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None.</w:t>
      </w:r>
    </w:p>
    <w:p>
      <w:pPr>
        <w:spacing w:after="0" w:line="214"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b w:val="1"/>
          <w:bCs w:val="1"/>
          <w:color w:val="auto"/>
        </w:rPr>
        <w:t>ITEM 9C.</w:t>
        <w:tab/>
        <w:t>DISCLOSURE REGARDING FOREIGN JURISDICTIONS THAT PREVENT INSPECTIONS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Not applicable.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73" w:name="page74"/>
    <w:bookmarkEnd w:id="73"/>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III</w:t>
      </w:r>
    </w:p>
    <w:p>
      <w:pPr>
        <w:spacing w:after="0" w:line="195"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b w:val="1"/>
          <w:bCs w:val="1"/>
          <w:color w:val="auto"/>
        </w:rPr>
        <w:t>ITEM 10.</w:t>
        <w:tab/>
        <w:t>DIRECTORS, EXECUTIVE OFFICERS AND CORPORATE GOVERNANCE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of Directors</w:t>
      </w:r>
    </w:p>
    <w:p>
      <w:pPr>
        <w:spacing w:after="0" w:line="222" w:lineRule="exact"/>
        <w:rPr>
          <w:sz w:val="20"/>
          <w:szCs w:val="20"/>
          <w:color w:val="auto"/>
        </w:rPr>
      </w:pPr>
    </w:p>
    <w:p>
      <w:pPr>
        <w:jc w:val="both"/>
        <w:ind w:firstLine="275"/>
        <w:spacing w:after="0" w:line="281" w:lineRule="auto"/>
        <w:rPr>
          <w:sz w:val="20"/>
          <w:szCs w:val="20"/>
          <w:color w:val="auto"/>
        </w:rPr>
      </w:pPr>
      <w:r>
        <w:rPr>
          <w:rFonts w:ascii="Arial" w:cs="Arial" w:eastAsia="Arial" w:hAnsi="Arial"/>
          <w:sz w:val="14"/>
          <w:szCs w:val="14"/>
          <w:color w:val="auto"/>
        </w:rPr>
        <w:t>Our board of directors (“Board of Directors” or “Board”) is presently fixed at eight directors in accordance with the bylaws of International Money Express, Inc. (the “Company”). The Board of Directors is divided into three classes designated as Class I, Class II and Class III. One class of directors is elected at each annual meeting of our stockholders for a term of three years. Each director holds office until his or her successor has been duly elected and qualified, or the director’s earlier resignation, death or removal. The term of the Board’s Class I directors expires at the 2022 annual meeting of stockholders, the term of the Class II directors expires at the 2023 annual meeting of stockholders, and the term of the Board’s Class III directors expires at the 2024 annual meeting of stockholders. Effective January 6, 2022, Kurt Holstein and Christopher Lofgren, each of whom has served as a Board member since 2018 and 2019, respectively, retired from the Board, and acting on the recommendation of the Nominating and Corporate Governance Committee, the Board appointed Ms. Debra Bradford and Mr. Bernardo Fernández to fill the vacancies on the Board effective January 7, 2022.</w:t>
      </w:r>
    </w:p>
    <w:p>
      <w:pPr>
        <w:spacing w:after="0" w:line="172"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5"/>
          <w:szCs w:val="15"/>
          <w:color w:val="auto"/>
        </w:rPr>
        <w:t>Set forth below are the name and age of each of the directors of the Company, positions with the Company, term of office as a director of the Company, business experience during the past five years or more, and additional biographical data as of March 1, 2022.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720" w:type="dxa"/>
            <w:vAlign w:val="bottom"/>
          </w:tcPr>
          <w:p>
            <w:pPr>
              <w:spacing w:after="0"/>
              <w:rPr>
                <w:sz w:val="20"/>
                <w:szCs w:val="20"/>
                <w:color w:val="auto"/>
              </w:rPr>
            </w:pPr>
            <w:r>
              <w:rPr>
                <w:rFonts w:ascii="Arial" w:cs="Arial" w:eastAsia="Arial" w:hAnsi="Arial"/>
                <w:sz w:val="15"/>
                <w:szCs w:val="15"/>
                <w:b w:val="1"/>
                <w:bCs w:val="1"/>
                <w:color w:val="auto"/>
              </w:rPr>
              <w:t>Name</w:t>
            </w: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Age</w:t>
            </w:r>
          </w:p>
        </w:tc>
        <w:tc>
          <w:tcPr>
            <w:tcW w:w="5060" w:type="dxa"/>
            <w:vAlign w:val="bottom"/>
          </w:tcPr>
          <w:p>
            <w:pPr>
              <w:ind w:left="80"/>
              <w:spacing w:after="0"/>
              <w:rPr>
                <w:sz w:val="20"/>
                <w:szCs w:val="20"/>
                <w:color w:val="auto"/>
              </w:rPr>
            </w:pPr>
            <w:r>
              <w:rPr>
                <w:rFonts w:ascii="Arial" w:cs="Arial" w:eastAsia="Arial" w:hAnsi="Arial"/>
                <w:sz w:val="15"/>
                <w:szCs w:val="15"/>
                <w:b w:val="1"/>
                <w:bCs w:val="1"/>
                <w:color w:val="auto"/>
              </w:rPr>
              <w:t>Position</w:t>
            </w:r>
          </w:p>
        </w:tc>
        <w:tc>
          <w:tcPr>
            <w:tcW w:w="1660" w:type="dxa"/>
            <w:vAlign w:val="bottom"/>
          </w:tcPr>
          <w:p>
            <w:pPr>
              <w:jc w:val="right"/>
              <w:ind w:right="264"/>
              <w:spacing w:after="0"/>
              <w:rPr>
                <w:sz w:val="20"/>
                <w:szCs w:val="20"/>
                <w:color w:val="auto"/>
              </w:rPr>
            </w:pPr>
            <w:r>
              <w:rPr>
                <w:rFonts w:ascii="Arial" w:cs="Arial" w:eastAsia="Arial" w:hAnsi="Arial"/>
                <w:sz w:val="15"/>
                <w:szCs w:val="15"/>
                <w:b w:val="1"/>
                <w:bCs w:val="1"/>
                <w:color w:val="auto"/>
              </w:rPr>
              <w:t>Director Since</w:t>
            </w:r>
          </w:p>
        </w:tc>
        <w:tc>
          <w:tcPr>
            <w:tcW w:w="1960" w:type="dxa"/>
            <w:vAlign w:val="bottom"/>
          </w:tcPr>
          <w:p>
            <w:pPr>
              <w:ind w:left="340"/>
              <w:spacing w:after="0"/>
              <w:rPr>
                <w:sz w:val="20"/>
                <w:szCs w:val="20"/>
                <w:color w:val="auto"/>
              </w:rPr>
            </w:pPr>
            <w:r>
              <w:rPr>
                <w:rFonts w:ascii="Arial" w:cs="Arial" w:eastAsia="Arial" w:hAnsi="Arial"/>
                <w:sz w:val="15"/>
                <w:szCs w:val="15"/>
                <w:b w:val="1"/>
                <w:bCs w:val="1"/>
                <w:color w:val="auto"/>
              </w:rPr>
              <w:t>Director Class</w:t>
            </w:r>
          </w:p>
        </w:tc>
      </w:tr>
      <w:tr>
        <w:trPr>
          <w:trHeight w:val="26"/>
        </w:trPr>
        <w:tc>
          <w:tcPr>
            <w:tcW w:w="17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195"/>
        </w:trPr>
        <w:tc>
          <w:tcPr>
            <w:tcW w:w="1720" w:type="dxa"/>
            <w:vAlign w:val="bottom"/>
            <w:shd w:val="clear" w:color="auto" w:fill="CCEEFF"/>
          </w:tcPr>
          <w:p>
            <w:pPr>
              <w:spacing w:after="0"/>
              <w:rPr>
                <w:sz w:val="20"/>
                <w:szCs w:val="20"/>
                <w:color w:val="auto"/>
              </w:rPr>
            </w:pPr>
            <w:r>
              <w:rPr>
                <w:rFonts w:ascii="Arial" w:cs="Arial" w:eastAsia="Arial" w:hAnsi="Arial"/>
                <w:sz w:val="15"/>
                <w:szCs w:val="15"/>
                <w:color w:val="auto"/>
              </w:rPr>
              <w:t>Robert Lisy</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64</w:t>
            </w:r>
          </w:p>
        </w:tc>
        <w:tc>
          <w:tcPr>
            <w:tcW w:w="5060" w:type="dxa"/>
            <w:vAlign w:val="bottom"/>
            <w:shd w:val="clear" w:color="auto" w:fill="CCEEFF"/>
          </w:tcPr>
          <w:p>
            <w:pPr>
              <w:ind w:left="80"/>
              <w:spacing w:after="0"/>
              <w:rPr>
                <w:sz w:val="20"/>
                <w:szCs w:val="20"/>
                <w:color w:val="auto"/>
              </w:rPr>
            </w:pPr>
            <w:r>
              <w:rPr>
                <w:rFonts w:ascii="Arial" w:cs="Arial" w:eastAsia="Arial" w:hAnsi="Arial"/>
                <w:sz w:val="15"/>
                <w:szCs w:val="15"/>
                <w:color w:val="auto"/>
              </w:rPr>
              <w:t>Chief Executive Officer, President and Chairman of the Board of Directors</w:t>
            </w:r>
          </w:p>
        </w:tc>
        <w:tc>
          <w:tcPr>
            <w:tcW w:w="166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rPr>
              <w:t>2018</w:t>
            </w:r>
          </w:p>
        </w:tc>
        <w:tc>
          <w:tcPr>
            <w:tcW w:w="1960" w:type="dxa"/>
            <w:vAlign w:val="bottom"/>
            <w:shd w:val="clear" w:color="auto" w:fill="CCEEFF"/>
          </w:tcPr>
          <w:p>
            <w:pPr>
              <w:jc w:val="center"/>
              <w:ind w:left="244"/>
              <w:spacing w:after="0"/>
              <w:rPr>
                <w:sz w:val="20"/>
                <w:szCs w:val="20"/>
                <w:color w:val="auto"/>
              </w:rPr>
            </w:pPr>
            <w:r>
              <w:rPr>
                <w:rFonts w:ascii="Arial" w:cs="Arial" w:eastAsia="Arial" w:hAnsi="Arial"/>
                <w:sz w:val="15"/>
                <w:szCs w:val="15"/>
                <w:color w:val="auto"/>
              </w:rPr>
              <w:t>III</w:t>
            </w:r>
          </w:p>
        </w:tc>
      </w:tr>
      <w:tr>
        <w:trPr>
          <w:trHeight w:val="195"/>
        </w:trPr>
        <w:tc>
          <w:tcPr>
            <w:tcW w:w="1720" w:type="dxa"/>
            <w:vAlign w:val="bottom"/>
          </w:tcPr>
          <w:p>
            <w:pPr>
              <w:spacing w:after="0"/>
              <w:rPr>
                <w:sz w:val="20"/>
                <w:szCs w:val="20"/>
                <w:color w:val="auto"/>
              </w:rPr>
            </w:pPr>
            <w:r>
              <w:rPr>
                <w:rFonts w:ascii="Arial" w:cs="Arial" w:eastAsia="Arial" w:hAnsi="Arial"/>
                <w:sz w:val="15"/>
                <w:szCs w:val="15"/>
                <w:color w:val="auto"/>
              </w:rPr>
              <w:t>Debra Bradford</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63</w:t>
            </w:r>
          </w:p>
        </w:tc>
        <w:tc>
          <w:tcPr>
            <w:tcW w:w="5060" w:type="dxa"/>
            <w:vAlign w:val="bottom"/>
          </w:tcPr>
          <w:p>
            <w:pPr>
              <w:ind w:left="80"/>
              <w:spacing w:after="0"/>
              <w:rPr>
                <w:sz w:val="20"/>
                <w:szCs w:val="20"/>
                <w:color w:val="auto"/>
              </w:rPr>
            </w:pPr>
            <w:r>
              <w:rPr>
                <w:rFonts w:ascii="Arial" w:cs="Arial" w:eastAsia="Arial" w:hAnsi="Arial"/>
                <w:sz w:val="15"/>
                <w:szCs w:val="15"/>
                <w:color w:val="auto"/>
              </w:rPr>
              <w:t>Director</w:t>
            </w:r>
          </w:p>
        </w:tc>
        <w:tc>
          <w:tcPr>
            <w:tcW w:w="1660" w:type="dxa"/>
            <w:vAlign w:val="bottom"/>
          </w:tcPr>
          <w:p>
            <w:pPr>
              <w:jc w:val="right"/>
              <w:ind w:right="244"/>
              <w:spacing w:after="0"/>
              <w:rPr>
                <w:sz w:val="20"/>
                <w:szCs w:val="20"/>
                <w:color w:val="auto"/>
              </w:rPr>
            </w:pPr>
            <w:r>
              <w:rPr>
                <w:rFonts w:ascii="Arial" w:cs="Arial" w:eastAsia="Arial" w:hAnsi="Arial"/>
                <w:sz w:val="15"/>
                <w:szCs w:val="15"/>
                <w:color w:val="auto"/>
              </w:rPr>
              <w:t>2022</w:t>
            </w:r>
          </w:p>
        </w:tc>
        <w:tc>
          <w:tcPr>
            <w:tcW w:w="1960" w:type="dxa"/>
            <w:vAlign w:val="bottom"/>
          </w:tcPr>
          <w:p>
            <w:pPr>
              <w:jc w:val="center"/>
              <w:ind w:left="264"/>
              <w:spacing w:after="0"/>
              <w:rPr>
                <w:sz w:val="20"/>
                <w:szCs w:val="20"/>
                <w:color w:val="auto"/>
              </w:rPr>
            </w:pPr>
            <w:r>
              <w:rPr>
                <w:rFonts w:ascii="Arial" w:cs="Arial" w:eastAsia="Arial" w:hAnsi="Arial"/>
                <w:sz w:val="15"/>
                <w:szCs w:val="15"/>
                <w:color w:val="auto"/>
              </w:rPr>
              <w:t>II</w:t>
            </w:r>
          </w:p>
        </w:tc>
      </w:tr>
      <w:tr>
        <w:trPr>
          <w:trHeight w:val="195"/>
        </w:trPr>
        <w:tc>
          <w:tcPr>
            <w:tcW w:w="1720" w:type="dxa"/>
            <w:vAlign w:val="bottom"/>
            <w:shd w:val="clear" w:color="auto" w:fill="CCEEFF"/>
          </w:tcPr>
          <w:p>
            <w:pPr>
              <w:spacing w:after="0"/>
              <w:rPr>
                <w:sz w:val="20"/>
                <w:szCs w:val="20"/>
                <w:color w:val="auto"/>
              </w:rPr>
            </w:pPr>
            <w:r>
              <w:rPr>
                <w:rFonts w:ascii="Arial" w:cs="Arial" w:eastAsia="Arial" w:hAnsi="Arial"/>
                <w:sz w:val="15"/>
                <w:szCs w:val="15"/>
                <w:color w:val="auto"/>
              </w:rPr>
              <w:t>Bernardo Fernández</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60</w:t>
            </w:r>
          </w:p>
        </w:tc>
        <w:tc>
          <w:tcPr>
            <w:tcW w:w="5060" w:type="dxa"/>
            <w:vAlign w:val="bottom"/>
            <w:shd w:val="clear" w:color="auto" w:fill="CCEEFF"/>
          </w:tcPr>
          <w:p>
            <w:pPr>
              <w:ind w:left="80"/>
              <w:spacing w:after="0"/>
              <w:rPr>
                <w:sz w:val="20"/>
                <w:szCs w:val="20"/>
                <w:color w:val="auto"/>
              </w:rPr>
            </w:pPr>
            <w:r>
              <w:rPr>
                <w:rFonts w:ascii="Arial" w:cs="Arial" w:eastAsia="Arial" w:hAnsi="Arial"/>
                <w:sz w:val="15"/>
                <w:szCs w:val="15"/>
                <w:color w:val="auto"/>
              </w:rPr>
              <w:t>Director</w:t>
            </w:r>
          </w:p>
        </w:tc>
        <w:tc>
          <w:tcPr>
            <w:tcW w:w="166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rPr>
              <w:t>2022</w:t>
            </w:r>
          </w:p>
        </w:tc>
        <w:tc>
          <w:tcPr>
            <w:tcW w:w="1960" w:type="dxa"/>
            <w:vAlign w:val="bottom"/>
            <w:shd w:val="clear" w:color="auto" w:fill="CCEEFF"/>
          </w:tcPr>
          <w:p>
            <w:pPr>
              <w:jc w:val="center"/>
              <w:ind w:left="244"/>
              <w:spacing w:after="0"/>
              <w:rPr>
                <w:sz w:val="20"/>
                <w:szCs w:val="20"/>
                <w:color w:val="auto"/>
              </w:rPr>
            </w:pPr>
            <w:r>
              <w:rPr>
                <w:rFonts w:ascii="Arial" w:cs="Arial" w:eastAsia="Arial" w:hAnsi="Arial"/>
                <w:sz w:val="15"/>
                <w:szCs w:val="15"/>
                <w:color w:val="auto"/>
                <w:w w:val="94"/>
              </w:rPr>
              <w:t>I</w:t>
            </w:r>
          </w:p>
        </w:tc>
      </w:tr>
      <w:tr>
        <w:trPr>
          <w:trHeight w:val="195"/>
        </w:trPr>
        <w:tc>
          <w:tcPr>
            <w:tcW w:w="1720" w:type="dxa"/>
            <w:vAlign w:val="bottom"/>
          </w:tcPr>
          <w:p>
            <w:pPr>
              <w:spacing w:after="0"/>
              <w:rPr>
                <w:sz w:val="20"/>
                <w:szCs w:val="20"/>
                <w:color w:val="auto"/>
              </w:rPr>
            </w:pPr>
            <w:r>
              <w:rPr>
                <w:rFonts w:ascii="Arial" w:cs="Arial" w:eastAsia="Arial" w:hAnsi="Arial"/>
                <w:sz w:val="15"/>
                <w:szCs w:val="15"/>
                <w:color w:val="auto"/>
              </w:rPr>
              <w:t>Adam Godfrey</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59</w:t>
            </w:r>
          </w:p>
        </w:tc>
        <w:tc>
          <w:tcPr>
            <w:tcW w:w="5060" w:type="dxa"/>
            <w:vAlign w:val="bottom"/>
          </w:tcPr>
          <w:p>
            <w:pPr>
              <w:ind w:left="80"/>
              <w:spacing w:after="0"/>
              <w:rPr>
                <w:sz w:val="20"/>
                <w:szCs w:val="20"/>
                <w:color w:val="auto"/>
              </w:rPr>
            </w:pPr>
            <w:r>
              <w:rPr>
                <w:rFonts w:ascii="Arial" w:cs="Arial" w:eastAsia="Arial" w:hAnsi="Arial"/>
                <w:sz w:val="15"/>
                <w:szCs w:val="15"/>
                <w:color w:val="auto"/>
              </w:rPr>
              <w:t>Director</w:t>
            </w:r>
          </w:p>
        </w:tc>
        <w:tc>
          <w:tcPr>
            <w:tcW w:w="1660" w:type="dxa"/>
            <w:vAlign w:val="bottom"/>
          </w:tcPr>
          <w:p>
            <w:pPr>
              <w:jc w:val="right"/>
              <w:ind w:right="244"/>
              <w:spacing w:after="0"/>
              <w:rPr>
                <w:sz w:val="20"/>
                <w:szCs w:val="20"/>
                <w:color w:val="auto"/>
              </w:rPr>
            </w:pPr>
            <w:r>
              <w:rPr>
                <w:rFonts w:ascii="Arial" w:cs="Arial" w:eastAsia="Arial" w:hAnsi="Arial"/>
                <w:sz w:val="15"/>
                <w:szCs w:val="15"/>
                <w:color w:val="auto"/>
              </w:rPr>
              <w:t>2018</w:t>
            </w:r>
          </w:p>
        </w:tc>
        <w:tc>
          <w:tcPr>
            <w:tcW w:w="1960" w:type="dxa"/>
            <w:vAlign w:val="bottom"/>
          </w:tcPr>
          <w:p>
            <w:pPr>
              <w:jc w:val="center"/>
              <w:ind w:left="244"/>
              <w:spacing w:after="0"/>
              <w:rPr>
                <w:sz w:val="20"/>
                <w:szCs w:val="20"/>
                <w:color w:val="auto"/>
              </w:rPr>
            </w:pPr>
            <w:r>
              <w:rPr>
                <w:rFonts w:ascii="Arial" w:cs="Arial" w:eastAsia="Arial" w:hAnsi="Arial"/>
                <w:sz w:val="15"/>
                <w:szCs w:val="15"/>
                <w:color w:val="auto"/>
              </w:rPr>
              <w:t>III</w:t>
            </w:r>
          </w:p>
        </w:tc>
      </w:tr>
      <w:tr>
        <w:trPr>
          <w:trHeight w:val="195"/>
        </w:trPr>
        <w:tc>
          <w:tcPr>
            <w:tcW w:w="1720" w:type="dxa"/>
            <w:vAlign w:val="bottom"/>
            <w:shd w:val="clear" w:color="auto" w:fill="CCEEFF"/>
          </w:tcPr>
          <w:p>
            <w:pPr>
              <w:spacing w:after="0"/>
              <w:rPr>
                <w:sz w:val="20"/>
                <w:szCs w:val="20"/>
                <w:color w:val="auto"/>
              </w:rPr>
            </w:pPr>
            <w:r>
              <w:rPr>
                <w:rFonts w:ascii="Arial" w:cs="Arial" w:eastAsia="Arial" w:hAnsi="Arial"/>
                <w:sz w:val="15"/>
                <w:szCs w:val="15"/>
                <w:color w:val="auto"/>
              </w:rPr>
              <w:t>Laura Maydón</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48</w:t>
            </w:r>
          </w:p>
        </w:tc>
        <w:tc>
          <w:tcPr>
            <w:tcW w:w="5060" w:type="dxa"/>
            <w:vAlign w:val="bottom"/>
            <w:shd w:val="clear" w:color="auto" w:fill="CCEEFF"/>
          </w:tcPr>
          <w:p>
            <w:pPr>
              <w:ind w:left="80"/>
              <w:spacing w:after="0"/>
              <w:rPr>
                <w:sz w:val="20"/>
                <w:szCs w:val="20"/>
                <w:color w:val="auto"/>
              </w:rPr>
            </w:pPr>
            <w:r>
              <w:rPr>
                <w:rFonts w:ascii="Arial" w:cs="Arial" w:eastAsia="Arial" w:hAnsi="Arial"/>
                <w:sz w:val="15"/>
                <w:szCs w:val="15"/>
                <w:color w:val="auto"/>
              </w:rPr>
              <w:t>Director</w:t>
            </w:r>
          </w:p>
        </w:tc>
        <w:tc>
          <w:tcPr>
            <w:tcW w:w="166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rPr>
              <w:t>2020</w:t>
            </w:r>
          </w:p>
        </w:tc>
        <w:tc>
          <w:tcPr>
            <w:tcW w:w="1960" w:type="dxa"/>
            <w:vAlign w:val="bottom"/>
            <w:shd w:val="clear" w:color="auto" w:fill="CCEEFF"/>
          </w:tcPr>
          <w:p>
            <w:pPr>
              <w:jc w:val="center"/>
              <w:ind w:left="244"/>
              <w:spacing w:after="0"/>
              <w:rPr>
                <w:sz w:val="20"/>
                <w:szCs w:val="20"/>
                <w:color w:val="auto"/>
              </w:rPr>
            </w:pPr>
            <w:r>
              <w:rPr>
                <w:rFonts w:ascii="Arial" w:cs="Arial" w:eastAsia="Arial" w:hAnsi="Arial"/>
                <w:sz w:val="15"/>
                <w:szCs w:val="15"/>
                <w:color w:val="auto"/>
                <w:w w:val="94"/>
              </w:rPr>
              <w:t>I</w:t>
            </w:r>
          </w:p>
        </w:tc>
      </w:tr>
      <w:tr>
        <w:trPr>
          <w:trHeight w:val="195"/>
        </w:trPr>
        <w:tc>
          <w:tcPr>
            <w:tcW w:w="1720" w:type="dxa"/>
            <w:vAlign w:val="bottom"/>
          </w:tcPr>
          <w:p>
            <w:pPr>
              <w:spacing w:after="0"/>
              <w:rPr>
                <w:sz w:val="20"/>
                <w:szCs w:val="20"/>
                <w:color w:val="auto"/>
              </w:rPr>
            </w:pPr>
            <w:r>
              <w:rPr>
                <w:rFonts w:ascii="Arial" w:cs="Arial" w:eastAsia="Arial" w:hAnsi="Arial"/>
                <w:sz w:val="15"/>
                <w:szCs w:val="15"/>
                <w:color w:val="auto"/>
              </w:rPr>
              <w:t>Michael Purcell</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64</w:t>
            </w:r>
          </w:p>
        </w:tc>
        <w:tc>
          <w:tcPr>
            <w:tcW w:w="5060" w:type="dxa"/>
            <w:vAlign w:val="bottom"/>
          </w:tcPr>
          <w:p>
            <w:pPr>
              <w:ind w:left="80"/>
              <w:spacing w:after="0"/>
              <w:rPr>
                <w:sz w:val="20"/>
                <w:szCs w:val="20"/>
                <w:color w:val="auto"/>
              </w:rPr>
            </w:pPr>
            <w:r>
              <w:rPr>
                <w:rFonts w:ascii="Arial" w:cs="Arial" w:eastAsia="Arial" w:hAnsi="Arial"/>
                <w:sz w:val="15"/>
                <w:szCs w:val="15"/>
                <w:color w:val="auto"/>
              </w:rPr>
              <w:t>Lead Independent Director</w:t>
            </w:r>
          </w:p>
        </w:tc>
        <w:tc>
          <w:tcPr>
            <w:tcW w:w="1660" w:type="dxa"/>
            <w:vAlign w:val="bottom"/>
          </w:tcPr>
          <w:p>
            <w:pPr>
              <w:jc w:val="right"/>
              <w:ind w:right="244"/>
              <w:spacing w:after="0"/>
              <w:rPr>
                <w:sz w:val="20"/>
                <w:szCs w:val="20"/>
                <w:color w:val="auto"/>
              </w:rPr>
            </w:pPr>
            <w:r>
              <w:rPr>
                <w:rFonts w:ascii="Arial" w:cs="Arial" w:eastAsia="Arial" w:hAnsi="Arial"/>
                <w:sz w:val="15"/>
                <w:szCs w:val="15"/>
                <w:color w:val="auto"/>
              </w:rPr>
              <w:t>2018</w:t>
            </w:r>
          </w:p>
        </w:tc>
        <w:tc>
          <w:tcPr>
            <w:tcW w:w="1960" w:type="dxa"/>
            <w:vAlign w:val="bottom"/>
          </w:tcPr>
          <w:p>
            <w:pPr>
              <w:jc w:val="center"/>
              <w:ind w:left="244"/>
              <w:spacing w:after="0"/>
              <w:rPr>
                <w:sz w:val="20"/>
                <w:szCs w:val="20"/>
                <w:color w:val="auto"/>
              </w:rPr>
            </w:pPr>
            <w:r>
              <w:rPr>
                <w:rFonts w:ascii="Arial" w:cs="Arial" w:eastAsia="Arial" w:hAnsi="Arial"/>
                <w:sz w:val="15"/>
                <w:szCs w:val="15"/>
                <w:color w:val="auto"/>
              </w:rPr>
              <w:t>III</w:t>
            </w:r>
          </w:p>
        </w:tc>
      </w:tr>
      <w:tr>
        <w:trPr>
          <w:trHeight w:val="195"/>
        </w:trPr>
        <w:tc>
          <w:tcPr>
            <w:tcW w:w="1720" w:type="dxa"/>
            <w:vAlign w:val="bottom"/>
            <w:shd w:val="clear" w:color="auto" w:fill="CCEEFF"/>
          </w:tcPr>
          <w:p>
            <w:pPr>
              <w:spacing w:after="0"/>
              <w:rPr>
                <w:sz w:val="20"/>
                <w:szCs w:val="20"/>
                <w:color w:val="auto"/>
              </w:rPr>
            </w:pPr>
            <w:r>
              <w:rPr>
                <w:rFonts w:ascii="Arial" w:cs="Arial" w:eastAsia="Arial" w:hAnsi="Arial"/>
                <w:sz w:val="15"/>
                <w:szCs w:val="15"/>
                <w:color w:val="auto"/>
              </w:rPr>
              <w:t>John Rincon</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56</w:t>
            </w:r>
          </w:p>
        </w:tc>
        <w:tc>
          <w:tcPr>
            <w:tcW w:w="5060" w:type="dxa"/>
            <w:vAlign w:val="bottom"/>
            <w:shd w:val="clear" w:color="auto" w:fill="CCEEFF"/>
          </w:tcPr>
          <w:p>
            <w:pPr>
              <w:ind w:left="80"/>
              <w:spacing w:after="0"/>
              <w:rPr>
                <w:sz w:val="20"/>
                <w:szCs w:val="20"/>
                <w:color w:val="auto"/>
              </w:rPr>
            </w:pPr>
            <w:r>
              <w:rPr>
                <w:rFonts w:ascii="Arial" w:cs="Arial" w:eastAsia="Arial" w:hAnsi="Arial"/>
                <w:sz w:val="15"/>
                <w:szCs w:val="15"/>
                <w:color w:val="auto"/>
              </w:rPr>
              <w:t>Director</w:t>
            </w:r>
          </w:p>
        </w:tc>
        <w:tc>
          <w:tcPr>
            <w:tcW w:w="166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rPr>
              <w:t>2018</w:t>
            </w:r>
          </w:p>
        </w:tc>
        <w:tc>
          <w:tcPr>
            <w:tcW w:w="1960" w:type="dxa"/>
            <w:vAlign w:val="bottom"/>
            <w:shd w:val="clear" w:color="auto" w:fill="CCEEFF"/>
          </w:tcPr>
          <w:p>
            <w:pPr>
              <w:jc w:val="center"/>
              <w:ind w:left="264"/>
              <w:spacing w:after="0"/>
              <w:rPr>
                <w:sz w:val="20"/>
                <w:szCs w:val="20"/>
                <w:color w:val="auto"/>
              </w:rPr>
            </w:pPr>
            <w:r>
              <w:rPr>
                <w:rFonts w:ascii="Arial" w:cs="Arial" w:eastAsia="Arial" w:hAnsi="Arial"/>
                <w:sz w:val="15"/>
                <w:szCs w:val="15"/>
                <w:color w:val="auto"/>
              </w:rPr>
              <w:t>II</w:t>
            </w:r>
          </w:p>
        </w:tc>
      </w:tr>
      <w:tr>
        <w:trPr>
          <w:trHeight w:val="195"/>
        </w:trPr>
        <w:tc>
          <w:tcPr>
            <w:tcW w:w="1720" w:type="dxa"/>
            <w:vAlign w:val="bottom"/>
          </w:tcPr>
          <w:p>
            <w:pPr>
              <w:spacing w:after="0"/>
              <w:rPr>
                <w:sz w:val="20"/>
                <w:szCs w:val="20"/>
                <w:color w:val="auto"/>
              </w:rPr>
            </w:pPr>
            <w:r>
              <w:rPr>
                <w:rFonts w:ascii="Arial" w:cs="Arial" w:eastAsia="Arial" w:hAnsi="Arial"/>
                <w:sz w:val="15"/>
                <w:szCs w:val="15"/>
                <w:color w:val="auto"/>
              </w:rPr>
              <w:t>Justin Wender</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52</w:t>
            </w:r>
          </w:p>
        </w:tc>
        <w:tc>
          <w:tcPr>
            <w:tcW w:w="5060" w:type="dxa"/>
            <w:vAlign w:val="bottom"/>
          </w:tcPr>
          <w:p>
            <w:pPr>
              <w:ind w:left="80"/>
              <w:spacing w:after="0"/>
              <w:rPr>
                <w:sz w:val="20"/>
                <w:szCs w:val="20"/>
                <w:color w:val="auto"/>
              </w:rPr>
            </w:pPr>
            <w:r>
              <w:rPr>
                <w:rFonts w:ascii="Arial" w:cs="Arial" w:eastAsia="Arial" w:hAnsi="Arial"/>
                <w:sz w:val="15"/>
                <w:szCs w:val="15"/>
                <w:color w:val="auto"/>
              </w:rPr>
              <w:t>Director</w:t>
            </w:r>
          </w:p>
        </w:tc>
        <w:tc>
          <w:tcPr>
            <w:tcW w:w="1660" w:type="dxa"/>
            <w:vAlign w:val="bottom"/>
          </w:tcPr>
          <w:p>
            <w:pPr>
              <w:jc w:val="right"/>
              <w:ind w:right="244"/>
              <w:spacing w:after="0"/>
              <w:rPr>
                <w:sz w:val="20"/>
                <w:szCs w:val="20"/>
                <w:color w:val="auto"/>
              </w:rPr>
            </w:pPr>
            <w:r>
              <w:rPr>
                <w:rFonts w:ascii="Arial" w:cs="Arial" w:eastAsia="Arial" w:hAnsi="Arial"/>
                <w:sz w:val="15"/>
                <w:szCs w:val="15"/>
                <w:color w:val="auto"/>
              </w:rPr>
              <w:t>2018</w:t>
            </w:r>
          </w:p>
        </w:tc>
        <w:tc>
          <w:tcPr>
            <w:tcW w:w="1960" w:type="dxa"/>
            <w:vAlign w:val="bottom"/>
          </w:tcPr>
          <w:p>
            <w:pPr>
              <w:jc w:val="center"/>
              <w:ind w:left="244"/>
              <w:spacing w:after="0"/>
              <w:rPr>
                <w:sz w:val="20"/>
                <w:szCs w:val="20"/>
                <w:color w:val="auto"/>
              </w:rPr>
            </w:pPr>
            <w:r>
              <w:rPr>
                <w:rFonts w:ascii="Arial" w:cs="Arial" w:eastAsia="Arial" w:hAnsi="Arial"/>
                <w:sz w:val="15"/>
                <w:szCs w:val="15"/>
                <w:color w:val="auto"/>
                <w:w w:val="94"/>
              </w:rPr>
              <w:t>I</w:t>
            </w:r>
          </w:p>
        </w:tc>
      </w:tr>
    </w:tbl>
    <w:p>
      <w:pPr>
        <w:spacing w:after="0" w:line="253" w:lineRule="exact"/>
        <w:rPr>
          <w:sz w:val="20"/>
          <w:szCs w:val="20"/>
          <w:color w:val="auto"/>
        </w:rPr>
      </w:pPr>
    </w:p>
    <w:p>
      <w:pPr>
        <w:jc w:val="both"/>
        <w:ind w:firstLine="275"/>
        <w:spacing w:after="0" w:line="259" w:lineRule="auto"/>
        <w:rPr>
          <w:sz w:val="20"/>
          <w:szCs w:val="20"/>
          <w:color w:val="auto"/>
        </w:rPr>
      </w:pPr>
      <w:r>
        <w:rPr>
          <w:rFonts w:ascii="Arial" w:cs="Arial" w:eastAsia="Arial" w:hAnsi="Arial"/>
          <w:sz w:val="15"/>
          <w:szCs w:val="15"/>
          <w:b w:val="1"/>
          <w:bCs w:val="1"/>
          <w:i w:val="1"/>
          <w:iCs w:val="1"/>
          <w:color w:val="auto"/>
        </w:rPr>
        <w:t xml:space="preserve">Robert Lisy </w:t>
      </w:r>
      <w:r>
        <w:rPr>
          <w:rFonts w:ascii="Arial" w:cs="Arial" w:eastAsia="Arial" w:hAnsi="Arial"/>
          <w:sz w:val="15"/>
          <w:szCs w:val="15"/>
          <w:color w:val="auto"/>
        </w:rPr>
        <w:t>has served as a director of International Money Express, Inc. since 2018. Mr. Lisy served as a director of International Money Express Sub 2, LLC’s predecessor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entities from 2009 to 2018. Mr. Lisy is the Chief Executive Officer, President, and Chairman of the Board of Directors of International Money Express, Inc. and its predecessors, which he joined in 2009. Mr. Lisy has more than 30 years of experience in the retail financial services and electronic payment processing industry in various positions, including three years as the Chief Marketing and Sales Officer of Vigo Remittance Corp., a money transfer and bill payments service in the United States and internationally, and over seven years at Western Union in various sales, marketing and operational positions of increasing responsibility. Mr. Lisy was a founding partner of Direct Express/Paystation America, which offered, among other things, prepaid debit cards to federal benefit recipients, where he served as Chief Operating Officer and on the board of directors. He was an integral part in the efforts to successfully sell Direct Express in 2000 to American Payment Systems. Mr. Lisy holds a bachelor’s degree in Finance from Cleveland State University. We believe that Mr. Lisy’s experience as the Chairman and Chief Executive Officer of Intermex coupled with his extensive operational experience in the retail financial services and remittance industries make him well qualified to serve as a director.</w:t>
      </w:r>
    </w:p>
    <w:p>
      <w:pPr>
        <w:spacing w:after="0" w:line="183" w:lineRule="exact"/>
        <w:rPr>
          <w:sz w:val="20"/>
          <w:szCs w:val="20"/>
          <w:color w:val="auto"/>
        </w:rPr>
      </w:pPr>
    </w:p>
    <w:p>
      <w:pPr>
        <w:jc w:val="both"/>
        <w:ind w:firstLine="275"/>
        <w:spacing w:after="0" w:line="306" w:lineRule="auto"/>
        <w:rPr>
          <w:sz w:val="20"/>
          <w:szCs w:val="20"/>
          <w:color w:val="auto"/>
        </w:rPr>
      </w:pPr>
      <w:r>
        <w:rPr>
          <w:rFonts w:ascii="Arial" w:cs="Arial" w:eastAsia="Arial" w:hAnsi="Arial"/>
          <w:sz w:val="13"/>
          <w:szCs w:val="13"/>
          <w:b w:val="1"/>
          <w:bCs w:val="1"/>
          <w:i w:val="1"/>
          <w:iCs w:val="1"/>
          <w:color w:val="auto"/>
        </w:rPr>
        <w:t xml:space="preserve">Debra Bradford </w:t>
      </w:r>
      <w:r>
        <w:rPr>
          <w:rFonts w:ascii="Arial" w:cs="Arial" w:eastAsia="Arial" w:hAnsi="Arial"/>
          <w:sz w:val="13"/>
          <w:szCs w:val="13"/>
          <w:color w:val="auto"/>
        </w:rPr>
        <w:t>was appointed to the Board of Directors of International Money Express, Inc. effective January 7, 2022. Ms. Bradford is President and Chief Financial Officer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First American Payment Systems, a global solutions provider in merchant account services. She joined First American Payment Systems in 2001 and has served as President and Chief Financial Officer since 2008. Prior to joining First American Payment Systems, Ms. Bradford served as Senior Vice President and Chief Financial Officer of ACE Cash Express, Inc., a financial services retailer, and in various roles, including Chief Operating Officer, with IPS Card Solutions (formerly NTS, Inc.), a division of First Data Corporation. Ms. Bradford also serves on the Board of Directors and Audit Committee of Triumph Bancorp, Inc. (NASDAQ: TBK), which offers a diversified line of banking, payments and factoring services. Ms. Bradford holds a Bachelor’s of Science in Accounting degree from the University of Texas in Austin. She is a Certified Public Accountant and a member of the Texas Society of Certified Public Accountants. We believe that Ms. Bradford’s extensive professional experience in the financial services industry makes her well qualified to serve as a director.</w:t>
      </w:r>
    </w:p>
    <w:p>
      <w:pPr>
        <w:spacing w:after="0" w:line="157" w:lineRule="exact"/>
        <w:rPr>
          <w:sz w:val="20"/>
          <w:szCs w:val="20"/>
          <w:color w:val="auto"/>
        </w:rPr>
      </w:pPr>
    </w:p>
    <w:p>
      <w:pPr>
        <w:jc w:val="both"/>
        <w:ind w:firstLine="275"/>
        <w:spacing w:after="0" w:line="283" w:lineRule="auto"/>
        <w:rPr>
          <w:sz w:val="20"/>
          <w:szCs w:val="20"/>
          <w:color w:val="auto"/>
        </w:rPr>
      </w:pPr>
      <w:r>
        <w:rPr>
          <w:rFonts w:ascii="Arial" w:cs="Arial" w:eastAsia="Arial" w:hAnsi="Arial"/>
          <w:sz w:val="14"/>
          <w:szCs w:val="14"/>
          <w:b w:val="1"/>
          <w:bCs w:val="1"/>
          <w:i w:val="1"/>
          <w:iCs w:val="1"/>
          <w:color w:val="auto"/>
        </w:rPr>
        <w:t>Bernardo Fern</w:t>
      </w:r>
      <w:r>
        <w:rPr>
          <w:rFonts w:ascii="Arial" w:cs="Arial" w:eastAsia="Arial" w:hAnsi="Arial"/>
          <w:sz w:val="14"/>
          <w:szCs w:val="14"/>
          <w:color w:val="auto"/>
        </w:rPr>
        <w:t>á</w:t>
      </w:r>
      <w:r>
        <w:rPr>
          <w:rFonts w:ascii="Arial" w:cs="Arial" w:eastAsia="Arial" w:hAnsi="Arial"/>
          <w:sz w:val="14"/>
          <w:szCs w:val="14"/>
          <w:b w:val="1"/>
          <w:bCs w:val="1"/>
          <w:i w:val="1"/>
          <w:iCs w:val="1"/>
          <w:color w:val="auto"/>
        </w:rPr>
        <w:t xml:space="preserve">ndez </w:t>
      </w:r>
      <w:r>
        <w:rPr>
          <w:rFonts w:ascii="Arial" w:cs="Arial" w:eastAsia="Arial" w:hAnsi="Arial"/>
          <w:sz w:val="14"/>
          <w:szCs w:val="14"/>
          <w:color w:val="auto"/>
        </w:rPr>
        <w:t>was appointed to the Board of Directors of International Money Express, Inc. effective January 7, 2022. Dr. Fernández is the Chief Executive Officer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Baptist Health Medical Group, a network of more than 250 physicians in multiple specialties spanning across several counties in south Florida, a position he has held since 2014. Before joining Baptist Health Medical Group, Dr. Fernández served as CEO and President of Cleveland Clinic Florida from 2006 to 2014, an academic health system. Dr. Fernández is also on the Board of Directors and the Audit &amp; Risk Committee of U.S. Century Bank (NASDAQ: USCB), which offers a wide range of financial products and services. In addition, he serves on the board of trustees for St. Thomas University and the board of advisors of the Health Network Foundation, and is a member of the Orange Bowl Committee and the East Ridge Corporate Advisory Board. Dr. Fernández holds a Master’s in Business Administration degree from the University of Miami, and is also a graduate of the Wharton School</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74" w:name="page75"/>
    <w:bookmarkEnd w:id="74"/>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40"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of Business Executive Development Program. He received his medical degree from the Ponce School of Medicine in Ponce, Puerto Rico. Dr. Fernández is the holder of the John and Margaret Krupa Distinguished Chair, is Board-certified by the American Board of Vascular Medicine and is a Fellow of the Society of Vascular Medicine and the American College of Physician. We believe that Dr. Fernández’s extensive professional experience as an executive of various entities as well as his experience as a board member of a financial institution make him well qualified to serve as a director.</w:t>
      </w:r>
    </w:p>
    <w:p>
      <w:pPr>
        <w:spacing w:after="0" w:line="179" w:lineRule="exact"/>
        <w:rPr>
          <w:sz w:val="20"/>
          <w:szCs w:val="20"/>
          <w:color w:val="auto"/>
        </w:rPr>
      </w:pPr>
    </w:p>
    <w:p>
      <w:pPr>
        <w:jc w:val="both"/>
        <w:ind w:firstLine="275"/>
        <w:spacing w:after="0" w:line="279" w:lineRule="auto"/>
        <w:rPr>
          <w:sz w:val="20"/>
          <w:szCs w:val="20"/>
          <w:color w:val="auto"/>
        </w:rPr>
      </w:pPr>
      <w:r>
        <w:rPr>
          <w:rFonts w:ascii="Arial" w:cs="Arial" w:eastAsia="Arial" w:hAnsi="Arial"/>
          <w:sz w:val="14"/>
          <w:szCs w:val="14"/>
          <w:b w:val="1"/>
          <w:bCs w:val="1"/>
          <w:i w:val="1"/>
          <w:iCs w:val="1"/>
          <w:color w:val="auto"/>
        </w:rPr>
        <w:t xml:space="preserve">Adam Godfrey </w:t>
      </w:r>
      <w:r>
        <w:rPr>
          <w:rFonts w:ascii="Arial" w:cs="Arial" w:eastAsia="Arial" w:hAnsi="Arial"/>
          <w:sz w:val="14"/>
          <w:szCs w:val="14"/>
          <w:color w:val="auto"/>
        </w:rPr>
        <w:t>has served as a director of International Money Express, Inc. since 2018. Mr. Godfrey served as a director of the Company’s predecessor entity from 2006 to 2017.</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Mr. Godfrey is a Managing Partner of Stella Point Capital, which he co-founded in 2012. Stella Point Capital is a New York-based private equity firm focused on industrial, consumer and business services investments. Mr. Godfrey is an investment professional and has sourced and managed numerous investments for Stella Point Capital. Previously, Mr. Godfrey spent nearly 19 years with Lindsay Goldberg and its predecessor entities, which he joined in 1992. Mr. Godfrey was a Partner at the firm and served on the board of directors of 12 portfolio companies during his time with Lindsay Goldberg. Currently, he serves on the board of directors of First American Payment Systems Holdings, Inc., SPC Velir, LP, Vereco Holdings, LLC, American Orthodontics Corporation, and publicly traded Schneider National, Inc. (NYSE: SNDR), on which he currently also serves as Chairman of the board of directors and a member of the corporate governance committee. Mr. Godfrey holds a bachelor’s degree from Brown University and a master’s degree in business administration from the Tuck School of Business at Dartmouth. We believe that Mr. Godfrey’s extensive investment management and transactional experience coupled with his experience serving as the chairman of a publicly traded company and on the boards of directors of other companies make him well qualified to serve as a director.</w:t>
      </w:r>
    </w:p>
    <w:p>
      <w:pPr>
        <w:spacing w:after="0" w:line="174" w:lineRule="exact"/>
        <w:rPr>
          <w:sz w:val="20"/>
          <w:szCs w:val="20"/>
          <w:color w:val="auto"/>
        </w:rPr>
      </w:pPr>
    </w:p>
    <w:p>
      <w:pPr>
        <w:jc w:val="both"/>
        <w:ind w:firstLine="275"/>
        <w:spacing w:after="0" w:line="260" w:lineRule="auto"/>
        <w:rPr>
          <w:sz w:val="20"/>
          <w:szCs w:val="20"/>
          <w:color w:val="auto"/>
        </w:rPr>
      </w:pPr>
      <w:r>
        <w:rPr>
          <w:rFonts w:ascii="Arial" w:cs="Arial" w:eastAsia="Arial" w:hAnsi="Arial"/>
          <w:sz w:val="15"/>
          <w:szCs w:val="15"/>
          <w:b w:val="1"/>
          <w:bCs w:val="1"/>
          <w:i w:val="1"/>
          <w:iCs w:val="1"/>
          <w:color w:val="auto"/>
        </w:rPr>
        <w:t xml:space="preserve">Laura Maydón </w:t>
      </w:r>
      <w:r>
        <w:rPr>
          <w:rFonts w:ascii="Arial" w:cs="Arial" w:eastAsia="Arial" w:hAnsi="Arial"/>
          <w:sz w:val="15"/>
          <w:szCs w:val="15"/>
          <w:color w:val="auto"/>
        </w:rPr>
        <w:t>has served as a director of International Money Express, Inc. since 2020. Ms. Maydón was the founding Managing Director and CEO for Endeavor Miami,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entrepreneurial accelerator for scale-ups, which she co-founded and led from September 2013 to June 2019, when she stepped away from day-to-day activities to serve for a year as a board member. She currently serves as mentor of the organization. From 2003 to 2013, Ms. Maydón held a variety of positions of increasing responsibility at Visa (NYSE: V), ultimately serving from 2010 through 2013 as Senior Business Leader, Commercial Solutions, LATAM &amp; Caribbean after having been Business Development Leader, LATAM &amp; Caribbean from 2004 to 2010. She currently serves on the Board of Advisors for Sustalytics and NovoPayment. She holds a Master of Business Administration from Harvard Business School and a B.S in Economics from Instituto Tecnológico Autónomo de México. We believe that Ms. Maydón’s years of experience at Visa and Endeavor Miami and knowledge of digital financial and payment services, make her well-qualified to serve as a director.</w:t>
      </w:r>
    </w:p>
    <w:p>
      <w:pPr>
        <w:spacing w:after="0" w:line="183" w:lineRule="exact"/>
        <w:rPr>
          <w:sz w:val="20"/>
          <w:szCs w:val="20"/>
          <w:color w:val="auto"/>
        </w:rPr>
      </w:pPr>
    </w:p>
    <w:p>
      <w:pPr>
        <w:jc w:val="both"/>
        <w:ind w:firstLine="275"/>
        <w:spacing w:after="0" w:line="259" w:lineRule="auto"/>
        <w:rPr>
          <w:sz w:val="20"/>
          <w:szCs w:val="20"/>
          <w:color w:val="auto"/>
        </w:rPr>
      </w:pPr>
      <w:r>
        <w:rPr>
          <w:rFonts w:ascii="Arial" w:cs="Arial" w:eastAsia="Arial" w:hAnsi="Arial"/>
          <w:sz w:val="15"/>
          <w:szCs w:val="15"/>
          <w:b w:val="1"/>
          <w:bCs w:val="1"/>
          <w:i w:val="1"/>
          <w:iCs w:val="1"/>
          <w:color w:val="auto"/>
        </w:rPr>
        <w:t xml:space="preserve">Michael Purcell </w:t>
      </w:r>
      <w:r>
        <w:rPr>
          <w:rFonts w:ascii="Arial" w:cs="Arial" w:eastAsia="Arial" w:hAnsi="Arial"/>
          <w:sz w:val="15"/>
          <w:szCs w:val="15"/>
          <w:color w:val="auto"/>
        </w:rPr>
        <w:t>has served as a director of International Money Express, Inc. since 2018 and was appointed lead independent director for the Company on September 24, 2020.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Mr. Purcell is a certified public accountant and became an independent business consultant following retirement in 2015. Mr. Purcell spent more than 36 years with Deloitte, where he was an audit partner and the Philadelphia office leader of Deloitte’s middle-market and growth enterprise services. Mr. Purcell has served on the boards of directors of numerous companies and organizations, and currently serves as a director and member of the audit committee of publicly traded Tabula Rasa Healthcare, Inc. (NASDAQ: TRHC), CFG Bank, Hyperion Bank and several other for-profit and non-profit entities. He is a member of the American Institute of Certified Public Accountants and a former President of the Philadelphia Chapter of the Pennsylvania Institute of Certified Public Accountants. Mr. Purcell holds a bachelor’s degree from Lehigh University and a master’s degree in business administration from Drexel University. We believe that Mr. Purcell’s extensive public accounting experience coupled with his experience serving on boards of directors make him well qualified to serve as a director.</w:t>
      </w:r>
    </w:p>
    <w:p>
      <w:pPr>
        <w:spacing w:after="0" w:line="186" w:lineRule="exact"/>
        <w:rPr>
          <w:sz w:val="20"/>
          <w:szCs w:val="20"/>
          <w:color w:val="auto"/>
        </w:rPr>
      </w:pPr>
    </w:p>
    <w:p>
      <w:pPr>
        <w:jc w:val="both"/>
        <w:ind w:firstLine="275"/>
        <w:spacing w:after="0" w:line="262" w:lineRule="auto"/>
        <w:rPr>
          <w:sz w:val="20"/>
          <w:szCs w:val="20"/>
          <w:color w:val="auto"/>
        </w:rPr>
      </w:pPr>
      <w:r>
        <w:rPr>
          <w:rFonts w:ascii="Arial" w:cs="Arial" w:eastAsia="Arial" w:hAnsi="Arial"/>
          <w:sz w:val="15"/>
          <w:szCs w:val="15"/>
          <w:b w:val="1"/>
          <w:bCs w:val="1"/>
          <w:i w:val="1"/>
          <w:iCs w:val="1"/>
          <w:color w:val="auto"/>
        </w:rPr>
        <w:t xml:space="preserve">John Rincon </w:t>
      </w:r>
      <w:r>
        <w:rPr>
          <w:rFonts w:ascii="Arial" w:cs="Arial" w:eastAsia="Arial" w:hAnsi="Arial"/>
          <w:sz w:val="15"/>
          <w:szCs w:val="15"/>
          <w:color w:val="auto"/>
        </w:rPr>
        <w:t>has served as a director of International Money Express, Inc. since 2018. Mr. Rincon served as a director of the Company’s predecessor entity from 1994 to 2017.</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Mr. Rincon founded Intermex Wire Transfer, LLC in 1994 and served as its Chairman and President until 2006. Mr. Rincon has more than 20 years of experience in the money remittance and telecommunications industries, having held various management and supervisory positions prior to founding the Company. Mr. Rincon is the Chairman of Rincon Capital Partners, a private investment firm, which he founded in 2007. We believe that Mr. Rincon’s experience as the Company’s founder coupled with his extensive operational and transactional experience in the money remittance industry make him well qualified to serve as a director.</w:t>
      </w:r>
    </w:p>
    <w:p>
      <w:pPr>
        <w:spacing w:after="0" w:line="183" w:lineRule="exact"/>
        <w:rPr>
          <w:sz w:val="20"/>
          <w:szCs w:val="20"/>
          <w:color w:val="auto"/>
        </w:rPr>
      </w:pPr>
    </w:p>
    <w:p>
      <w:pPr>
        <w:jc w:val="both"/>
        <w:ind w:firstLine="275"/>
        <w:spacing w:after="0" w:line="259" w:lineRule="auto"/>
        <w:rPr>
          <w:sz w:val="20"/>
          <w:szCs w:val="20"/>
          <w:color w:val="auto"/>
        </w:rPr>
      </w:pPr>
      <w:r>
        <w:rPr>
          <w:rFonts w:ascii="Arial" w:cs="Arial" w:eastAsia="Arial" w:hAnsi="Arial"/>
          <w:sz w:val="15"/>
          <w:szCs w:val="15"/>
          <w:b w:val="1"/>
          <w:bCs w:val="1"/>
          <w:i w:val="1"/>
          <w:iCs w:val="1"/>
          <w:color w:val="auto"/>
        </w:rPr>
        <w:t xml:space="preserve">Justin Wender </w:t>
      </w:r>
      <w:r>
        <w:rPr>
          <w:rFonts w:ascii="Arial" w:cs="Arial" w:eastAsia="Arial" w:hAnsi="Arial"/>
          <w:sz w:val="15"/>
          <w:szCs w:val="15"/>
          <w:color w:val="auto"/>
        </w:rPr>
        <w:t>has served as a director of International Money Express, Inc. since 2018. Mr. Wender served as a director of Interwire LLC, an affiliate of Stella Point Capital, from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2017 to 2018. Mr. Wender is a Managing Partner of Stella Point Capital, which he co-founded in 2012. Stella Point Capital is a New York-based private equity firm focused on industrial, consumer and business services investments. Mr. Wender is an investment professional and has sourced and managed numerous investments for Stella Point Capital. Mr. Wender serves as trustee of the Weitz Funds. Previously, Mr. Wender spent more than 17 years at Castle Harlan, which he joined in 1993. Mr. Wender served as President of the firm from 2006 to 2010, led the effort of raising two funds, and served on the board of directors of 11 portfolio companies during his time with Castle Harlan. Currently, he serves on the board of directors of First American Payment Systems Holdings, Inc. SPC Velir, LP, and Vereco Holdings, LLC, as well as on the boards of several educational and charitable organizations. Mr. Wender holds a bachelor’s degree from Carleton College and a master’s degree in business administration from the Wharton School at the University of Pennsylvania. We believe that Mr. Wender’s extensive investment management and transactional experience coupled with his experience serving on boards of directors make him well qualified as a director.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75" w:name="page76"/>
    <w:bookmarkEnd w:id="75"/>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Officers</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5"/>
          <w:szCs w:val="15"/>
          <w:color w:val="auto"/>
        </w:rPr>
        <w:t>Set forth below is certain information regarding the Company’s current executive officers: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380" w:type="dxa"/>
            <w:vAlign w:val="bottom"/>
            <w:gridSpan w:val="3"/>
          </w:tcPr>
          <w:p>
            <w:pPr>
              <w:spacing w:after="0"/>
              <w:rPr>
                <w:sz w:val="20"/>
                <w:szCs w:val="20"/>
                <w:color w:val="auto"/>
              </w:rPr>
            </w:pPr>
            <w:r>
              <w:rPr>
                <w:rFonts w:ascii="Arial" w:cs="Arial" w:eastAsia="Arial" w:hAnsi="Arial"/>
                <w:sz w:val="15"/>
                <w:szCs w:val="15"/>
                <w:b w:val="1"/>
                <w:bCs w:val="1"/>
                <w:color w:val="auto"/>
              </w:rPr>
              <w:t>Name</w:t>
            </w:r>
          </w:p>
        </w:tc>
        <w:tc>
          <w:tcPr>
            <w:tcW w:w="540" w:type="dxa"/>
            <w:vAlign w:val="bottom"/>
          </w:tcPr>
          <w:p>
            <w:pPr>
              <w:jc w:val="center"/>
              <w:spacing w:after="0"/>
              <w:rPr>
                <w:sz w:val="20"/>
                <w:szCs w:val="20"/>
                <w:color w:val="auto"/>
              </w:rPr>
            </w:pPr>
            <w:r>
              <w:rPr>
                <w:rFonts w:ascii="Arial" w:cs="Arial" w:eastAsia="Arial" w:hAnsi="Arial"/>
                <w:sz w:val="15"/>
                <w:szCs w:val="15"/>
                <w:b w:val="1"/>
                <w:bCs w:val="1"/>
                <w:color w:val="auto"/>
                <w:w w:val="84"/>
              </w:rPr>
              <w:t>Age</w:t>
            </w:r>
          </w:p>
        </w:tc>
        <w:tc>
          <w:tcPr>
            <w:tcW w:w="6420" w:type="dxa"/>
            <w:vAlign w:val="bottom"/>
            <w:gridSpan w:val="3"/>
          </w:tcPr>
          <w:p>
            <w:pPr>
              <w:ind w:left="120"/>
              <w:spacing w:after="0"/>
              <w:rPr>
                <w:sz w:val="20"/>
                <w:szCs w:val="20"/>
                <w:color w:val="auto"/>
              </w:rPr>
            </w:pPr>
            <w:r>
              <w:rPr>
                <w:rFonts w:ascii="Arial" w:cs="Arial" w:eastAsia="Arial" w:hAnsi="Arial"/>
                <w:sz w:val="15"/>
                <w:szCs w:val="15"/>
                <w:b w:val="1"/>
                <w:bCs w:val="1"/>
                <w:color w:val="auto"/>
              </w:rPr>
              <w:t>Position</w:t>
            </w:r>
          </w:p>
        </w:tc>
      </w:tr>
      <w:tr>
        <w:trPr>
          <w:trHeight w:val="23"/>
        </w:trPr>
        <w:tc>
          <w:tcPr>
            <w:tcW w:w="1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180" w:type="dxa"/>
            <w:vAlign w:val="bottom"/>
            <w:shd w:val="clear" w:color="auto" w:fill="000000"/>
          </w:tcPr>
          <w:p>
            <w:pPr>
              <w:spacing w:after="0" w:line="20" w:lineRule="exact"/>
              <w:rPr>
                <w:sz w:val="1"/>
                <w:szCs w:val="1"/>
                <w:color w:val="auto"/>
              </w:rPr>
            </w:pPr>
          </w:p>
        </w:tc>
      </w:tr>
      <w:tr>
        <w:trPr>
          <w:trHeight w:val="195"/>
        </w:trPr>
        <w:tc>
          <w:tcPr>
            <w:tcW w:w="2380" w:type="dxa"/>
            <w:vAlign w:val="bottom"/>
            <w:gridSpan w:val="3"/>
          </w:tcPr>
          <w:p>
            <w:pPr>
              <w:spacing w:after="0"/>
              <w:rPr>
                <w:sz w:val="20"/>
                <w:szCs w:val="20"/>
                <w:color w:val="auto"/>
              </w:rPr>
            </w:pPr>
            <w:r>
              <w:rPr>
                <w:rFonts w:ascii="Arial" w:cs="Arial" w:eastAsia="Arial" w:hAnsi="Arial"/>
                <w:sz w:val="15"/>
                <w:szCs w:val="15"/>
                <w:color w:val="auto"/>
              </w:rPr>
              <w:t>Robert Lisy</w:t>
            </w:r>
          </w:p>
        </w:tc>
        <w:tc>
          <w:tcPr>
            <w:tcW w:w="540" w:type="dxa"/>
            <w:vAlign w:val="bottom"/>
          </w:tcPr>
          <w:p>
            <w:pPr>
              <w:jc w:val="center"/>
              <w:spacing w:after="0"/>
              <w:rPr>
                <w:sz w:val="20"/>
                <w:szCs w:val="20"/>
                <w:color w:val="auto"/>
              </w:rPr>
            </w:pPr>
            <w:r>
              <w:rPr>
                <w:rFonts w:ascii="Arial" w:cs="Arial" w:eastAsia="Arial" w:hAnsi="Arial"/>
                <w:sz w:val="15"/>
                <w:szCs w:val="15"/>
                <w:color w:val="auto"/>
                <w:w w:val="95"/>
              </w:rPr>
              <w:t>64</w:t>
            </w:r>
          </w:p>
        </w:tc>
        <w:tc>
          <w:tcPr>
            <w:tcW w:w="6420" w:type="dxa"/>
            <w:vAlign w:val="bottom"/>
            <w:gridSpan w:val="3"/>
          </w:tcPr>
          <w:p>
            <w:pPr>
              <w:ind w:left="120"/>
              <w:spacing w:after="0"/>
              <w:rPr>
                <w:sz w:val="20"/>
                <w:szCs w:val="20"/>
                <w:color w:val="auto"/>
              </w:rPr>
            </w:pPr>
            <w:r>
              <w:rPr>
                <w:rFonts w:ascii="Arial" w:cs="Arial" w:eastAsia="Arial" w:hAnsi="Arial"/>
                <w:sz w:val="15"/>
                <w:szCs w:val="15"/>
                <w:color w:val="auto"/>
              </w:rPr>
              <w:t>Chief Executive Officer, President and Chairman of the Board of Directors</w:t>
            </w:r>
          </w:p>
        </w:tc>
      </w:tr>
      <w:tr>
        <w:trPr>
          <w:trHeight w:val="195"/>
        </w:trPr>
        <w:tc>
          <w:tcPr>
            <w:tcW w:w="2380" w:type="dxa"/>
            <w:vAlign w:val="bottom"/>
            <w:gridSpan w:val="3"/>
          </w:tcPr>
          <w:p>
            <w:pPr>
              <w:spacing w:after="0"/>
              <w:rPr>
                <w:sz w:val="20"/>
                <w:szCs w:val="20"/>
                <w:color w:val="auto"/>
              </w:rPr>
            </w:pPr>
            <w:r>
              <w:rPr>
                <w:rFonts w:ascii="Arial" w:cs="Arial" w:eastAsia="Arial" w:hAnsi="Arial"/>
                <w:sz w:val="15"/>
                <w:szCs w:val="15"/>
                <w:color w:val="auto"/>
              </w:rPr>
              <w:t>Andras Bende</w:t>
            </w:r>
          </w:p>
        </w:tc>
        <w:tc>
          <w:tcPr>
            <w:tcW w:w="540" w:type="dxa"/>
            <w:vAlign w:val="bottom"/>
          </w:tcPr>
          <w:p>
            <w:pPr>
              <w:jc w:val="center"/>
              <w:spacing w:after="0"/>
              <w:rPr>
                <w:sz w:val="20"/>
                <w:szCs w:val="20"/>
                <w:color w:val="auto"/>
              </w:rPr>
            </w:pPr>
            <w:r>
              <w:rPr>
                <w:rFonts w:ascii="Arial" w:cs="Arial" w:eastAsia="Arial" w:hAnsi="Arial"/>
                <w:sz w:val="15"/>
                <w:szCs w:val="15"/>
                <w:color w:val="auto"/>
                <w:w w:val="95"/>
              </w:rPr>
              <w:t>47</w:t>
            </w:r>
          </w:p>
        </w:tc>
        <w:tc>
          <w:tcPr>
            <w:tcW w:w="6420" w:type="dxa"/>
            <w:vAlign w:val="bottom"/>
            <w:gridSpan w:val="3"/>
          </w:tcPr>
          <w:p>
            <w:pPr>
              <w:ind w:left="120"/>
              <w:spacing w:after="0"/>
              <w:rPr>
                <w:sz w:val="20"/>
                <w:szCs w:val="20"/>
                <w:color w:val="auto"/>
              </w:rPr>
            </w:pPr>
            <w:r>
              <w:rPr>
                <w:rFonts w:ascii="Arial" w:cs="Arial" w:eastAsia="Arial" w:hAnsi="Arial"/>
                <w:sz w:val="15"/>
                <w:szCs w:val="15"/>
                <w:color w:val="auto"/>
              </w:rPr>
              <w:t>Chief Financial Officer</w:t>
            </w:r>
          </w:p>
        </w:tc>
      </w:tr>
      <w:tr>
        <w:trPr>
          <w:trHeight w:val="195"/>
        </w:trPr>
        <w:tc>
          <w:tcPr>
            <w:tcW w:w="2380" w:type="dxa"/>
            <w:vAlign w:val="bottom"/>
            <w:gridSpan w:val="3"/>
          </w:tcPr>
          <w:p>
            <w:pPr>
              <w:spacing w:after="0"/>
              <w:rPr>
                <w:sz w:val="20"/>
                <w:szCs w:val="20"/>
                <w:color w:val="auto"/>
              </w:rPr>
            </w:pPr>
            <w:r>
              <w:rPr>
                <w:rFonts w:ascii="Arial" w:cs="Arial" w:eastAsia="Arial" w:hAnsi="Arial"/>
                <w:sz w:val="15"/>
                <w:szCs w:val="15"/>
                <w:color w:val="auto"/>
              </w:rPr>
              <w:t>Randy Nilsen</w:t>
            </w:r>
          </w:p>
        </w:tc>
        <w:tc>
          <w:tcPr>
            <w:tcW w:w="540" w:type="dxa"/>
            <w:vAlign w:val="bottom"/>
          </w:tcPr>
          <w:p>
            <w:pPr>
              <w:jc w:val="center"/>
              <w:spacing w:after="0"/>
              <w:rPr>
                <w:sz w:val="20"/>
                <w:szCs w:val="20"/>
                <w:color w:val="auto"/>
              </w:rPr>
            </w:pPr>
            <w:r>
              <w:rPr>
                <w:rFonts w:ascii="Arial" w:cs="Arial" w:eastAsia="Arial" w:hAnsi="Arial"/>
                <w:sz w:val="15"/>
                <w:szCs w:val="15"/>
                <w:color w:val="auto"/>
                <w:w w:val="95"/>
              </w:rPr>
              <w:t>59</w:t>
            </w:r>
          </w:p>
        </w:tc>
        <w:tc>
          <w:tcPr>
            <w:tcW w:w="6420" w:type="dxa"/>
            <w:vAlign w:val="bottom"/>
            <w:gridSpan w:val="3"/>
          </w:tcPr>
          <w:p>
            <w:pPr>
              <w:ind w:left="120"/>
              <w:spacing w:after="0"/>
              <w:rPr>
                <w:sz w:val="20"/>
                <w:szCs w:val="20"/>
                <w:color w:val="auto"/>
              </w:rPr>
            </w:pPr>
            <w:r>
              <w:rPr>
                <w:rFonts w:ascii="Arial" w:cs="Arial" w:eastAsia="Arial" w:hAnsi="Arial"/>
                <w:sz w:val="15"/>
                <w:szCs w:val="15"/>
                <w:color w:val="auto"/>
              </w:rPr>
              <w:t>Chief Revenue Officer</w:t>
            </w:r>
          </w:p>
        </w:tc>
      </w:tr>
      <w:tr>
        <w:trPr>
          <w:trHeight w:val="195"/>
        </w:trPr>
        <w:tc>
          <w:tcPr>
            <w:tcW w:w="2380" w:type="dxa"/>
            <w:vAlign w:val="bottom"/>
            <w:gridSpan w:val="3"/>
          </w:tcPr>
          <w:p>
            <w:pPr>
              <w:spacing w:after="0"/>
              <w:rPr>
                <w:sz w:val="20"/>
                <w:szCs w:val="20"/>
                <w:color w:val="auto"/>
              </w:rPr>
            </w:pPr>
            <w:r>
              <w:rPr>
                <w:rFonts w:ascii="Arial" w:cs="Arial" w:eastAsia="Arial" w:hAnsi="Arial"/>
                <w:sz w:val="15"/>
                <w:szCs w:val="15"/>
                <w:color w:val="auto"/>
              </w:rPr>
              <w:t>Joseph Aguilar</w:t>
            </w:r>
          </w:p>
        </w:tc>
        <w:tc>
          <w:tcPr>
            <w:tcW w:w="540" w:type="dxa"/>
            <w:vAlign w:val="bottom"/>
          </w:tcPr>
          <w:p>
            <w:pPr>
              <w:jc w:val="center"/>
              <w:spacing w:after="0"/>
              <w:rPr>
                <w:sz w:val="20"/>
                <w:szCs w:val="20"/>
                <w:color w:val="auto"/>
              </w:rPr>
            </w:pPr>
            <w:r>
              <w:rPr>
                <w:rFonts w:ascii="Arial" w:cs="Arial" w:eastAsia="Arial" w:hAnsi="Arial"/>
                <w:sz w:val="15"/>
                <w:szCs w:val="15"/>
                <w:color w:val="auto"/>
                <w:w w:val="95"/>
              </w:rPr>
              <w:t>60</w:t>
            </w:r>
          </w:p>
        </w:tc>
        <w:tc>
          <w:tcPr>
            <w:tcW w:w="6420" w:type="dxa"/>
            <w:vAlign w:val="bottom"/>
            <w:gridSpan w:val="3"/>
          </w:tcPr>
          <w:p>
            <w:pPr>
              <w:ind w:left="120"/>
              <w:spacing w:after="0"/>
              <w:rPr>
                <w:sz w:val="20"/>
                <w:szCs w:val="20"/>
                <w:color w:val="auto"/>
              </w:rPr>
            </w:pPr>
            <w:r>
              <w:rPr>
                <w:rFonts w:ascii="Arial" w:cs="Arial" w:eastAsia="Arial" w:hAnsi="Arial"/>
                <w:sz w:val="15"/>
                <w:szCs w:val="15"/>
                <w:color w:val="auto"/>
              </w:rPr>
              <w:t>Chief Operating Officer</w:t>
            </w:r>
          </w:p>
        </w:tc>
      </w:tr>
      <w:tr>
        <w:trPr>
          <w:trHeight w:val="195"/>
        </w:trPr>
        <w:tc>
          <w:tcPr>
            <w:tcW w:w="2380" w:type="dxa"/>
            <w:vAlign w:val="bottom"/>
            <w:gridSpan w:val="3"/>
          </w:tcPr>
          <w:p>
            <w:pPr>
              <w:spacing w:after="0"/>
              <w:rPr>
                <w:sz w:val="20"/>
                <w:szCs w:val="20"/>
                <w:color w:val="auto"/>
              </w:rPr>
            </w:pPr>
            <w:r>
              <w:rPr>
                <w:rFonts w:ascii="Arial" w:cs="Arial" w:eastAsia="Arial" w:hAnsi="Arial"/>
                <w:sz w:val="15"/>
                <w:szCs w:val="15"/>
                <w:color w:val="auto"/>
              </w:rPr>
              <w:t>Ernesto Luciano</w:t>
            </w:r>
          </w:p>
        </w:tc>
        <w:tc>
          <w:tcPr>
            <w:tcW w:w="540" w:type="dxa"/>
            <w:vAlign w:val="bottom"/>
          </w:tcPr>
          <w:p>
            <w:pPr>
              <w:jc w:val="center"/>
              <w:spacing w:after="0"/>
              <w:rPr>
                <w:sz w:val="20"/>
                <w:szCs w:val="20"/>
                <w:color w:val="auto"/>
              </w:rPr>
            </w:pPr>
            <w:r>
              <w:rPr>
                <w:rFonts w:ascii="Arial" w:cs="Arial" w:eastAsia="Arial" w:hAnsi="Arial"/>
                <w:sz w:val="15"/>
                <w:szCs w:val="15"/>
                <w:color w:val="auto"/>
                <w:w w:val="95"/>
              </w:rPr>
              <w:t>48</w:t>
            </w:r>
          </w:p>
        </w:tc>
        <w:tc>
          <w:tcPr>
            <w:tcW w:w="6420" w:type="dxa"/>
            <w:vAlign w:val="bottom"/>
            <w:gridSpan w:val="3"/>
          </w:tcPr>
          <w:p>
            <w:pPr>
              <w:ind w:left="120"/>
              <w:spacing w:after="0"/>
              <w:rPr>
                <w:sz w:val="20"/>
                <w:szCs w:val="20"/>
                <w:color w:val="auto"/>
              </w:rPr>
            </w:pPr>
            <w:r>
              <w:rPr>
                <w:rFonts w:ascii="Arial" w:cs="Arial" w:eastAsia="Arial" w:hAnsi="Arial"/>
                <w:sz w:val="15"/>
                <w:szCs w:val="15"/>
                <w:color w:val="auto"/>
              </w:rPr>
              <w:t>General Counsel and Chief Regulatory Affairs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-626110</wp:posOffset>
            </wp:positionV>
            <wp:extent cx="5848985" cy="1308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48985" cy="13081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-370840</wp:posOffset>
            </wp:positionV>
            <wp:extent cx="5848985" cy="1238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48985" cy="12382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-123190</wp:posOffset>
            </wp:positionV>
            <wp:extent cx="5848985" cy="1238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48985" cy="123825"/>
                    </a:xfrm>
                    <a:prstGeom prst="rect">
                      <a:avLst/>
                    </a:prstGeom>
                    <a:noFill/>
                  </pic:spPr>
                </pic:pic>
              </a:graphicData>
            </a:graphic>
          </wp:anchor>
        </w:drawing>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 xml:space="preserve">Robert Lisy. </w:t>
      </w:r>
      <w:r>
        <w:rPr>
          <w:rFonts w:ascii="Arial" w:cs="Arial" w:eastAsia="Arial" w:hAnsi="Arial"/>
          <w:sz w:val="15"/>
          <w:szCs w:val="15"/>
          <w:color w:val="auto"/>
        </w:rPr>
        <w:t>Biographical information for Mr. Lisy is included above with the director biographies under the caption “Board of Directors.”</w:t>
      </w:r>
    </w:p>
    <w:p>
      <w:pPr>
        <w:spacing w:after="0" w:line="195" w:lineRule="exact"/>
        <w:rPr>
          <w:sz w:val="20"/>
          <w:szCs w:val="20"/>
          <w:color w:val="auto"/>
        </w:rPr>
      </w:pPr>
    </w:p>
    <w:p>
      <w:pPr>
        <w:jc w:val="both"/>
        <w:ind w:firstLine="275"/>
        <w:spacing w:after="0" w:line="292" w:lineRule="auto"/>
        <w:rPr>
          <w:sz w:val="20"/>
          <w:szCs w:val="20"/>
          <w:color w:val="auto"/>
        </w:rPr>
      </w:pPr>
      <w:r>
        <w:rPr>
          <w:rFonts w:ascii="Arial" w:cs="Arial" w:eastAsia="Arial" w:hAnsi="Arial"/>
          <w:sz w:val="14"/>
          <w:szCs w:val="14"/>
          <w:b w:val="1"/>
          <w:bCs w:val="1"/>
          <w:color w:val="auto"/>
        </w:rPr>
        <w:t xml:space="preserve">Andras Bende </w:t>
      </w:r>
      <w:r>
        <w:rPr>
          <w:rFonts w:ascii="Arial" w:cs="Arial" w:eastAsia="Arial" w:hAnsi="Arial"/>
          <w:sz w:val="14"/>
          <w:szCs w:val="14"/>
          <w:color w:val="auto"/>
        </w:rPr>
        <w:t>joined International Money Express, Inc. as Chief Financial Officer in December 2020. Prior to joining the Company, Mr. Bende served as the Chief Financial</w:t>
      </w:r>
      <w:r>
        <w:rPr>
          <w:rFonts w:ascii="Arial" w:cs="Arial" w:eastAsia="Arial" w:hAnsi="Arial"/>
          <w:sz w:val="14"/>
          <w:szCs w:val="14"/>
          <w:b w:val="1"/>
          <w:bCs w:val="1"/>
          <w:color w:val="auto"/>
        </w:rPr>
        <w:t xml:space="preserve"> </w:t>
      </w:r>
      <w:r>
        <w:rPr>
          <w:rFonts w:ascii="Arial" w:cs="Arial" w:eastAsia="Arial" w:hAnsi="Arial"/>
          <w:sz w:val="14"/>
          <w:szCs w:val="14"/>
          <w:color w:val="auto"/>
        </w:rPr>
        <w:t>Officer of Computer Services, Inc., a financial technology company, from 2018 to 2019, where he helped guide the company during a period of significant growth and share price appreciation. Prior to his time at Computer Services, Inc., Mr. Bende held several international Chief Financial Officer and Controller roles at GE Capital from 2005 to 2017. Mr. Bende is a graduate of GE’s Financial Management Program and the GE Corporate Audit Staff and holds a bachelor’s degree in financial management from Clemson University.</w:t>
      </w:r>
    </w:p>
    <w:p>
      <w:pPr>
        <w:spacing w:after="0" w:line="134" w:lineRule="exact"/>
        <w:rPr>
          <w:sz w:val="20"/>
          <w:szCs w:val="20"/>
          <w:color w:val="auto"/>
        </w:rPr>
      </w:pPr>
    </w:p>
    <w:p>
      <w:pPr>
        <w:jc w:val="both"/>
        <w:ind w:firstLine="275"/>
        <w:spacing w:after="0" w:line="261" w:lineRule="auto"/>
        <w:rPr>
          <w:sz w:val="20"/>
          <w:szCs w:val="20"/>
          <w:color w:val="auto"/>
        </w:rPr>
      </w:pPr>
      <w:r>
        <w:rPr>
          <w:rFonts w:ascii="Arial" w:cs="Arial" w:eastAsia="Arial" w:hAnsi="Arial"/>
          <w:sz w:val="15"/>
          <w:szCs w:val="15"/>
          <w:b w:val="1"/>
          <w:bCs w:val="1"/>
          <w:color w:val="auto"/>
        </w:rPr>
        <w:t xml:space="preserve">Randy Nilsen </w:t>
      </w:r>
      <w:r>
        <w:rPr>
          <w:rFonts w:ascii="Arial" w:cs="Arial" w:eastAsia="Arial" w:hAnsi="Arial"/>
          <w:sz w:val="15"/>
          <w:szCs w:val="15"/>
          <w:color w:val="auto"/>
        </w:rPr>
        <w:t>has served as the Chief Revenue Officer of International Money Express, Inc. since 2018. Mr. Nilsen was Intermex’s Chief Revenue Officer from 2015 to 2018.</w:t>
      </w:r>
      <w:r>
        <w:rPr>
          <w:rFonts w:ascii="Arial" w:cs="Arial" w:eastAsia="Arial" w:hAnsi="Arial"/>
          <w:sz w:val="15"/>
          <w:szCs w:val="15"/>
          <w:b w:val="1"/>
          <w:bCs w:val="1"/>
          <w:color w:val="auto"/>
        </w:rPr>
        <w:t xml:space="preserve"> </w:t>
      </w:r>
      <w:r>
        <w:rPr>
          <w:rFonts w:ascii="Arial" w:cs="Arial" w:eastAsia="Arial" w:hAnsi="Arial"/>
          <w:sz w:val="15"/>
          <w:szCs w:val="15"/>
          <w:color w:val="auto"/>
        </w:rPr>
        <w:t>Prior to joining the Company, Mr. Nilsen served as Chief Revenue Officer at Sigue Money Transfer Services (“Sigue”), a global remittance provider from 2011 to 2015 where he was responsible for revenue generation through acquisition and retention of both agents and consumers within North America. Prior to his employment with Sigue, Mr. Nilsen was the Chief Franchise Sales and Operations Officer at Jackson Hewitt from 2008 to 2011. Prior to Jackson Hewitt, Mr. Nilsen was with Western Union from 1987 to 2008 where he held roles with increasing responsibility in sales, marketing and sales planning and was responsible for business units in the U.S., Canada and the U.K. Mr. Nilsen is a graduate of the Executive Management program at the University of California Los Angeles’s Anderson School of Management and holds a bachelor’s degree in Business Finance from Brigham Young University.</w:t>
      </w:r>
    </w:p>
    <w:p>
      <w:pPr>
        <w:spacing w:after="0" w:line="155" w:lineRule="exact"/>
        <w:rPr>
          <w:sz w:val="20"/>
          <w:szCs w:val="20"/>
          <w:color w:val="auto"/>
        </w:rPr>
      </w:pPr>
    </w:p>
    <w:p>
      <w:pPr>
        <w:jc w:val="both"/>
        <w:ind w:firstLine="275"/>
        <w:spacing w:after="0" w:line="262" w:lineRule="auto"/>
        <w:rPr>
          <w:sz w:val="20"/>
          <w:szCs w:val="20"/>
          <w:color w:val="auto"/>
        </w:rPr>
      </w:pPr>
      <w:r>
        <w:rPr>
          <w:rFonts w:ascii="Arial" w:cs="Arial" w:eastAsia="Arial" w:hAnsi="Arial"/>
          <w:sz w:val="15"/>
          <w:szCs w:val="15"/>
          <w:b w:val="1"/>
          <w:bCs w:val="1"/>
          <w:color w:val="auto"/>
        </w:rPr>
        <w:t xml:space="preserve">Joseph Aguilar </w:t>
      </w:r>
      <w:r>
        <w:rPr>
          <w:rFonts w:ascii="Arial" w:cs="Arial" w:eastAsia="Arial" w:hAnsi="Arial"/>
          <w:sz w:val="15"/>
          <w:szCs w:val="15"/>
          <w:color w:val="auto"/>
        </w:rPr>
        <w:t>joined International Money Express, Inc. in September 2019 as Chief Operating Officer. Prior to joining Intermex, Mr. Aguilar was a senior executive at Sigue</w:t>
      </w:r>
      <w:r>
        <w:rPr>
          <w:rFonts w:ascii="Arial" w:cs="Arial" w:eastAsia="Arial" w:hAnsi="Arial"/>
          <w:sz w:val="15"/>
          <w:szCs w:val="15"/>
          <w:b w:val="1"/>
          <w:bCs w:val="1"/>
          <w:color w:val="auto"/>
        </w:rPr>
        <w:t xml:space="preserve"> </w:t>
      </w:r>
      <w:r>
        <w:rPr>
          <w:rFonts w:ascii="Arial" w:cs="Arial" w:eastAsia="Arial" w:hAnsi="Arial"/>
          <w:sz w:val="15"/>
          <w:szCs w:val="15"/>
          <w:color w:val="auto"/>
        </w:rPr>
        <w:t>Corporation; starting in 2005 as the Chief Auditor, where he established the Internal Audit function for its U.S. and Mexico Operations. Following several successful audit cycles, he was promoted to Chief Operating Officer, responsible for all operations and technology functions of the global organization. In 2014, Mr. Aguilar was promoted to President of SGS, Ltd. UK, the International Division of Sigue Corporation, with responsibility for all aspects of the business in the EU, Eastern Europe, Africa, Asia and South Asia. Prior to his roles at Sigue Corporation, Mr. Aguilar held senior roles at BBVA Bancomer, California Commerce Bank and Dai-Ichi Kangyo Bank of California. Mr. Aguilar holds a bachelor’s degree in English from University of California at Santa Barbara.</w:t>
      </w:r>
    </w:p>
    <w:p>
      <w:pPr>
        <w:spacing w:after="0" w:line="155" w:lineRule="exact"/>
        <w:rPr>
          <w:sz w:val="20"/>
          <w:szCs w:val="20"/>
          <w:color w:val="auto"/>
        </w:rPr>
      </w:pPr>
    </w:p>
    <w:p>
      <w:pPr>
        <w:jc w:val="both"/>
        <w:ind w:firstLine="275"/>
        <w:spacing w:after="0" w:line="264" w:lineRule="auto"/>
        <w:rPr>
          <w:sz w:val="20"/>
          <w:szCs w:val="20"/>
          <w:color w:val="auto"/>
        </w:rPr>
      </w:pPr>
      <w:r>
        <w:rPr>
          <w:rFonts w:ascii="Arial" w:cs="Arial" w:eastAsia="Arial" w:hAnsi="Arial"/>
          <w:sz w:val="15"/>
          <w:szCs w:val="15"/>
          <w:b w:val="1"/>
          <w:bCs w:val="1"/>
          <w:color w:val="auto"/>
        </w:rPr>
        <w:t xml:space="preserve">Ernesto Luciano </w:t>
      </w:r>
      <w:r>
        <w:rPr>
          <w:rFonts w:ascii="Arial" w:cs="Arial" w:eastAsia="Arial" w:hAnsi="Arial"/>
          <w:sz w:val="15"/>
          <w:szCs w:val="15"/>
          <w:color w:val="auto"/>
        </w:rPr>
        <w:t>joined International Money Express, Inc. in December 2020. Mr. Luciano serves as General Counsel and Chief Regulatory Affairs Officer. Prior to joining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Mr. Luciano was the vice president &amp; associate general counsel of Kaplan Higher Education, LLC (“Kaplan”) from 2016 to 2020. Prior to his role at Kaplan, Mr. Luciano was general counsel for Verizon Media’s U.S. Hispanic and Latin American division and also held senior legal positions with Home Box Office, Inc. (HBO), Gilat Satellite Networks Ltd., and Turner Broadcasting Systems (TBS), among others. Mr. Luciano holds a bachelor’s degree from the State University of New York at Albany and a Juris Doctor (J.D.) from the New England School of Law in Boston, Massachusetts.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Relationships and Arrangements</w:t>
      </w:r>
    </w:p>
    <w:p>
      <w:pPr>
        <w:spacing w:after="0" w:line="199" w:lineRule="exact"/>
        <w:rPr>
          <w:sz w:val="20"/>
          <w:szCs w:val="20"/>
          <w:color w:val="auto"/>
        </w:rPr>
      </w:pPr>
    </w:p>
    <w:p>
      <w:pPr>
        <w:jc w:val="both"/>
        <w:ind w:firstLine="275"/>
        <w:spacing w:after="0" w:line="262" w:lineRule="auto"/>
        <w:rPr>
          <w:sz w:val="20"/>
          <w:szCs w:val="20"/>
          <w:color w:val="auto"/>
        </w:rPr>
      </w:pPr>
      <w:r>
        <w:rPr>
          <w:rFonts w:ascii="Arial" w:cs="Arial" w:eastAsia="Arial" w:hAnsi="Arial"/>
          <w:sz w:val="15"/>
          <w:szCs w:val="15"/>
          <w:color w:val="auto"/>
        </w:rPr>
        <w:t>There is no family relationship between any of Company’s directors or executive officers and, to the best of our knowledge, none of our directors or executive officers has, during the past ten years, been involved in any legal proceedings which are required to be disclosed pursuant to the rules and regulations of the Securities and Exchange Commission (the “SEC”). There are no arrangements between any director or executive officer of the Company and any other person pursuant to which he/she was, or will be, selected as a director or executive officer, respectively, except for certain Board designation rights provided to certain shareholders under the Shareholders Agreement as described below under the section captioned “Certain Related Person Transactions – Shareholders Agreement”.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76" w:name="page77"/>
    <w:bookmarkEnd w:id="76"/>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Delinquent Section 16(a) Reports</w:t>
      </w:r>
    </w:p>
    <w:p>
      <w:pPr>
        <w:spacing w:after="0" w:line="199" w:lineRule="exact"/>
        <w:rPr>
          <w:sz w:val="20"/>
          <w:szCs w:val="20"/>
          <w:color w:val="auto"/>
        </w:rPr>
      </w:pPr>
    </w:p>
    <w:p>
      <w:pPr>
        <w:jc w:val="both"/>
        <w:ind w:firstLine="275"/>
        <w:spacing w:after="0" w:line="283" w:lineRule="auto"/>
        <w:rPr>
          <w:sz w:val="20"/>
          <w:szCs w:val="20"/>
          <w:color w:val="auto"/>
        </w:rPr>
      </w:pPr>
      <w:r>
        <w:rPr>
          <w:rFonts w:ascii="Arial" w:cs="Arial" w:eastAsia="Arial" w:hAnsi="Arial"/>
          <w:sz w:val="14"/>
          <w:szCs w:val="14"/>
          <w:color w:val="auto"/>
        </w:rPr>
        <w:t>Section 16(a) of the Securities Exchange Act of 1934, as amended (the “Exchange Act”) requires our directors and executive officers, and persons who beneficially own more than 10% of a registered class of our equity securities, to file with the SEC initial reports of ownership and reports of changes in ownership of our common stock and other equity securities. Specific due dates for these reports have been established, and the Company is required to report any failure to comply therewith during the fiscal year ended December 31, 2020. To our knowledge, based solely on a review of the reports filed electronically with the SEC during the registrant’s most recent fiscal year and, where applicable, written representations that no other reports were required, all Section 16(a) filing requirements were complied with in a timely manner during the fiscal year ended December 31, 2021, except that: Jose Perez-Villarreal filed one late Form 4 with respect to one transaction and Robert Lisy filed one late Form 4 with respect to six transactions.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Code of Business Conduct and Ethics</w:t>
      </w:r>
    </w:p>
    <w:p>
      <w:pPr>
        <w:spacing w:after="0" w:line="199"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4"/>
          <w:szCs w:val="14"/>
          <w:color w:val="auto"/>
        </w:rPr>
        <w:t>We have adopted a code of business conduct and ethics for our directors, officers, employees and certain affiliates in accordance with applicable federal securities laws, a copy of which is available on the Company’s website at www.intermexonline.com. If we amend or grant a waiver of one or more of the provisions of our Code of Business Conduct and Ethics, we intend to satisfy the requirements under Item 5.05 of Form 8-K regarding the disclosure of amendments to or waivers from provisions of our Code of Business Conduct and Ethics that apply to our principal executive officer, principal financial officer and principal accounting officer (or persons performing similar functions) by posting the required information on the Company’s website at www.intermexonline.com. The information found on the website is not part of this Form 10-K.</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Nominations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No material changes have been made to the procedures by which stockholders may recommend nominees to our Board of Directors.</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Audit Committee</w:t>
      </w:r>
    </w:p>
    <w:p>
      <w:pPr>
        <w:spacing w:after="0" w:line="199" w:lineRule="exact"/>
        <w:rPr>
          <w:sz w:val="20"/>
          <w:szCs w:val="20"/>
          <w:color w:val="auto"/>
        </w:rPr>
      </w:pPr>
    </w:p>
    <w:p>
      <w:pPr>
        <w:jc w:val="both"/>
        <w:ind w:firstLine="275"/>
        <w:spacing w:after="0" w:line="259" w:lineRule="auto"/>
        <w:rPr>
          <w:sz w:val="20"/>
          <w:szCs w:val="20"/>
          <w:color w:val="auto"/>
        </w:rPr>
      </w:pPr>
      <w:r>
        <w:rPr>
          <w:rFonts w:ascii="Arial" w:cs="Arial" w:eastAsia="Arial" w:hAnsi="Arial"/>
          <w:sz w:val="15"/>
          <w:szCs w:val="15"/>
          <w:color w:val="auto"/>
        </w:rPr>
        <w:t>The Audit Committee of the Board of Directors (the “Audit Committee”) was established by the Board in accordance with Section 3(a)(58)(A) of the Exchange Act, to oversee the Company’s corporate accounting and financial reporting processes and audits of its financial statements. Our Audit Committee consists of Messrs. Purcell, Fernández and Rincon, with Mr. Purcell serving as the Chairman. The Board has determined that Messrs. Purcell, Fernández and Rincon meet the independent director standards for Audit Committee members under the Nasdaq Capital Market (“Nasdaq”) listing rules and under Rule 10A-3(b)(1) of the Exchange Act. As required by the Nasdaq listing rules, the Audit Committee will at all times be composed exclusively of independent directors who are able to read and understand fundamental financial statements, including a company’s balance sheet, income statement and cash flow statement. In addition, the Company is required to certify to Nasdaq that the Audit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has determined that Mr. Purcell satisfies Nasdaq’s definition of financial sophistication and also qualifies as an “audit committee financial expert,” as defined under rules and regulations of the SEC.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77" w:name="page78"/>
    <w:bookmarkEnd w:id="77"/>
    <w:p>
      <w:pPr>
        <w:ind w:left="8"/>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36" w:lineRule="exact"/>
        <w:rPr>
          <w:sz w:val="20"/>
          <w:szCs w:val="20"/>
          <w:color w:val="auto"/>
        </w:rPr>
      </w:pPr>
    </w:p>
    <w:p>
      <w:pPr>
        <w:ind w:left="8"/>
        <w:spacing w:after="0"/>
        <w:tabs>
          <w:tab w:leader="none" w:pos="768" w:val="left"/>
        </w:tabs>
        <w:rPr>
          <w:sz w:val="20"/>
          <w:szCs w:val="20"/>
          <w:color w:val="auto"/>
        </w:rPr>
      </w:pPr>
      <w:r>
        <w:rPr>
          <w:rFonts w:ascii="Arial" w:cs="Arial" w:eastAsia="Arial" w:hAnsi="Arial"/>
          <w:sz w:val="15"/>
          <w:szCs w:val="15"/>
          <w:b w:val="1"/>
          <w:bCs w:val="1"/>
          <w:color w:val="auto"/>
        </w:rPr>
        <w:t>ITEM 11.</w:t>
        <w:tab/>
        <w:t>EXECUTIVE COMPENSATION</w:t>
      </w:r>
    </w:p>
    <w:p>
      <w:pPr>
        <w:spacing w:after="0" w:line="195"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Overview</w:t>
      </w:r>
    </w:p>
    <w:p>
      <w:pPr>
        <w:spacing w:after="0" w:line="222" w:lineRule="exact"/>
        <w:rPr>
          <w:sz w:val="20"/>
          <w:szCs w:val="20"/>
          <w:color w:val="auto"/>
        </w:rPr>
      </w:pPr>
    </w:p>
    <w:p>
      <w:pPr>
        <w:jc w:val="both"/>
        <w:ind w:left="8" w:firstLine="275"/>
        <w:spacing w:after="0" w:line="285" w:lineRule="auto"/>
        <w:rPr>
          <w:sz w:val="20"/>
          <w:szCs w:val="20"/>
          <w:color w:val="auto"/>
        </w:rPr>
      </w:pPr>
      <w:r>
        <w:rPr>
          <w:rFonts w:ascii="Arial" w:cs="Arial" w:eastAsia="Arial" w:hAnsi="Arial"/>
          <w:sz w:val="15"/>
          <w:szCs w:val="15"/>
          <w:color w:val="auto"/>
        </w:rPr>
        <w:t>As an emerging growth company, the Company has opted to comply with the executive compensation rules applicable to “smaller reporting companies,” as such term is defined under the Securities Act, which require compensation disclosure for the Company’s “named executive officers”, as defined below.</w:t>
      </w:r>
    </w:p>
    <w:p>
      <w:pPr>
        <w:spacing w:after="0" w:line="164" w:lineRule="exact"/>
        <w:rPr>
          <w:sz w:val="20"/>
          <w:szCs w:val="20"/>
          <w:color w:val="auto"/>
        </w:rPr>
      </w:pPr>
    </w:p>
    <w:p>
      <w:pPr>
        <w:jc w:val="both"/>
        <w:ind w:left="8" w:firstLine="275"/>
        <w:spacing w:after="0" w:line="298" w:lineRule="auto"/>
        <w:rPr>
          <w:sz w:val="20"/>
          <w:szCs w:val="20"/>
          <w:color w:val="auto"/>
        </w:rPr>
      </w:pPr>
      <w:r>
        <w:rPr>
          <w:rFonts w:ascii="Arial" w:cs="Arial" w:eastAsia="Arial" w:hAnsi="Arial"/>
          <w:sz w:val="14"/>
          <w:szCs w:val="14"/>
          <w:color w:val="auto"/>
        </w:rPr>
        <w:t>The tabular disclosure and discussion that follow describe the Company’s executive compensation program during the most recently completed fiscal year ended December 31, 2021, with respect to the Company’s named executive officers as of December 31, 2021, including: Robert Lisy, Chief Executive Officer and President; Andras Bende, Chief Financial Officer; Joseph Aguilar, Chief Operating Officer; and Randall D. Nilsen, Chief Revenue Officer (collectively, the Company’s “named executive officers”).</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Summary Compensation Table</w:t>
      </w:r>
    </w:p>
    <w:p>
      <w:pPr>
        <w:spacing w:after="0" w:line="222" w:lineRule="exact"/>
        <w:rPr>
          <w:sz w:val="20"/>
          <w:szCs w:val="20"/>
          <w:color w:val="auto"/>
        </w:rPr>
      </w:pPr>
    </w:p>
    <w:p>
      <w:pPr>
        <w:jc w:val="both"/>
        <w:ind w:left="8" w:firstLine="275"/>
        <w:spacing w:after="0" w:line="285" w:lineRule="auto"/>
        <w:rPr>
          <w:sz w:val="20"/>
          <w:szCs w:val="20"/>
          <w:color w:val="auto"/>
        </w:rPr>
      </w:pPr>
      <w:r>
        <w:rPr>
          <w:rFonts w:ascii="Arial" w:cs="Arial" w:eastAsia="Arial" w:hAnsi="Arial"/>
          <w:sz w:val="15"/>
          <w:szCs w:val="15"/>
          <w:color w:val="auto"/>
        </w:rPr>
        <w:t>The following table sets forth the compensation paid to and earned by the named executive officers (the “NEOs”) that is attributable to services performed during fiscal years 2021 and 2020.</w:t>
      </w:r>
    </w:p>
    <w:p>
      <w:pPr>
        <w:spacing w:after="0" w:line="206" w:lineRule="exact"/>
        <w:rPr>
          <w:sz w:val="20"/>
          <w:szCs w:val="20"/>
          <w:color w:val="auto"/>
        </w:rPr>
      </w:pPr>
    </w:p>
    <w:tbl>
      <w:tblPr>
        <w:tblLayout w:type="fixed"/>
        <w:tblInd w:w="8" w:type="dxa"/>
        <w:tblCellMar>
          <w:top w:w="0" w:type="dxa"/>
          <w:left w:w="0" w:type="dxa"/>
          <w:bottom w:w="0" w:type="dxa"/>
          <w:right w:w="0" w:type="dxa"/>
        </w:tblCellMar>
      </w:tblPr>
      <w:tr>
        <w:trPr>
          <w:trHeight w:val="184"/>
        </w:trPr>
        <w:tc>
          <w:tcPr>
            <w:tcW w:w="1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jc w:val="center"/>
              <w:ind w:right="64"/>
              <w:spacing w:after="0"/>
              <w:rPr>
                <w:sz w:val="20"/>
                <w:szCs w:val="20"/>
                <w:color w:val="auto"/>
              </w:rPr>
            </w:pPr>
            <w:r>
              <w:rPr>
                <w:rFonts w:ascii="Arial" w:cs="Arial" w:eastAsia="Arial" w:hAnsi="Arial"/>
                <w:sz w:val="15"/>
                <w:szCs w:val="15"/>
                <w:b w:val="1"/>
                <w:bCs w:val="1"/>
                <w:color w:val="auto"/>
                <w:w w:val="92"/>
              </w:rPr>
              <w:t>Nonequity</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center"/>
              <w:ind w:right="164"/>
              <w:spacing w:after="0"/>
              <w:rPr>
                <w:sz w:val="20"/>
                <w:szCs w:val="20"/>
                <w:color w:val="auto"/>
              </w:rPr>
            </w:pPr>
            <w:r>
              <w:rPr>
                <w:rFonts w:ascii="Arial" w:cs="Arial" w:eastAsia="Arial" w:hAnsi="Arial"/>
                <w:sz w:val="15"/>
                <w:szCs w:val="15"/>
                <w:b w:val="1"/>
                <w:bCs w:val="1"/>
                <w:color w:val="auto"/>
                <w:w w:val="88"/>
              </w:rPr>
              <w:t>Stock</w:t>
            </w:r>
          </w:p>
        </w:tc>
        <w:tc>
          <w:tcPr>
            <w:tcW w:w="240" w:type="dxa"/>
            <w:vAlign w:val="bottom"/>
          </w:tcPr>
          <w:p>
            <w:pPr>
              <w:spacing w:after="0"/>
              <w:rPr>
                <w:sz w:val="15"/>
                <w:szCs w:val="15"/>
                <w:color w:val="auto"/>
              </w:rPr>
            </w:pPr>
          </w:p>
        </w:tc>
        <w:tc>
          <w:tcPr>
            <w:tcW w:w="1180" w:type="dxa"/>
            <w:vAlign w:val="bottom"/>
          </w:tcPr>
          <w:p>
            <w:pPr>
              <w:jc w:val="center"/>
              <w:ind w:right="304"/>
              <w:spacing w:after="0"/>
              <w:rPr>
                <w:sz w:val="20"/>
                <w:szCs w:val="20"/>
                <w:color w:val="auto"/>
              </w:rPr>
            </w:pPr>
            <w:r>
              <w:rPr>
                <w:rFonts w:ascii="Arial" w:cs="Arial" w:eastAsia="Arial" w:hAnsi="Arial"/>
                <w:sz w:val="15"/>
                <w:szCs w:val="15"/>
                <w:b w:val="1"/>
                <w:bCs w:val="1"/>
                <w:color w:val="auto"/>
                <w:w w:val="91"/>
              </w:rPr>
              <w:t>Options</w:t>
            </w:r>
          </w:p>
        </w:tc>
        <w:tc>
          <w:tcPr>
            <w:tcW w:w="1220" w:type="dxa"/>
            <w:vAlign w:val="bottom"/>
          </w:tcPr>
          <w:p>
            <w:pPr>
              <w:jc w:val="center"/>
              <w:ind w:right="44"/>
              <w:spacing w:after="0"/>
              <w:rPr>
                <w:sz w:val="20"/>
                <w:szCs w:val="20"/>
                <w:color w:val="auto"/>
              </w:rPr>
            </w:pPr>
            <w:r>
              <w:rPr>
                <w:rFonts w:ascii="Arial" w:cs="Arial" w:eastAsia="Arial" w:hAnsi="Arial"/>
                <w:sz w:val="15"/>
                <w:szCs w:val="15"/>
                <w:b w:val="1"/>
                <w:bCs w:val="1"/>
                <w:color w:val="auto"/>
                <w:w w:val="93"/>
              </w:rPr>
              <w:t>Incentive Plan</w:t>
            </w:r>
          </w:p>
        </w:tc>
        <w:tc>
          <w:tcPr>
            <w:tcW w:w="180" w:type="dxa"/>
            <w:vAlign w:val="bottom"/>
          </w:tcPr>
          <w:p>
            <w:pPr>
              <w:spacing w:after="0"/>
              <w:rPr>
                <w:sz w:val="15"/>
                <w:szCs w:val="15"/>
                <w:color w:val="auto"/>
              </w:rPr>
            </w:pPr>
          </w:p>
        </w:tc>
        <w:tc>
          <w:tcPr>
            <w:tcW w:w="1200" w:type="dxa"/>
            <w:vAlign w:val="bottom"/>
          </w:tcPr>
          <w:p>
            <w:pPr>
              <w:jc w:val="center"/>
              <w:ind w:right="64"/>
              <w:spacing w:after="0"/>
              <w:rPr>
                <w:sz w:val="20"/>
                <w:szCs w:val="20"/>
                <w:color w:val="auto"/>
              </w:rPr>
            </w:pPr>
            <w:r>
              <w:rPr>
                <w:rFonts w:ascii="Arial" w:cs="Arial" w:eastAsia="Arial" w:hAnsi="Arial"/>
                <w:sz w:val="15"/>
                <w:szCs w:val="15"/>
                <w:b w:val="1"/>
                <w:bCs w:val="1"/>
                <w:color w:val="auto"/>
                <w:w w:val="97"/>
              </w:rPr>
              <w:t>All Other</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20" w:type="dxa"/>
            <w:vAlign w:val="bottom"/>
          </w:tcPr>
          <w:p>
            <w:pPr>
              <w:ind w:left="160"/>
              <w:spacing w:after="0"/>
              <w:rPr>
                <w:sz w:val="20"/>
                <w:szCs w:val="20"/>
                <w:color w:val="auto"/>
              </w:rPr>
            </w:pPr>
            <w:r>
              <w:rPr>
                <w:rFonts w:ascii="Arial" w:cs="Arial" w:eastAsia="Arial" w:hAnsi="Arial"/>
                <w:sz w:val="15"/>
                <w:szCs w:val="15"/>
                <w:b w:val="1"/>
                <w:bCs w:val="1"/>
                <w:color w:val="auto"/>
              </w:rPr>
              <w:t>Name and Principal</w:t>
            </w: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284"/>
              <w:spacing w:after="0"/>
              <w:rPr>
                <w:sz w:val="20"/>
                <w:szCs w:val="20"/>
                <w:color w:val="auto"/>
              </w:rPr>
            </w:pPr>
            <w:r>
              <w:rPr>
                <w:rFonts w:ascii="Arial" w:cs="Arial" w:eastAsia="Arial" w:hAnsi="Arial"/>
                <w:sz w:val="15"/>
                <w:szCs w:val="15"/>
                <w:b w:val="1"/>
                <w:bCs w:val="1"/>
                <w:color w:val="auto"/>
              </w:rPr>
              <w:t>Salary</w:t>
            </w:r>
          </w:p>
        </w:tc>
        <w:tc>
          <w:tcPr>
            <w:tcW w:w="240" w:type="dxa"/>
            <w:vAlign w:val="bottom"/>
          </w:tcPr>
          <w:p>
            <w:pPr>
              <w:spacing w:after="0"/>
              <w:rPr>
                <w:sz w:val="15"/>
                <w:szCs w:val="15"/>
                <w:color w:val="auto"/>
              </w:rPr>
            </w:pPr>
          </w:p>
        </w:tc>
        <w:tc>
          <w:tcPr>
            <w:tcW w:w="860" w:type="dxa"/>
            <w:vAlign w:val="bottom"/>
            <w:vMerge w:val="restart"/>
          </w:tcPr>
          <w:p>
            <w:pPr>
              <w:jc w:val="right"/>
              <w:ind w:right="244"/>
              <w:spacing w:after="0"/>
              <w:rPr>
                <w:sz w:val="20"/>
                <w:szCs w:val="20"/>
                <w:color w:val="auto"/>
              </w:rPr>
            </w:pPr>
            <w:r>
              <w:rPr>
                <w:rFonts w:ascii="Arial" w:cs="Arial" w:eastAsia="Arial" w:hAnsi="Arial"/>
                <w:sz w:val="15"/>
                <w:szCs w:val="15"/>
                <w:b w:val="1"/>
                <w:bCs w:val="1"/>
                <w:color w:val="auto"/>
              </w:rPr>
              <w:t>Bonus</w:t>
            </w:r>
          </w:p>
        </w:tc>
        <w:tc>
          <w:tcPr>
            <w:tcW w:w="280" w:type="dxa"/>
            <w:vAlign w:val="bottom"/>
          </w:tcPr>
          <w:p>
            <w:pPr>
              <w:spacing w:after="0"/>
              <w:rPr>
                <w:sz w:val="15"/>
                <w:szCs w:val="15"/>
                <w:color w:val="auto"/>
              </w:rPr>
            </w:pPr>
          </w:p>
        </w:tc>
        <w:tc>
          <w:tcPr>
            <w:tcW w:w="1080" w:type="dxa"/>
            <w:vAlign w:val="bottom"/>
          </w:tcPr>
          <w:p>
            <w:pPr>
              <w:jc w:val="center"/>
              <w:ind w:right="144"/>
              <w:spacing w:after="0"/>
              <w:rPr>
                <w:sz w:val="20"/>
                <w:szCs w:val="20"/>
                <w:color w:val="auto"/>
              </w:rPr>
            </w:pPr>
            <w:r>
              <w:rPr>
                <w:rFonts w:ascii="Arial" w:cs="Arial" w:eastAsia="Arial" w:hAnsi="Arial"/>
                <w:sz w:val="15"/>
                <w:szCs w:val="15"/>
                <w:b w:val="1"/>
                <w:bCs w:val="1"/>
                <w:color w:val="auto"/>
                <w:w w:val="92"/>
              </w:rPr>
              <w:t>Awards</w:t>
            </w:r>
          </w:p>
        </w:tc>
        <w:tc>
          <w:tcPr>
            <w:tcW w:w="240" w:type="dxa"/>
            <w:vAlign w:val="bottom"/>
          </w:tcPr>
          <w:p>
            <w:pPr>
              <w:spacing w:after="0"/>
              <w:rPr>
                <w:sz w:val="15"/>
                <w:szCs w:val="15"/>
                <w:color w:val="auto"/>
              </w:rPr>
            </w:pPr>
          </w:p>
        </w:tc>
        <w:tc>
          <w:tcPr>
            <w:tcW w:w="1180" w:type="dxa"/>
            <w:vAlign w:val="bottom"/>
          </w:tcPr>
          <w:p>
            <w:pPr>
              <w:jc w:val="center"/>
              <w:ind w:right="284"/>
              <w:spacing w:after="0"/>
              <w:rPr>
                <w:sz w:val="20"/>
                <w:szCs w:val="20"/>
                <w:color w:val="auto"/>
              </w:rPr>
            </w:pPr>
            <w:r>
              <w:rPr>
                <w:rFonts w:ascii="Arial" w:cs="Arial" w:eastAsia="Arial" w:hAnsi="Arial"/>
                <w:sz w:val="15"/>
                <w:szCs w:val="15"/>
                <w:b w:val="1"/>
                <w:bCs w:val="1"/>
                <w:color w:val="auto"/>
                <w:w w:val="92"/>
              </w:rPr>
              <w:t>Awards</w:t>
            </w:r>
          </w:p>
        </w:tc>
        <w:tc>
          <w:tcPr>
            <w:tcW w:w="1220" w:type="dxa"/>
            <w:vAlign w:val="bottom"/>
          </w:tcPr>
          <w:p>
            <w:pPr>
              <w:jc w:val="center"/>
              <w:ind w:right="44"/>
              <w:spacing w:after="0"/>
              <w:rPr>
                <w:sz w:val="20"/>
                <w:szCs w:val="20"/>
                <w:color w:val="auto"/>
              </w:rPr>
            </w:pPr>
            <w:r>
              <w:rPr>
                <w:rFonts w:ascii="Arial" w:cs="Arial" w:eastAsia="Arial" w:hAnsi="Arial"/>
                <w:sz w:val="15"/>
                <w:szCs w:val="15"/>
                <w:b w:val="1"/>
                <w:bCs w:val="1"/>
                <w:color w:val="auto"/>
                <w:w w:val="90"/>
              </w:rPr>
              <w:t>Compensation</w:t>
            </w:r>
          </w:p>
        </w:tc>
        <w:tc>
          <w:tcPr>
            <w:tcW w:w="180" w:type="dxa"/>
            <w:vAlign w:val="bottom"/>
          </w:tcPr>
          <w:p>
            <w:pPr>
              <w:spacing w:after="0"/>
              <w:rPr>
                <w:sz w:val="15"/>
                <w:szCs w:val="15"/>
                <w:color w:val="auto"/>
              </w:rPr>
            </w:pPr>
          </w:p>
        </w:tc>
        <w:tc>
          <w:tcPr>
            <w:tcW w:w="1200" w:type="dxa"/>
            <w:vAlign w:val="bottom"/>
          </w:tcPr>
          <w:p>
            <w:pPr>
              <w:jc w:val="center"/>
              <w:ind w:right="64"/>
              <w:spacing w:after="0"/>
              <w:rPr>
                <w:sz w:val="20"/>
                <w:szCs w:val="20"/>
                <w:color w:val="auto"/>
              </w:rPr>
            </w:pPr>
            <w:r>
              <w:rPr>
                <w:rFonts w:ascii="Arial" w:cs="Arial" w:eastAsia="Arial" w:hAnsi="Arial"/>
                <w:sz w:val="15"/>
                <w:szCs w:val="15"/>
                <w:b w:val="1"/>
                <w:bCs w:val="1"/>
                <w:color w:val="auto"/>
                <w:w w:val="90"/>
              </w:rPr>
              <w:t>Compensation</w:t>
            </w:r>
          </w:p>
        </w:tc>
        <w:tc>
          <w:tcPr>
            <w:tcW w:w="340" w:type="dxa"/>
            <w:vAlign w:val="bottom"/>
          </w:tcPr>
          <w:p>
            <w:pPr>
              <w:spacing w:after="0"/>
              <w:rPr>
                <w:sz w:val="15"/>
                <w:szCs w:val="15"/>
                <w:color w:val="auto"/>
              </w:rPr>
            </w:pPr>
          </w:p>
        </w:tc>
        <w:tc>
          <w:tcPr>
            <w:tcW w:w="1100" w:type="dxa"/>
            <w:vAlign w:val="bottom"/>
          </w:tcPr>
          <w:p>
            <w:pPr>
              <w:jc w:val="right"/>
              <w:ind w:right="46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30"/>
        </w:trPr>
        <w:tc>
          <w:tcPr>
            <w:tcW w:w="1620" w:type="dxa"/>
            <w:vAlign w:val="bottom"/>
            <w:vMerge w:val="restart"/>
          </w:tcPr>
          <w:p>
            <w:pPr>
              <w:ind w:left="540"/>
              <w:spacing w:after="0"/>
              <w:rPr>
                <w:sz w:val="20"/>
                <w:szCs w:val="20"/>
                <w:color w:val="auto"/>
              </w:rPr>
            </w:pPr>
            <w:r>
              <w:rPr>
                <w:rFonts w:ascii="Arial" w:cs="Arial" w:eastAsia="Arial" w:hAnsi="Arial"/>
                <w:sz w:val="15"/>
                <w:szCs w:val="15"/>
                <w:b w:val="1"/>
                <w:bCs w:val="1"/>
                <w:color w:val="auto"/>
              </w:rPr>
              <w:t>Position</w:t>
            </w:r>
          </w:p>
        </w:tc>
        <w:tc>
          <w:tcPr>
            <w:tcW w:w="54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Year</w:t>
            </w:r>
          </w:p>
        </w:tc>
        <w:tc>
          <w:tcPr>
            <w:tcW w:w="240" w:type="dxa"/>
            <w:vAlign w:val="bottom"/>
          </w:tcPr>
          <w:p>
            <w:pPr>
              <w:spacing w:after="0"/>
              <w:rPr>
                <w:sz w:val="2"/>
                <w:szCs w:val="2"/>
                <w:color w:val="auto"/>
              </w:rPr>
            </w:pPr>
          </w:p>
        </w:tc>
        <w:tc>
          <w:tcPr>
            <w:tcW w:w="940" w:type="dxa"/>
            <w:vAlign w:val="bottom"/>
            <w:vMerge w:val="restart"/>
          </w:tcPr>
          <w:p>
            <w:pPr>
              <w:jc w:val="right"/>
              <w:ind w:right="404"/>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vMerge w:val="restart"/>
          </w:tcPr>
          <w:p>
            <w:pPr>
              <w:jc w:val="center"/>
              <w:ind w:right="164"/>
              <w:spacing w:after="0"/>
              <w:rPr>
                <w:sz w:val="20"/>
                <w:szCs w:val="20"/>
                <w:color w:val="auto"/>
              </w:rPr>
            </w:pPr>
            <w:r>
              <w:rPr>
                <w:rFonts w:ascii="Arial" w:cs="Arial" w:eastAsia="Arial" w:hAnsi="Arial"/>
                <w:sz w:val="15"/>
                <w:szCs w:val="15"/>
                <w:b w:val="1"/>
                <w:bCs w:val="1"/>
                <w:color w:val="auto"/>
                <w:w w:val="82"/>
              </w:rPr>
              <w:t>($)</w:t>
            </w:r>
            <w:r>
              <w:rPr>
                <w:rFonts w:ascii="Arial" w:cs="Arial" w:eastAsia="Arial" w:hAnsi="Arial"/>
                <w:sz w:val="19"/>
                <w:szCs w:val="19"/>
                <w:b w:val="1"/>
                <w:bCs w:val="1"/>
                <w:color w:val="auto"/>
                <w:w w:val="82"/>
                <w:vertAlign w:val="superscript"/>
              </w:rPr>
              <w:t>(2)</w:t>
            </w:r>
          </w:p>
        </w:tc>
        <w:tc>
          <w:tcPr>
            <w:tcW w:w="240" w:type="dxa"/>
            <w:vAlign w:val="bottom"/>
          </w:tcPr>
          <w:p>
            <w:pPr>
              <w:spacing w:after="0"/>
              <w:rPr>
                <w:sz w:val="2"/>
                <w:szCs w:val="2"/>
                <w:color w:val="auto"/>
              </w:rPr>
            </w:pPr>
          </w:p>
        </w:tc>
        <w:tc>
          <w:tcPr>
            <w:tcW w:w="1180" w:type="dxa"/>
            <w:vAlign w:val="bottom"/>
            <w:vMerge w:val="restart"/>
          </w:tcPr>
          <w:p>
            <w:pPr>
              <w:jc w:val="center"/>
              <w:ind w:right="284"/>
              <w:spacing w:after="0"/>
              <w:rPr>
                <w:sz w:val="20"/>
                <w:szCs w:val="20"/>
                <w:color w:val="auto"/>
              </w:rPr>
            </w:pPr>
            <w:r>
              <w:rPr>
                <w:rFonts w:ascii="Arial" w:cs="Arial" w:eastAsia="Arial" w:hAnsi="Arial"/>
                <w:sz w:val="15"/>
                <w:szCs w:val="15"/>
                <w:b w:val="1"/>
                <w:bCs w:val="1"/>
                <w:color w:val="auto"/>
                <w:w w:val="88"/>
              </w:rPr>
              <w:t>($)</w:t>
            </w:r>
            <w:r>
              <w:rPr>
                <w:rFonts w:ascii="Arial" w:cs="Arial" w:eastAsia="Arial" w:hAnsi="Arial"/>
                <w:sz w:val="19"/>
                <w:szCs w:val="19"/>
                <w:b w:val="1"/>
                <w:bCs w:val="1"/>
                <w:color w:val="auto"/>
                <w:w w:val="88"/>
                <w:vertAlign w:val="superscript"/>
              </w:rPr>
              <w:t>(2)</w:t>
            </w:r>
          </w:p>
        </w:tc>
        <w:tc>
          <w:tcPr>
            <w:tcW w:w="1220" w:type="dxa"/>
            <w:vAlign w:val="bottom"/>
            <w:vMerge w:val="restart"/>
          </w:tcPr>
          <w:p>
            <w:pPr>
              <w:jc w:val="center"/>
              <w:ind w:right="44"/>
              <w:spacing w:after="0"/>
              <w:rPr>
                <w:sz w:val="20"/>
                <w:szCs w:val="20"/>
                <w:color w:val="auto"/>
              </w:rPr>
            </w:pPr>
            <w:r>
              <w:rPr>
                <w:rFonts w:ascii="Arial" w:cs="Arial" w:eastAsia="Arial" w:hAnsi="Arial"/>
                <w:sz w:val="15"/>
                <w:szCs w:val="15"/>
                <w:b w:val="1"/>
                <w:bCs w:val="1"/>
                <w:color w:val="auto"/>
                <w:w w:val="88"/>
              </w:rPr>
              <w:t>($)</w:t>
            </w:r>
            <w:r>
              <w:rPr>
                <w:rFonts w:ascii="Arial" w:cs="Arial" w:eastAsia="Arial" w:hAnsi="Arial"/>
                <w:sz w:val="19"/>
                <w:szCs w:val="19"/>
                <w:b w:val="1"/>
                <w:bCs w:val="1"/>
                <w:color w:val="auto"/>
                <w:w w:val="88"/>
                <w:vertAlign w:val="superscript"/>
              </w:rPr>
              <w:t>(3)</w:t>
            </w:r>
          </w:p>
        </w:tc>
        <w:tc>
          <w:tcPr>
            <w:tcW w:w="180" w:type="dxa"/>
            <w:vAlign w:val="bottom"/>
          </w:tcPr>
          <w:p>
            <w:pPr>
              <w:spacing w:after="0"/>
              <w:rPr>
                <w:sz w:val="2"/>
                <w:szCs w:val="2"/>
                <w:color w:val="auto"/>
              </w:rPr>
            </w:pPr>
          </w:p>
        </w:tc>
        <w:tc>
          <w:tcPr>
            <w:tcW w:w="1200" w:type="dxa"/>
            <w:vAlign w:val="bottom"/>
            <w:vMerge w:val="restart"/>
          </w:tcPr>
          <w:p>
            <w:pPr>
              <w:jc w:val="center"/>
              <w:ind w:right="64"/>
              <w:spacing w:after="0"/>
              <w:rPr>
                <w:sz w:val="20"/>
                <w:szCs w:val="20"/>
                <w:color w:val="auto"/>
              </w:rPr>
            </w:pPr>
            <w:r>
              <w:rPr>
                <w:rFonts w:ascii="Arial" w:cs="Arial" w:eastAsia="Arial" w:hAnsi="Arial"/>
                <w:sz w:val="15"/>
                <w:szCs w:val="15"/>
                <w:b w:val="1"/>
                <w:bCs w:val="1"/>
                <w:color w:val="auto"/>
                <w:w w:val="88"/>
              </w:rPr>
              <w:t>($)</w:t>
            </w:r>
            <w:r>
              <w:rPr>
                <w:rFonts w:ascii="Arial" w:cs="Arial" w:eastAsia="Arial" w:hAnsi="Arial"/>
                <w:sz w:val="19"/>
                <w:szCs w:val="19"/>
                <w:b w:val="1"/>
                <w:bCs w:val="1"/>
                <w:color w:val="auto"/>
                <w:w w:val="88"/>
                <w:vertAlign w:val="superscript"/>
              </w:rPr>
              <w:t>(4)</w:t>
            </w:r>
          </w:p>
        </w:tc>
        <w:tc>
          <w:tcPr>
            <w:tcW w:w="340" w:type="dxa"/>
            <w:vAlign w:val="bottom"/>
          </w:tcPr>
          <w:p>
            <w:pPr>
              <w:spacing w:after="0"/>
              <w:rPr>
                <w:sz w:val="2"/>
                <w:szCs w:val="2"/>
                <w:color w:val="auto"/>
              </w:rPr>
            </w:pPr>
          </w:p>
        </w:tc>
        <w:tc>
          <w:tcPr>
            <w:tcW w:w="1100" w:type="dxa"/>
            <w:vAlign w:val="bottom"/>
            <w:vMerge w:val="restart"/>
          </w:tcPr>
          <w:p>
            <w:pPr>
              <w:jc w:val="right"/>
              <w:ind w:right="54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line="20" w:lineRule="exact"/>
              <w:rPr>
                <w:sz w:val="1"/>
                <w:szCs w:val="1"/>
                <w:color w:val="auto"/>
              </w:rPr>
            </w:pPr>
          </w:p>
        </w:tc>
      </w:tr>
      <w:tr>
        <w:trPr>
          <w:trHeight w:val="198"/>
        </w:trPr>
        <w:tc>
          <w:tcPr>
            <w:tcW w:w="162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4"/>
              <w:spacing w:after="0" w:line="195"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19"/>
                <w:szCs w:val="19"/>
                <w:b w:val="1"/>
                <w:bCs w:val="1"/>
                <w:color w:val="auto"/>
                <w:vertAlign w:val="superscript"/>
              </w:rPr>
              <w:t>(1)</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620" w:type="dxa"/>
            <w:vAlign w:val="bottom"/>
            <w:shd w:val="clear" w:color="auto" w:fill="BFE4FF"/>
          </w:tcPr>
          <w:p>
            <w:pPr>
              <w:spacing w:after="0"/>
              <w:rPr>
                <w:sz w:val="20"/>
                <w:szCs w:val="20"/>
                <w:color w:val="auto"/>
              </w:rPr>
            </w:pPr>
            <w:r>
              <w:rPr>
                <w:rFonts w:ascii="Arial" w:cs="Arial" w:eastAsia="Arial" w:hAnsi="Arial"/>
                <w:sz w:val="15"/>
                <w:szCs w:val="15"/>
                <w:color w:val="auto"/>
              </w:rPr>
              <w:t>Robert Lisy</w:t>
            </w:r>
          </w:p>
        </w:tc>
        <w:tc>
          <w:tcPr>
            <w:tcW w:w="540" w:type="dxa"/>
            <w:vAlign w:val="bottom"/>
            <w:shd w:val="clear" w:color="auto" w:fill="BFE4FF"/>
          </w:tcPr>
          <w:p>
            <w:pPr>
              <w:ind w:left="120"/>
              <w:spacing w:after="0"/>
              <w:rPr>
                <w:sz w:val="20"/>
                <w:szCs w:val="20"/>
                <w:color w:val="auto"/>
              </w:rPr>
            </w:pPr>
            <w:r>
              <w:rPr>
                <w:rFonts w:ascii="Arial" w:cs="Arial" w:eastAsia="Arial" w:hAnsi="Arial"/>
                <w:sz w:val="15"/>
                <w:szCs w:val="15"/>
                <w:color w:val="auto"/>
              </w:rPr>
              <w:t>2021</w:t>
            </w:r>
          </w:p>
        </w:tc>
        <w:tc>
          <w:tcPr>
            <w:tcW w:w="240" w:type="dxa"/>
            <w:vAlign w:val="bottom"/>
            <w:shd w:val="clear" w:color="auto" w:fill="BFE4FF"/>
          </w:tcPr>
          <w:p>
            <w:pPr>
              <w:jc w:val="right"/>
              <w:ind w:right="64"/>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BFE4FF"/>
          </w:tcPr>
          <w:p>
            <w:pPr>
              <w:jc w:val="right"/>
              <w:spacing w:after="0"/>
              <w:rPr>
                <w:sz w:val="20"/>
                <w:szCs w:val="20"/>
                <w:color w:val="auto"/>
              </w:rPr>
            </w:pPr>
            <w:r>
              <w:rPr>
                <w:rFonts w:ascii="Arial" w:cs="Arial" w:eastAsia="Arial" w:hAnsi="Arial"/>
                <w:sz w:val="15"/>
                <w:szCs w:val="15"/>
                <w:color w:val="auto"/>
              </w:rPr>
              <w:t>1,000,000</w:t>
            </w:r>
          </w:p>
        </w:tc>
        <w:tc>
          <w:tcPr>
            <w:tcW w:w="240" w:type="dxa"/>
            <w:vAlign w:val="bottom"/>
            <w:shd w:val="clear" w:color="auto" w:fill="BFE4FF"/>
          </w:tcPr>
          <w:p>
            <w:pPr>
              <w:jc w:val="right"/>
              <w:ind w:right="44"/>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BFE4FF"/>
          </w:tcPr>
          <w:p>
            <w:pPr>
              <w:jc w:val="right"/>
              <w:ind w:right="84"/>
              <w:spacing w:after="0"/>
              <w:rPr>
                <w:sz w:val="20"/>
                <w:szCs w:val="20"/>
                <w:color w:val="auto"/>
              </w:rPr>
            </w:pPr>
            <w:r>
              <w:rPr>
                <w:rFonts w:ascii="Arial" w:cs="Arial" w:eastAsia="Arial" w:hAnsi="Arial"/>
                <w:sz w:val="15"/>
                <w:szCs w:val="15"/>
                <w:color w:val="auto"/>
              </w:rPr>
              <w:t>— $</w:t>
            </w:r>
          </w:p>
        </w:tc>
        <w:tc>
          <w:tcPr>
            <w:tcW w:w="1080" w:type="dxa"/>
            <w:vAlign w:val="bottom"/>
            <w:shd w:val="clear" w:color="auto" w:fill="BFE4FF"/>
          </w:tcPr>
          <w:p>
            <w:pPr>
              <w:jc w:val="right"/>
              <w:spacing w:after="0"/>
              <w:rPr>
                <w:sz w:val="20"/>
                <w:szCs w:val="20"/>
                <w:color w:val="auto"/>
              </w:rPr>
            </w:pPr>
            <w:r>
              <w:rPr>
                <w:rFonts w:ascii="Arial" w:cs="Arial" w:eastAsia="Arial" w:hAnsi="Arial"/>
                <w:sz w:val="15"/>
                <w:szCs w:val="15"/>
                <w:color w:val="auto"/>
              </w:rPr>
              <w:t>2,500,013</w:t>
            </w:r>
          </w:p>
        </w:tc>
        <w:tc>
          <w:tcPr>
            <w:tcW w:w="240" w:type="dxa"/>
            <w:vAlign w:val="bottom"/>
            <w:shd w:val="clear" w:color="auto" w:fill="BFE4FF"/>
          </w:tcPr>
          <w:p>
            <w:pPr>
              <w:jc w:val="right"/>
              <w:ind w:right="44"/>
              <w:spacing w:after="0"/>
              <w:rPr>
                <w:sz w:val="20"/>
                <w:szCs w:val="20"/>
                <w:color w:val="auto"/>
              </w:rPr>
            </w:pPr>
            <w:r>
              <w:rPr>
                <w:rFonts w:ascii="Arial" w:cs="Arial" w:eastAsia="Arial" w:hAnsi="Arial"/>
                <w:sz w:val="15"/>
                <w:szCs w:val="15"/>
                <w:color w:val="auto"/>
              </w:rPr>
              <w:t>$</w:t>
            </w:r>
          </w:p>
        </w:tc>
        <w:tc>
          <w:tcPr>
            <w:tcW w:w="1180" w:type="dxa"/>
            <w:vAlign w:val="bottom"/>
            <w:shd w:val="clear" w:color="auto" w:fill="BFE4FF"/>
          </w:tcPr>
          <w:p>
            <w:pPr>
              <w:jc w:val="right"/>
              <w:spacing w:after="0"/>
              <w:rPr>
                <w:sz w:val="20"/>
                <w:szCs w:val="20"/>
                <w:color w:val="auto"/>
              </w:rPr>
            </w:pPr>
            <w:r>
              <w:rPr>
                <w:rFonts w:ascii="Arial" w:cs="Arial" w:eastAsia="Arial" w:hAnsi="Arial"/>
                <w:sz w:val="15"/>
                <w:szCs w:val="15"/>
                <w:color w:val="auto"/>
              </w:rPr>
              <w:t>— $</w:t>
            </w:r>
          </w:p>
        </w:tc>
        <w:tc>
          <w:tcPr>
            <w:tcW w:w="1220" w:type="dxa"/>
            <w:vAlign w:val="bottom"/>
            <w:shd w:val="clear" w:color="auto" w:fill="BFE4FF"/>
          </w:tcPr>
          <w:p>
            <w:pPr>
              <w:jc w:val="right"/>
              <w:spacing w:after="0"/>
              <w:rPr>
                <w:sz w:val="20"/>
                <w:szCs w:val="20"/>
                <w:color w:val="auto"/>
              </w:rPr>
            </w:pPr>
            <w:r>
              <w:rPr>
                <w:rFonts w:ascii="Arial" w:cs="Arial" w:eastAsia="Arial" w:hAnsi="Arial"/>
                <w:sz w:val="15"/>
                <w:szCs w:val="15"/>
                <w:color w:val="auto"/>
              </w:rPr>
              <w:t>1,500,000</w:t>
            </w:r>
          </w:p>
        </w:tc>
        <w:tc>
          <w:tcPr>
            <w:tcW w:w="180" w:type="dxa"/>
            <w:vAlign w:val="bottom"/>
            <w:shd w:val="clear" w:color="auto" w:fill="BFE4FF"/>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BFE4FF"/>
          </w:tcPr>
          <w:p>
            <w:pPr>
              <w:jc w:val="right"/>
              <w:spacing w:after="0"/>
              <w:rPr>
                <w:sz w:val="20"/>
                <w:szCs w:val="20"/>
                <w:color w:val="auto"/>
              </w:rPr>
            </w:pPr>
            <w:r>
              <w:rPr>
                <w:rFonts w:ascii="Arial" w:cs="Arial" w:eastAsia="Arial" w:hAnsi="Arial"/>
                <w:sz w:val="15"/>
                <w:szCs w:val="15"/>
                <w:color w:val="auto"/>
              </w:rPr>
              <w:t>4,447</w:t>
            </w:r>
          </w:p>
        </w:tc>
        <w:tc>
          <w:tcPr>
            <w:tcW w:w="340" w:type="dxa"/>
            <w:vAlign w:val="bottom"/>
            <w:shd w:val="clear" w:color="auto" w:fill="BFE4FF"/>
          </w:tcPr>
          <w:p>
            <w:pPr>
              <w:jc w:val="right"/>
              <w:ind w:right="144"/>
              <w:spacing w:after="0"/>
              <w:rPr>
                <w:sz w:val="20"/>
                <w:szCs w:val="20"/>
                <w:color w:val="auto"/>
              </w:rPr>
            </w:pPr>
            <w:r>
              <w:rPr>
                <w:rFonts w:ascii="Arial" w:cs="Arial" w:eastAsia="Arial" w:hAnsi="Arial"/>
                <w:sz w:val="15"/>
                <w:szCs w:val="15"/>
                <w:color w:val="auto"/>
              </w:rPr>
              <w:t>$</w:t>
            </w:r>
          </w:p>
        </w:tc>
        <w:tc>
          <w:tcPr>
            <w:tcW w:w="1100" w:type="dxa"/>
            <w:vAlign w:val="bottom"/>
            <w:shd w:val="clear" w:color="auto" w:fill="BFE4FF"/>
          </w:tcPr>
          <w:p>
            <w:pPr>
              <w:jc w:val="right"/>
              <w:ind w:right="4"/>
              <w:spacing w:after="0"/>
              <w:rPr>
                <w:sz w:val="20"/>
                <w:szCs w:val="20"/>
                <w:color w:val="auto"/>
              </w:rPr>
            </w:pPr>
            <w:r>
              <w:rPr>
                <w:rFonts w:ascii="Arial" w:cs="Arial" w:eastAsia="Arial" w:hAnsi="Arial"/>
                <w:sz w:val="15"/>
                <w:szCs w:val="15"/>
                <w:color w:val="auto"/>
              </w:rPr>
              <w:t>5,004,460</w:t>
            </w:r>
          </w:p>
        </w:tc>
        <w:tc>
          <w:tcPr>
            <w:tcW w:w="0" w:type="dxa"/>
            <w:vAlign w:val="bottom"/>
          </w:tcPr>
          <w:p>
            <w:pPr>
              <w:spacing w:after="0"/>
              <w:rPr>
                <w:sz w:val="1"/>
                <w:szCs w:val="1"/>
                <w:color w:val="auto"/>
              </w:rPr>
            </w:pPr>
          </w:p>
        </w:tc>
      </w:tr>
      <w:tr>
        <w:trPr>
          <w:trHeight w:val="149"/>
        </w:trPr>
        <w:tc>
          <w:tcPr>
            <w:tcW w:w="1620" w:type="dxa"/>
            <w:vAlign w:val="bottom"/>
            <w:shd w:val="clear" w:color="auto" w:fill="BFE4FF"/>
          </w:tcPr>
          <w:p>
            <w:pPr>
              <w:spacing w:after="0" w:line="149" w:lineRule="exact"/>
              <w:rPr>
                <w:sz w:val="20"/>
                <w:szCs w:val="20"/>
                <w:color w:val="auto"/>
              </w:rPr>
            </w:pPr>
            <w:r>
              <w:rPr>
                <w:rFonts w:ascii="Arial" w:cs="Arial" w:eastAsia="Arial" w:hAnsi="Arial"/>
                <w:sz w:val="15"/>
                <w:szCs w:val="15"/>
                <w:i w:val="1"/>
                <w:iCs w:val="1"/>
                <w:color w:val="auto"/>
              </w:rPr>
              <w:t>Chief Executive Officer</w:t>
            </w:r>
          </w:p>
        </w:tc>
        <w:tc>
          <w:tcPr>
            <w:tcW w:w="540" w:type="dxa"/>
            <w:vAlign w:val="bottom"/>
            <w:vMerge w:val="restart"/>
            <w:shd w:val="clear" w:color="auto" w:fill="BFE4FF"/>
          </w:tcPr>
          <w:p>
            <w:pPr>
              <w:ind w:left="120"/>
              <w:spacing w:after="0"/>
              <w:rPr>
                <w:sz w:val="20"/>
                <w:szCs w:val="20"/>
                <w:color w:val="auto"/>
              </w:rPr>
            </w:pPr>
            <w:r>
              <w:rPr>
                <w:rFonts w:ascii="Arial" w:cs="Arial" w:eastAsia="Arial" w:hAnsi="Arial"/>
                <w:sz w:val="15"/>
                <w:szCs w:val="15"/>
                <w:color w:val="auto"/>
              </w:rPr>
              <w:t>2020</w:t>
            </w:r>
          </w:p>
        </w:tc>
        <w:tc>
          <w:tcPr>
            <w:tcW w:w="240" w:type="dxa"/>
            <w:vAlign w:val="bottom"/>
            <w:vMerge w:val="restart"/>
            <w:shd w:val="clear" w:color="auto" w:fill="BFE4FF"/>
          </w:tcPr>
          <w:p>
            <w:pPr>
              <w:jc w:val="right"/>
              <w:ind w:right="64"/>
              <w:spacing w:after="0"/>
              <w:rPr>
                <w:sz w:val="20"/>
                <w:szCs w:val="20"/>
                <w:color w:val="auto"/>
              </w:rPr>
            </w:pPr>
            <w:r>
              <w:rPr>
                <w:rFonts w:ascii="Arial" w:cs="Arial" w:eastAsia="Arial" w:hAnsi="Arial"/>
                <w:sz w:val="15"/>
                <w:szCs w:val="15"/>
                <w:color w:val="auto"/>
                <w:w w:val="95"/>
              </w:rPr>
              <w:t>$</w:t>
            </w:r>
          </w:p>
        </w:tc>
        <w:tc>
          <w:tcPr>
            <w:tcW w:w="940" w:type="dxa"/>
            <w:vAlign w:val="bottom"/>
            <w:vMerge w:val="restart"/>
            <w:shd w:val="clear" w:color="auto" w:fill="BFE4FF"/>
          </w:tcPr>
          <w:p>
            <w:pPr>
              <w:jc w:val="right"/>
              <w:spacing w:after="0"/>
              <w:rPr>
                <w:sz w:val="20"/>
                <w:szCs w:val="20"/>
                <w:color w:val="auto"/>
              </w:rPr>
            </w:pPr>
            <w:r>
              <w:rPr>
                <w:rFonts w:ascii="Arial" w:cs="Arial" w:eastAsia="Arial" w:hAnsi="Arial"/>
                <w:sz w:val="15"/>
                <w:szCs w:val="15"/>
                <w:color w:val="auto"/>
              </w:rPr>
              <w:t>752,885</w:t>
            </w:r>
          </w:p>
        </w:tc>
        <w:tc>
          <w:tcPr>
            <w:tcW w:w="240" w:type="dxa"/>
            <w:vAlign w:val="bottom"/>
            <w:vMerge w:val="restart"/>
            <w:shd w:val="clear" w:color="auto" w:fill="BFE4FF"/>
          </w:tcPr>
          <w:p>
            <w:pPr>
              <w:jc w:val="right"/>
              <w:ind w:right="44"/>
              <w:spacing w:after="0"/>
              <w:rPr>
                <w:sz w:val="20"/>
                <w:szCs w:val="20"/>
                <w:color w:val="auto"/>
              </w:rPr>
            </w:pPr>
            <w:r>
              <w:rPr>
                <w:rFonts w:ascii="Arial" w:cs="Arial" w:eastAsia="Arial" w:hAnsi="Arial"/>
                <w:sz w:val="15"/>
                <w:szCs w:val="15"/>
                <w:color w:val="auto"/>
              </w:rPr>
              <w:t>$</w:t>
            </w:r>
          </w:p>
        </w:tc>
        <w:tc>
          <w:tcPr>
            <w:tcW w:w="1140" w:type="dxa"/>
            <w:vAlign w:val="bottom"/>
            <w:gridSpan w:val="2"/>
            <w:vMerge w:val="restart"/>
            <w:shd w:val="clear" w:color="auto" w:fill="BFE4FF"/>
          </w:tcPr>
          <w:p>
            <w:pPr>
              <w:jc w:val="right"/>
              <w:ind w:right="84"/>
              <w:spacing w:after="0"/>
              <w:rPr>
                <w:sz w:val="20"/>
                <w:szCs w:val="20"/>
                <w:color w:val="auto"/>
              </w:rPr>
            </w:pPr>
            <w:r>
              <w:rPr>
                <w:rFonts w:ascii="Arial" w:cs="Arial" w:eastAsia="Arial" w:hAnsi="Arial"/>
                <w:sz w:val="15"/>
                <w:szCs w:val="15"/>
                <w:color w:val="auto"/>
              </w:rPr>
              <w:t>— $</w:t>
            </w:r>
          </w:p>
        </w:tc>
        <w:tc>
          <w:tcPr>
            <w:tcW w:w="1320" w:type="dxa"/>
            <w:vAlign w:val="bottom"/>
            <w:gridSpan w:val="2"/>
            <w:vMerge w:val="restart"/>
            <w:shd w:val="clear" w:color="auto" w:fill="BFE4FF"/>
          </w:tcPr>
          <w:p>
            <w:pPr>
              <w:jc w:val="right"/>
              <w:ind w:right="44"/>
              <w:spacing w:after="0"/>
              <w:rPr>
                <w:sz w:val="20"/>
                <w:szCs w:val="20"/>
                <w:color w:val="auto"/>
              </w:rPr>
            </w:pPr>
            <w:r>
              <w:rPr>
                <w:rFonts w:ascii="Arial" w:cs="Arial" w:eastAsia="Arial" w:hAnsi="Arial"/>
                <w:sz w:val="15"/>
                <w:szCs w:val="15"/>
                <w:color w:val="auto"/>
              </w:rPr>
              <w:t>— $</w:t>
            </w:r>
          </w:p>
        </w:tc>
        <w:tc>
          <w:tcPr>
            <w:tcW w:w="1180" w:type="dxa"/>
            <w:vAlign w:val="bottom"/>
            <w:vMerge w:val="restart"/>
            <w:shd w:val="clear" w:color="auto" w:fill="BFE4FF"/>
          </w:tcPr>
          <w:p>
            <w:pPr>
              <w:jc w:val="right"/>
              <w:spacing w:after="0"/>
              <w:rPr>
                <w:sz w:val="20"/>
                <w:szCs w:val="20"/>
                <w:color w:val="auto"/>
              </w:rPr>
            </w:pPr>
            <w:r>
              <w:rPr>
                <w:rFonts w:ascii="Arial" w:cs="Arial" w:eastAsia="Arial" w:hAnsi="Arial"/>
                <w:sz w:val="15"/>
                <w:szCs w:val="15"/>
                <w:color w:val="auto"/>
              </w:rPr>
              <w:t>— $</w:t>
            </w:r>
          </w:p>
        </w:tc>
        <w:tc>
          <w:tcPr>
            <w:tcW w:w="1220" w:type="dxa"/>
            <w:vAlign w:val="bottom"/>
            <w:vMerge w:val="restart"/>
            <w:shd w:val="clear" w:color="auto" w:fill="BFE4FF"/>
          </w:tcPr>
          <w:p>
            <w:pPr>
              <w:jc w:val="right"/>
              <w:spacing w:after="0"/>
              <w:rPr>
                <w:sz w:val="20"/>
                <w:szCs w:val="20"/>
                <w:color w:val="auto"/>
              </w:rPr>
            </w:pPr>
            <w:r>
              <w:rPr>
                <w:rFonts w:ascii="Arial" w:cs="Arial" w:eastAsia="Arial" w:hAnsi="Arial"/>
                <w:sz w:val="15"/>
                <w:szCs w:val="15"/>
                <w:color w:val="auto"/>
              </w:rPr>
              <w:t>463,733</w:t>
            </w:r>
          </w:p>
        </w:tc>
        <w:tc>
          <w:tcPr>
            <w:tcW w:w="180" w:type="dxa"/>
            <w:vAlign w:val="bottom"/>
            <w:vMerge w:val="restart"/>
            <w:shd w:val="clear" w:color="auto" w:fill="BFE4FF"/>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vMerge w:val="restart"/>
            <w:shd w:val="clear" w:color="auto" w:fill="BFE4FF"/>
          </w:tcPr>
          <w:p>
            <w:pPr>
              <w:jc w:val="right"/>
              <w:spacing w:after="0"/>
              <w:rPr>
                <w:sz w:val="20"/>
                <w:szCs w:val="20"/>
                <w:color w:val="auto"/>
              </w:rPr>
            </w:pPr>
            <w:r>
              <w:rPr>
                <w:rFonts w:ascii="Arial" w:cs="Arial" w:eastAsia="Arial" w:hAnsi="Arial"/>
                <w:sz w:val="15"/>
                <w:szCs w:val="15"/>
                <w:color w:val="auto"/>
              </w:rPr>
              <w:t>88,579</w:t>
            </w:r>
          </w:p>
        </w:tc>
        <w:tc>
          <w:tcPr>
            <w:tcW w:w="340" w:type="dxa"/>
            <w:vAlign w:val="bottom"/>
            <w:vMerge w:val="restart"/>
            <w:shd w:val="clear" w:color="auto" w:fill="BFE4FF"/>
          </w:tcPr>
          <w:p>
            <w:pPr>
              <w:jc w:val="right"/>
              <w:ind w:right="144"/>
              <w:spacing w:after="0"/>
              <w:rPr>
                <w:sz w:val="20"/>
                <w:szCs w:val="20"/>
                <w:color w:val="auto"/>
              </w:rPr>
            </w:pPr>
            <w:r>
              <w:rPr>
                <w:rFonts w:ascii="Arial" w:cs="Arial" w:eastAsia="Arial" w:hAnsi="Arial"/>
                <w:sz w:val="15"/>
                <w:szCs w:val="15"/>
                <w:color w:val="auto"/>
              </w:rPr>
              <w:t>$</w:t>
            </w:r>
          </w:p>
        </w:tc>
        <w:tc>
          <w:tcPr>
            <w:tcW w:w="1100" w:type="dxa"/>
            <w:vAlign w:val="bottom"/>
            <w:vMerge w:val="restart"/>
            <w:shd w:val="clear" w:color="auto" w:fill="BFE4FF"/>
          </w:tcPr>
          <w:p>
            <w:pPr>
              <w:jc w:val="right"/>
              <w:ind w:right="4"/>
              <w:spacing w:after="0"/>
              <w:rPr>
                <w:sz w:val="20"/>
                <w:szCs w:val="20"/>
                <w:color w:val="auto"/>
              </w:rPr>
            </w:pPr>
            <w:r>
              <w:rPr>
                <w:rFonts w:ascii="Arial" w:cs="Arial" w:eastAsia="Arial" w:hAnsi="Arial"/>
                <w:sz w:val="15"/>
                <w:szCs w:val="15"/>
                <w:color w:val="auto"/>
              </w:rPr>
              <w:t>1,305,197</w:t>
            </w:r>
          </w:p>
        </w:tc>
        <w:tc>
          <w:tcPr>
            <w:tcW w:w="0" w:type="dxa"/>
            <w:vAlign w:val="bottom"/>
          </w:tcPr>
          <w:p>
            <w:pPr>
              <w:spacing w:after="0"/>
              <w:rPr>
                <w:sz w:val="1"/>
                <w:szCs w:val="1"/>
                <w:color w:val="auto"/>
              </w:rPr>
            </w:pPr>
          </w:p>
        </w:tc>
      </w:tr>
      <w:tr>
        <w:trPr>
          <w:trHeight w:val="206"/>
        </w:trPr>
        <w:tc>
          <w:tcPr>
            <w:tcW w:w="1620" w:type="dxa"/>
            <w:vAlign w:val="bottom"/>
            <w:shd w:val="clear" w:color="auto" w:fill="BFE4FF"/>
          </w:tcPr>
          <w:p>
            <w:pPr>
              <w:spacing w:after="0"/>
              <w:rPr>
                <w:sz w:val="20"/>
                <w:szCs w:val="20"/>
                <w:color w:val="auto"/>
              </w:rPr>
            </w:pPr>
            <w:r>
              <w:rPr>
                <w:rFonts w:ascii="Arial" w:cs="Arial" w:eastAsia="Arial" w:hAnsi="Arial"/>
                <w:sz w:val="15"/>
                <w:szCs w:val="15"/>
                <w:i w:val="1"/>
                <w:iCs w:val="1"/>
                <w:color w:val="auto"/>
              </w:rPr>
              <w:t>and President</w:t>
            </w:r>
          </w:p>
        </w:tc>
        <w:tc>
          <w:tcPr>
            <w:tcW w:w="540" w:type="dxa"/>
            <w:vAlign w:val="bottom"/>
            <w:vMerge w:val="continue"/>
            <w:shd w:val="clear" w:color="auto" w:fill="BFE4FF"/>
          </w:tcPr>
          <w:p>
            <w:pPr>
              <w:spacing w:after="0"/>
              <w:rPr>
                <w:sz w:val="17"/>
                <w:szCs w:val="17"/>
                <w:color w:val="auto"/>
              </w:rPr>
            </w:pPr>
          </w:p>
        </w:tc>
        <w:tc>
          <w:tcPr>
            <w:tcW w:w="240" w:type="dxa"/>
            <w:vAlign w:val="bottom"/>
            <w:vMerge w:val="continue"/>
            <w:shd w:val="clear" w:color="auto" w:fill="BFE4FF"/>
          </w:tcPr>
          <w:p>
            <w:pPr>
              <w:spacing w:after="0"/>
              <w:rPr>
                <w:sz w:val="17"/>
                <w:szCs w:val="17"/>
                <w:color w:val="auto"/>
              </w:rPr>
            </w:pPr>
          </w:p>
        </w:tc>
        <w:tc>
          <w:tcPr>
            <w:tcW w:w="940" w:type="dxa"/>
            <w:vAlign w:val="bottom"/>
            <w:vMerge w:val="continue"/>
            <w:shd w:val="clear" w:color="auto" w:fill="BFE4FF"/>
          </w:tcPr>
          <w:p>
            <w:pPr>
              <w:spacing w:after="0"/>
              <w:rPr>
                <w:sz w:val="17"/>
                <w:szCs w:val="17"/>
                <w:color w:val="auto"/>
              </w:rPr>
            </w:pPr>
          </w:p>
        </w:tc>
        <w:tc>
          <w:tcPr>
            <w:tcW w:w="240" w:type="dxa"/>
            <w:vAlign w:val="bottom"/>
            <w:vMerge w:val="continue"/>
            <w:shd w:val="clear" w:color="auto" w:fill="BFE4FF"/>
          </w:tcPr>
          <w:p>
            <w:pPr>
              <w:spacing w:after="0"/>
              <w:rPr>
                <w:sz w:val="17"/>
                <w:szCs w:val="17"/>
                <w:color w:val="auto"/>
              </w:rPr>
            </w:pPr>
          </w:p>
        </w:tc>
        <w:tc>
          <w:tcPr>
            <w:tcW w:w="1140" w:type="dxa"/>
            <w:vAlign w:val="bottom"/>
            <w:gridSpan w:val="2"/>
            <w:vMerge w:val="continue"/>
            <w:shd w:val="clear" w:color="auto" w:fill="BFE4FF"/>
          </w:tcPr>
          <w:p>
            <w:pPr>
              <w:spacing w:after="0"/>
              <w:rPr>
                <w:sz w:val="17"/>
                <w:szCs w:val="17"/>
                <w:color w:val="auto"/>
              </w:rPr>
            </w:pPr>
          </w:p>
        </w:tc>
        <w:tc>
          <w:tcPr>
            <w:tcW w:w="1320" w:type="dxa"/>
            <w:vAlign w:val="bottom"/>
            <w:gridSpan w:val="2"/>
            <w:vMerge w:val="continue"/>
            <w:shd w:val="clear" w:color="auto" w:fill="BFE4FF"/>
          </w:tcPr>
          <w:p>
            <w:pPr>
              <w:spacing w:after="0"/>
              <w:rPr>
                <w:sz w:val="17"/>
                <w:szCs w:val="17"/>
                <w:color w:val="auto"/>
              </w:rPr>
            </w:pPr>
          </w:p>
        </w:tc>
        <w:tc>
          <w:tcPr>
            <w:tcW w:w="1180" w:type="dxa"/>
            <w:vAlign w:val="bottom"/>
            <w:vMerge w:val="continue"/>
            <w:shd w:val="clear" w:color="auto" w:fill="BFE4FF"/>
          </w:tcPr>
          <w:p>
            <w:pPr>
              <w:spacing w:after="0"/>
              <w:rPr>
                <w:sz w:val="17"/>
                <w:szCs w:val="17"/>
                <w:color w:val="auto"/>
              </w:rPr>
            </w:pPr>
          </w:p>
        </w:tc>
        <w:tc>
          <w:tcPr>
            <w:tcW w:w="1220" w:type="dxa"/>
            <w:vAlign w:val="bottom"/>
            <w:vMerge w:val="continue"/>
            <w:shd w:val="clear" w:color="auto" w:fill="BFE4FF"/>
          </w:tcPr>
          <w:p>
            <w:pPr>
              <w:spacing w:after="0"/>
              <w:rPr>
                <w:sz w:val="17"/>
                <w:szCs w:val="17"/>
                <w:color w:val="auto"/>
              </w:rPr>
            </w:pPr>
          </w:p>
        </w:tc>
        <w:tc>
          <w:tcPr>
            <w:tcW w:w="180" w:type="dxa"/>
            <w:vAlign w:val="bottom"/>
            <w:vMerge w:val="continue"/>
            <w:shd w:val="clear" w:color="auto" w:fill="BFE4FF"/>
          </w:tcPr>
          <w:p>
            <w:pPr>
              <w:spacing w:after="0"/>
              <w:rPr>
                <w:sz w:val="17"/>
                <w:szCs w:val="17"/>
                <w:color w:val="auto"/>
              </w:rPr>
            </w:pPr>
          </w:p>
        </w:tc>
        <w:tc>
          <w:tcPr>
            <w:tcW w:w="1200" w:type="dxa"/>
            <w:vAlign w:val="bottom"/>
            <w:vMerge w:val="continue"/>
            <w:shd w:val="clear" w:color="auto" w:fill="BFE4FF"/>
          </w:tcPr>
          <w:p>
            <w:pPr>
              <w:spacing w:after="0"/>
              <w:rPr>
                <w:sz w:val="17"/>
                <w:szCs w:val="17"/>
                <w:color w:val="auto"/>
              </w:rPr>
            </w:pPr>
          </w:p>
        </w:tc>
        <w:tc>
          <w:tcPr>
            <w:tcW w:w="340" w:type="dxa"/>
            <w:vAlign w:val="bottom"/>
            <w:vMerge w:val="continue"/>
            <w:shd w:val="clear" w:color="auto" w:fill="BFE4FF"/>
          </w:tcPr>
          <w:p>
            <w:pPr>
              <w:spacing w:after="0"/>
              <w:rPr>
                <w:sz w:val="17"/>
                <w:szCs w:val="17"/>
                <w:color w:val="auto"/>
              </w:rPr>
            </w:pPr>
          </w:p>
        </w:tc>
        <w:tc>
          <w:tcPr>
            <w:tcW w:w="1100" w:type="dxa"/>
            <w:vAlign w:val="bottom"/>
            <w:vMerge w:val="continue"/>
            <w:shd w:val="clear" w:color="auto" w:fill="BFE4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line="196" w:lineRule="exact"/>
              <w:rPr>
                <w:sz w:val="20"/>
                <w:szCs w:val="20"/>
                <w:color w:val="auto"/>
              </w:rPr>
            </w:pPr>
            <w:r>
              <w:rPr>
                <w:rFonts w:ascii="Arial" w:cs="Arial" w:eastAsia="Arial" w:hAnsi="Arial"/>
                <w:sz w:val="15"/>
                <w:szCs w:val="15"/>
                <w:color w:val="auto"/>
              </w:rPr>
              <w:t xml:space="preserve">Andras Bende </w:t>
            </w:r>
            <w:r>
              <w:rPr>
                <w:rFonts w:ascii="Arial" w:cs="Arial" w:eastAsia="Arial" w:hAnsi="Arial"/>
                <w:sz w:val="19"/>
                <w:szCs w:val="19"/>
                <w:color w:val="auto"/>
                <w:vertAlign w:val="superscript"/>
              </w:rPr>
              <w:t>(5)</w:t>
            </w:r>
          </w:p>
        </w:tc>
        <w:tc>
          <w:tcPr>
            <w:tcW w:w="540" w:type="dxa"/>
            <w:vAlign w:val="bottom"/>
          </w:tcPr>
          <w:p>
            <w:pPr>
              <w:ind w:left="120"/>
              <w:spacing w:after="0"/>
              <w:rPr>
                <w:sz w:val="20"/>
                <w:szCs w:val="20"/>
                <w:color w:val="auto"/>
              </w:rPr>
            </w:pPr>
            <w:r>
              <w:rPr>
                <w:rFonts w:ascii="Arial" w:cs="Arial" w:eastAsia="Arial" w:hAnsi="Arial"/>
                <w:sz w:val="15"/>
                <w:szCs w:val="15"/>
                <w:color w:val="auto"/>
              </w:rPr>
              <w:t>2021</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425,000</w:t>
            </w:r>
          </w:p>
        </w:tc>
        <w:tc>
          <w:tcPr>
            <w:tcW w:w="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55,000</w:t>
            </w:r>
          </w:p>
        </w:tc>
        <w:tc>
          <w:tcPr>
            <w:tcW w:w="2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524,290</w:t>
            </w:r>
          </w:p>
        </w:tc>
        <w:tc>
          <w:tcPr>
            <w:tcW w:w="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 $</w:t>
            </w:r>
          </w:p>
        </w:tc>
        <w:tc>
          <w:tcPr>
            <w:tcW w:w="1220" w:type="dxa"/>
            <w:vAlign w:val="bottom"/>
          </w:tcPr>
          <w:p>
            <w:pPr>
              <w:jc w:val="right"/>
              <w:spacing w:after="0"/>
              <w:rPr>
                <w:sz w:val="20"/>
                <w:szCs w:val="20"/>
                <w:color w:val="auto"/>
              </w:rPr>
            </w:pPr>
            <w:r>
              <w:rPr>
                <w:rFonts w:ascii="Arial" w:cs="Arial" w:eastAsia="Arial" w:hAnsi="Arial"/>
                <w:sz w:val="15"/>
                <w:szCs w:val="15"/>
                <w:color w:val="auto"/>
              </w:rPr>
              <w:t>233,750</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540" w:type="dxa"/>
            <w:vAlign w:val="bottom"/>
            <w:gridSpan w:val="2"/>
          </w:tcPr>
          <w:p>
            <w:pPr>
              <w:jc w:val="right"/>
              <w:ind w:right="144"/>
              <w:spacing w:after="0"/>
              <w:rPr>
                <w:sz w:val="20"/>
                <w:szCs w:val="20"/>
                <w:color w:val="auto"/>
              </w:rPr>
            </w:pPr>
            <w:r>
              <w:rPr>
                <w:rFonts w:ascii="Arial" w:cs="Arial" w:eastAsia="Arial" w:hAnsi="Arial"/>
                <w:sz w:val="15"/>
                <w:szCs w:val="15"/>
                <w:color w:val="auto"/>
              </w:rPr>
              <w:t>— $</w:t>
            </w: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1,238,040</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r>
              <w:rPr>
                <w:rFonts w:ascii="Arial" w:cs="Arial" w:eastAsia="Arial" w:hAnsi="Arial"/>
                <w:sz w:val="15"/>
                <w:szCs w:val="15"/>
                <w:i w:val="1"/>
                <w:iCs w:val="1"/>
                <w:color w:val="auto"/>
              </w:rPr>
              <w:t>Chief Financial Officer</w:t>
            </w:r>
          </w:p>
        </w:tc>
        <w:tc>
          <w:tcPr>
            <w:tcW w:w="540" w:type="dxa"/>
            <w:vAlign w:val="bottom"/>
          </w:tcPr>
          <w:p>
            <w:pPr>
              <w:ind w:left="120"/>
              <w:spacing w:after="0"/>
              <w:rPr>
                <w:sz w:val="20"/>
                <w:szCs w:val="20"/>
                <w:color w:val="auto"/>
              </w:rPr>
            </w:pPr>
            <w:r>
              <w:rPr>
                <w:rFonts w:ascii="Arial" w:cs="Arial" w:eastAsia="Arial" w:hAnsi="Arial"/>
                <w:sz w:val="15"/>
                <w:szCs w:val="15"/>
                <w:color w:val="auto"/>
              </w:rPr>
              <w:t>2020</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24,519</w:t>
            </w:r>
          </w:p>
        </w:tc>
        <w:tc>
          <w:tcPr>
            <w:tcW w:w="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14,200</w:t>
            </w:r>
          </w:p>
        </w:tc>
        <w:tc>
          <w:tcPr>
            <w:tcW w:w="2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320" w:type="dxa"/>
            <w:vAlign w:val="bottom"/>
            <w:gridSpan w:val="2"/>
          </w:tcPr>
          <w:p>
            <w:pPr>
              <w:jc w:val="right"/>
              <w:ind w:right="44"/>
              <w:spacing w:after="0"/>
              <w:rPr>
                <w:sz w:val="20"/>
                <w:szCs w:val="20"/>
                <w:color w:val="auto"/>
              </w:rPr>
            </w:pPr>
            <w:r>
              <w:rPr>
                <w:rFonts w:ascii="Arial" w:cs="Arial" w:eastAsia="Arial" w:hAnsi="Arial"/>
                <w:sz w:val="15"/>
                <w:szCs w:val="15"/>
                <w:color w:val="auto"/>
              </w:rPr>
              <w:t>— $</w:t>
            </w:r>
          </w:p>
        </w:tc>
        <w:tc>
          <w:tcPr>
            <w:tcW w:w="1180" w:type="dxa"/>
            <w:vAlign w:val="bottom"/>
          </w:tcPr>
          <w:p>
            <w:pPr>
              <w:jc w:val="right"/>
              <w:spacing w:after="0"/>
              <w:rPr>
                <w:sz w:val="20"/>
                <w:szCs w:val="20"/>
                <w:color w:val="auto"/>
              </w:rPr>
            </w:pPr>
            <w:r>
              <w:rPr>
                <w:rFonts w:ascii="Arial" w:cs="Arial" w:eastAsia="Arial" w:hAnsi="Arial"/>
                <w:sz w:val="15"/>
                <w:szCs w:val="15"/>
                <w:color w:val="auto"/>
              </w:rPr>
              <w:t>— $</w:t>
            </w:r>
          </w:p>
        </w:tc>
        <w:tc>
          <w:tcPr>
            <w:tcW w:w="1400" w:type="dxa"/>
            <w:vAlign w:val="bottom"/>
            <w:gridSpan w:val="2"/>
          </w:tcPr>
          <w:p>
            <w:pPr>
              <w:jc w:val="right"/>
              <w:ind w:right="4"/>
              <w:spacing w:after="0"/>
              <w:rPr>
                <w:sz w:val="20"/>
                <w:szCs w:val="20"/>
                <w:color w:val="auto"/>
              </w:rPr>
            </w:pPr>
            <w:r>
              <w:rPr>
                <w:rFonts w:ascii="Arial" w:cs="Arial" w:eastAsia="Arial" w:hAnsi="Arial"/>
                <w:sz w:val="15"/>
                <w:szCs w:val="15"/>
                <w:color w:val="auto"/>
              </w:rPr>
              <w:t>— $</w:t>
            </w:r>
          </w:p>
        </w:tc>
        <w:tc>
          <w:tcPr>
            <w:tcW w:w="1200" w:type="dxa"/>
            <w:vAlign w:val="bottom"/>
          </w:tcPr>
          <w:p>
            <w:pPr>
              <w:jc w:val="right"/>
              <w:spacing w:after="0"/>
              <w:rPr>
                <w:sz w:val="20"/>
                <w:szCs w:val="20"/>
                <w:color w:val="auto"/>
              </w:rPr>
            </w:pPr>
            <w:r>
              <w:rPr>
                <w:rFonts w:ascii="Arial" w:cs="Arial" w:eastAsia="Arial" w:hAnsi="Arial"/>
                <w:sz w:val="15"/>
                <w:szCs w:val="15"/>
                <w:color w:val="auto"/>
              </w:rPr>
              <w:t>125,000</w:t>
            </w:r>
          </w:p>
        </w:tc>
        <w:tc>
          <w:tcPr>
            <w:tcW w:w="3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163,719</w:t>
            </w:r>
          </w:p>
        </w:tc>
        <w:tc>
          <w:tcPr>
            <w:tcW w:w="0" w:type="dxa"/>
            <w:vAlign w:val="bottom"/>
          </w:tcPr>
          <w:p>
            <w:pPr>
              <w:spacing w:after="0"/>
              <w:rPr>
                <w:sz w:val="1"/>
                <w:szCs w:val="1"/>
                <w:color w:val="auto"/>
              </w:rPr>
            </w:pPr>
          </w:p>
        </w:tc>
      </w:tr>
      <w:tr>
        <w:trPr>
          <w:trHeight w:val="202"/>
        </w:trPr>
        <w:tc>
          <w:tcPr>
            <w:tcW w:w="1620" w:type="dxa"/>
            <w:vAlign w:val="bottom"/>
            <w:shd w:val="clear" w:color="auto" w:fill="BFE4FF"/>
          </w:tcPr>
          <w:p>
            <w:pPr>
              <w:spacing w:after="0"/>
              <w:rPr>
                <w:sz w:val="20"/>
                <w:szCs w:val="20"/>
                <w:color w:val="auto"/>
              </w:rPr>
            </w:pPr>
            <w:r>
              <w:rPr>
                <w:rFonts w:ascii="Arial" w:cs="Arial" w:eastAsia="Arial" w:hAnsi="Arial"/>
                <w:sz w:val="15"/>
                <w:szCs w:val="15"/>
                <w:color w:val="auto"/>
              </w:rPr>
              <w:t>Joseph Aguilar</w:t>
            </w:r>
          </w:p>
        </w:tc>
        <w:tc>
          <w:tcPr>
            <w:tcW w:w="540" w:type="dxa"/>
            <w:vAlign w:val="bottom"/>
            <w:shd w:val="clear" w:color="auto" w:fill="BFE4FF"/>
          </w:tcPr>
          <w:p>
            <w:pPr>
              <w:ind w:left="120"/>
              <w:spacing w:after="0"/>
              <w:rPr>
                <w:sz w:val="20"/>
                <w:szCs w:val="20"/>
                <w:color w:val="auto"/>
              </w:rPr>
            </w:pPr>
            <w:r>
              <w:rPr>
                <w:rFonts w:ascii="Arial" w:cs="Arial" w:eastAsia="Arial" w:hAnsi="Arial"/>
                <w:sz w:val="15"/>
                <w:szCs w:val="15"/>
                <w:color w:val="auto"/>
              </w:rPr>
              <w:t>2021</w:t>
            </w:r>
          </w:p>
        </w:tc>
        <w:tc>
          <w:tcPr>
            <w:tcW w:w="240" w:type="dxa"/>
            <w:vAlign w:val="bottom"/>
            <w:shd w:val="clear" w:color="auto" w:fill="BFE4FF"/>
          </w:tcPr>
          <w:p>
            <w:pPr>
              <w:jc w:val="right"/>
              <w:ind w:right="64"/>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BFE4FF"/>
          </w:tcPr>
          <w:p>
            <w:pPr>
              <w:jc w:val="right"/>
              <w:spacing w:after="0"/>
              <w:rPr>
                <w:sz w:val="20"/>
                <w:szCs w:val="20"/>
                <w:color w:val="auto"/>
              </w:rPr>
            </w:pPr>
            <w:r>
              <w:rPr>
                <w:rFonts w:ascii="Arial" w:cs="Arial" w:eastAsia="Arial" w:hAnsi="Arial"/>
                <w:sz w:val="15"/>
                <w:szCs w:val="15"/>
                <w:color w:val="auto"/>
              </w:rPr>
              <w:t>375,000</w:t>
            </w:r>
          </w:p>
        </w:tc>
        <w:tc>
          <w:tcPr>
            <w:tcW w:w="240" w:type="dxa"/>
            <w:vAlign w:val="bottom"/>
            <w:shd w:val="clear" w:color="auto" w:fill="BFE4FF"/>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shd w:val="clear" w:color="auto" w:fill="BFE4FF"/>
          </w:tcPr>
          <w:p>
            <w:pPr>
              <w:jc w:val="right"/>
              <w:spacing w:after="0"/>
              <w:rPr>
                <w:sz w:val="20"/>
                <w:szCs w:val="20"/>
                <w:color w:val="auto"/>
              </w:rPr>
            </w:pPr>
            <w:r>
              <w:rPr>
                <w:rFonts w:ascii="Arial" w:cs="Arial" w:eastAsia="Arial" w:hAnsi="Arial"/>
                <w:sz w:val="15"/>
                <w:szCs w:val="15"/>
                <w:color w:val="auto"/>
              </w:rPr>
              <w:t>55,000</w:t>
            </w:r>
          </w:p>
        </w:tc>
        <w:tc>
          <w:tcPr>
            <w:tcW w:w="280" w:type="dxa"/>
            <w:vAlign w:val="bottom"/>
            <w:shd w:val="clear" w:color="auto" w:fill="BFE4FF"/>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shd w:val="clear" w:color="auto" w:fill="BFE4FF"/>
          </w:tcPr>
          <w:p>
            <w:pPr>
              <w:jc w:val="right"/>
              <w:spacing w:after="0"/>
              <w:rPr>
                <w:sz w:val="20"/>
                <w:szCs w:val="20"/>
                <w:color w:val="auto"/>
              </w:rPr>
            </w:pPr>
            <w:r>
              <w:rPr>
                <w:rFonts w:ascii="Arial" w:cs="Arial" w:eastAsia="Arial" w:hAnsi="Arial"/>
                <w:sz w:val="15"/>
                <w:szCs w:val="15"/>
                <w:color w:val="auto"/>
              </w:rPr>
              <w:t>550,023</w:t>
            </w:r>
          </w:p>
        </w:tc>
        <w:tc>
          <w:tcPr>
            <w:tcW w:w="240" w:type="dxa"/>
            <w:vAlign w:val="bottom"/>
            <w:shd w:val="clear" w:color="auto" w:fill="BFE4FF"/>
          </w:tcPr>
          <w:p>
            <w:pPr>
              <w:jc w:val="right"/>
              <w:ind w:right="44"/>
              <w:spacing w:after="0"/>
              <w:rPr>
                <w:sz w:val="20"/>
                <w:szCs w:val="20"/>
                <w:color w:val="auto"/>
              </w:rPr>
            </w:pPr>
            <w:r>
              <w:rPr>
                <w:rFonts w:ascii="Arial" w:cs="Arial" w:eastAsia="Arial" w:hAnsi="Arial"/>
                <w:sz w:val="15"/>
                <w:szCs w:val="15"/>
                <w:color w:val="auto"/>
              </w:rPr>
              <w:t>$</w:t>
            </w:r>
          </w:p>
        </w:tc>
        <w:tc>
          <w:tcPr>
            <w:tcW w:w="1180" w:type="dxa"/>
            <w:vAlign w:val="bottom"/>
            <w:shd w:val="clear" w:color="auto" w:fill="BFE4FF"/>
          </w:tcPr>
          <w:p>
            <w:pPr>
              <w:jc w:val="right"/>
              <w:spacing w:after="0"/>
              <w:rPr>
                <w:sz w:val="20"/>
                <w:szCs w:val="20"/>
                <w:color w:val="auto"/>
              </w:rPr>
            </w:pPr>
            <w:r>
              <w:rPr>
                <w:rFonts w:ascii="Arial" w:cs="Arial" w:eastAsia="Arial" w:hAnsi="Arial"/>
                <w:sz w:val="15"/>
                <w:szCs w:val="15"/>
                <w:color w:val="auto"/>
              </w:rPr>
              <w:t>— $</w:t>
            </w:r>
          </w:p>
        </w:tc>
        <w:tc>
          <w:tcPr>
            <w:tcW w:w="1220" w:type="dxa"/>
            <w:vAlign w:val="bottom"/>
            <w:shd w:val="clear" w:color="auto" w:fill="BFE4FF"/>
          </w:tcPr>
          <w:p>
            <w:pPr>
              <w:jc w:val="right"/>
              <w:spacing w:after="0"/>
              <w:rPr>
                <w:sz w:val="20"/>
                <w:szCs w:val="20"/>
                <w:color w:val="auto"/>
              </w:rPr>
            </w:pPr>
            <w:r>
              <w:rPr>
                <w:rFonts w:ascii="Arial" w:cs="Arial" w:eastAsia="Arial" w:hAnsi="Arial"/>
                <w:sz w:val="15"/>
                <w:szCs w:val="15"/>
                <w:color w:val="auto"/>
              </w:rPr>
              <w:t>254,813</w:t>
            </w:r>
          </w:p>
        </w:tc>
        <w:tc>
          <w:tcPr>
            <w:tcW w:w="180" w:type="dxa"/>
            <w:vAlign w:val="bottom"/>
            <w:shd w:val="clear" w:color="auto" w:fill="BFE4FF"/>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BFE4FF"/>
          </w:tcPr>
          <w:p>
            <w:pPr>
              <w:jc w:val="right"/>
              <w:spacing w:after="0"/>
              <w:rPr>
                <w:sz w:val="20"/>
                <w:szCs w:val="20"/>
                <w:color w:val="auto"/>
              </w:rPr>
            </w:pPr>
            <w:r>
              <w:rPr>
                <w:rFonts w:ascii="Arial" w:cs="Arial" w:eastAsia="Arial" w:hAnsi="Arial"/>
                <w:sz w:val="15"/>
                <w:szCs w:val="15"/>
                <w:color w:val="auto"/>
              </w:rPr>
              <w:t>1,632</w:t>
            </w:r>
          </w:p>
        </w:tc>
        <w:tc>
          <w:tcPr>
            <w:tcW w:w="340" w:type="dxa"/>
            <w:vAlign w:val="bottom"/>
            <w:shd w:val="clear" w:color="auto" w:fill="BFE4FF"/>
          </w:tcPr>
          <w:p>
            <w:pPr>
              <w:jc w:val="right"/>
              <w:ind w:right="144"/>
              <w:spacing w:after="0"/>
              <w:rPr>
                <w:sz w:val="20"/>
                <w:szCs w:val="20"/>
                <w:color w:val="auto"/>
              </w:rPr>
            </w:pPr>
            <w:r>
              <w:rPr>
                <w:rFonts w:ascii="Arial" w:cs="Arial" w:eastAsia="Arial" w:hAnsi="Arial"/>
                <w:sz w:val="15"/>
                <w:szCs w:val="15"/>
                <w:color w:val="auto"/>
              </w:rPr>
              <w:t>$</w:t>
            </w:r>
          </w:p>
        </w:tc>
        <w:tc>
          <w:tcPr>
            <w:tcW w:w="1100" w:type="dxa"/>
            <w:vAlign w:val="bottom"/>
            <w:shd w:val="clear" w:color="auto" w:fill="BFE4FF"/>
          </w:tcPr>
          <w:p>
            <w:pPr>
              <w:jc w:val="right"/>
              <w:ind w:right="4"/>
              <w:spacing w:after="0"/>
              <w:rPr>
                <w:sz w:val="20"/>
                <w:szCs w:val="20"/>
                <w:color w:val="auto"/>
              </w:rPr>
            </w:pPr>
            <w:r>
              <w:rPr>
                <w:rFonts w:ascii="Arial" w:cs="Arial" w:eastAsia="Arial" w:hAnsi="Arial"/>
                <w:sz w:val="15"/>
                <w:szCs w:val="15"/>
                <w:color w:val="auto"/>
              </w:rPr>
              <w:t>1,236,468</w:t>
            </w:r>
          </w:p>
        </w:tc>
        <w:tc>
          <w:tcPr>
            <w:tcW w:w="0" w:type="dxa"/>
            <w:vAlign w:val="bottom"/>
          </w:tcPr>
          <w:p>
            <w:pPr>
              <w:spacing w:after="0"/>
              <w:rPr>
                <w:sz w:val="1"/>
                <w:szCs w:val="1"/>
                <w:color w:val="auto"/>
              </w:rPr>
            </w:pPr>
          </w:p>
        </w:tc>
      </w:tr>
      <w:tr>
        <w:trPr>
          <w:trHeight w:val="240"/>
        </w:trPr>
        <w:tc>
          <w:tcPr>
            <w:tcW w:w="1620" w:type="dxa"/>
            <w:vAlign w:val="bottom"/>
            <w:shd w:val="clear" w:color="auto" w:fill="BFE4FF"/>
          </w:tcPr>
          <w:p>
            <w:pPr>
              <w:spacing w:after="0"/>
              <w:rPr>
                <w:sz w:val="20"/>
                <w:szCs w:val="20"/>
                <w:color w:val="auto"/>
              </w:rPr>
            </w:pPr>
            <w:r>
              <w:rPr>
                <w:rFonts w:ascii="Arial" w:cs="Arial" w:eastAsia="Arial" w:hAnsi="Arial"/>
                <w:sz w:val="15"/>
                <w:szCs w:val="15"/>
                <w:i w:val="1"/>
                <w:iCs w:val="1"/>
                <w:color w:val="auto"/>
              </w:rPr>
              <w:t>Chief Operating Officer</w:t>
            </w:r>
          </w:p>
        </w:tc>
        <w:tc>
          <w:tcPr>
            <w:tcW w:w="540" w:type="dxa"/>
            <w:vAlign w:val="bottom"/>
            <w:shd w:val="clear" w:color="auto" w:fill="BFE4FF"/>
          </w:tcPr>
          <w:p>
            <w:pPr>
              <w:ind w:left="120"/>
              <w:spacing w:after="0"/>
              <w:rPr>
                <w:sz w:val="20"/>
                <w:szCs w:val="20"/>
                <w:color w:val="auto"/>
              </w:rPr>
            </w:pPr>
            <w:r>
              <w:rPr>
                <w:rFonts w:ascii="Arial" w:cs="Arial" w:eastAsia="Arial" w:hAnsi="Arial"/>
                <w:sz w:val="15"/>
                <w:szCs w:val="15"/>
                <w:color w:val="auto"/>
              </w:rPr>
              <w:t>2020</w:t>
            </w:r>
          </w:p>
        </w:tc>
        <w:tc>
          <w:tcPr>
            <w:tcW w:w="240" w:type="dxa"/>
            <w:vAlign w:val="bottom"/>
            <w:shd w:val="clear" w:color="auto" w:fill="BFE4FF"/>
          </w:tcPr>
          <w:p>
            <w:pPr>
              <w:jc w:val="right"/>
              <w:ind w:right="64"/>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BFE4FF"/>
          </w:tcPr>
          <w:p>
            <w:pPr>
              <w:jc w:val="right"/>
              <w:spacing w:after="0"/>
              <w:rPr>
                <w:sz w:val="20"/>
                <w:szCs w:val="20"/>
                <w:color w:val="auto"/>
              </w:rPr>
            </w:pPr>
            <w:r>
              <w:rPr>
                <w:rFonts w:ascii="Arial" w:cs="Arial" w:eastAsia="Arial" w:hAnsi="Arial"/>
                <w:sz w:val="15"/>
                <w:szCs w:val="15"/>
                <w:color w:val="auto"/>
              </w:rPr>
              <w:t>327,115</w:t>
            </w:r>
          </w:p>
        </w:tc>
        <w:tc>
          <w:tcPr>
            <w:tcW w:w="240" w:type="dxa"/>
            <w:vAlign w:val="bottom"/>
            <w:shd w:val="clear" w:color="auto" w:fill="BFE4FF"/>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shd w:val="clear" w:color="auto" w:fill="BFE4FF"/>
          </w:tcPr>
          <w:p>
            <w:pPr>
              <w:jc w:val="right"/>
              <w:spacing w:after="0"/>
              <w:rPr>
                <w:sz w:val="20"/>
                <w:szCs w:val="20"/>
                <w:color w:val="auto"/>
              </w:rPr>
            </w:pPr>
            <w:r>
              <w:rPr>
                <w:rFonts w:ascii="Arial" w:cs="Arial" w:eastAsia="Arial" w:hAnsi="Arial"/>
                <w:sz w:val="15"/>
                <w:szCs w:val="15"/>
                <w:color w:val="auto"/>
              </w:rPr>
              <w:t>29,000</w:t>
            </w:r>
          </w:p>
        </w:tc>
        <w:tc>
          <w:tcPr>
            <w:tcW w:w="280" w:type="dxa"/>
            <w:vAlign w:val="bottom"/>
            <w:shd w:val="clear" w:color="auto" w:fill="BFE4FF"/>
          </w:tcPr>
          <w:p>
            <w:pPr>
              <w:jc w:val="right"/>
              <w:ind w:right="84"/>
              <w:spacing w:after="0"/>
              <w:rPr>
                <w:sz w:val="20"/>
                <w:szCs w:val="20"/>
                <w:color w:val="auto"/>
              </w:rPr>
            </w:pPr>
            <w:r>
              <w:rPr>
                <w:rFonts w:ascii="Arial" w:cs="Arial" w:eastAsia="Arial" w:hAnsi="Arial"/>
                <w:sz w:val="15"/>
                <w:szCs w:val="15"/>
                <w:color w:val="auto"/>
              </w:rPr>
              <w:t>$</w:t>
            </w:r>
          </w:p>
        </w:tc>
        <w:tc>
          <w:tcPr>
            <w:tcW w:w="1320" w:type="dxa"/>
            <w:vAlign w:val="bottom"/>
            <w:gridSpan w:val="2"/>
            <w:shd w:val="clear" w:color="auto" w:fill="BFE4FF"/>
          </w:tcPr>
          <w:p>
            <w:pPr>
              <w:jc w:val="right"/>
              <w:ind w:right="44"/>
              <w:spacing w:after="0"/>
              <w:rPr>
                <w:sz w:val="20"/>
                <w:szCs w:val="20"/>
                <w:color w:val="auto"/>
              </w:rPr>
            </w:pPr>
            <w:r>
              <w:rPr>
                <w:rFonts w:ascii="Arial" w:cs="Arial" w:eastAsia="Arial" w:hAnsi="Arial"/>
                <w:sz w:val="15"/>
                <w:szCs w:val="15"/>
                <w:color w:val="auto"/>
              </w:rPr>
              <w:t>— $</w:t>
            </w:r>
          </w:p>
        </w:tc>
        <w:tc>
          <w:tcPr>
            <w:tcW w:w="1180" w:type="dxa"/>
            <w:vAlign w:val="bottom"/>
            <w:shd w:val="clear" w:color="auto" w:fill="BFE4FF"/>
          </w:tcPr>
          <w:p>
            <w:pPr>
              <w:jc w:val="right"/>
              <w:spacing w:after="0"/>
              <w:rPr>
                <w:sz w:val="20"/>
                <w:szCs w:val="20"/>
                <w:color w:val="auto"/>
              </w:rPr>
            </w:pPr>
            <w:r>
              <w:rPr>
                <w:rFonts w:ascii="Arial" w:cs="Arial" w:eastAsia="Arial" w:hAnsi="Arial"/>
                <w:sz w:val="15"/>
                <w:szCs w:val="15"/>
                <w:color w:val="auto"/>
              </w:rPr>
              <w:t>713,605 $</w:t>
            </w:r>
          </w:p>
        </w:tc>
        <w:tc>
          <w:tcPr>
            <w:tcW w:w="1220" w:type="dxa"/>
            <w:vAlign w:val="bottom"/>
            <w:shd w:val="clear" w:color="auto" w:fill="BFE4FF"/>
          </w:tcPr>
          <w:p>
            <w:pPr>
              <w:jc w:val="right"/>
              <w:spacing w:after="0"/>
              <w:rPr>
                <w:sz w:val="20"/>
                <w:szCs w:val="20"/>
                <w:color w:val="auto"/>
              </w:rPr>
            </w:pPr>
            <w:r>
              <w:rPr>
                <w:rFonts w:ascii="Arial" w:cs="Arial" w:eastAsia="Arial" w:hAnsi="Arial"/>
                <w:sz w:val="15"/>
                <w:szCs w:val="15"/>
                <w:color w:val="auto"/>
              </w:rPr>
              <w:t>121,895</w:t>
            </w:r>
          </w:p>
        </w:tc>
        <w:tc>
          <w:tcPr>
            <w:tcW w:w="180" w:type="dxa"/>
            <w:vAlign w:val="bottom"/>
            <w:shd w:val="clear" w:color="auto" w:fill="BFE4FF"/>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BFE4FF"/>
          </w:tcPr>
          <w:p>
            <w:pPr>
              <w:jc w:val="right"/>
              <w:spacing w:after="0"/>
              <w:rPr>
                <w:sz w:val="20"/>
                <w:szCs w:val="20"/>
                <w:color w:val="auto"/>
              </w:rPr>
            </w:pPr>
            <w:r>
              <w:rPr>
                <w:rFonts w:ascii="Arial" w:cs="Arial" w:eastAsia="Arial" w:hAnsi="Arial"/>
                <w:sz w:val="15"/>
                <w:szCs w:val="15"/>
                <w:color w:val="auto"/>
              </w:rPr>
              <w:t>39,000</w:t>
            </w:r>
          </w:p>
        </w:tc>
        <w:tc>
          <w:tcPr>
            <w:tcW w:w="340" w:type="dxa"/>
            <w:vAlign w:val="bottom"/>
            <w:shd w:val="clear" w:color="auto" w:fill="BFE4FF"/>
          </w:tcPr>
          <w:p>
            <w:pPr>
              <w:jc w:val="right"/>
              <w:ind w:right="144"/>
              <w:spacing w:after="0"/>
              <w:rPr>
                <w:sz w:val="20"/>
                <w:szCs w:val="20"/>
                <w:color w:val="auto"/>
              </w:rPr>
            </w:pPr>
            <w:r>
              <w:rPr>
                <w:rFonts w:ascii="Arial" w:cs="Arial" w:eastAsia="Arial" w:hAnsi="Arial"/>
                <w:sz w:val="15"/>
                <w:szCs w:val="15"/>
                <w:color w:val="auto"/>
              </w:rPr>
              <w:t>$</w:t>
            </w:r>
          </w:p>
        </w:tc>
        <w:tc>
          <w:tcPr>
            <w:tcW w:w="1100" w:type="dxa"/>
            <w:vAlign w:val="bottom"/>
            <w:shd w:val="clear" w:color="auto" w:fill="BFE4FF"/>
          </w:tcPr>
          <w:p>
            <w:pPr>
              <w:jc w:val="right"/>
              <w:ind w:right="4"/>
              <w:spacing w:after="0"/>
              <w:rPr>
                <w:sz w:val="20"/>
                <w:szCs w:val="20"/>
                <w:color w:val="auto"/>
              </w:rPr>
            </w:pPr>
            <w:r>
              <w:rPr>
                <w:rFonts w:ascii="Arial" w:cs="Arial" w:eastAsia="Arial" w:hAnsi="Arial"/>
                <w:sz w:val="15"/>
                <w:szCs w:val="15"/>
                <w:color w:val="auto"/>
              </w:rPr>
              <w:t>1,230,615</w:t>
            </w:r>
          </w:p>
        </w:tc>
        <w:tc>
          <w:tcPr>
            <w:tcW w:w="0" w:type="dxa"/>
            <w:vAlign w:val="bottom"/>
          </w:tcPr>
          <w:p>
            <w:pPr>
              <w:spacing w:after="0"/>
              <w:rPr>
                <w:sz w:val="1"/>
                <w:szCs w:val="1"/>
                <w:color w:val="auto"/>
              </w:rPr>
            </w:pPr>
          </w:p>
        </w:tc>
      </w:tr>
      <w:tr>
        <w:trPr>
          <w:trHeight w:val="196"/>
        </w:trPr>
        <w:tc>
          <w:tcPr>
            <w:tcW w:w="1620" w:type="dxa"/>
            <w:vAlign w:val="bottom"/>
          </w:tcPr>
          <w:p>
            <w:pPr>
              <w:spacing w:after="0"/>
              <w:rPr>
                <w:sz w:val="20"/>
                <w:szCs w:val="20"/>
                <w:color w:val="auto"/>
              </w:rPr>
            </w:pPr>
            <w:r>
              <w:rPr>
                <w:rFonts w:ascii="Arial" w:cs="Arial" w:eastAsia="Arial" w:hAnsi="Arial"/>
                <w:sz w:val="15"/>
                <w:szCs w:val="15"/>
                <w:color w:val="auto"/>
              </w:rPr>
              <w:t>Randall D. Nilsen</w:t>
            </w:r>
          </w:p>
        </w:tc>
        <w:tc>
          <w:tcPr>
            <w:tcW w:w="540" w:type="dxa"/>
            <w:vAlign w:val="bottom"/>
          </w:tcPr>
          <w:p>
            <w:pPr>
              <w:ind w:left="120"/>
              <w:spacing w:after="0"/>
              <w:rPr>
                <w:sz w:val="20"/>
                <w:szCs w:val="20"/>
                <w:color w:val="auto"/>
              </w:rPr>
            </w:pPr>
            <w:r>
              <w:rPr>
                <w:rFonts w:ascii="Arial" w:cs="Arial" w:eastAsia="Arial" w:hAnsi="Arial"/>
                <w:sz w:val="15"/>
                <w:szCs w:val="15"/>
                <w:color w:val="auto"/>
              </w:rPr>
              <w:t>2021</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375,000</w:t>
            </w:r>
          </w:p>
        </w:tc>
        <w:tc>
          <w:tcPr>
            <w:tcW w:w="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55,000</w:t>
            </w:r>
          </w:p>
        </w:tc>
        <w:tc>
          <w:tcPr>
            <w:tcW w:w="2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550,023</w:t>
            </w:r>
          </w:p>
        </w:tc>
        <w:tc>
          <w:tcPr>
            <w:tcW w:w="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 $</w:t>
            </w:r>
          </w:p>
        </w:tc>
        <w:tc>
          <w:tcPr>
            <w:tcW w:w="1220" w:type="dxa"/>
            <w:vAlign w:val="bottom"/>
          </w:tcPr>
          <w:p>
            <w:pPr>
              <w:jc w:val="right"/>
              <w:spacing w:after="0"/>
              <w:rPr>
                <w:sz w:val="20"/>
                <w:szCs w:val="20"/>
                <w:color w:val="auto"/>
              </w:rPr>
            </w:pPr>
            <w:r>
              <w:rPr>
                <w:rFonts w:ascii="Arial" w:cs="Arial" w:eastAsia="Arial" w:hAnsi="Arial"/>
                <w:sz w:val="15"/>
                <w:szCs w:val="15"/>
                <w:color w:val="auto"/>
              </w:rPr>
              <w:t>256,207</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13,349</w:t>
            </w:r>
          </w:p>
        </w:tc>
        <w:tc>
          <w:tcPr>
            <w:tcW w:w="3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1,249,579</w:t>
            </w:r>
          </w:p>
        </w:tc>
        <w:tc>
          <w:tcPr>
            <w:tcW w:w="0" w:type="dxa"/>
            <w:vAlign w:val="bottom"/>
          </w:tcPr>
          <w:p>
            <w:pPr>
              <w:spacing w:after="0"/>
              <w:rPr>
                <w:sz w:val="1"/>
                <w:szCs w:val="1"/>
                <w:color w:val="auto"/>
              </w:rPr>
            </w:pPr>
          </w:p>
        </w:tc>
      </w:tr>
      <w:tr>
        <w:trPr>
          <w:trHeight w:val="229"/>
        </w:trPr>
        <w:tc>
          <w:tcPr>
            <w:tcW w:w="1620" w:type="dxa"/>
            <w:vAlign w:val="bottom"/>
          </w:tcPr>
          <w:p>
            <w:pPr>
              <w:spacing w:after="0"/>
              <w:rPr>
                <w:sz w:val="20"/>
                <w:szCs w:val="20"/>
                <w:color w:val="auto"/>
              </w:rPr>
            </w:pPr>
            <w:r>
              <w:rPr>
                <w:rFonts w:ascii="Arial" w:cs="Arial" w:eastAsia="Arial" w:hAnsi="Arial"/>
                <w:sz w:val="15"/>
                <w:szCs w:val="15"/>
                <w:i w:val="1"/>
                <w:iCs w:val="1"/>
                <w:color w:val="auto"/>
              </w:rPr>
              <w:t>Chief Revenue Officer</w:t>
            </w:r>
          </w:p>
        </w:tc>
        <w:tc>
          <w:tcPr>
            <w:tcW w:w="540" w:type="dxa"/>
            <w:vAlign w:val="bottom"/>
          </w:tcPr>
          <w:p>
            <w:pPr>
              <w:ind w:left="120"/>
              <w:spacing w:after="0"/>
              <w:rPr>
                <w:sz w:val="20"/>
                <w:szCs w:val="20"/>
                <w:color w:val="auto"/>
              </w:rPr>
            </w:pPr>
            <w:r>
              <w:rPr>
                <w:rFonts w:ascii="Arial" w:cs="Arial" w:eastAsia="Arial" w:hAnsi="Arial"/>
                <w:sz w:val="15"/>
                <w:szCs w:val="15"/>
                <w:color w:val="auto"/>
              </w:rPr>
              <w:t>2020</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299,269</w:t>
            </w:r>
          </w:p>
        </w:tc>
        <w:tc>
          <w:tcPr>
            <w:tcW w:w="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26,200</w:t>
            </w:r>
          </w:p>
        </w:tc>
        <w:tc>
          <w:tcPr>
            <w:tcW w:w="2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320" w:type="dxa"/>
            <w:vAlign w:val="bottom"/>
            <w:gridSpan w:val="2"/>
          </w:tcPr>
          <w:p>
            <w:pPr>
              <w:jc w:val="right"/>
              <w:ind w:right="44"/>
              <w:spacing w:after="0"/>
              <w:rPr>
                <w:sz w:val="20"/>
                <w:szCs w:val="20"/>
                <w:color w:val="auto"/>
              </w:rPr>
            </w:pPr>
            <w:r>
              <w:rPr>
                <w:rFonts w:ascii="Arial" w:cs="Arial" w:eastAsia="Arial" w:hAnsi="Arial"/>
                <w:sz w:val="15"/>
                <w:szCs w:val="15"/>
                <w:color w:val="auto"/>
              </w:rPr>
              <w:t>— $</w:t>
            </w:r>
          </w:p>
        </w:tc>
        <w:tc>
          <w:tcPr>
            <w:tcW w:w="1180" w:type="dxa"/>
            <w:vAlign w:val="bottom"/>
          </w:tcPr>
          <w:p>
            <w:pPr>
              <w:jc w:val="right"/>
              <w:spacing w:after="0"/>
              <w:rPr>
                <w:sz w:val="20"/>
                <w:szCs w:val="20"/>
                <w:color w:val="auto"/>
              </w:rPr>
            </w:pPr>
            <w:r>
              <w:rPr>
                <w:rFonts w:ascii="Arial" w:cs="Arial" w:eastAsia="Arial" w:hAnsi="Arial"/>
                <w:sz w:val="15"/>
                <w:szCs w:val="15"/>
                <w:color w:val="auto"/>
              </w:rPr>
              <w:t>— $</w:t>
            </w:r>
          </w:p>
        </w:tc>
        <w:tc>
          <w:tcPr>
            <w:tcW w:w="1220" w:type="dxa"/>
            <w:vAlign w:val="bottom"/>
          </w:tcPr>
          <w:p>
            <w:pPr>
              <w:jc w:val="right"/>
              <w:spacing w:after="0"/>
              <w:rPr>
                <w:sz w:val="20"/>
                <w:szCs w:val="20"/>
                <w:color w:val="auto"/>
              </w:rPr>
            </w:pPr>
            <w:r>
              <w:rPr>
                <w:rFonts w:ascii="Arial" w:cs="Arial" w:eastAsia="Arial" w:hAnsi="Arial"/>
                <w:sz w:val="15"/>
                <w:szCs w:val="15"/>
                <w:color w:val="auto"/>
              </w:rPr>
              <w:t>118,078</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15,232</w:t>
            </w:r>
          </w:p>
        </w:tc>
        <w:tc>
          <w:tcPr>
            <w:tcW w:w="3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458,779</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268" w:hanging="268"/>
        <w:spacing w:after="0" w:line="285" w:lineRule="auto"/>
        <w:tabs>
          <w:tab w:leader="none" w:pos="263" w:val="left"/>
        </w:tabs>
        <w:numPr>
          <w:ilvl w:val="0"/>
          <w:numId w:val="27"/>
        </w:numPr>
        <w:rPr>
          <w:rFonts w:ascii="Arial" w:cs="Arial" w:eastAsia="Arial" w:hAnsi="Arial"/>
          <w:sz w:val="15"/>
          <w:szCs w:val="15"/>
          <w:color w:val="auto"/>
        </w:rPr>
      </w:pPr>
      <w:r>
        <w:rPr>
          <w:rFonts w:ascii="Arial" w:cs="Arial" w:eastAsia="Arial" w:hAnsi="Arial"/>
          <w:sz w:val="15"/>
          <w:szCs w:val="15"/>
          <w:color w:val="auto"/>
        </w:rPr>
        <w:t>On February 28, 2022, the Compensation Committee approved the payment of discretionary bonuses to named executive officers due to their extraordinary performance and contributions to the success of the Company.</w:t>
      </w:r>
    </w:p>
    <w:p>
      <w:pPr>
        <w:spacing w:after="0" w:line="163" w:lineRule="exact"/>
        <w:rPr>
          <w:rFonts w:ascii="Arial" w:cs="Arial" w:eastAsia="Arial" w:hAnsi="Arial"/>
          <w:sz w:val="15"/>
          <w:szCs w:val="15"/>
          <w:color w:val="auto"/>
        </w:rPr>
      </w:pPr>
    </w:p>
    <w:p>
      <w:pPr>
        <w:jc w:val="both"/>
        <w:ind w:left="268" w:hanging="268"/>
        <w:spacing w:after="0" w:line="270" w:lineRule="auto"/>
        <w:tabs>
          <w:tab w:leader="none" w:pos="263"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amounts included in the “Stock Awards” column and “Option Awards” column reflect the aggregate grant date fair value of equity awards granted to the NEOs as computed in accordance with FASB ASC Topic 718. For a discussion of the assumptions made in the valuation reflected in these columns for fiscal year 2021, see Note 12 to the Consolidated Financial Statements in this Annual Report on Form 10-K.</w:t>
      </w:r>
    </w:p>
    <w:p>
      <w:pPr>
        <w:spacing w:after="0" w:line="174" w:lineRule="exact"/>
        <w:rPr>
          <w:rFonts w:ascii="Arial" w:cs="Arial" w:eastAsia="Arial" w:hAnsi="Arial"/>
          <w:sz w:val="15"/>
          <w:szCs w:val="15"/>
          <w:color w:val="auto"/>
        </w:rPr>
      </w:pPr>
    </w:p>
    <w:p>
      <w:pPr>
        <w:jc w:val="both"/>
        <w:ind w:left="268" w:right="20" w:hanging="268"/>
        <w:spacing w:after="0" w:line="270" w:lineRule="auto"/>
        <w:tabs>
          <w:tab w:leader="none" w:pos="263"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amounts included in the “Nonequity Incentive Plan Compensation” column reflect the quarterly and annual performance bonuses paid and earned under the Company’s Employee Incentive Bonus Plan for fiscal years 2021 and 2020. The “Annual Cash Incentive Awards” section below describes how the Employee Incentive Bonus Plan awards were determined.</w:t>
      </w:r>
    </w:p>
    <w:p>
      <w:pPr>
        <w:spacing w:after="0" w:line="174" w:lineRule="exact"/>
        <w:rPr>
          <w:rFonts w:ascii="Arial" w:cs="Arial" w:eastAsia="Arial" w:hAnsi="Arial"/>
          <w:sz w:val="15"/>
          <w:szCs w:val="15"/>
          <w:color w:val="auto"/>
        </w:rPr>
      </w:pPr>
    </w:p>
    <w:p>
      <w:pPr>
        <w:jc w:val="both"/>
        <w:ind w:left="268" w:hanging="268"/>
        <w:spacing w:after="0" w:line="260" w:lineRule="auto"/>
        <w:tabs>
          <w:tab w:leader="none" w:pos="263" w:val="left"/>
        </w:tabs>
        <w:numPr>
          <w:ilvl w:val="0"/>
          <w:numId w:val="27"/>
        </w:numPr>
        <w:rPr>
          <w:rFonts w:ascii="Arial" w:cs="Arial" w:eastAsia="Arial" w:hAnsi="Arial"/>
          <w:sz w:val="15"/>
          <w:szCs w:val="15"/>
          <w:color w:val="auto"/>
        </w:rPr>
      </w:pPr>
      <w:r>
        <w:rPr>
          <w:rFonts w:ascii="Arial" w:cs="Arial" w:eastAsia="Arial" w:hAnsi="Arial"/>
          <w:sz w:val="15"/>
          <w:szCs w:val="15"/>
          <w:color w:val="auto"/>
        </w:rPr>
        <w:t>For Mr. Lisy, the amounts set forth above include (x) a housing allowance in the amount of $84.5 thousand for an apartment in the Miami, Florida area, for fiscal year 2020 (none for 2021) and (y) matching contributions under our 401(k) retirement savings plan, in the amount of $4.5 thousand and $4.1 thousand for fiscal years 2021 and 2020, respectively. For Mr. Bende, the amounts set forth above include a moving allowance of $125.0 thousand in 2020. For Mr. Aguilar, the amount set forth above includes (x) matching contributions under our 401(k) retirement savings plan, in the amount of $1.6 thousand for fiscal year 2021 (none for 2020) and (y) a housing allowance of $39.0 thousand for fiscal year 2020 (none for 2021). For Mr. Nilsen, the amounts set forth above include (x) reimbursements for car-related costs of $11.0 thousand and $13.0 thousand for fiscal years 2021 and 2020, respectively, and (y) matching contributions under our 401(k) retirement savings plan, in the amount of $2.3 thousand and $2.2 thousand for fiscal years 2021 and 2020, respectively.</w:t>
      </w:r>
    </w:p>
    <w:p>
      <w:pPr>
        <w:spacing w:after="0" w:line="183" w:lineRule="exact"/>
        <w:rPr>
          <w:rFonts w:ascii="Arial" w:cs="Arial" w:eastAsia="Arial" w:hAnsi="Arial"/>
          <w:sz w:val="15"/>
          <w:szCs w:val="15"/>
          <w:color w:val="auto"/>
        </w:rPr>
      </w:pPr>
    </w:p>
    <w:p>
      <w:pPr>
        <w:ind w:left="268" w:hanging="268"/>
        <w:spacing w:after="0"/>
        <w:tabs>
          <w:tab w:leader="none" w:pos="268" w:val="left"/>
        </w:tabs>
        <w:numPr>
          <w:ilvl w:val="0"/>
          <w:numId w:val="27"/>
        </w:numPr>
        <w:rPr>
          <w:rFonts w:ascii="Arial" w:cs="Arial" w:eastAsia="Arial" w:hAnsi="Arial"/>
          <w:sz w:val="15"/>
          <w:szCs w:val="15"/>
          <w:color w:val="auto"/>
        </w:rPr>
      </w:pPr>
      <w:r>
        <w:rPr>
          <w:rFonts w:ascii="Arial" w:cs="Arial" w:eastAsia="Arial" w:hAnsi="Arial"/>
          <w:sz w:val="15"/>
          <w:szCs w:val="15"/>
          <w:color w:val="auto"/>
        </w:rPr>
        <w:t>Mr. Bende joined the Company as the Chief Financial Officer in December 2020.</w:t>
      </w:r>
    </w:p>
    <w:p>
      <w:pPr>
        <w:spacing w:after="0" w:line="200" w:lineRule="exact"/>
        <w:rPr>
          <w:sz w:val="20"/>
          <w:szCs w:val="20"/>
          <w:color w:val="auto"/>
        </w:rPr>
      </w:pPr>
    </w:p>
    <w:p>
      <w:pPr>
        <w:spacing w:after="0" w:line="270"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78040" cy="400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29" w:right="319" w:bottom="1440" w:gutter="0" w:footer="0" w:header="0"/>
        </w:sectPr>
      </w:pPr>
    </w:p>
    <w:bookmarkStart w:id="78" w:name="page79"/>
    <w:bookmarkEnd w:id="78"/>
    <w:p>
      <w:pPr>
        <w:ind w:left="8"/>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36"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Annual Cash Incentive Awards</w:t>
      </w:r>
    </w:p>
    <w:p>
      <w:pPr>
        <w:spacing w:after="0" w:line="222" w:lineRule="exact"/>
        <w:rPr>
          <w:sz w:val="20"/>
          <w:szCs w:val="20"/>
          <w:color w:val="auto"/>
        </w:rPr>
      </w:pPr>
    </w:p>
    <w:p>
      <w:pPr>
        <w:jc w:val="both"/>
        <w:ind w:left="8" w:firstLine="275"/>
        <w:spacing w:after="0" w:line="262" w:lineRule="auto"/>
        <w:rPr>
          <w:sz w:val="20"/>
          <w:szCs w:val="20"/>
          <w:color w:val="auto"/>
        </w:rPr>
      </w:pPr>
      <w:r>
        <w:rPr>
          <w:rFonts w:ascii="Arial" w:cs="Arial" w:eastAsia="Arial" w:hAnsi="Arial"/>
          <w:sz w:val="15"/>
          <w:szCs w:val="15"/>
          <w:color w:val="auto"/>
        </w:rPr>
        <w:t>We maintain the Employee Incentive Bonus Plan (the “Bonus Plan”), an annual, cash-based, incentive plan, in which certain sales employees and all non-sales employees, including the named executive officers, participate. For 2021, payments under the Bonus Plan were determined based on completion of certain individual performance objectives, varying by employee category/position (the “Objective component”) and Company-wide Adjusted EBITDA targets (the “Adjusted EBITDA component”), as discussed below. Refer to the “Non-GAAP Financial Measures” section of Item 7 in this Annual Report on Form 10-K for our calculation methodology. Adjusted EBITDA for purposes of the Bonus Plan may differ from that reported in this Form 10-K due to further adjustments permitted under the terms of the Bonus Plan.</w:t>
      </w:r>
    </w:p>
    <w:p>
      <w:pPr>
        <w:spacing w:after="0" w:line="183" w:lineRule="exact"/>
        <w:rPr>
          <w:sz w:val="20"/>
          <w:szCs w:val="20"/>
          <w:color w:val="auto"/>
        </w:rPr>
      </w:pPr>
    </w:p>
    <w:p>
      <w:pPr>
        <w:jc w:val="both"/>
        <w:ind w:left="8" w:firstLine="275"/>
        <w:spacing w:after="0" w:line="265" w:lineRule="auto"/>
        <w:rPr>
          <w:sz w:val="20"/>
          <w:szCs w:val="20"/>
          <w:color w:val="auto"/>
        </w:rPr>
      </w:pPr>
      <w:r>
        <w:rPr>
          <w:rFonts w:ascii="Arial" w:cs="Arial" w:eastAsia="Arial" w:hAnsi="Arial"/>
          <w:sz w:val="15"/>
          <w:szCs w:val="15"/>
          <w:color w:val="auto"/>
        </w:rPr>
        <w:t>Each named executive officer’s target bonus amount was determined at the outset of the year and was expressed generally as a percentage of such officer’s base salary. The target bonus percentages for 2021 were 100% for Mr. Lisy, 40% for Mr. Bende, 50% for Mr. Aguilar and 50% for Mr. Nilsen. The CEO’s Bonus Plan was determined solely based on Adjusted EBITDA performance. The Bonus Plan for the other named executive officers was determined 75% based on Adjusted EBITDA performance and 25% based on the Objective component.</w:t>
      </w:r>
    </w:p>
    <w:p>
      <w:pPr>
        <w:spacing w:after="0" w:line="179" w:lineRule="exact"/>
        <w:rPr>
          <w:sz w:val="20"/>
          <w:szCs w:val="20"/>
          <w:color w:val="auto"/>
        </w:rPr>
      </w:pPr>
    </w:p>
    <w:p>
      <w:pPr>
        <w:jc w:val="both"/>
        <w:ind w:left="8" w:firstLine="275"/>
        <w:spacing w:after="0" w:line="265" w:lineRule="auto"/>
        <w:rPr>
          <w:sz w:val="20"/>
          <w:szCs w:val="20"/>
          <w:color w:val="auto"/>
        </w:rPr>
      </w:pPr>
      <w:r>
        <w:rPr>
          <w:rFonts w:ascii="Arial" w:cs="Arial" w:eastAsia="Arial" w:hAnsi="Arial"/>
          <w:sz w:val="15"/>
          <w:szCs w:val="15"/>
          <w:color w:val="auto"/>
        </w:rPr>
        <w:t>Under the terms of the Bonus Plan, the Objective component was measured and paid on a quarterly basis and may range from 0% to 150% of target. Half of the Adjusted EBITDA component is paid based on quarterly performance with the remaining half subject to full-year performance. The quarterly payout for Adjusted EBITDA is made on a binary basis, such that if the quarterly target is achieved, then the quarterly payout is made (12.5% of target), with no partial payouts. All quarterly Adjusted EBITDA targets were set at the beginning of the year.</w:t>
      </w:r>
    </w:p>
    <w:p>
      <w:pPr>
        <w:spacing w:after="0" w:line="179" w:lineRule="exact"/>
        <w:rPr>
          <w:sz w:val="20"/>
          <w:szCs w:val="20"/>
          <w:color w:val="auto"/>
        </w:rPr>
      </w:pPr>
    </w:p>
    <w:p>
      <w:pPr>
        <w:jc w:val="both"/>
        <w:ind w:left="8" w:firstLine="275"/>
        <w:spacing w:after="0" w:line="262" w:lineRule="auto"/>
        <w:rPr>
          <w:sz w:val="20"/>
          <w:szCs w:val="20"/>
          <w:color w:val="auto"/>
        </w:rPr>
      </w:pPr>
      <w:r>
        <w:rPr>
          <w:rFonts w:ascii="Arial" w:cs="Arial" w:eastAsia="Arial" w:hAnsi="Arial"/>
          <w:sz w:val="15"/>
          <w:szCs w:val="15"/>
          <w:color w:val="auto"/>
        </w:rPr>
        <w:t>For the full-year Adjusted EBITDA component, the Compensation Committee set threshold, target and maximum levels of performance at the outset of the year. Threshold performance was set at 90% of the targeted Adjusted EBITDA amount, achievement of which pays 0% of target. Target performance was set at 100% of the targeted Adjusted EBITDA amount, achievement of which pays 100% of target. Maximum performance was set at 115% of the targeted Adjusted EBITDA amount, the achievement of which pays 150% of target. There would be no payment under the Bonus Plan for performance below threshold and linear interpolation applies between threshold/target and target/maximum performance levels.</w:t>
      </w:r>
    </w:p>
    <w:p>
      <w:pPr>
        <w:spacing w:after="0" w:line="183" w:lineRule="exact"/>
        <w:rPr>
          <w:sz w:val="20"/>
          <w:szCs w:val="20"/>
          <w:color w:val="auto"/>
        </w:rPr>
      </w:pPr>
    </w:p>
    <w:p>
      <w:pPr>
        <w:jc w:val="both"/>
        <w:ind w:left="8" w:firstLine="275"/>
        <w:spacing w:after="0" w:line="285" w:lineRule="auto"/>
        <w:rPr>
          <w:sz w:val="20"/>
          <w:szCs w:val="20"/>
          <w:color w:val="auto"/>
        </w:rPr>
      </w:pPr>
      <w:r>
        <w:rPr>
          <w:rFonts w:ascii="Arial" w:cs="Arial" w:eastAsia="Arial" w:hAnsi="Arial"/>
          <w:sz w:val="15"/>
          <w:szCs w:val="15"/>
          <w:color w:val="auto"/>
        </w:rPr>
        <w:t>For 2021, the quarterly Adjusted EBITDA targets were achieved for all quarters. The full-year Adjusted EBITDA performance, after adjustment to remove the de minimis impact of discretionary bonuses, was above the maximum level of $87 million, resulting in a full-year Adjusted EBITDA earnout of 150% of target.</w:t>
      </w:r>
    </w:p>
    <w:p>
      <w:pPr>
        <w:spacing w:after="0" w:line="164" w:lineRule="exact"/>
        <w:rPr>
          <w:sz w:val="20"/>
          <w:szCs w:val="20"/>
          <w:color w:val="auto"/>
        </w:rPr>
      </w:pPr>
    </w:p>
    <w:p>
      <w:pPr>
        <w:ind w:left="268"/>
        <w:spacing w:after="0"/>
        <w:rPr>
          <w:sz w:val="20"/>
          <w:szCs w:val="20"/>
          <w:color w:val="auto"/>
        </w:rPr>
      </w:pPr>
      <w:r>
        <w:rPr>
          <w:rFonts w:ascii="Arial" w:cs="Arial" w:eastAsia="Arial" w:hAnsi="Arial"/>
          <w:sz w:val="14"/>
          <w:szCs w:val="14"/>
          <w:color w:val="auto"/>
        </w:rPr>
        <w:t>Mr. Bende’s individual objectives were based on the following factors: (i) completing debt refinancing, (ii) enhancing liquidity management, (iii) enhancing capital management,</w:t>
      </w:r>
    </w:p>
    <w:p>
      <w:pPr>
        <w:spacing w:after="0" w:line="33" w:lineRule="exact"/>
        <w:rPr>
          <w:sz w:val="20"/>
          <w:szCs w:val="20"/>
          <w:color w:val="auto"/>
        </w:rPr>
      </w:pPr>
    </w:p>
    <w:p>
      <w:pPr>
        <w:ind w:left="8" w:hanging="8"/>
        <w:spacing w:after="0" w:line="270" w:lineRule="auto"/>
        <w:tabs>
          <w:tab w:leader="none" w:pos="288" w:val="left"/>
        </w:tabs>
        <w:numPr>
          <w:ilvl w:val="0"/>
          <w:numId w:val="28"/>
        </w:numPr>
        <w:rPr>
          <w:rFonts w:ascii="Arial" w:cs="Arial" w:eastAsia="Arial" w:hAnsi="Arial"/>
          <w:sz w:val="15"/>
          <w:szCs w:val="15"/>
          <w:color w:val="auto"/>
        </w:rPr>
      </w:pPr>
      <w:r>
        <w:rPr>
          <w:rFonts w:ascii="Arial" w:cs="Arial" w:eastAsia="Arial" w:hAnsi="Arial"/>
          <w:sz w:val="15"/>
          <w:szCs w:val="15"/>
          <w:color w:val="auto"/>
        </w:rPr>
        <w:t>performing and leading merger &amp; acquisition related activities, (v) enhancing board reporting process, and (vi) monitoring and optimizing internal control and internal audit activities. For each quarter in 2021, Mr. Bende’s level of achievement of his individual objectives was 100% of the applicable goal.</w:t>
      </w:r>
    </w:p>
    <w:p>
      <w:pPr>
        <w:spacing w:after="0" w:line="175" w:lineRule="exact"/>
        <w:rPr>
          <w:sz w:val="20"/>
          <w:szCs w:val="20"/>
          <w:color w:val="auto"/>
        </w:rPr>
      </w:pPr>
    </w:p>
    <w:p>
      <w:pPr>
        <w:jc w:val="both"/>
        <w:ind w:left="8" w:right="20" w:firstLine="275"/>
        <w:spacing w:after="0" w:line="265" w:lineRule="auto"/>
        <w:rPr>
          <w:sz w:val="20"/>
          <w:szCs w:val="20"/>
          <w:color w:val="auto"/>
        </w:rPr>
      </w:pPr>
      <w:r>
        <w:rPr>
          <w:rFonts w:ascii="Arial" w:cs="Arial" w:eastAsia="Arial" w:hAnsi="Arial"/>
          <w:sz w:val="15"/>
          <w:szCs w:val="15"/>
          <w:color w:val="auto"/>
        </w:rPr>
        <w:t>Mr. Aguilar’s individual objectives were based on the following factors: (i) enhancing operational functionality of the Company's check processing and digital products, (ii) improving functionality of the Company’s headquarters and, call centers in Mexico and Guatemala, (iii) performing and leading merger &amp; acquisition related activities, and (iv) transitioning of the oversight of Information Technology Department. For each quarter in 2021, Mr. Aguilar’s level of achievement of his individual objectives ranged approximately from 73% to 102% of the applicable goal.</w:t>
      </w:r>
    </w:p>
    <w:p>
      <w:pPr>
        <w:spacing w:after="0" w:line="179" w:lineRule="exact"/>
        <w:rPr>
          <w:sz w:val="20"/>
          <w:szCs w:val="20"/>
          <w:color w:val="auto"/>
        </w:rPr>
      </w:pPr>
    </w:p>
    <w:p>
      <w:pPr>
        <w:jc w:val="both"/>
        <w:ind w:left="8" w:firstLine="275"/>
        <w:spacing w:after="0" w:line="323" w:lineRule="auto"/>
        <w:rPr>
          <w:sz w:val="20"/>
          <w:szCs w:val="20"/>
          <w:color w:val="auto"/>
        </w:rPr>
      </w:pPr>
      <w:r>
        <w:rPr>
          <w:rFonts w:ascii="Arial" w:cs="Arial" w:eastAsia="Arial" w:hAnsi="Arial"/>
          <w:sz w:val="14"/>
          <w:szCs w:val="14"/>
          <w:color w:val="auto"/>
        </w:rPr>
        <w:t>Mr. Nilsen’s individual objectives were tied to his role as Chief Revenue Officer and were specifically measured based on factors such as market penetration, agent activation, and increasing sales volume. For each quarter in 2021, Mr. Nilsen's level of achievement of his individual objectives ranged approximately from 94% to 102% of the applicable goal.</w:t>
      </w:r>
    </w:p>
    <w:p>
      <w:pPr>
        <w:spacing w:after="0" w:line="140" w:lineRule="exact"/>
        <w:rPr>
          <w:sz w:val="20"/>
          <w:szCs w:val="20"/>
          <w:color w:val="auto"/>
        </w:rPr>
      </w:pPr>
    </w:p>
    <w:p>
      <w:pPr>
        <w:jc w:val="both"/>
        <w:ind w:left="8" w:firstLine="275"/>
        <w:spacing w:after="0" w:line="270" w:lineRule="auto"/>
        <w:rPr>
          <w:sz w:val="20"/>
          <w:szCs w:val="20"/>
          <w:color w:val="auto"/>
        </w:rPr>
      </w:pPr>
      <w:r>
        <w:rPr>
          <w:rFonts w:ascii="Arial" w:cs="Arial" w:eastAsia="Arial" w:hAnsi="Arial"/>
          <w:sz w:val="15"/>
          <w:szCs w:val="15"/>
          <w:color w:val="auto"/>
        </w:rPr>
        <w:t>Based on the combined impact of Adjusted EBITDA and Objective component performance, the overall payout as a percent of target was 150% of target for the CEO (based on Adjusted EBITDA performance only) and ranged approximately from 135% to 138% for Messrs. Bende, Aguilar and Nilsen, based on quarterly and annual Adjusted EBITDA and quarterly Objective components performance.</w:t>
      </w:r>
    </w:p>
    <w:p>
      <w:pPr>
        <w:spacing w:after="0" w:line="200" w:lineRule="exact"/>
        <w:rPr>
          <w:sz w:val="20"/>
          <w:szCs w:val="20"/>
          <w:color w:val="auto"/>
        </w:rPr>
      </w:pPr>
    </w:p>
    <w:p>
      <w:pPr>
        <w:spacing w:after="0" w:line="22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78040" cy="400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29" w:right="319" w:bottom="1440" w:gutter="0" w:footer="0" w:header="0"/>
        </w:sectPr>
      </w:pPr>
    </w:p>
    <w:bookmarkStart w:id="79" w:name="page80"/>
    <w:bookmarkEnd w:id="79"/>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Agreements</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5"/>
          <w:szCs w:val="15"/>
          <w:color w:val="auto"/>
        </w:rPr>
        <w:t>Each of Messrs. Lisy, Bende, Aguilar and Nilsen is a party to an employment agreement with the Company, summarized below.</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Chief Executive Officer and President (Robert Lisy)</w:t>
      </w:r>
    </w:p>
    <w:p>
      <w:pPr>
        <w:spacing w:after="0" w:line="218" w:lineRule="exact"/>
        <w:rPr>
          <w:sz w:val="20"/>
          <w:szCs w:val="20"/>
          <w:color w:val="auto"/>
        </w:rPr>
      </w:pPr>
    </w:p>
    <w:p>
      <w:pPr>
        <w:jc w:val="both"/>
        <w:ind w:firstLine="275"/>
        <w:spacing w:after="0" w:line="276" w:lineRule="auto"/>
        <w:rPr>
          <w:sz w:val="20"/>
          <w:szCs w:val="20"/>
          <w:color w:val="auto"/>
        </w:rPr>
      </w:pPr>
      <w:r>
        <w:rPr>
          <w:rFonts w:ascii="Arial" w:cs="Arial" w:eastAsia="Arial" w:hAnsi="Arial"/>
          <w:sz w:val="14"/>
          <w:szCs w:val="14"/>
          <w:color w:val="auto"/>
        </w:rPr>
        <w:t>On December 19, 2017, Intermex Holdings, Inc. (“Holdings”) entered into an amended and restated employment agreement (the “CEO Employment Agreement”) with Mr. Lisy for the position of Chief Executive Officer and President, which was in effect through December 30, 2020. Effective January 1, 2021, Holdings entered into an amended and restated employment agreement with Mr. Lisy (the “2021 CEO Employment Agreement”), which expires on December 31, 2021 subject to automatic one-year extensions unless either the Company or Mr. Lisy provides at least 90 days’ written notice to the other of intent not to renew the term. The 2021 CEO Employment Agreement replaced prior employment agreements between Mr. Lisy and the Company, including the CEO Employment Agreement in effect during 2020. During 2020, Mr. Lisy’s base salary was $725,000 and effective January 1, 2021, Mr. Lisy’s base salary is $1,000,000. The 2021 CEO Employment Agreement also provides that Mr. Lisy is eligible to earn a performance based annual cash incentive. The amount of any annual cash incentive payable shall be determined by the Board of Directors in its discretion, and shall be conditioned on the achievement of certain performance goals, including the achievement by Holdings of budgeted Adjusted EBITDA (as defined in the CEO Employment Agreement) as approved by the Board in its reasonable discretion, and the achievement of individual performance goals as may be reasonably agreed to by the Board and Mr. Lisy. The Board may, with Mr. Lisy’s consent, prospectively amend or modify from time to time the established cash incentive criteria, including any related performance requirements and target levels. Effective as of January 1, 2020, Mr. Lisy’s annual cash incentive target was increased to up to $363,000 and effective January 1, 2021, Mr. Lisy’s annual cash incentive target was increased to 100% of his base salary, or $1,000,000. The 2021 CEO Employment Agreement, subject to approval by the Compensation Committee, provides for an award to Mr. Lisy of restricted stock units (“RSUs”) and performance stock units (“PSUs”), in each case granted under the terms of the Company’s 2020 Omnibus Equity Compensation Plan (the “2020 Plan”) and having a grant date value of $1,250,000, as computed in accordance with U.S. GAAP. On March 4, 2021, the Compensation Committee approved the awards, consisting of 88,215 shares of restricted stock (in lieu of RSUs) and 88,215 PSUs. The vesting terms and performance goals of the awards were determined by the Compensation Committee at the time of grant and are generally consistent with awards granted to the Company’s other employees, except that, as required by the New CEO Employment Agreement, if Mr. Lisy retires after age 66, all awards will continue to vest in accordance with their original vesting schedule, subject to attainment of any applicable performance goals.</w:t>
      </w:r>
    </w:p>
    <w:p>
      <w:pPr>
        <w:spacing w:after="0" w:line="179" w:lineRule="exact"/>
        <w:rPr>
          <w:sz w:val="20"/>
          <w:szCs w:val="20"/>
          <w:color w:val="auto"/>
        </w:rPr>
      </w:pPr>
    </w:p>
    <w:p>
      <w:pPr>
        <w:jc w:val="both"/>
        <w:ind w:firstLine="275"/>
        <w:spacing w:after="0" w:line="259" w:lineRule="auto"/>
        <w:rPr>
          <w:sz w:val="20"/>
          <w:szCs w:val="20"/>
          <w:color w:val="auto"/>
        </w:rPr>
      </w:pPr>
      <w:r>
        <w:rPr>
          <w:rFonts w:ascii="Arial" w:cs="Arial" w:eastAsia="Arial" w:hAnsi="Arial"/>
          <w:sz w:val="15"/>
          <w:szCs w:val="15"/>
          <w:color w:val="auto"/>
        </w:rPr>
        <w:t>The 2021 CEO Employment Agreement provides that Mr. Lisy continues to be eligible to participate in all benefit programs (excluding severance, bonus, incentive or profit-sharing plans) offered by Holdings on the same basis as generally made available to other employees of Holdings and vacation and reimbursement benefits customary for a chief executive officer. In addition, Mr. Lisy is also entitled to the following benefits: (a) car allowance; (b) reimbursement for legal and certain other advisory fees incurred in connection with the negotiation of the 2021 CEO Employment Agreement; and (c) if obtained by Holdings during the term of Mr. Lisy’s employment, the right to acquire and assume the premium payments under any life insurance policy held by Holdings upon termination of Mr. Lisy’s employment. The 2021 CEO Employment Agreement continues to subject Mr. Lisy to the following restrictive covenants: (i) non-solicitation of customers and employees of Holdings during employment and for two years thereafter; (ii) non-competition during employment and for two years thereafter; (iii) non-disclosure of confidential information for an unspecified duration; and (iv) mutual and perpetual non-disparagement. The 2021 CEO Employment Agreement also provides for severance upon a termination of employment under certain circumstances, as described below under “—Potential Payments upon Termination or Change in Control.”</w:t>
      </w:r>
    </w:p>
    <w:p>
      <w:pPr>
        <w:spacing w:after="0" w:line="183" w:lineRule="exact"/>
        <w:rPr>
          <w:sz w:val="20"/>
          <w:szCs w:val="20"/>
          <w:color w:val="auto"/>
        </w:rPr>
      </w:pPr>
    </w:p>
    <w:p>
      <w:pPr>
        <w:jc w:val="both"/>
        <w:ind w:firstLine="275"/>
        <w:spacing w:after="0" w:line="260" w:lineRule="auto"/>
        <w:rPr>
          <w:sz w:val="20"/>
          <w:szCs w:val="20"/>
          <w:color w:val="auto"/>
        </w:rPr>
      </w:pPr>
      <w:r>
        <w:rPr>
          <w:rFonts w:ascii="Arial" w:cs="Arial" w:eastAsia="Arial" w:hAnsi="Arial"/>
          <w:sz w:val="15"/>
          <w:szCs w:val="15"/>
          <w:color w:val="auto"/>
        </w:rPr>
        <w:t>On November 15, 2021, Holdings entered into a new amended and restated employment agreement with Mr. Lisy (the “New CEO Employment Agreement”) effective as of January 1, 2022. The New CEO Employment Agreement contains all of the material terms described above except that (a) the New CEO Employment Agreements expires on December 31, 2023, subject to automatic extensions as described above, (b) Mr. Lisy’s annual cash incentive target was increased to 125% of his base salary, or $1,250,000, and (c) subject to approval by the Compensation Committee, provides for an award to Mr. Lisy of restricted stock and PSUs, in each case granted under the terms of the 2020 Plan and having a grant date value of $1,500,000, as computed in accordance with U.S. GAAP. On February 28, 2022, the Compensation Committee approved the award of 93,400 shares of restricted stock. The vesting terms of the restricted stock awards were determined by the Compensation Committee at the time of grant and are generally consistent with restricted stock unit awards granted to the Company’s other employees.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Chief Financial Officer (Andras Bende)</w:t>
      </w:r>
    </w:p>
    <w:p>
      <w:pPr>
        <w:spacing w:after="0" w:line="218" w:lineRule="exact"/>
        <w:rPr>
          <w:sz w:val="20"/>
          <w:szCs w:val="20"/>
          <w:color w:val="auto"/>
        </w:rPr>
      </w:pPr>
    </w:p>
    <w:p>
      <w:pPr>
        <w:jc w:val="both"/>
        <w:ind w:firstLine="275"/>
        <w:spacing w:after="0" w:line="260" w:lineRule="auto"/>
        <w:rPr>
          <w:sz w:val="20"/>
          <w:szCs w:val="20"/>
          <w:color w:val="auto"/>
        </w:rPr>
      </w:pPr>
      <w:r>
        <w:rPr>
          <w:rFonts w:ascii="Arial" w:cs="Arial" w:eastAsia="Arial" w:hAnsi="Arial"/>
          <w:sz w:val="15"/>
          <w:szCs w:val="15"/>
          <w:color w:val="auto"/>
        </w:rPr>
        <w:t>On December 7, 2020, the Company entered into an employment agreement (the “CFO Employment Agreement”) with Mr. Bende for the position of Chief Financial Officer for an indefinite term beginning on December 7, 2020. The CFO Employment Agreement provides for a base salary of $425,000 per year, subject to increase at the discretion of the Board of Directors. Effective January 1, 2022, Mr. Bende’s base salary was increased to $450,000 per year. The CFO Employment Agreement also provides that Mr. Bende is eligible to participate in the Company’s annual incentive compensation plan, with a target opportunity of 40% of his base salary (or $170,000) based upon the attainment of performance goals, as determined by the Board in its discretion. Mr. Bende is also eligible to participate in any benefit plans (excluding severance, bonus, incentive or profit-sharing plans, unless approved or determined by the Board of Directors in its discretion) offered by the Company as in effect from time to time on the same basis as generally made available to other employees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80" w:name="page81"/>
    <w:bookmarkEnd w:id="80"/>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40"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Company. In addition, Mr. Bende is entitled to reimbursement and vacation benefits typical for a senior executive. The CFO Employment Agreement provides for awards to be granted to Mr. Bende, subject to the terms of the 2020 Plan, of 15,000 RSUs and 40,000 stock options in 2021. On March 4, 2021, the Compensation Committee approved the awards, consisting of 15,000 shares of restricted stock units and 22,000 PSUs (in lieu of options, with Mr. Bende’s consent). The vesting terms and performance goals of the awards were determined by the Compensation Committee at the time of grant and are generally consistent with awards granted to the Company’s other employees. The CFO Employment Agreement subjects Mr. Bende to the following restrictive covenants: (i) non-solicitation of customers and employees of the Company during employment and for three years thereafter; (ii) non-competition during employment and for nine months thereafter; (iii) non-disclosure of confidential information for an unspecified duration; and (iv) perpetual non-disparagement. The CFO Employment Agreement also provides for severance upon termination of employment under certain circumstances, as described below under “—Potential Payments upon Termination or Change in Control.”</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Chief Operating Officer (Joseph Aguilar)</w:t>
      </w:r>
    </w:p>
    <w:p>
      <w:pPr>
        <w:spacing w:after="0" w:line="218" w:lineRule="exact"/>
        <w:rPr>
          <w:sz w:val="20"/>
          <w:szCs w:val="20"/>
          <w:color w:val="auto"/>
        </w:rPr>
      </w:pPr>
    </w:p>
    <w:p>
      <w:pPr>
        <w:jc w:val="both"/>
        <w:ind w:firstLine="275"/>
        <w:spacing w:after="0" w:line="278" w:lineRule="auto"/>
        <w:rPr>
          <w:sz w:val="20"/>
          <w:szCs w:val="20"/>
          <w:color w:val="auto"/>
        </w:rPr>
      </w:pPr>
      <w:r>
        <w:rPr>
          <w:rFonts w:ascii="Arial" w:cs="Arial" w:eastAsia="Arial" w:hAnsi="Arial"/>
          <w:sz w:val="14"/>
          <w:szCs w:val="14"/>
          <w:color w:val="auto"/>
        </w:rPr>
        <w:t>On September 23, 2019, the Company entered into an employment agreement (the “COO Employment Agreement”) with Mr. Aguilar for the position of Chief Operating Officer for an indefinite term beginning on September 23, 2019. The COO Employment Agreement provides for a base salary of $315,000 per year, subject to increase at the discretion of the Board of Directors, which base salary was increased to $375,000 effective January 1, 2021. Effective January 1, 2022, Mr. Aguilar’s base salary was increased to $420,000 per year. The COO Employment Agreement also provides that Mr. Aguilar is eligible to participate in the Company’s annual incentive compensation plan and shall have the opportunity to earn a performance based annual cash incentive of up to $100,000 (which bonus opportunity was increased to 50% of base salary, or $187,500, effective January 1, 2021), based upon the attainment of performance goals, as determined by the Board. Mr. Aguilar is also eligible to participate in any benefit plans (excluding severance, bonus, incentive or profit-sharing plans, unless approved or determined by the Board of Directors in its discretion) offered by the Company as in effect from time to time on the same basis as generally made available to other employees of the Company. In addition, Mr. Aguilar is entitled to reimbursement and vacation benefits typical for a senior executive. The COO Employment Agreement subjects Mr. Aguilar to the following restrictive covenants: (i) non-solicitation of customers and employees of the Company during employment and for three years thereafter; (ii) non-competition during employment and for nine months thereafter; (iii) non-disclosure of confidential information for an unspecified duration; and (iv) perpetual non-disparagement. The COO Employment Agreement also provides for severance upon termination of employment under certain circumstances, as described below under “—Potential Payments upon Termination or Change in Control.”</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Chief Revenue Officer (Randy Nilsen)</w:t>
      </w:r>
    </w:p>
    <w:p>
      <w:pPr>
        <w:spacing w:after="0" w:line="218" w:lineRule="exact"/>
        <w:rPr>
          <w:sz w:val="20"/>
          <w:szCs w:val="20"/>
          <w:color w:val="auto"/>
        </w:rPr>
      </w:pPr>
    </w:p>
    <w:p>
      <w:pPr>
        <w:jc w:val="both"/>
        <w:ind w:firstLine="275"/>
        <w:spacing w:after="0" w:line="278" w:lineRule="auto"/>
        <w:rPr>
          <w:sz w:val="20"/>
          <w:szCs w:val="20"/>
          <w:color w:val="auto"/>
        </w:rPr>
      </w:pPr>
      <w:r>
        <w:rPr>
          <w:rFonts w:ascii="Arial" w:cs="Arial" w:eastAsia="Arial" w:hAnsi="Arial"/>
          <w:sz w:val="14"/>
          <w:szCs w:val="14"/>
          <w:color w:val="auto"/>
        </w:rPr>
        <w:t>On February 1, 2017, Holdings entered into an employment agreement (the “CRO Employment Agreement”) with Mr. Nilsen for the position of Chief Revenue Officer for an indefinite term beginning on February 1, 2017. The CRO Employment Agreement provides for a base salary, subject to increase at the discretion of the Board of Directors. Effective January 1, 2021, Mr. Nilsen’s base salary was $375,000 and effective January 1, 2022, Mr. Nilsen’s base salary was increased to $420,000 per year. The CRO Employment Agreement also provides that Mr. Nilsen is eligible to participate in Holdings’s annual incentive compensation plan and shall have the opportunity to earn a performance based annual cash incentive, which incentive opportunity was increased to 50% of base salary, or $187,500, as of January 1, 2021, based upon the attainment of performance goals, as determined by the Board. Mr. Nilsen is also eligible to participate in any benefit plans (excluding severance, bonus, incentive or profit-sharing plans, unless approved or determined by the Board of Directors in its discretion) offered by Holdings as in effect from time to time on the same basis as generally made available to other employees of Holdings. In addition, Mr. Nilsen is entitled to reimbursement and vacation benefits customary for a senior executive. The CRO Employment Agreement subjects Mr. Nilsen to the following restrictive covenants: (i) non-solicitation of customers and employees of Holdings during employment and for three years thereafter; (ii) non-competition during employment and for nine months thereafter; (iii) non-disclosure of confidential information for an unspecified period; and (iv) perpetual non-disparagement. The CRO Employment Agreement also provides for severance upon a termination of employment under certain circumstances, as described below under “—Potential Payments upon Termination or Change in Control.”</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81" w:name="page82"/>
    <w:bookmarkEnd w:id="81"/>
    <w:p>
      <w:pPr>
        <w:ind w:left="20"/>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3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Outstanding Equity Awards at End of Fiscal Year 2021</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1440" w:type="dxa"/>
            <w:vAlign w:val="bottom"/>
            <w:tcBorders>
              <w:top w:val="single" w:sz="8" w:color="auto"/>
              <w:left w:val="single" w:sz="8" w:color="auto"/>
              <w:right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1"/>
              </w:rPr>
              <w:t>Option Awards</w:t>
            </w:r>
            <w:r>
              <w:rPr>
                <w:rFonts w:ascii="Arial" w:cs="Arial" w:eastAsia="Arial" w:hAnsi="Arial"/>
                <w:sz w:val="17"/>
                <w:szCs w:val="17"/>
                <w:b w:val="1"/>
                <w:bCs w:val="1"/>
                <w:color w:val="auto"/>
                <w:w w:val="81"/>
                <w:vertAlign w:val="superscript"/>
              </w:rPr>
              <w:t>(1)</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7"/>
                <w:szCs w:val="17"/>
                <w:b w:val="1"/>
                <w:bCs w:val="1"/>
                <w:color w:val="auto"/>
                <w:vertAlign w:val="superscript"/>
              </w:rPr>
              <w:t>(2)</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440" w:type="dxa"/>
            <w:vAlign w:val="bottom"/>
            <w:tcBorders>
              <w:left w:val="single" w:sz="8" w:color="auto"/>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Equity</w:t>
            </w:r>
          </w:p>
        </w:tc>
        <w:tc>
          <w:tcPr>
            <w:tcW w:w="56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440" w:type="dxa"/>
            <w:vAlign w:val="bottom"/>
            <w:tcBorders>
              <w:left w:val="single" w:sz="8" w:color="auto"/>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Borders>
              <w:right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7"/>
              </w:rPr>
              <w:t>incentive plan</w:t>
            </w:r>
          </w:p>
        </w:tc>
        <w:tc>
          <w:tcPr>
            <w:tcW w:w="56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Equity</w:t>
            </w:r>
          </w:p>
        </w:tc>
        <w:tc>
          <w:tcPr>
            <w:tcW w:w="1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1440" w:type="dxa"/>
            <w:vAlign w:val="bottom"/>
            <w:tcBorders>
              <w:left w:val="single" w:sz="8" w:color="auto"/>
              <w:right w:val="single" w:sz="8" w:color="auto"/>
            </w:tcBorders>
          </w:tcPr>
          <w:p>
            <w:pPr>
              <w:spacing w:after="0"/>
              <w:rPr>
                <w:sz w:val="3"/>
                <w:szCs w:val="3"/>
                <w:color w:val="auto"/>
              </w:rPr>
            </w:pPr>
          </w:p>
        </w:tc>
        <w:tc>
          <w:tcPr>
            <w:tcW w:w="64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6"/>
              </w:rPr>
              <w:t>awards:</w:t>
            </w:r>
          </w:p>
        </w:tc>
        <w:tc>
          <w:tcPr>
            <w:tcW w:w="56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100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Equity incentive</w:t>
            </w:r>
          </w:p>
        </w:tc>
        <w:tc>
          <w:tcPr>
            <w:tcW w:w="0" w:type="dxa"/>
            <w:vAlign w:val="bottom"/>
          </w:tcPr>
          <w:p>
            <w:pPr>
              <w:spacing w:after="0" w:line="20" w:lineRule="exact"/>
              <w:rPr>
                <w:sz w:val="1"/>
                <w:szCs w:val="1"/>
                <w:color w:val="auto"/>
              </w:rPr>
            </w:pPr>
          </w:p>
        </w:tc>
      </w:tr>
      <w:tr>
        <w:trPr>
          <w:trHeight w:val="138"/>
        </w:trPr>
        <w:tc>
          <w:tcPr>
            <w:tcW w:w="144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40" w:type="dxa"/>
            <w:vAlign w:val="bottom"/>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Market</w:t>
            </w:r>
          </w:p>
        </w:tc>
        <w:tc>
          <w:tcPr>
            <w:tcW w:w="10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4"/>
                <w:szCs w:val="14"/>
                <w:b w:val="1"/>
                <w:bCs w:val="1"/>
                <w:color w:val="auto"/>
                <w:w w:val="87"/>
              </w:rPr>
              <w:t>incentive plan</w:t>
            </w:r>
          </w:p>
        </w:tc>
        <w:tc>
          <w:tcPr>
            <w:tcW w:w="10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44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4"/>
                <w:szCs w:val="14"/>
                <w:b w:val="1"/>
                <w:bCs w:val="1"/>
                <w:color w:val="auto"/>
                <w:w w:val="88"/>
              </w:rPr>
              <w:t>Number of</w:t>
            </w:r>
          </w:p>
        </w:tc>
        <w:tc>
          <w:tcPr>
            <w:tcW w:w="5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4"/>
                <w:szCs w:val="14"/>
                <w:b w:val="1"/>
                <w:bCs w:val="1"/>
                <w:color w:val="auto"/>
                <w:w w:val="90"/>
              </w:rPr>
              <w:t>awards:</w:t>
            </w:r>
          </w:p>
        </w:tc>
        <w:tc>
          <w:tcPr>
            <w:tcW w:w="10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4"/>
                <w:szCs w:val="14"/>
                <w:b w:val="1"/>
                <w:bCs w:val="1"/>
                <w:color w:val="auto"/>
                <w:w w:val="91"/>
              </w:rPr>
              <w:t>plan awards:</w:t>
            </w:r>
          </w:p>
        </w:tc>
        <w:tc>
          <w:tcPr>
            <w:tcW w:w="0" w:type="dxa"/>
            <w:vAlign w:val="bottom"/>
          </w:tcPr>
          <w:p>
            <w:pPr>
              <w:spacing w:after="0"/>
              <w:rPr>
                <w:sz w:val="1"/>
                <w:szCs w:val="1"/>
                <w:color w:val="auto"/>
              </w:rPr>
            </w:pPr>
          </w:p>
        </w:tc>
      </w:tr>
      <w:tr>
        <w:trPr>
          <w:trHeight w:val="149"/>
        </w:trPr>
        <w:tc>
          <w:tcPr>
            <w:tcW w:w="1440" w:type="dxa"/>
            <w:vAlign w:val="bottom"/>
            <w:tcBorders>
              <w:left w:val="single" w:sz="8" w:color="auto"/>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securities</w:t>
            </w:r>
          </w:p>
        </w:tc>
        <w:tc>
          <w:tcPr>
            <w:tcW w:w="40" w:type="dxa"/>
            <w:vAlign w:val="bottom"/>
          </w:tcPr>
          <w:p>
            <w:pPr>
              <w:spacing w:after="0"/>
              <w:rPr>
                <w:sz w:val="12"/>
                <w:szCs w:val="12"/>
                <w:color w:val="auto"/>
              </w:rPr>
            </w:pPr>
          </w:p>
        </w:tc>
        <w:tc>
          <w:tcPr>
            <w:tcW w:w="9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2"/>
              </w:rPr>
              <w:t>securities</w:t>
            </w:r>
          </w:p>
        </w:tc>
        <w:tc>
          <w:tcPr>
            <w:tcW w:w="5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value of</w:t>
            </w: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number of</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market or</w:t>
            </w:r>
          </w:p>
        </w:tc>
        <w:tc>
          <w:tcPr>
            <w:tcW w:w="0" w:type="dxa"/>
            <w:vAlign w:val="bottom"/>
          </w:tcPr>
          <w:p>
            <w:pPr>
              <w:spacing w:after="0"/>
              <w:rPr>
                <w:sz w:val="1"/>
                <w:szCs w:val="1"/>
                <w:color w:val="auto"/>
              </w:rPr>
            </w:pPr>
          </w:p>
        </w:tc>
      </w:tr>
      <w:tr>
        <w:trPr>
          <w:trHeight w:val="161"/>
        </w:trPr>
        <w:tc>
          <w:tcPr>
            <w:tcW w:w="1440" w:type="dxa"/>
            <w:vAlign w:val="bottom"/>
            <w:tcBorders>
              <w:left w:val="single" w:sz="8" w:color="auto"/>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securities</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underlying</w:t>
            </w:r>
          </w:p>
        </w:tc>
        <w:tc>
          <w:tcPr>
            <w:tcW w:w="40" w:type="dxa"/>
            <w:vAlign w:val="bottom"/>
          </w:tcPr>
          <w:p>
            <w:pPr>
              <w:spacing w:after="0"/>
              <w:rPr>
                <w:sz w:val="13"/>
                <w:szCs w:val="13"/>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underlying</w:t>
            </w:r>
          </w:p>
        </w:tc>
        <w:tc>
          <w:tcPr>
            <w:tcW w:w="56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 or</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 or</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unearned</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payout value of</w:t>
            </w:r>
          </w:p>
        </w:tc>
        <w:tc>
          <w:tcPr>
            <w:tcW w:w="0" w:type="dxa"/>
            <w:vAlign w:val="bottom"/>
          </w:tcPr>
          <w:p>
            <w:pPr>
              <w:spacing w:after="0"/>
              <w:rPr>
                <w:sz w:val="1"/>
                <w:szCs w:val="1"/>
                <w:color w:val="auto"/>
              </w:rPr>
            </w:pPr>
          </w:p>
        </w:tc>
      </w:tr>
      <w:tr>
        <w:trPr>
          <w:trHeight w:val="103"/>
        </w:trPr>
        <w:tc>
          <w:tcPr>
            <w:tcW w:w="1440" w:type="dxa"/>
            <w:vAlign w:val="bottom"/>
            <w:tcBorders>
              <w:left w:val="single" w:sz="8" w:color="auto"/>
              <w:right w:val="single" w:sz="8" w:color="auto"/>
            </w:tcBorders>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b w:val="1"/>
                <w:bCs w:val="1"/>
                <w:color w:val="auto"/>
              </w:rPr>
              <w:t>underlying</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5"/>
              </w:rPr>
              <w:t>unexercised</w:t>
            </w:r>
          </w:p>
        </w:tc>
        <w:tc>
          <w:tcPr>
            <w:tcW w:w="40" w:type="dxa"/>
            <w:vAlign w:val="bottom"/>
          </w:tcPr>
          <w:p>
            <w:pPr>
              <w:spacing w:after="0"/>
              <w:rPr>
                <w:sz w:val="8"/>
                <w:szCs w:val="8"/>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5"/>
              </w:rPr>
              <w:t>unexercised</w:t>
            </w:r>
          </w:p>
        </w:tc>
        <w:tc>
          <w:tcPr>
            <w:tcW w:w="56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b w:val="1"/>
                <w:bCs w:val="1"/>
                <w:color w:val="auto"/>
              </w:rPr>
              <w:t>units of</w:t>
            </w:r>
          </w:p>
        </w:tc>
        <w:tc>
          <w:tcPr>
            <w:tcW w:w="7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b w:val="1"/>
                <w:bCs w:val="1"/>
                <w:color w:val="auto"/>
              </w:rPr>
              <w:t>units of</w:t>
            </w:r>
          </w:p>
        </w:tc>
        <w:tc>
          <w:tcPr>
            <w:tcW w:w="10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b w:val="1"/>
                <w:bCs w:val="1"/>
                <w:color w:val="auto"/>
              </w:rPr>
              <w:t>shares, units or</w:t>
            </w:r>
          </w:p>
        </w:tc>
        <w:tc>
          <w:tcPr>
            <w:tcW w:w="102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b w:val="1"/>
                <w:bCs w:val="1"/>
                <w:color w:val="auto"/>
              </w:rPr>
              <w:t>unearned</w:t>
            </w:r>
          </w:p>
        </w:tc>
        <w:tc>
          <w:tcPr>
            <w:tcW w:w="0" w:type="dxa"/>
            <w:vAlign w:val="bottom"/>
          </w:tcPr>
          <w:p>
            <w:pPr>
              <w:spacing w:after="0"/>
              <w:rPr>
                <w:sz w:val="1"/>
                <w:szCs w:val="1"/>
                <w:color w:val="auto"/>
              </w:rPr>
            </w:pPr>
          </w:p>
        </w:tc>
      </w:tr>
      <w:tr>
        <w:trPr>
          <w:trHeight w:val="79"/>
        </w:trPr>
        <w:tc>
          <w:tcPr>
            <w:tcW w:w="144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vMerge w:val="restart"/>
          </w:tcPr>
          <w:p>
            <w:pPr>
              <w:jc w:val="center"/>
              <w:spacing w:after="0" w:line="138" w:lineRule="exact"/>
              <w:rPr>
                <w:sz w:val="20"/>
                <w:szCs w:val="20"/>
                <w:color w:val="auto"/>
              </w:rPr>
            </w:pPr>
            <w:r>
              <w:rPr>
                <w:rFonts w:ascii="Arial" w:cs="Arial" w:eastAsia="Arial" w:hAnsi="Arial"/>
                <w:sz w:val="14"/>
                <w:szCs w:val="14"/>
                <w:b w:val="1"/>
                <w:bCs w:val="1"/>
                <w:color w:val="auto"/>
                <w:w w:val="85"/>
              </w:rPr>
              <w:t>unexercised</w:t>
            </w:r>
          </w:p>
        </w:tc>
        <w:tc>
          <w:tcPr>
            <w:tcW w:w="90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tcBorders>
              <w:right w:val="single" w:sz="8" w:color="auto"/>
            </w:tcBorders>
            <w:vMerge w:val="continue"/>
          </w:tcPr>
          <w:p>
            <w:pPr>
              <w:spacing w:after="0"/>
              <w:rPr>
                <w:sz w:val="6"/>
                <w:szCs w:val="6"/>
                <w:color w:val="auto"/>
              </w:rPr>
            </w:pPr>
          </w:p>
        </w:tc>
        <w:tc>
          <w:tcPr>
            <w:tcW w:w="560" w:type="dxa"/>
            <w:vAlign w:val="bottom"/>
            <w:tcBorders>
              <w:right w:val="single" w:sz="8" w:color="auto"/>
            </w:tcBorders>
            <w:vMerge w:val="restart"/>
          </w:tcPr>
          <w:p>
            <w:pPr>
              <w:jc w:val="center"/>
              <w:spacing w:after="0" w:line="138" w:lineRule="exact"/>
              <w:rPr>
                <w:sz w:val="20"/>
                <w:szCs w:val="20"/>
                <w:color w:val="auto"/>
              </w:rPr>
            </w:pPr>
            <w:r>
              <w:rPr>
                <w:rFonts w:ascii="Arial" w:cs="Arial" w:eastAsia="Arial" w:hAnsi="Arial"/>
                <w:sz w:val="14"/>
                <w:szCs w:val="14"/>
                <w:b w:val="1"/>
                <w:bCs w:val="1"/>
                <w:color w:val="auto"/>
                <w:w w:val="93"/>
              </w:rPr>
              <w:t>Option</w:t>
            </w:r>
          </w:p>
        </w:tc>
        <w:tc>
          <w:tcPr>
            <w:tcW w:w="740" w:type="dxa"/>
            <w:vAlign w:val="bottom"/>
            <w:tcBorders>
              <w:right w:val="single" w:sz="8" w:color="auto"/>
            </w:tcBorders>
          </w:tcPr>
          <w:p>
            <w:pPr>
              <w:spacing w:after="0"/>
              <w:rPr>
                <w:sz w:val="6"/>
                <w:szCs w:val="6"/>
                <w:color w:val="auto"/>
              </w:rPr>
            </w:pPr>
          </w:p>
        </w:tc>
        <w:tc>
          <w:tcPr>
            <w:tcW w:w="700" w:type="dxa"/>
            <w:vAlign w:val="bottom"/>
            <w:tcBorders>
              <w:right w:val="single" w:sz="8" w:color="auto"/>
            </w:tcBorders>
            <w:vMerge w:val="restart"/>
          </w:tcPr>
          <w:p>
            <w:pPr>
              <w:jc w:val="center"/>
              <w:spacing w:after="0" w:line="138" w:lineRule="exact"/>
              <w:rPr>
                <w:sz w:val="20"/>
                <w:szCs w:val="20"/>
                <w:color w:val="auto"/>
              </w:rPr>
            </w:pPr>
            <w:r>
              <w:rPr>
                <w:rFonts w:ascii="Arial" w:cs="Arial" w:eastAsia="Arial" w:hAnsi="Arial"/>
                <w:sz w:val="14"/>
                <w:szCs w:val="14"/>
                <w:b w:val="1"/>
                <w:bCs w:val="1"/>
                <w:color w:val="auto"/>
                <w:w w:val="87"/>
              </w:rPr>
              <w:t>stock that</w:t>
            </w:r>
          </w:p>
        </w:tc>
        <w:tc>
          <w:tcPr>
            <w:tcW w:w="700" w:type="dxa"/>
            <w:vAlign w:val="bottom"/>
            <w:tcBorders>
              <w:right w:val="single" w:sz="8" w:color="auto"/>
            </w:tcBorders>
            <w:vMerge w:val="restart"/>
          </w:tcPr>
          <w:p>
            <w:pPr>
              <w:jc w:val="center"/>
              <w:spacing w:after="0" w:line="138" w:lineRule="exact"/>
              <w:rPr>
                <w:sz w:val="20"/>
                <w:szCs w:val="20"/>
                <w:color w:val="auto"/>
              </w:rPr>
            </w:pPr>
            <w:r>
              <w:rPr>
                <w:rFonts w:ascii="Arial" w:cs="Arial" w:eastAsia="Arial" w:hAnsi="Arial"/>
                <w:sz w:val="14"/>
                <w:szCs w:val="14"/>
                <w:b w:val="1"/>
                <w:bCs w:val="1"/>
                <w:color w:val="auto"/>
                <w:w w:val="87"/>
              </w:rPr>
              <w:t>stock that</w:t>
            </w:r>
          </w:p>
        </w:tc>
        <w:tc>
          <w:tcPr>
            <w:tcW w:w="1000" w:type="dxa"/>
            <w:vAlign w:val="bottom"/>
            <w:tcBorders>
              <w:right w:val="single" w:sz="8" w:color="auto"/>
            </w:tcBorders>
            <w:vMerge w:val="restart"/>
          </w:tcPr>
          <w:p>
            <w:pPr>
              <w:jc w:val="center"/>
              <w:spacing w:after="0" w:line="138" w:lineRule="exact"/>
              <w:rPr>
                <w:sz w:val="20"/>
                <w:szCs w:val="20"/>
                <w:color w:val="auto"/>
              </w:rPr>
            </w:pPr>
            <w:r>
              <w:rPr>
                <w:rFonts w:ascii="Arial" w:cs="Arial" w:eastAsia="Arial" w:hAnsi="Arial"/>
                <w:sz w:val="14"/>
                <w:szCs w:val="14"/>
                <w:b w:val="1"/>
                <w:bCs w:val="1"/>
                <w:color w:val="auto"/>
                <w:w w:val="89"/>
              </w:rPr>
              <w:t>other rights</w:t>
            </w:r>
          </w:p>
        </w:tc>
        <w:tc>
          <w:tcPr>
            <w:tcW w:w="1020" w:type="dxa"/>
            <w:vAlign w:val="bottom"/>
            <w:tcBorders>
              <w:right w:val="single" w:sz="8" w:color="auto"/>
            </w:tcBorders>
            <w:vMerge w:val="restart"/>
          </w:tcPr>
          <w:p>
            <w:pPr>
              <w:jc w:val="center"/>
              <w:spacing w:after="0" w:line="138" w:lineRule="exact"/>
              <w:rPr>
                <w:sz w:val="20"/>
                <w:szCs w:val="20"/>
                <w:color w:val="auto"/>
              </w:rPr>
            </w:pPr>
            <w:r>
              <w:rPr>
                <w:rFonts w:ascii="Arial" w:cs="Arial" w:eastAsia="Arial" w:hAnsi="Arial"/>
                <w:sz w:val="14"/>
                <w:szCs w:val="14"/>
                <w:b w:val="1"/>
                <w:bCs w:val="1"/>
                <w:color w:val="auto"/>
                <w:w w:val="86"/>
              </w:rPr>
              <w:t>shares, units or</w:t>
            </w:r>
          </w:p>
        </w:tc>
        <w:tc>
          <w:tcPr>
            <w:tcW w:w="0" w:type="dxa"/>
            <w:vAlign w:val="bottom"/>
          </w:tcPr>
          <w:p>
            <w:pPr>
              <w:spacing w:after="0"/>
              <w:rPr>
                <w:sz w:val="1"/>
                <w:szCs w:val="1"/>
                <w:color w:val="auto"/>
              </w:rPr>
            </w:pPr>
          </w:p>
        </w:tc>
      </w:tr>
      <w:tr>
        <w:trPr>
          <w:trHeight w:val="58"/>
        </w:trPr>
        <w:tc>
          <w:tcPr>
            <w:tcW w:w="1440" w:type="dxa"/>
            <w:vAlign w:val="bottom"/>
            <w:tcBorders>
              <w:left w:val="single" w:sz="8" w:color="auto"/>
              <w:right w:val="single" w:sz="8" w:color="auto"/>
            </w:tcBorders>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2"/>
              </w:rPr>
              <w:t>options</w:t>
            </w:r>
          </w:p>
        </w:tc>
        <w:tc>
          <w:tcPr>
            <w:tcW w:w="40" w:type="dxa"/>
            <w:vAlign w:val="bottom"/>
          </w:tcPr>
          <w:p>
            <w:pPr>
              <w:spacing w:after="0"/>
              <w:rPr>
                <w:sz w:val="5"/>
                <w:szCs w:val="5"/>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5"/>
              </w:rPr>
              <w:t>unearned</w:t>
            </w:r>
          </w:p>
        </w:tc>
        <w:tc>
          <w:tcPr>
            <w:tcW w:w="56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1440" w:type="dxa"/>
            <w:vAlign w:val="bottom"/>
            <w:tcBorders>
              <w:left w:val="single" w:sz="8" w:color="auto"/>
              <w:right w:val="single" w:sz="8" w:color="auto"/>
            </w:tcBorders>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vMerge w:val="restart"/>
          </w:tcPr>
          <w:p>
            <w:pPr>
              <w:jc w:val="center"/>
              <w:spacing w:after="0" w:line="138" w:lineRule="exact"/>
              <w:rPr>
                <w:sz w:val="20"/>
                <w:szCs w:val="20"/>
                <w:color w:val="auto"/>
              </w:rPr>
            </w:pPr>
            <w:r>
              <w:rPr>
                <w:rFonts w:ascii="Arial" w:cs="Arial" w:eastAsia="Arial" w:hAnsi="Arial"/>
                <w:sz w:val="14"/>
                <w:szCs w:val="14"/>
                <w:b w:val="1"/>
                <w:bCs w:val="1"/>
                <w:color w:val="auto"/>
                <w:w w:val="82"/>
              </w:rPr>
              <w:t>options</w:t>
            </w:r>
          </w:p>
        </w:tc>
        <w:tc>
          <w:tcPr>
            <w:tcW w:w="900" w:type="dxa"/>
            <w:vAlign w:val="bottom"/>
            <w:tcBorders>
              <w:right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560" w:type="dxa"/>
            <w:vAlign w:val="bottom"/>
            <w:tcBorders>
              <w:right w:val="single" w:sz="8" w:color="auto"/>
            </w:tcBorders>
            <w:vMerge w:val="restart"/>
          </w:tcPr>
          <w:p>
            <w:pPr>
              <w:jc w:val="center"/>
              <w:spacing w:after="0" w:line="138" w:lineRule="exact"/>
              <w:rPr>
                <w:sz w:val="20"/>
                <w:szCs w:val="20"/>
                <w:color w:val="auto"/>
              </w:rPr>
            </w:pPr>
            <w:r>
              <w:rPr>
                <w:rFonts w:ascii="Arial" w:cs="Arial" w:eastAsia="Arial" w:hAnsi="Arial"/>
                <w:sz w:val="14"/>
                <w:szCs w:val="14"/>
                <w:b w:val="1"/>
                <w:bCs w:val="1"/>
                <w:color w:val="auto"/>
                <w:w w:val="81"/>
              </w:rPr>
              <w:t>exercise</w:t>
            </w:r>
          </w:p>
        </w:tc>
        <w:tc>
          <w:tcPr>
            <w:tcW w:w="740" w:type="dxa"/>
            <w:vAlign w:val="bottom"/>
            <w:tcBorders>
              <w:right w:val="single" w:sz="8" w:color="auto"/>
            </w:tcBorders>
            <w:vMerge w:val="restart"/>
          </w:tcPr>
          <w:p>
            <w:pPr>
              <w:jc w:val="center"/>
              <w:ind w:right="31"/>
              <w:spacing w:after="0" w:line="138" w:lineRule="exact"/>
              <w:rPr>
                <w:sz w:val="20"/>
                <w:szCs w:val="20"/>
                <w:color w:val="auto"/>
              </w:rPr>
            </w:pPr>
            <w:r>
              <w:rPr>
                <w:rFonts w:ascii="Arial" w:cs="Arial" w:eastAsia="Arial" w:hAnsi="Arial"/>
                <w:sz w:val="14"/>
                <w:szCs w:val="14"/>
                <w:b w:val="1"/>
                <w:bCs w:val="1"/>
                <w:color w:val="auto"/>
                <w:w w:val="88"/>
              </w:rPr>
              <w:t>Option</w:t>
            </w:r>
          </w:p>
        </w:tc>
        <w:tc>
          <w:tcPr>
            <w:tcW w:w="700" w:type="dxa"/>
            <w:vAlign w:val="bottom"/>
            <w:tcBorders>
              <w:right w:val="single" w:sz="8" w:color="auto"/>
            </w:tcBorders>
            <w:vMerge w:val="restart"/>
          </w:tcPr>
          <w:p>
            <w:pPr>
              <w:jc w:val="center"/>
              <w:spacing w:after="0" w:line="138" w:lineRule="exact"/>
              <w:rPr>
                <w:sz w:val="20"/>
                <w:szCs w:val="20"/>
                <w:color w:val="auto"/>
              </w:rPr>
            </w:pPr>
            <w:r>
              <w:rPr>
                <w:rFonts w:ascii="Arial" w:cs="Arial" w:eastAsia="Arial" w:hAnsi="Arial"/>
                <w:sz w:val="14"/>
                <w:szCs w:val="14"/>
                <w:b w:val="1"/>
                <w:bCs w:val="1"/>
                <w:color w:val="auto"/>
                <w:w w:val="86"/>
              </w:rPr>
              <w:t>have not</w:t>
            </w:r>
          </w:p>
        </w:tc>
        <w:tc>
          <w:tcPr>
            <w:tcW w:w="700" w:type="dxa"/>
            <w:vAlign w:val="bottom"/>
            <w:tcBorders>
              <w:right w:val="single" w:sz="8" w:color="auto"/>
            </w:tcBorders>
            <w:vMerge w:val="restart"/>
          </w:tcPr>
          <w:p>
            <w:pPr>
              <w:jc w:val="center"/>
              <w:spacing w:after="0" w:line="138" w:lineRule="exact"/>
              <w:rPr>
                <w:sz w:val="20"/>
                <w:szCs w:val="20"/>
                <w:color w:val="auto"/>
              </w:rPr>
            </w:pPr>
            <w:r>
              <w:rPr>
                <w:rFonts w:ascii="Arial" w:cs="Arial" w:eastAsia="Arial" w:hAnsi="Arial"/>
                <w:sz w:val="14"/>
                <w:szCs w:val="14"/>
                <w:b w:val="1"/>
                <w:bCs w:val="1"/>
                <w:color w:val="auto"/>
                <w:w w:val="86"/>
              </w:rPr>
              <w:t>have not</w:t>
            </w:r>
          </w:p>
        </w:tc>
        <w:tc>
          <w:tcPr>
            <w:tcW w:w="1000" w:type="dxa"/>
            <w:vAlign w:val="bottom"/>
            <w:tcBorders>
              <w:right w:val="single" w:sz="8" w:color="auto"/>
            </w:tcBorders>
            <w:vMerge w:val="restart"/>
          </w:tcPr>
          <w:p>
            <w:pPr>
              <w:jc w:val="center"/>
              <w:spacing w:after="0" w:line="138" w:lineRule="exact"/>
              <w:rPr>
                <w:sz w:val="20"/>
                <w:szCs w:val="20"/>
                <w:color w:val="auto"/>
              </w:rPr>
            </w:pPr>
            <w:r>
              <w:rPr>
                <w:rFonts w:ascii="Arial" w:cs="Arial" w:eastAsia="Arial" w:hAnsi="Arial"/>
                <w:sz w:val="14"/>
                <w:szCs w:val="14"/>
                <w:b w:val="1"/>
                <w:bCs w:val="1"/>
                <w:color w:val="auto"/>
                <w:w w:val="89"/>
              </w:rPr>
              <w:t>that have not</w:t>
            </w:r>
          </w:p>
        </w:tc>
        <w:tc>
          <w:tcPr>
            <w:tcW w:w="1020" w:type="dxa"/>
            <w:vAlign w:val="bottom"/>
            <w:tcBorders>
              <w:right w:val="single" w:sz="8" w:color="auto"/>
            </w:tcBorders>
            <w:vMerge w:val="restart"/>
          </w:tcPr>
          <w:p>
            <w:pPr>
              <w:jc w:val="center"/>
              <w:spacing w:after="0" w:line="138" w:lineRule="exact"/>
              <w:rPr>
                <w:sz w:val="20"/>
                <w:szCs w:val="20"/>
                <w:color w:val="auto"/>
              </w:rPr>
            </w:pPr>
            <w:r>
              <w:rPr>
                <w:rFonts w:ascii="Arial" w:cs="Arial" w:eastAsia="Arial" w:hAnsi="Arial"/>
                <w:sz w:val="14"/>
                <w:szCs w:val="14"/>
                <w:b w:val="1"/>
                <w:bCs w:val="1"/>
                <w:color w:val="auto"/>
                <w:w w:val="89"/>
              </w:rPr>
              <w:t>other rights that</w:t>
            </w:r>
          </w:p>
        </w:tc>
        <w:tc>
          <w:tcPr>
            <w:tcW w:w="0" w:type="dxa"/>
            <w:vAlign w:val="bottom"/>
          </w:tcPr>
          <w:p>
            <w:pPr>
              <w:spacing w:after="0"/>
              <w:rPr>
                <w:sz w:val="1"/>
                <w:szCs w:val="1"/>
                <w:color w:val="auto"/>
              </w:rPr>
            </w:pPr>
          </w:p>
        </w:tc>
      </w:tr>
      <w:tr>
        <w:trPr>
          <w:trHeight w:val="35"/>
        </w:trPr>
        <w:tc>
          <w:tcPr>
            <w:tcW w:w="1440" w:type="dxa"/>
            <w:vAlign w:val="bottom"/>
            <w:tcBorders>
              <w:left w:val="single" w:sz="8" w:color="auto"/>
              <w:right w:val="single" w:sz="8" w:color="auto"/>
            </w:tcBorders>
          </w:tcPr>
          <w:p>
            <w:pPr>
              <w:spacing w:after="0"/>
              <w:rPr>
                <w:sz w:val="3"/>
                <w:szCs w:val="3"/>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Grant</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Grant</w:t>
            </w:r>
          </w:p>
        </w:tc>
        <w:tc>
          <w:tcPr>
            <w:tcW w:w="800" w:type="dxa"/>
            <w:vAlign w:val="bottom"/>
            <w:tcBorders>
              <w:right w:val="single" w:sz="8" w:color="auto"/>
            </w:tcBorders>
            <w:vMerge w:val="continue"/>
          </w:tcPr>
          <w:p>
            <w:pPr>
              <w:spacing w:after="0"/>
              <w:rPr>
                <w:sz w:val="3"/>
                <w:szCs w:val="3"/>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3"/>
                <w:szCs w:val="3"/>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2"/>
              </w:rPr>
              <w:t>options</w:t>
            </w:r>
          </w:p>
        </w:tc>
        <w:tc>
          <w:tcPr>
            <w:tcW w:w="56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700" w:type="dxa"/>
            <w:vAlign w:val="bottom"/>
            <w:tcBorders>
              <w:right w:val="single" w:sz="8" w:color="auto"/>
            </w:tcBorders>
            <w:vMerge w:val="continue"/>
          </w:tcPr>
          <w:p>
            <w:pPr>
              <w:spacing w:after="0"/>
              <w:rPr>
                <w:sz w:val="3"/>
                <w:szCs w:val="3"/>
                <w:color w:val="auto"/>
              </w:rPr>
            </w:pPr>
          </w:p>
        </w:tc>
        <w:tc>
          <w:tcPr>
            <w:tcW w:w="700" w:type="dxa"/>
            <w:vAlign w:val="bottom"/>
            <w:tcBorders>
              <w:right w:val="single" w:sz="8" w:color="auto"/>
            </w:tcBorders>
            <w:vMerge w:val="continue"/>
          </w:tcPr>
          <w:p>
            <w:pPr>
              <w:spacing w:after="0"/>
              <w:rPr>
                <w:sz w:val="3"/>
                <w:szCs w:val="3"/>
                <w:color w:val="auto"/>
              </w:rPr>
            </w:pPr>
          </w:p>
        </w:tc>
        <w:tc>
          <w:tcPr>
            <w:tcW w:w="100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8"/>
        </w:trPr>
        <w:tc>
          <w:tcPr>
            <w:tcW w:w="1440" w:type="dxa"/>
            <w:vAlign w:val="bottom"/>
            <w:tcBorders>
              <w:left w:val="single" w:sz="8" w:color="auto"/>
              <w:right w:val="single" w:sz="8" w:color="auto"/>
            </w:tcBorders>
            <w:vMerge w:val="restart"/>
          </w:tcPr>
          <w:p>
            <w:pPr>
              <w:ind w:left="560"/>
              <w:spacing w:after="0"/>
              <w:rPr>
                <w:sz w:val="20"/>
                <w:szCs w:val="20"/>
                <w:color w:val="auto"/>
              </w:rPr>
            </w:pPr>
            <w:r>
              <w:rPr>
                <w:rFonts w:ascii="Arial" w:cs="Arial" w:eastAsia="Arial" w:hAnsi="Arial"/>
                <w:sz w:val="14"/>
                <w:szCs w:val="14"/>
                <w:b w:val="1"/>
                <w:bCs w:val="1"/>
                <w:color w:val="auto"/>
              </w:rPr>
              <w:t>Name</w:t>
            </w:r>
          </w:p>
        </w:tc>
        <w:tc>
          <w:tcPr>
            <w:tcW w:w="64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vMerge w:val="continue"/>
          </w:tcPr>
          <w:p>
            <w:pPr>
              <w:spacing w:after="0"/>
              <w:rPr>
                <w:sz w:val="11"/>
                <w:szCs w:val="11"/>
                <w:color w:val="auto"/>
              </w:rPr>
            </w:pPr>
          </w:p>
        </w:tc>
        <w:tc>
          <w:tcPr>
            <w:tcW w:w="8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4"/>
                <w:szCs w:val="14"/>
                <w:b w:val="1"/>
                <w:bCs w:val="1"/>
                <w:color w:val="auto"/>
                <w:w w:val="93"/>
              </w:rPr>
              <w:t>(#)</w:t>
            </w:r>
          </w:p>
        </w:tc>
        <w:tc>
          <w:tcPr>
            <w:tcW w:w="90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5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4"/>
                <w:szCs w:val="14"/>
                <w:b w:val="1"/>
                <w:bCs w:val="1"/>
                <w:color w:val="auto"/>
                <w:w w:val="89"/>
              </w:rPr>
              <w:t>price</w:t>
            </w:r>
          </w:p>
        </w:tc>
        <w:tc>
          <w:tcPr>
            <w:tcW w:w="740" w:type="dxa"/>
            <w:vAlign w:val="bottom"/>
            <w:tcBorders>
              <w:right w:val="single" w:sz="8" w:color="auto"/>
            </w:tcBorders>
          </w:tcPr>
          <w:p>
            <w:pPr>
              <w:jc w:val="center"/>
              <w:ind w:right="31"/>
              <w:spacing w:after="0" w:line="138" w:lineRule="exact"/>
              <w:rPr>
                <w:sz w:val="20"/>
                <w:szCs w:val="20"/>
                <w:color w:val="auto"/>
              </w:rPr>
            </w:pPr>
            <w:r>
              <w:rPr>
                <w:rFonts w:ascii="Arial" w:cs="Arial" w:eastAsia="Arial" w:hAnsi="Arial"/>
                <w:sz w:val="14"/>
                <w:szCs w:val="14"/>
                <w:b w:val="1"/>
                <w:bCs w:val="1"/>
                <w:color w:val="auto"/>
                <w:w w:val="89"/>
              </w:rPr>
              <w:t>expiration</w:t>
            </w:r>
          </w:p>
        </w:tc>
        <w:tc>
          <w:tcPr>
            <w:tcW w:w="7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4"/>
                <w:szCs w:val="14"/>
                <w:b w:val="1"/>
                <w:bCs w:val="1"/>
                <w:color w:val="auto"/>
                <w:w w:val="81"/>
              </w:rPr>
              <w:t>vested</w:t>
            </w:r>
          </w:p>
        </w:tc>
        <w:tc>
          <w:tcPr>
            <w:tcW w:w="7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4"/>
                <w:szCs w:val="14"/>
                <w:b w:val="1"/>
                <w:bCs w:val="1"/>
                <w:color w:val="auto"/>
                <w:w w:val="81"/>
              </w:rPr>
              <w:t>vested</w:t>
            </w:r>
          </w:p>
        </w:tc>
        <w:tc>
          <w:tcPr>
            <w:tcW w:w="10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4"/>
                <w:szCs w:val="14"/>
                <w:b w:val="1"/>
                <w:bCs w:val="1"/>
                <w:color w:val="auto"/>
                <w:w w:val="81"/>
              </w:rPr>
              <w:t>vested</w:t>
            </w:r>
          </w:p>
        </w:tc>
        <w:tc>
          <w:tcPr>
            <w:tcW w:w="10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4"/>
                <w:szCs w:val="14"/>
                <w:b w:val="1"/>
                <w:bCs w:val="1"/>
                <w:color w:val="auto"/>
                <w:w w:val="85"/>
              </w:rPr>
              <w:t>have not vested</w:t>
            </w:r>
          </w:p>
        </w:tc>
        <w:tc>
          <w:tcPr>
            <w:tcW w:w="0" w:type="dxa"/>
            <w:vAlign w:val="bottom"/>
          </w:tcPr>
          <w:p>
            <w:pPr>
              <w:spacing w:after="0"/>
              <w:rPr>
                <w:sz w:val="1"/>
                <w:szCs w:val="1"/>
                <w:color w:val="auto"/>
              </w:rPr>
            </w:pPr>
          </w:p>
        </w:tc>
      </w:tr>
      <w:tr>
        <w:trPr>
          <w:trHeight w:val="186"/>
        </w:trPr>
        <w:tc>
          <w:tcPr>
            <w:tcW w:w="144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exercisable</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unexercisable</w:t>
            </w:r>
          </w:p>
        </w:tc>
        <w:tc>
          <w:tcPr>
            <w:tcW w:w="4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740" w:type="dxa"/>
            <w:vAlign w:val="bottom"/>
            <w:tcBorders>
              <w:bottom w:val="single" w:sz="8" w:color="auto"/>
              <w:right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3"/>
              </w:rPr>
              <w:t>date</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60"/>
        </w:trPr>
        <w:tc>
          <w:tcPr>
            <w:tcW w:w="1440" w:type="dxa"/>
            <w:vAlign w:val="bottom"/>
            <w:tcBorders>
              <w:left w:val="single" w:sz="8" w:color="auto"/>
              <w:bottom w:val="single" w:sz="8" w:color="CCEEFF"/>
              <w:right w:val="single" w:sz="8" w:color="auto"/>
            </w:tcBorders>
            <w:vMerge w:val="restart"/>
            <w:shd w:val="clear" w:color="auto" w:fill="CCEEFF"/>
          </w:tcPr>
          <w:p>
            <w:pPr>
              <w:ind w:left="40"/>
              <w:spacing w:after="0"/>
              <w:rPr>
                <w:sz w:val="20"/>
                <w:szCs w:val="20"/>
                <w:color w:val="auto"/>
              </w:rPr>
            </w:pPr>
            <w:r>
              <w:rPr>
                <w:rFonts w:ascii="Arial" w:cs="Arial" w:eastAsia="Arial" w:hAnsi="Arial"/>
                <w:sz w:val="14"/>
                <w:szCs w:val="14"/>
                <w:color w:val="auto"/>
              </w:rPr>
              <w:t>Robert Lisy</w:t>
            </w:r>
          </w:p>
        </w:tc>
        <w:tc>
          <w:tcPr>
            <w:tcW w:w="6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6"/>
              </w:rPr>
              <w:t>7/26/2018</w:t>
            </w:r>
          </w:p>
        </w:tc>
        <w:tc>
          <w:tcPr>
            <w:tcW w:w="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Option Award</w:t>
            </w:r>
          </w:p>
        </w:tc>
        <w:tc>
          <w:tcPr>
            <w:tcW w:w="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6"/>
              </w:rPr>
              <w:t>497,911</w:t>
            </w: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6"/>
              </w:rPr>
              <w:t>297,476</w:t>
            </w:r>
          </w:p>
        </w:tc>
        <w:tc>
          <w:tcPr>
            <w:tcW w:w="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5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5"/>
              </w:rPr>
              <w:t>$9.91</w:t>
            </w:r>
          </w:p>
        </w:tc>
        <w:tc>
          <w:tcPr>
            <w:tcW w:w="740" w:type="dxa"/>
            <w:vAlign w:val="bottom"/>
            <w:tcBorders>
              <w:bottom w:val="single" w:sz="8" w:color="CCEEFF"/>
              <w:right w:val="single" w:sz="8" w:color="auto"/>
            </w:tcBorders>
            <w:shd w:val="clear" w:color="auto" w:fill="CCEEFF"/>
          </w:tcPr>
          <w:p>
            <w:pPr>
              <w:jc w:val="center"/>
              <w:ind w:right="31"/>
              <w:spacing w:after="0"/>
              <w:rPr>
                <w:sz w:val="20"/>
                <w:szCs w:val="20"/>
                <w:color w:val="auto"/>
              </w:rPr>
            </w:pPr>
            <w:r>
              <w:rPr>
                <w:rFonts w:ascii="Arial" w:cs="Arial" w:eastAsia="Arial" w:hAnsi="Arial"/>
                <w:sz w:val="14"/>
                <w:szCs w:val="14"/>
                <w:color w:val="auto"/>
                <w:w w:val="89"/>
              </w:rPr>
              <w:t>7/26/2028</w:t>
            </w:r>
          </w:p>
        </w:tc>
        <w:tc>
          <w:tcPr>
            <w:tcW w:w="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49"/>
        </w:trPr>
        <w:tc>
          <w:tcPr>
            <w:tcW w:w="1440" w:type="dxa"/>
            <w:vAlign w:val="bottom"/>
            <w:tcBorders>
              <w:top w:val="single" w:sz="8" w:color="CCEEFF"/>
              <w:left w:val="single" w:sz="8" w:color="auto"/>
              <w:right w:val="single" w:sz="8" w:color="auto"/>
            </w:tcBorders>
            <w:vMerge w:val="continue"/>
            <w:shd w:val="clear" w:color="auto" w:fill="CCEEFF"/>
          </w:tcPr>
          <w:p>
            <w:pPr>
              <w:spacing w:after="0"/>
              <w:rPr>
                <w:sz w:val="4"/>
                <w:szCs w:val="4"/>
                <w:color w:val="auto"/>
              </w:rPr>
            </w:pPr>
          </w:p>
        </w:tc>
        <w:tc>
          <w:tcPr>
            <w:tcW w:w="64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3/4/2021</w:t>
            </w:r>
          </w:p>
        </w:tc>
        <w:tc>
          <w:tcPr>
            <w:tcW w:w="84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RSA</w:t>
            </w:r>
          </w:p>
        </w:tc>
        <w:tc>
          <w:tcPr>
            <w:tcW w:w="80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40" w:type="dxa"/>
            <w:vAlign w:val="bottom"/>
            <w:tcBorders>
              <w:top w:val="single" w:sz="8" w:color="auto"/>
            </w:tcBorders>
            <w:shd w:val="clear" w:color="auto" w:fill="CCEEFF"/>
          </w:tcPr>
          <w:p>
            <w:pPr>
              <w:spacing w:after="0"/>
              <w:rPr>
                <w:sz w:val="4"/>
                <w:szCs w:val="4"/>
                <w:color w:val="auto"/>
              </w:rPr>
            </w:pPr>
          </w:p>
        </w:tc>
        <w:tc>
          <w:tcPr>
            <w:tcW w:w="96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56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top w:val="single" w:sz="8" w:color="auto"/>
              <w:right w:val="single" w:sz="8" w:color="auto"/>
            </w:tcBorders>
            <w:vMerge w:val="restart"/>
            <w:shd w:val="clear" w:color="auto" w:fill="CCEEFF"/>
          </w:tcPr>
          <w:p>
            <w:pPr>
              <w:jc w:val="center"/>
              <w:ind w:right="51"/>
              <w:spacing w:after="0"/>
              <w:rPr>
                <w:sz w:val="20"/>
                <w:szCs w:val="20"/>
                <w:color w:val="auto"/>
              </w:rPr>
            </w:pPr>
            <w:r>
              <w:rPr>
                <w:rFonts w:ascii="Arial" w:cs="Arial" w:eastAsia="Arial" w:hAnsi="Arial"/>
                <w:sz w:val="14"/>
                <w:szCs w:val="14"/>
                <w:color w:val="auto"/>
                <w:w w:val="99"/>
              </w:rPr>
              <w:t>—</w:t>
            </w:r>
          </w:p>
        </w:tc>
        <w:tc>
          <w:tcPr>
            <w:tcW w:w="70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88,215</w:t>
            </w:r>
          </w:p>
        </w:tc>
        <w:tc>
          <w:tcPr>
            <w:tcW w:w="70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$1,407,911</w:t>
            </w:r>
          </w:p>
        </w:tc>
        <w:tc>
          <w:tcPr>
            <w:tcW w:w="100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8"/>
        </w:trPr>
        <w:tc>
          <w:tcPr>
            <w:tcW w:w="1440" w:type="dxa"/>
            <w:vAlign w:val="bottom"/>
            <w:tcBorders>
              <w:left w:val="single" w:sz="8" w:color="auto"/>
              <w:right w:val="single" w:sz="8" w:color="auto"/>
            </w:tcBorders>
            <w:shd w:val="clear" w:color="auto" w:fill="CCEEFF"/>
          </w:tcPr>
          <w:p>
            <w:pPr>
              <w:ind w:left="40"/>
              <w:spacing w:after="0" w:line="138" w:lineRule="exact"/>
              <w:rPr>
                <w:sz w:val="20"/>
                <w:szCs w:val="20"/>
                <w:color w:val="auto"/>
              </w:rPr>
            </w:pPr>
            <w:r>
              <w:rPr>
                <w:rFonts w:ascii="Arial" w:cs="Arial" w:eastAsia="Arial" w:hAnsi="Arial"/>
                <w:sz w:val="14"/>
                <w:szCs w:val="14"/>
                <w:i w:val="1"/>
                <w:iCs w:val="1"/>
                <w:color w:val="auto"/>
                <w:w w:val="95"/>
              </w:rPr>
              <w:t>Chief Executive Officer</w:t>
            </w:r>
          </w:p>
        </w:tc>
        <w:tc>
          <w:tcPr>
            <w:tcW w:w="640" w:type="dxa"/>
            <w:vAlign w:val="bottom"/>
            <w:tcBorders>
              <w:right w:val="single" w:sz="8" w:color="auto"/>
            </w:tcBorders>
            <w:vMerge w:val="continue"/>
            <w:shd w:val="clear" w:color="auto" w:fill="CCEEFF"/>
          </w:tcPr>
          <w:p>
            <w:pPr>
              <w:spacing w:after="0"/>
              <w:rPr>
                <w:sz w:val="11"/>
                <w:szCs w:val="11"/>
                <w:color w:val="auto"/>
              </w:rPr>
            </w:pPr>
          </w:p>
        </w:tc>
        <w:tc>
          <w:tcPr>
            <w:tcW w:w="840" w:type="dxa"/>
            <w:vAlign w:val="bottom"/>
            <w:tcBorders>
              <w:right w:val="single" w:sz="8" w:color="auto"/>
            </w:tcBorders>
            <w:vMerge w:val="continue"/>
            <w:shd w:val="clear" w:color="auto" w:fill="CCEEFF"/>
          </w:tcPr>
          <w:p>
            <w:pPr>
              <w:spacing w:after="0"/>
              <w:rPr>
                <w:sz w:val="11"/>
                <w:szCs w:val="11"/>
                <w:color w:val="auto"/>
              </w:rPr>
            </w:pPr>
          </w:p>
        </w:tc>
        <w:tc>
          <w:tcPr>
            <w:tcW w:w="800" w:type="dxa"/>
            <w:vAlign w:val="bottom"/>
            <w:tcBorders>
              <w:right w:val="single" w:sz="8" w:color="auto"/>
            </w:tcBorders>
            <w:vMerge w:val="continue"/>
            <w:shd w:val="clear" w:color="auto" w:fill="CCEEFF"/>
          </w:tcPr>
          <w:p>
            <w:pPr>
              <w:spacing w:after="0"/>
              <w:rPr>
                <w:sz w:val="11"/>
                <w:szCs w:val="11"/>
                <w:color w:val="auto"/>
              </w:rPr>
            </w:pPr>
          </w:p>
        </w:tc>
        <w:tc>
          <w:tcPr>
            <w:tcW w:w="900" w:type="dxa"/>
            <w:vAlign w:val="bottom"/>
            <w:tcBorders>
              <w:right w:val="single" w:sz="8" w:color="auto"/>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60" w:type="dxa"/>
            <w:vAlign w:val="bottom"/>
            <w:tcBorders>
              <w:right w:val="single" w:sz="8" w:color="auto"/>
            </w:tcBorders>
            <w:vMerge w:val="continue"/>
            <w:shd w:val="clear" w:color="auto" w:fill="CCEEFF"/>
          </w:tcPr>
          <w:p>
            <w:pPr>
              <w:spacing w:after="0"/>
              <w:rPr>
                <w:sz w:val="11"/>
                <w:szCs w:val="11"/>
                <w:color w:val="auto"/>
              </w:rPr>
            </w:pPr>
          </w:p>
        </w:tc>
        <w:tc>
          <w:tcPr>
            <w:tcW w:w="560" w:type="dxa"/>
            <w:vAlign w:val="bottom"/>
            <w:tcBorders>
              <w:right w:val="single" w:sz="8" w:color="auto"/>
            </w:tcBorders>
            <w:vMerge w:val="continue"/>
            <w:shd w:val="clear" w:color="auto" w:fill="CCEEFF"/>
          </w:tcPr>
          <w:p>
            <w:pPr>
              <w:spacing w:after="0"/>
              <w:rPr>
                <w:sz w:val="11"/>
                <w:szCs w:val="11"/>
                <w:color w:val="auto"/>
              </w:rPr>
            </w:pPr>
          </w:p>
        </w:tc>
        <w:tc>
          <w:tcPr>
            <w:tcW w:w="740" w:type="dxa"/>
            <w:vAlign w:val="bottom"/>
            <w:tcBorders>
              <w:right w:val="single" w:sz="8" w:color="auto"/>
            </w:tcBorders>
            <w:vMerge w:val="continue"/>
            <w:shd w:val="clear" w:color="auto" w:fill="CCEEFF"/>
          </w:tcPr>
          <w:p>
            <w:pPr>
              <w:spacing w:after="0"/>
              <w:rPr>
                <w:sz w:val="11"/>
                <w:szCs w:val="11"/>
                <w:color w:val="auto"/>
              </w:rPr>
            </w:pPr>
          </w:p>
        </w:tc>
        <w:tc>
          <w:tcPr>
            <w:tcW w:w="700" w:type="dxa"/>
            <w:vAlign w:val="bottom"/>
            <w:tcBorders>
              <w:right w:val="single" w:sz="8" w:color="auto"/>
            </w:tcBorders>
            <w:vMerge w:val="continue"/>
            <w:shd w:val="clear" w:color="auto" w:fill="CCEEFF"/>
          </w:tcPr>
          <w:p>
            <w:pPr>
              <w:spacing w:after="0"/>
              <w:rPr>
                <w:sz w:val="11"/>
                <w:szCs w:val="11"/>
                <w:color w:val="auto"/>
              </w:rPr>
            </w:pPr>
          </w:p>
        </w:tc>
        <w:tc>
          <w:tcPr>
            <w:tcW w:w="700" w:type="dxa"/>
            <w:vAlign w:val="bottom"/>
            <w:tcBorders>
              <w:right w:val="single" w:sz="8" w:color="auto"/>
            </w:tcBorders>
            <w:vMerge w:val="continue"/>
            <w:shd w:val="clear" w:color="auto" w:fill="CCEEFF"/>
          </w:tcPr>
          <w:p>
            <w:pPr>
              <w:spacing w:after="0"/>
              <w:rPr>
                <w:sz w:val="11"/>
                <w:szCs w:val="11"/>
                <w:color w:val="auto"/>
              </w:rPr>
            </w:pPr>
          </w:p>
        </w:tc>
        <w:tc>
          <w:tcPr>
            <w:tcW w:w="1000" w:type="dxa"/>
            <w:vAlign w:val="bottom"/>
            <w:tcBorders>
              <w:right w:val="single" w:sz="8" w:color="auto"/>
            </w:tcBorders>
            <w:vMerge w:val="continue"/>
            <w:shd w:val="clear" w:color="auto" w:fill="CCEEFF"/>
          </w:tcPr>
          <w:p>
            <w:pPr>
              <w:spacing w:after="0"/>
              <w:rPr>
                <w:sz w:val="11"/>
                <w:szCs w:val="11"/>
                <w:color w:val="auto"/>
              </w:rPr>
            </w:pPr>
          </w:p>
        </w:tc>
        <w:tc>
          <w:tcPr>
            <w:tcW w:w="102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1440" w:type="dxa"/>
            <w:vAlign w:val="bottom"/>
            <w:tcBorders>
              <w:left w:val="single" w:sz="8" w:color="auto"/>
              <w:bottom w:val="single" w:sz="8" w:color="CCEEFF"/>
              <w:right w:val="single" w:sz="8" w:color="auto"/>
            </w:tcBorders>
            <w:vMerge w:val="restart"/>
            <w:shd w:val="clear" w:color="auto" w:fill="CCEEFF"/>
          </w:tcPr>
          <w:p>
            <w:pPr>
              <w:ind w:left="40"/>
              <w:spacing w:after="0"/>
              <w:rPr>
                <w:sz w:val="20"/>
                <w:szCs w:val="20"/>
                <w:color w:val="auto"/>
              </w:rPr>
            </w:pPr>
            <w:r>
              <w:rPr>
                <w:rFonts w:ascii="Arial" w:cs="Arial" w:eastAsia="Arial" w:hAnsi="Arial"/>
                <w:sz w:val="14"/>
                <w:szCs w:val="14"/>
                <w:i w:val="1"/>
                <w:iCs w:val="1"/>
                <w:color w:val="auto"/>
              </w:rPr>
              <w:t>and President</w:t>
            </w:r>
          </w:p>
        </w:tc>
        <w:tc>
          <w:tcPr>
            <w:tcW w:w="640" w:type="dxa"/>
            <w:vAlign w:val="bottom"/>
            <w:tcBorders>
              <w:bottom w:val="single" w:sz="8" w:color="auto"/>
              <w:right w:val="single" w:sz="8" w:color="auto"/>
            </w:tcBorders>
            <w:shd w:val="clear" w:color="auto" w:fill="CCEEFF"/>
          </w:tcPr>
          <w:p>
            <w:pPr>
              <w:spacing w:after="0"/>
              <w:rPr>
                <w:sz w:val="5"/>
                <w:szCs w:val="5"/>
                <w:color w:val="auto"/>
              </w:rPr>
            </w:pPr>
          </w:p>
        </w:tc>
        <w:tc>
          <w:tcPr>
            <w:tcW w:w="840" w:type="dxa"/>
            <w:vAlign w:val="bottom"/>
            <w:tcBorders>
              <w:bottom w:val="single" w:sz="8" w:color="auto"/>
              <w:right w:val="single" w:sz="8" w:color="auto"/>
            </w:tcBorders>
            <w:shd w:val="clear" w:color="auto" w:fill="CCEEFF"/>
          </w:tcPr>
          <w:p>
            <w:pPr>
              <w:spacing w:after="0"/>
              <w:rPr>
                <w:sz w:val="5"/>
                <w:szCs w:val="5"/>
                <w:color w:val="auto"/>
              </w:rPr>
            </w:pPr>
          </w:p>
        </w:tc>
        <w:tc>
          <w:tcPr>
            <w:tcW w:w="800" w:type="dxa"/>
            <w:vAlign w:val="bottom"/>
            <w:tcBorders>
              <w:bottom w:val="single" w:sz="8" w:color="auto"/>
              <w:right w:val="single" w:sz="8" w:color="auto"/>
            </w:tcBorders>
            <w:shd w:val="clear" w:color="auto" w:fill="CCEEFF"/>
          </w:tcPr>
          <w:p>
            <w:pPr>
              <w:spacing w:after="0"/>
              <w:rPr>
                <w:sz w:val="5"/>
                <w:szCs w:val="5"/>
                <w:color w:val="auto"/>
              </w:rPr>
            </w:pPr>
          </w:p>
        </w:tc>
        <w:tc>
          <w:tcPr>
            <w:tcW w:w="900" w:type="dxa"/>
            <w:vAlign w:val="bottom"/>
            <w:tcBorders>
              <w:bottom w:val="single" w:sz="8" w:color="auto"/>
              <w:right w:val="single" w:sz="8" w:color="auto"/>
            </w:tcBorders>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right w:val="single" w:sz="8" w:color="auto"/>
            </w:tcBorders>
            <w:shd w:val="clear" w:color="auto" w:fill="CCEEFF"/>
          </w:tcPr>
          <w:p>
            <w:pPr>
              <w:spacing w:after="0"/>
              <w:rPr>
                <w:sz w:val="5"/>
                <w:szCs w:val="5"/>
                <w:color w:val="auto"/>
              </w:rPr>
            </w:pPr>
          </w:p>
        </w:tc>
        <w:tc>
          <w:tcPr>
            <w:tcW w:w="560" w:type="dxa"/>
            <w:vAlign w:val="bottom"/>
            <w:tcBorders>
              <w:bottom w:val="single" w:sz="8" w:color="auto"/>
              <w:right w:val="single" w:sz="8" w:color="auto"/>
            </w:tcBorders>
            <w:shd w:val="clear" w:color="auto" w:fill="CCEEFF"/>
          </w:tcPr>
          <w:p>
            <w:pPr>
              <w:spacing w:after="0"/>
              <w:rPr>
                <w:sz w:val="5"/>
                <w:szCs w:val="5"/>
                <w:color w:val="auto"/>
              </w:rPr>
            </w:pPr>
          </w:p>
        </w:tc>
        <w:tc>
          <w:tcPr>
            <w:tcW w:w="740" w:type="dxa"/>
            <w:vAlign w:val="bottom"/>
            <w:tcBorders>
              <w:bottom w:val="single" w:sz="8" w:color="auto"/>
              <w:right w:val="single" w:sz="8" w:color="auto"/>
            </w:tcBorders>
            <w:shd w:val="clear" w:color="auto" w:fill="CCEEFF"/>
          </w:tcPr>
          <w:p>
            <w:pPr>
              <w:spacing w:after="0"/>
              <w:rPr>
                <w:sz w:val="5"/>
                <w:szCs w:val="5"/>
                <w:color w:val="auto"/>
              </w:rPr>
            </w:pPr>
          </w:p>
        </w:tc>
        <w:tc>
          <w:tcPr>
            <w:tcW w:w="700" w:type="dxa"/>
            <w:vAlign w:val="bottom"/>
            <w:tcBorders>
              <w:bottom w:val="single" w:sz="8" w:color="auto"/>
              <w:right w:val="single" w:sz="8" w:color="auto"/>
            </w:tcBorders>
            <w:shd w:val="clear" w:color="auto" w:fill="CCEEFF"/>
          </w:tcPr>
          <w:p>
            <w:pPr>
              <w:spacing w:after="0"/>
              <w:rPr>
                <w:sz w:val="5"/>
                <w:szCs w:val="5"/>
                <w:color w:val="auto"/>
              </w:rPr>
            </w:pPr>
          </w:p>
        </w:tc>
        <w:tc>
          <w:tcPr>
            <w:tcW w:w="700" w:type="dxa"/>
            <w:vAlign w:val="bottom"/>
            <w:tcBorders>
              <w:bottom w:val="single" w:sz="8" w:color="auto"/>
              <w:right w:val="single" w:sz="8" w:color="auto"/>
            </w:tcBorders>
            <w:shd w:val="clear" w:color="auto" w:fill="CCEEFF"/>
          </w:tcPr>
          <w:p>
            <w:pPr>
              <w:spacing w:after="0"/>
              <w:rPr>
                <w:sz w:val="5"/>
                <w:szCs w:val="5"/>
                <w:color w:val="auto"/>
              </w:rPr>
            </w:pPr>
          </w:p>
        </w:tc>
        <w:tc>
          <w:tcPr>
            <w:tcW w:w="1000" w:type="dxa"/>
            <w:vAlign w:val="bottom"/>
            <w:tcBorders>
              <w:bottom w:val="single" w:sz="8" w:color="auto"/>
              <w:right w:val="single" w:sz="8" w:color="auto"/>
            </w:tcBorders>
            <w:shd w:val="clear" w:color="auto" w:fill="CCEEFF"/>
          </w:tcPr>
          <w:p>
            <w:pPr>
              <w:spacing w:after="0"/>
              <w:rPr>
                <w:sz w:val="5"/>
                <w:szCs w:val="5"/>
                <w:color w:val="auto"/>
              </w:rPr>
            </w:pPr>
          </w:p>
        </w:tc>
        <w:tc>
          <w:tcPr>
            <w:tcW w:w="1020" w:type="dxa"/>
            <w:vAlign w:val="bottom"/>
            <w:tcBorders>
              <w:bottom w:val="single" w:sz="8" w:color="auto"/>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1440" w:type="dxa"/>
            <w:vAlign w:val="bottom"/>
            <w:tcBorders>
              <w:left w:val="single" w:sz="8" w:color="auto"/>
              <w:right w:val="single" w:sz="8" w:color="auto"/>
            </w:tcBorders>
            <w:vMerge w:val="continue"/>
            <w:shd w:val="clear" w:color="auto" w:fill="CCEEFF"/>
          </w:tcPr>
          <w:p>
            <w:pPr>
              <w:spacing w:after="0"/>
              <w:rPr>
                <w:sz w:val="7"/>
                <w:szCs w:val="7"/>
                <w:color w:val="auto"/>
              </w:rPr>
            </w:pPr>
          </w:p>
        </w:tc>
        <w:tc>
          <w:tcPr>
            <w:tcW w:w="6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3/4/2021</w:t>
            </w:r>
          </w:p>
        </w:tc>
        <w:tc>
          <w:tcPr>
            <w:tcW w:w="8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PSU</w:t>
            </w:r>
          </w:p>
        </w:tc>
        <w:tc>
          <w:tcPr>
            <w:tcW w:w="8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7"/>
                <w:szCs w:val="7"/>
                <w:color w:val="auto"/>
              </w:rPr>
            </w:pPr>
          </w:p>
        </w:tc>
        <w:tc>
          <w:tcPr>
            <w:tcW w:w="9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5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vMerge w:val="restart"/>
            <w:shd w:val="clear" w:color="auto" w:fill="CCEEFF"/>
          </w:tcPr>
          <w:p>
            <w:pPr>
              <w:jc w:val="center"/>
              <w:ind w:right="51"/>
              <w:spacing w:after="0"/>
              <w:rPr>
                <w:sz w:val="20"/>
                <w:szCs w:val="20"/>
                <w:color w:val="auto"/>
              </w:rPr>
            </w:pPr>
            <w:r>
              <w:rPr>
                <w:rFonts w:ascii="Arial" w:cs="Arial" w:eastAsia="Arial" w:hAnsi="Arial"/>
                <w:sz w:val="14"/>
                <w:szCs w:val="14"/>
                <w:color w:val="auto"/>
                <w:w w:val="99"/>
              </w:rPr>
              <w:t>—</w:t>
            </w:r>
          </w:p>
        </w:tc>
        <w:tc>
          <w:tcPr>
            <w:tcW w:w="7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88,215</w:t>
            </w:r>
          </w:p>
        </w:tc>
        <w:tc>
          <w:tcPr>
            <w:tcW w:w="10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$1,407,911</w:t>
            </w:r>
          </w:p>
        </w:tc>
        <w:tc>
          <w:tcPr>
            <w:tcW w:w="0" w:type="dxa"/>
            <w:vAlign w:val="bottom"/>
          </w:tcPr>
          <w:p>
            <w:pPr>
              <w:spacing w:after="0"/>
              <w:rPr>
                <w:sz w:val="1"/>
                <w:szCs w:val="1"/>
                <w:color w:val="auto"/>
              </w:rPr>
            </w:pPr>
          </w:p>
        </w:tc>
      </w:tr>
      <w:tr>
        <w:trPr>
          <w:trHeight w:val="169"/>
        </w:trPr>
        <w:tc>
          <w:tcPr>
            <w:tcW w:w="1440" w:type="dxa"/>
            <w:vAlign w:val="bottom"/>
            <w:tcBorders>
              <w:left w:val="single" w:sz="8" w:color="auto"/>
              <w:bottom w:val="single" w:sz="8" w:color="CCEEFF"/>
              <w:right w:val="single" w:sz="8" w:color="auto"/>
            </w:tcBorders>
            <w:shd w:val="clear" w:color="auto" w:fill="CCEEFF"/>
          </w:tcPr>
          <w:p>
            <w:pPr>
              <w:spacing w:after="0"/>
              <w:rPr>
                <w:sz w:val="14"/>
                <w:szCs w:val="14"/>
                <w:color w:val="auto"/>
              </w:rPr>
            </w:pPr>
          </w:p>
        </w:tc>
        <w:tc>
          <w:tcPr>
            <w:tcW w:w="640" w:type="dxa"/>
            <w:vAlign w:val="bottom"/>
            <w:tcBorders>
              <w:bottom w:val="single" w:sz="8" w:color="CCEEFF"/>
              <w:right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CCEEFF"/>
              <w:right w:val="single" w:sz="8" w:color="auto"/>
            </w:tcBorders>
            <w:vMerge w:val="continue"/>
            <w:shd w:val="clear" w:color="auto" w:fill="CCEEFF"/>
          </w:tcPr>
          <w:p>
            <w:pPr>
              <w:spacing w:after="0"/>
              <w:rPr>
                <w:sz w:val="14"/>
                <w:szCs w:val="14"/>
                <w:color w:val="auto"/>
              </w:rPr>
            </w:pPr>
          </w:p>
        </w:tc>
        <w:tc>
          <w:tcPr>
            <w:tcW w:w="800" w:type="dxa"/>
            <w:vAlign w:val="bottom"/>
            <w:tcBorders>
              <w:bottom w:val="single" w:sz="8" w:color="CCEEFF"/>
              <w:right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CCEEFF"/>
              <w:right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right w:val="single" w:sz="8" w:color="auto"/>
            </w:tcBorders>
            <w:vMerge w:val="continue"/>
            <w:shd w:val="clear" w:color="auto" w:fill="CCEEFF"/>
          </w:tcPr>
          <w:p>
            <w:pPr>
              <w:spacing w:after="0"/>
              <w:rPr>
                <w:sz w:val="14"/>
                <w:szCs w:val="14"/>
                <w:color w:val="auto"/>
              </w:rPr>
            </w:pPr>
          </w:p>
        </w:tc>
        <w:tc>
          <w:tcPr>
            <w:tcW w:w="560" w:type="dxa"/>
            <w:vAlign w:val="bottom"/>
            <w:tcBorders>
              <w:bottom w:val="single" w:sz="8" w:color="CCEEFF"/>
              <w:right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CCEEFF"/>
              <w:right w:val="single" w:sz="8" w:color="auto"/>
            </w:tcBorders>
            <w:vMerge w:val="continue"/>
            <w:shd w:val="clear" w:color="auto" w:fill="CCEEFF"/>
          </w:tcPr>
          <w:p>
            <w:pPr>
              <w:spacing w:after="0"/>
              <w:rPr>
                <w:sz w:val="14"/>
                <w:szCs w:val="14"/>
                <w:color w:val="auto"/>
              </w:rPr>
            </w:pPr>
          </w:p>
        </w:tc>
        <w:tc>
          <w:tcPr>
            <w:tcW w:w="700" w:type="dxa"/>
            <w:vAlign w:val="bottom"/>
            <w:tcBorders>
              <w:bottom w:val="single" w:sz="8" w:color="CCEEFF"/>
              <w:right w:val="single" w:sz="8" w:color="auto"/>
            </w:tcBorders>
            <w:vMerge w:val="continue"/>
            <w:shd w:val="clear" w:color="auto" w:fill="CCEEFF"/>
          </w:tcPr>
          <w:p>
            <w:pPr>
              <w:spacing w:after="0"/>
              <w:rPr>
                <w:sz w:val="14"/>
                <w:szCs w:val="14"/>
                <w:color w:val="auto"/>
              </w:rPr>
            </w:pPr>
          </w:p>
        </w:tc>
        <w:tc>
          <w:tcPr>
            <w:tcW w:w="700" w:type="dxa"/>
            <w:vAlign w:val="bottom"/>
            <w:tcBorders>
              <w:bottom w:val="single" w:sz="8" w:color="CCEEFF"/>
              <w:right w:val="single" w:sz="8" w:color="auto"/>
            </w:tcBorders>
            <w:vMerge w:val="continue"/>
            <w:shd w:val="clear" w:color="auto" w:fill="CCEEFF"/>
          </w:tcPr>
          <w:p>
            <w:pPr>
              <w:spacing w:after="0"/>
              <w:rPr>
                <w:sz w:val="14"/>
                <w:szCs w:val="14"/>
                <w:color w:val="auto"/>
              </w:rPr>
            </w:pPr>
          </w:p>
        </w:tc>
        <w:tc>
          <w:tcPr>
            <w:tcW w:w="1000" w:type="dxa"/>
            <w:vAlign w:val="bottom"/>
            <w:tcBorders>
              <w:bottom w:val="single" w:sz="8" w:color="CCEEFF"/>
              <w:right w:val="single" w:sz="8" w:color="auto"/>
            </w:tcBorders>
            <w:vMerge w:val="continue"/>
            <w:shd w:val="clear" w:color="auto" w:fill="CCEEFF"/>
          </w:tcPr>
          <w:p>
            <w:pPr>
              <w:spacing w:after="0"/>
              <w:rPr>
                <w:sz w:val="14"/>
                <w:szCs w:val="14"/>
                <w:color w:val="auto"/>
              </w:rPr>
            </w:pPr>
          </w:p>
        </w:tc>
        <w:tc>
          <w:tcPr>
            <w:tcW w:w="1020" w:type="dxa"/>
            <w:vAlign w:val="bottom"/>
            <w:tcBorders>
              <w:bottom w:val="single" w:sz="8" w:color="CCEEFF"/>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Andras Bende</w:t>
            </w: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3/4/2021</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7"/>
              </w:rPr>
              <w:t>RSU</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40" w:type="dxa"/>
            <w:vAlign w:val="bottom"/>
            <w:tcBorders>
              <w:top w:val="single" w:sz="8" w:color="auto"/>
            </w:tcBorders>
          </w:tcPr>
          <w:p>
            <w:pPr>
              <w:spacing w:after="0"/>
              <w:rPr>
                <w:sz w:val="15"/>
                <w:szCs w:val="15"/>
                <w:color w:val="auto"/>
              </w:rPr>
            </w:pP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top w:val="single" w:sz="8" w:color="auto"/>
              <w:right w:val="single" w:sz="8" w:color="auto"/>
            </w:tcBorders>
          </w:tcPr>
          <w:p>
            <w:pPr>
              <w:jc w:val="center"/>
              <w:ind w:right="51"/>
              <w:spacing w:after="0"/>
              <w:rPr>
                <w:sz w:val="20"/>
                <w:szCs w:val="20"/>
                <w:color w:val="auto"/>
              </w:rPr>
            </w:pPr>
            <w:r>
              <w:rPr>
                <w:rFonts w:ascii="Arial" w:cs="Arial" w:eastAsia="Arial" w:hAnsi="Arial"/>
                <w:sz w:val="14"/>
                <w:szCs w:val="14"/>
                <w:color w:val="auto"/>
                <w:w w:val="99"/>
              </w:rPr>
              <w:t>—</w:t>
            </w:r>
          </w:p>
        </w:tc>
        <w:tc>
          <w:tcPr>
            <w:tcW w:w="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15,000</w:t>
            </w:r>
          </w:p>
        </w:tc>
        <w:tc>
          <w:tcPr>
            <w:tcW w:w="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$239,400</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80"/>
        </w:trPr>
        <w:tc>
          <w:tcPr>
            <w:tcW w:w="1440" w:type="dxa"/>
            <w:vAlign w:val="bottom"/>
            <w:tcBorders>
              <w:left w:val="single" w:sz="8" w:color="auto"/>
              <w:right w:val="single" w:sz="8" w:color="auto"/>
            </w:tcBorders>
            <w:vMerge w:val="restart"/>
          </w:tcPr>
          <w:p>
            <w:pPr>
              <w:ind w:left="40"/>
              <w:spacing w:after="0" w:line="138" w:lineRule="exact"/>
              <w:rPr>
                <w:sz w:val="20"/>
                <w:szCs w:val="20"/>
                <w:color w:val="auto"/>
              </w:rPr>
            </w:pPr>
            <w:r>
              <w:rPr>
                <w:rFonts w:ascii="Arial" w:cs="Arial" w:eastAsia="Arial" w:hAnsi="Arial"/>
                <w:sz w:val="14"/>
                <w:szCs w:val="14"/>
                <w:i w:val="1"/>
                <w:iCs w:val="1"/>
                <w:color w:val="auto"/>
                <w:w w:val="98"/>
              </w:rPr>
              <w:t>Chief Financial Officer</w:t>
            </w:r>
          </w:p>
        </w:tc>
        <w:tc>
          <w:tcPr>
            <w:tcW w:w="64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440" w:type="dxa"/>
            <w:vAlign w:val="bottom"/>
            <w:tcBorders>
              <w:left w:val="single" w:sz="8" w:color="auto"/>
              <w:right w:val="single" w:sz="8" w:color="auto"/>
            </w:tcBorders>
            <w:vMerge w:val="continue"/>
          </w:tcPr>
          <w:p>
            <w:pPr>
              <w:spacing w:after="0"/>
              <w:rPr>
                <w:sz w:val="3"/>
                <w:szCs w:val="3"/>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3/4/2021</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PSU</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3"/>
                <w:szCs w:val="3"/>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vMerge w:val="restart"/>
          </w:tcPr>
          <w:p>
            <w:pPr>
              <w:jc w:val="center"/>
              <w:ind w:right="51"/>
              <w:spacing w:after="0"/>
              <w:rPr>
                <w:sz w:val="20"/>
                <w:szCs w:val="20"/>
                <w:color w:val="auto"/>
              </w:rPr>
            </w:pPr>
            <w:r>
              <w:rPr>
                <w:rFonts w:ascii="Arial" w:cs="Arial" w:eastAsia="Arial" w:hAnsi="Arial"/>
                <w:sz w:val="14"/>
                <w:szCs w:val="14"/>
                <w:color w:val="auto"/>
                <w:w w:val="99"/>
              </w:rPr>
              <w:t>—</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8"/>
              </w:rPr>
              <w:t>22,000</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8"/>
              </w:rPr>
              <w:t>$351,120</w:t>
            </w:r>
          </w:p>
        </w:tc>
        <w:tc>
          <w:tcPr>
            <w:tcW w:w="0" w:type="dxa"/>
            <w:vAlign w:val="bottom"/>
          </w:tcPr>
          <w:p>
            <w:pPr>
              <w:spacing w:after="0" w:line="20" w:lineRule="exact"/>
              <w:rPr>
                <w:sz w:val="1"/>
                <w:szCs w:val="1"/>
                <w:color w:val="auto"/>
              </w:rPr>
            </w:pPr>
          </w:p>
        </w:tc>
      </w:tr>
      <w:tr>
        <w:trPr>
          <w:trHeight w:val="175"/>
        </w:trPr>
        <w:tc>
          <w:tcPr>
            <w:tcW w:w="1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(2)</w:t>
            </w:r>
          </w:p>
        </w:tc>
        <w:tc>
          <w:tcPr>
            <w:tcW w:w="640" w:type="dxa"/>
            <w:vAlign w:val="bottom"/>
            <w:tcBorders>
              <w:right w:val="single" w:sz="8" w:color="auto"/>
            </w:tcBorders>
            <w:vMerge w:val="continue"/>
          </w:tcPr>
          <w:p>
            <w:pPr>
              <w:spacing w:after="0"/>
              <w:rPr>
                <w:sz w:val="15"/>
                <w:szCs w:val="15"/>
                <w:color w:val="auto"/>
              </w:rPr>
            </w:pPr>
          </w:p>
        </w:tc>
        <w:tc>
          <w:tcPr>
            <w:tcW w:w="840" w:type="dxa"/>
            <w:vAlign w:val="bottom"/>
            <w:tcBorders>
              <w:right w:val="single" w:sz="8" w:color="auto"/>
            </w:tcBorders>
            <w:vMerge w:val="continue"/>
          </w:tcPr>
          <w:p>
            <w:pPr>
              <w:spacing w:after="0"/>
              <w:rPr>
                <w:sz w:val="15"/>
                <w:szCs w:val="15"/>
                <w:color w:val="auto"/>
              </w:rPr>
            </w:pPr>
          </w:p>
        </w:tc>
        <w:tc>
          <w:tcPr>
            <w:tcW w:w="800" w:type="dxa"/>
            <w:vAlign w:val="bottom"/>
            <w:tcBorders>
              <w:right w:val="single" w:sz="8" w:color="auto"/>
            </w:tcBorders>
            <w:vMerge w:val="continue"/>
          </w:tcPr>
          <w:p>
            <w:pPr>
              <w:spacing w:after="0"/>
              <w:rPr>
                <w:sz w:val="15"/>
                <w:szCs w:val="15"/>
                <w:color w:val="auto"/>
              </w:rPr>
            </w:pPr>
          </w:p>
        </w:tc>
        <w:tc>
          <w:tcPr>
            <w:tcW w:w="900" w:type="dxa"/>
            <w:vAlign w:val="bottom"/>
            <w:tcBorders>
              <w:right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right w:val="single" w:sz="8" w:color="auto"/>
            </w:tcBorders>
            <w:vMerge w:val="continue"/>
          </w:tcPr>
          <w:p>
            <w:pPr>
              <w:spacing w:after="0"/>
              <w:rPr>
                <w:sz w:val="15"/>
                <w:szCs w:val="15"/>
                <w:color w:val="auto"/>
              </w:rPr>
            </w:pPr>
          </w:p>
        </w:tc>
        <w:tc>
          <w:tcPr>
            <w:tcW w:w="560" w:type="dxa"/>
            <w:vAlign w:val="bottom"/>
            <w:tcBorders>
              <w:right w:val="single" w:sz="8" w:color="auto"/>
            </w:tcBorders>
            <w:vMerge w:val="continue"/>
          </w:tcPr>
          <w:p>
            <w:pPr>
              <w:spacing w:after="0"/>
              <w:rPr>
                <w:sz w:val="15"/>
                <w:szCs w:val="15"/>
                <w:color w:val="auto"/>
              </w:rPr>
            </w:pPr>
          </w:p>
        </w:tc>
        <w:tc>
          <w:tcPr>
            <w:tcW w:w="740" w:type="dxa"/>
            <w:vAlign w:val="bottom"/>
            <w:tcBorders>
              <w:right w:val="single" w:sz="8" w:color="auto"/>
            </w:tcBorders>
            <w:vMerge w:val="continue"/>
          </w:tcPr>
          <w:p>
            <w:pPr>
              <w:spacing w:after="0"/>
              <w:rPr>
                <w:sz w:val="15"/>
                <w:szCs w:val="15"/>
                <w:color w:val="auto"/>
              </w:rPr>
            </w:pPr>
          </w:p>
        </w:tc>
        <w:tc>
          <w:tcPr>
            <w:tcW w:w="700" w:type="dxa"/>
            <w:vAlign w:val="bottom"/>
            <w:tcBorders>
              <w:right w:val="single" w:sz="8" w:color="auto"/>
            </w:tcBorders>
            <w:vMerge w:val="continue"/>
          </w:tcPr>
          <w:p>
            <w:pPr>
              <w:spacing w:after="0"/>
              <w:rPr>
                <w:sz w:val="15"/>
                <w:szCs w:val="15"/>
                <w:color w:val="auto"/>
              </w:rPr>
            </w:pPr>
          </w:p>
        </w:tc>
        <w:tc>
          <w:tcPr>
            <w:tcW w:w="700" w:type="dxa"/>
            <w:vAlign w:val="bottom"/>
            <w:tcBorders>
              <w:right w:val="single" w:sz="8" w:color="auto"/>
            </w:tcBorders>
            <w:vMerge w:val="continue"/>
          </w:tcPr>
          <w:p>
            <w:pPr>
              <w:spacing w:after="0"/>
              <w:rPr>
                <w:sz w:val="15"/>
                <w:szCs w:val="15"/>
                <w:color w:val="auto"/>
              </w:rPr>
            </w:pPr>
          </w:p>
        </w:tc>
        <w:tc>
          <w:tcPr>
            <w:tcW w:w="1000" w:type="dxa"/>
            <w:vAlign w:val="bottom"/>
            <w:tcBorders>
              <w:right w:val="single" w:sz="8" w:color="auto"/>
            </w:tcBorders>
            <w:vMerge w:val="continue"/>
          </w:tcPr>
          <w:p>
            <w:pPr>
              <w:spacing w:after="0"/>
              <w:rPr>
                <w:sz w:val="15"/>
                <w:szCs w:val="15"/>
                <w:color w:val="auto"/>
              </w:rPr>
            </w:pPr>
          </w:p>
        </w:tc>
        <w:tc>
          <w:tcPr>
            <w:tcW w:w="10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1440" w:type="dxa"/>
            <w:vAlign w:val="bottom"/>
            <w:tcBorders>
              <w:left w:val="single" w:sz="8" w:color="auto"/>
              <w:bottom w:val="single" w:sz="8" w:color="CCEEFF"/>
              <w:right w:val="single" w:sz="8" w:color="auto"/>
            </w:tcBorders>
            <w:shd w:val="clear" w:color="auto" w:fill="CCEEFF"/>
          </w:tcPr>
          <w:p>
            <w:pPr>
              <w:spacing w:after="0"/>
              <w:rPr>
                <w:sz w:val="22"/>
                <w:szCs w:val="22"/>
                <w:color w:val="auto"/>
              </w:rPr>
            </w:pPr>
          </w:p>
        </w:tc>
        <w:tc>
          <w:tcPr>
            <w:tcW w:w="6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6"/>
              </w:rPr>
              <w:t>9/23/2019</w:t>
            </w:r>
          </w:p>
        </w:tc>
        <w:tc>
          <w:tcPr>
            <w:tcW w:w="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Option Award</w:t>
            </w:r>
          </w:p>
        </w:tc>
        <w:tc>
          <w:tcPr>
            <w:tcW w:w="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62,500</w:t>
            </w: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62,500</w:t>
            </w:r>
          </w:p>
        </w:tc>
        <w:tc>
          <w:tcPr>
            <w:tcW w:w="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5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$14.46</w:t>
            </w:r>
          </w:p>
        </w:tc>
        <w:tc>
          <w:tcPr>
            <w:tcW w:w="740" w:type="dxa"/>
            <w:vAlign w:val="bottom"/>
            <w:tcBorders>
              <w:bottom w:val="single" w:sz="8" w:color="CCEEFF"/>
              <w:right w:val="single" w:sz="8" w:color="auto"/>
            </w:tcBorders>
            <w:shd w:val="clear" w:color="auto" w:fill="CCEEFF"/>
          </w:tcPr>
          <w:p>
            <w:pPr>
              <w:jc w:val="center"/>
              <w:ind w:right="31"/>
              <w:spacing w:after="0"/>
              <w:rPr>
                <w:sz w:val="20"/>
                <w:szCs w:val="20"/>
                <w:color w:val="auto"/>
              </w:rPr>
            </w:pPr>
            <w:r>
              <w:rPr>
                <w:rFonts w:ascii="Arial" w:cs="Arial" w:eastAsia="Arial" w:hAnsi="Arial"/>
                <w:sz w:val="14"/>
                <w:szCs w:val="14"/>
                <w:color w:val="auto"/>
                <w:w w:val="89"/>
              </w:rPr>
              <w:t>9/23/2029</w:t>
            </w:r>
          </w:p>
        </w:tc>
        <w:tc>
          <w:tcPr>
            <w:tcW w:w="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60"/>
        </w:trPr>
        <w:tc>
          <w:tcPr>
            <w:tcW w:w="1440" w:type="dxa"/>
            <w:vAlign w:val="bottom"/>
            <w:tcBorders>
              <w:top w:val="single" w:sz="8" w:color="CCEEFF"/>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Joseph Aguilar</w:t>
            </w:r>
          </w:p>
        </w:tc>
        <w:tc>
          <w:tcPr>
            <w:tcW w:w="64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6"/>
              </w:rPr>
              <w:t>6/26/2020</w:t>
            </w:r>
          </w:p>
        </w:tc>
        <w:tc>
          <w:tcPr>
            <w:tcW w:w="84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Option Award</w:t>
            </w:r>
          </w:p>
        </w:tc>
        <w:tc>
          <w:tcPr>
            <w:tcW w:w="80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31,250</w:t>
            </w:r>
          </w:p>
        </w:tc>
        <w:tc>
          <w:tcPr>
            <w:tcW w:w="90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93,750</w:t>
            </w:r>
          </w:p>
        </w:tc>
        <w:tc>
          <w:tcPr>
            <w:tcW w:w="40" w:type="dxa"/>
            <w:vAlign w:val="bottom"/>
            <w:tcBorders>
              <w:top w:val="single" w:sz="8" w:color="auto"/>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56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$12.45</w:t>
            </w:r>
          </w:p>
        </w:tc>
        <w:tc>
          <w:tcPr>
            <w:tcW w:w="740" w:type="dxa"/>
            <w:vAlign w:val="bottom"/>
            <w:tcBorders>
              <w:top w:val="single" w:sz="8" w:color="auto"/>
              <w:bottom w:val="single" w:sz="8" w:color="CCEEFF"/>
              <w:right w:val="single" w:sz="8" w:color="auto"/>
            </w:tcBorders>
            <w:shd w:val="clear" w:color="auto" w:fill="CCEEFF"/>
          </w:tcPr>
          <w:p>
            <w:pPr>
              <w:jc w:val="center"/>
              <w:ind w:right="31"/>
              <w:spacing w:after="0"/>
              <w:rPr>
                <w:sz w:val="20"/>
                <w:szCs w:val="20"/>
                <w:color w:val="auto"/>
              </w:rPr>
            </w:pPr>
            <w:r>
              <w:rPr>
                <w:rFonts w:ascii="Arial" w:cs="Arial" w:eastAsia="Arial" w:hAnsi="Arial"/>
                <w:sz w:val="14"/>
                <w:szCs w:val="14"/>
                <w:color w:val="auto"/>
                <w:w w:val="89"/>
              </w:rPr>
              <w:t>6/26/2030</w:t>
            </w:r>
          </w:p>
        </w:tc>
        <w:tc>
          <w:tcPr>
            <w:tcW w:w="70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52"/>
        </w:trPr>
        <w:tc>
          <w:tcPr>
            <w:tcW w:w="1440" w:type="dxa"/>
            <w:vAlign w:val="bottom"/>
            <w:tcBorders>
              <w:top w:val="single" w:sz="8" w:color="CCEEFF"/>
              <w:left w:val="single" w:sz="8" w:color="auto"/>
              <w:right w:val="single" w:sz="8" w:color="auto"/>
            </w:tcBorders>
            <w:shd w:val="clear" w:color="auto" w:fill="CCEEFF"/>
          </w:tcPr>
          <w:p>
            <w:pPr>
              <w:ind w:left="40"/>
              <w:spacing w:after="0" w:line="152" w:lineRule="exact"/>
              <w:rPr>
                <w:sz w:val="20"/>
                <w:szCs w:val="20"/>
                <w:color w:val="auto"/>
              </w:rPr>
            </w:pPr>
            <w:r>
              <w:rPr>
                <w:rFonts w:ascii="Arial" w:cs="Arial" w:eastAsia="Arial" w:hAnsi="Arial"/>
                <w:sz w:val="14"/>
                <w:szCs w:val="14"/>
                <w:i w:val="1"/>
                <w:iCs w:val="1"/>
                <w:color w:val="auto"/>
                <w:w w:val="94"/>
              </w:rPr>
              <w:t>Chief Operating Officer</w:t>
            </w:r>
          </w:p>
        </w:tc>
        <w:tc>
          <w:tcPr>
            <w:tcW w:w="64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3/4/2021</w:t>
            </w:r>
          </w:p>
        </w:tc>
        <w:tc>
          <w:tcPr>
            <w:tcW w:w="84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87"/>
              </w:rPr>
              <w:t>RSU</w:t>
            </w:r>
          </w:p>
        </w:tc>
        <w:tc>
          <w:tcPr>
            <w:tcW w:w="80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56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top w:val="single" w:sz="8" w:color="auto"/>
              <w:right w:val="single" w:sz="8" w:color="auto"/>
            </w:tcBorders>
            <w:vMerge w:val="restart"/>
            <w:shd w:val="clear" w:color="auto" w:fill="CCEEFF"/>
          </w:tcPr>
          <w:p>
            <w:pPr>
              <w:jc w:val="center"/>
              <w:ind w:right="51"/>
              <w:spacing w:after="0"/>
              <w:rPr>
                <w:sz w:val="20"/>
                <w:szCs w:val="20"/>
                <w:color w:val="auto"/>
              </w:rPr>
            </w:pPr>
            <w:r>
              <w:rPr>
                <w:rFonts w:ascii="Arial" w:cs="Arial" w:eastAsia="Arial" w:hAnsi="Arial"/>
                <w:sz w:val="14"/>
                <w:szCs w:val="14"/>
                <w:color w:val="auto"/>
                <w:w w:val="99"/>
              </w:rPr>
              <w:t>—</w:t>
            </w:r>
          </w:p>
        </w:tc>
        <w:tc>
          <w:tcPr>
            <w:tcW w:w="70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19,408</w:t>
            </w:r>
          </w:p>
        </w:tc>
        <w:tc>
          <w:tcPr>
            <w:tcW w:w="70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$309,752</w:t>
            </w:r>
          </w:p>
        </w:tc>
        <w:tc>
          <w:tcPr>
            <w:tcW w:w="100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04"/>
        </w:trPr>
        <w:tc>
          <w:tcPr>
            <w:tcW w:w="1440" w:type="dxa"/>
            <w:vAlign w:val="bottom"/>
            <w:tcBorders>
              <w:left w:val="single" w:sz="8" w:color="auto"/>
              <w:bottom w:val="single" w:sz="8" w:color="CCEEFF"/>
              <w:right w:val="single" w:sz="8" w:color="auto"/>
            </w:tcBorders>
            <w:shd w:val="clear" w:color="auto" w:fill="CCEEFF"/>
          </w:tcPr>
          <w:p>
            <w:pPr>
              <w:spacing w:after="0"/>
              <w:rPr>
                <w:sz w:val="9"/>
                <w:szCs w:val="9"/>
                <w:color w:val="auto"/>
              </w:rPr>
            </w:pPr>
          </w:p>
        </w:tc>
        <w:tc>
          <w:tcPr>
            <w:tcW w:w="640" w:type="dxa"/>
            <w:vAlign w:val="bottom"/>
            <w:tcBorders>
              <w:bottom w:val="single" w:sz="8" w:color="CCEEFF"/>
              <w:right w:val="single" w:sz="8" w:color="auto"/>
            </w:tcBorders>
            <w:vMerge w:val="continue"/>
            <w:shd w:val="clear" w:color="auto" w:fill="CCEEFF"/>
          </w:tcPr>
          <w:p>
            <w:pPr>
              <w:spacing w:after="0"/>
              <w:rPr>
                <w:sz w:val="9"/>
                <w:szCs w:val="9"/>
                <w:color w:val="auto"/>
              </w:rPr>
            </w:pPr>
          </w:p>
        </w:tc>
        <w:tc>
          <w:tcPr>
            <w:tcW w:w="840" w:type="dxa"/>
            <w:vAlign w:val="bottom"/>
            <w:tcBorders>
              <w:bottom w:val="single" w:sz="8" w:color="CCEEFF"/>
              <w:right w:val="single" w:sz="8" w:color="auto"/>
            </w:tcBorders>
            <w:vMerge w:val="continue"/>
            <w:shd w:val="clear" w:color="auto" w:fill="CCEEFF"/>
          </w:tcPr>
          <w:p>
            <w:pPr>
              <w:spacing w:after="0"/>
              <w:rPr>
                <w:sz w:val="9"/>
                <w:szCs w:val="9"/>
                <w:color w:val="auto"/>
              </w:rPr>
            </w:pPr>
          </w:p>
        </w:tc>
        <w:tc>
          <w:tcPr>
            <w:tcW w:w="800" w:type="dxa"/>
            <w:vAlign w:val="bottom"/>
            <w:tcBorders>
              <w:bottom w:val="single" w:sz="8" w:color="CCEEFF"/>
              <w:right w:val="single" w:sz="8" w:color="auto"/>
            </w:tcBorders>
            <w:vMerge w:val="continue"/>
            <w:shd w:val="clear" w:color="auto" w:fill="CCEEFF"/>
          </w:tcPr>
          <w:p>
            <w:pPr>
              <w:spacing w:after="0"/>
              <w:rPr>
                <w:sz w:val="9"/>
                <w:szCs w:val="9"/>
                <w:color w:val="auto"/>
              </w:rPr>
            </w:pPr>
          </w:p>
        </w:tc>
        <w:tc>
          <w:tcPr>
            <w:tcW w:w="900" w:type="dxa"/>
            <w:vAlign w:val="bottom"/>
            <w:tcBorders>
              <w:bottom w:val="single" w:sz="8" w:color="CCEEFF"/>
              <w:right w:val="single" w:sz="8" w:color="auto"/>
            </w:tcBorders>
            <w:vMerge w:val="continue"/>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960" w:type="dxa"/>
            <w:vAlign w:val="bottom"/>
            <w:tcBorders>
              <w:bottom w:val="single" w:sz="8" w:color="CCEEFF"/>
              <w:right w:val="single" w:sz="8" w:color="auto"/>
            </w:tcBorders>
            <w:vMerge w:val="continue"/>
            <w:shd w:val="clear" w:color="auto" w:fill="CCEEFF"/>
          </w:tcPr>
          <w:p>
            <w:pPr>
              <w:spacing w:after="0"/>
              <w:rPr>
                <w:sz w:val="9"/>
                <w:szCs w:val="9"/>
                <w:color w:val="auto"/>
              </w:rPr>
            </w:pPr>
          </w:p>
        </w:tc>
        <w:tc>
          <w:tcPr>
            <w:tcW w:w="560" w:type="dxa"/>
            <w:vAlign w:val="bottom"/>
            <w:tcBorders>
              <w:bottom w:val="single" w:sz="8" w:color="CCEEFF"/>
              <w:right w:val="single" w:sz="8" w:color="auto"/>
            </w:tcBorders>
            <w:vMerge w:val="continue"/>
            <w:shd w:val="clear" w:color="auto" w:fill="CCEEFF"/>
          </w:tcPr>
          <w:p>
            <w:pPr>
              <w:spacing w:after="0"/>
              <w:rPr>
                <w:sz w:val="9"/>
                <w:szCs w:val="9"/>
                <w:color w:val="auto"/>
              </w:rPr>
            </w:pPr>
          </w:p>
        </w:tc>
        <w:tc>
          <w:tcPr>
            <w:tcW w:w="740" w:type="dxa"/>
            <w:vAlign w:val="bottom"/>
            <w:tcBorders>
              <w:bottom w:val="single" w:sz="8" w:color="CCEEFF"/>
              <w:right w:val="single" w:sz="8" w:color="auto"/>
            </w:tcBorders>
            <w:vMerge w:val="continue"/>
            <w:shd w:val="clear" w:color="auto" w:fill="CCEEFF"/>
          </w:tcPr>
          <w:p>
            <w:pPr>
              <w:spacing w:after="0"/>
              <w:rPr>
                <w:sz w:val="9"/>
                <w:szCs w:val="9"/>
                <w:color w:val="auto"/>
              </w:rPr>
            </w:pPr>
          </w:p>
        </w:tc>
        <w:tc>
          <w:tcPr>
            <w:tcW w:w="700" w:type="dxa"/>
            <w:vAlign w:val="bottom"/>
            <w:tcBorders>
              <w:bottom w:val="single" w:sz="8" w:color="CCEEFF"/>
              <w:right w:val="single" w:sz="8" w:color="auto"/>
            </w:tcBorders>
            <w:vMerge w:val="continue"/>
            <w:shd w:val="clear" w:color="auto" w:fill="CCEEFF"/>
          </w:tcPr>
          <w:p>
            <w:pPr>
              <w:spacing w:after="0"/>
              <w:rPr>
                <w:sz w:val="9"/>
                <w:szCs w:val="9"/>
                <w:color w:val="auto"/>
              </w:rPr>
            </w:pPr>
          </w:p>
        </w:tc>
        <w:tc>
          <w:tcPr>
            <w:tcW w:w="700" w:type="dxa"/>
            <w:vAlign w:val="bottom"/>
            <w:tcBorders>
              <w:bottom w:val="single" w:sz="8" w:color="CCEEFF"/>
              <w:right w:val="single" w:sz="8" w:color="auto"/>
            </w:tcBorders>
            <w:vMerge w:val="continue"/>
            <w:shd w:val="clear" w:color="auto" w:fill="CCEEFF"/>
          </w:tcPr>
          <w:p>
            <w:pPr>
              <w:spacing w:after="0"/>
              <w:rPr>
                <w:sz w:val="9"/>
                <w:szCs w:val="9"/>
                <w:color w:val="auto"/>
              </w:rPr>
            </w:pPr>
          </w:p>
        </w:tc>
        <w:tc>
          <w:tcPr>
            <w:tcW w:w="1000" w:type="dxa"/>
            <w:vAlign w:val="bottom"/>
            <w:tcBorders>
              <w:bottom w:val="single" w:sz="8" w:color="CCEEFF"/>
              <w:right w:val="single" w:sz="8" w:color="auto"/>
            </w:tcBorders>
            <w:vMerge w:val="continue"/>
            <w:shd w:val="clear" w:color="auto" w:fill="CCEEFF"/>
          </w:tcPr>
          <w:p>
            <w:pPr>
              <w:spacing w:after="0"/>
              <w:rPr>
                <w:sz w:val="9"/>
                <w:szCs w:val="9"/>
                <w:color w:val="auto"/>
              </w:rPr>
            </w:pPr>
          </w:p>
        </w:tc>
        <w:tc>
          <w:tcPr>
            <w:tcW w:w="1020" w:type="dxa"/>
            <w:vAlign w:val="bottom"/>
            <w:tcBorders>
              <w:bottom w:val="single" w:sz="8" w:color="CCEEFF"/>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440" w:type="dxa"/>
            <w:vAlign w:val="bottom"/>
            <w:tcBorders>
              <w:top w:val="single" w:sz="8" w:color="CCEEFF"/>
              <w:left w:val="single" w:sz="8" w:color="auto"/>
              <w:bottom w:val="single" w:sz="8" w:color="CCEEFF"/>
              <w:right w:val="single" w:sz="8" w:color="auto"/>
            </w:tcBorders>
            <w:shd w:val="clear" w:color="auto" w:fill="CCEEFF"/>
          </w:tcPr>
          <w:p>
            <w:pPr>
              <w:spacing w:after="0"/>
              <w:rPr>
                <w:sz w:val="22"/>
                <w:szCs w:val="22"/>
                <w:color w:val="auto"/>
              </w:rPr>
            </w:pPr>
          </w:p>
        </w:tc>
        <w:tc>
          <w:tcPr>
            <w:tcW w:w="64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3/4/2021</w:t>
            </w:r>
          </w:p>
        </w:tc>
        <w:tc>
          <w:tcPr>
            <w:tcW w:w="84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PSU</w:t>
            </w:r>
          </w:p>
        </w:tc>
        <w:tc>
          <w:tcPr>
            <w:tcW w:w="80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40" w:type="dxa"/>
            <w:vAlign w:val="bottom"/>
            <w:tcBorders>
              <w:top w:val="single" w:sz="8" w:color="auto"/>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56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top w:val="single" w:sz="8" w:color="auto"/>
              <w:bottom w:val="single" w:sz="8" w:color="CCEEFF"/>
              <w:right w:val="single" w:sz="8" w:color="auto"/>
            </w:tcBorders>
            <w:shd w:val="clear" w:color="auto" w:fill="CCEEFF"/>
          </w:tcPr>
          <w:p>
            <w:pPr>
              <w:jc w:val="center"/>
              <w:ind w:right="51"/>
              <w:spacing w:after="0"/>
              <w:rPr>
                <w:sz w:val="20"/>
                <w:szCs w:val="20"/>
                <w:color w:val="auto"/>
              </w:rPr>
            </w:pPr>
            <w:r>
              <w:rPr>
                <w:rFonts w:ascii="Arial" w:cs="Arial" w:eastAsia="Arial" w:hAnsi="Arial"/>
                <w:sz w:val="14"/>
                <w:szCs w:val="14"/>
                <w:color w:val="auto"/>
                <w:w w:val="99"/>
              </w:rPr>
              <w:t>—</w:t>
            </w:r>
          </w:p>
        </w:tc>
        <w:tc>
          <w:tcPr>
            <w:tcW w:w="70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19,408</w:t>
            </w:r>
          </w:p>
        </w:tc>
        <w:tc>
          <w:tcPr>
            <w:tcW w:w="102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$309,752</w:t>
            </w:r>
          </w:p>
        </w:tc>
        <w:tc>
          <w:tcPr>
            <w:tcW w:w="0" w:type="dxa"/>
            <w:vAlign w:val="bottom"/>
          </w:tcPr>
          <w:p>
            <w:pPr>
              <w:spacing w:after="0"/>
              <w:rPr>
                <w:sz w:val="1"/>
                <w:szCs w:val="1"/>
                <w:color w:val="auto"/>
              </w:rPr>
            </w:pPr>
          </w:p>
        </w:tc>
      </w:tr>
      <w:tr>
        <w:trPr>
          <w:trHeight w:val="212"/>
        </w:trPr>
        <w:tc>
          <w:tcPr>
            <w:tcW w:w="1440" w:type="dxa"/>
            <w:vAlign w:val="bottom"/>
            <w:tcBorders>
              <w:top w:val="single" w:sz="8" w:color="auto"/>
              <w:left w:val="single" w:sz="8" w:color="auto"/>
              <w:right w:val="single" w:sz="8" w:color="auto"/>
            </w:tcBorders>
          </w:tcPr>
          <w:p>
            <w:pPr>
              <w:spacing w:after="0"/>
              <w:rPr>
                <w:sz w:val="18"/>
                <w:szCs w:val="18"/>
                <w:color w:val="auto"/>
              </w:rPr>
            </w:pP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6"/>
              </w:rPr>
              <w:t>7/26/2018</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Option Award</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6"/>
              </w:rPr>
              <w:t>172,500</w:t>
            </w: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57,500</w:t>
            </w:r>
          </w:p>
        </w:tc>
        <w:tc>
          <w:tcPr>
            <w:tcW w:w="40" w:type="dxa"/>
            <w:vAlign w:val="bottom"/>
            <w:tcBorders>
              <w:top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5"/>
              </w:rPr>
              <w:t>$9.91</w:t>
            </w:r>
          </w:p>
        </w:tc>
        <w:tc>
          <w:tcPr>
            <w:tcW w:w="740" w:type="dxa"/>
            <w:vAlign w:val="bottom"/>
            <w:tcBorders>
              <w:top w:val="single" w:sz="8" w:color="auto"/>
              <w:right w:val="single" w:sz="8" w:color="auto"/>
            </w:tcBorders>
          </w:tcPr>
          <w:p>
            <w:pPr>
              <w:jc w:val="center"/>
              <w:ind w:right="31"/>
              <w:spacing w:after="0"/>
              <w:rPr>
                <w:sz w:val="20"/>
                <w:szCs w:val="20"/>
                <w:color w:val="auto"/>
              </w:rPr>
            </w:pPr>
            <w:r>
              <w:rPr>
                <w:rFonts w:ascii="Arial" w:cs="Arial" w:eastAsia="Arial" w:hAnsi="Arial"/>
                <w:sz w:val="14"/>
                <w:szCs w:val="14"/>
                <w:color w:val="auto"/>
                <w:w w:val="89"/>
              </w:rPr>
              <w:t>7/26/2028</w:t>
            </w:r>
          </w:p>
        </w:tc>
        <w:tc>
          <w:tcPr>
            <w:tcW w:w="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43"/>
        </w:trPr>
        <w:tc>
          <w:tcPr>
            <w:tcW w:w="1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Randall D. Nilsen</w:t>
            </w:r>
          </w:p>
        </w:tc>
        <w:tc>
          <w:tcPr>
            <w:tcW w:w="64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1440" w:type="dxa"/>
            <w:vAlign w:val="bottom"/>
            <w:tcBorders>
              <w:left w:val="single" w:sz="8" w:color="auto"/>
              <w:right w:val="single" w:sz="8" w:color="auto"/>
            </w:tcBorders>
            <w:vMerge w:val="continue"/>
          </w:tcPr>
          <w:p>
            <w:pPr>
              <w:spacing w:after="0"/>
              <w:rPr>
                <w:sz w:val="9"/>
                <w:szCs w:val="9"/>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3/4/2021</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7"/>
              </w:rPr>
              <w:t>RSU</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9"/>
                <w:szCs w:val="9"/>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vMerge w:val="restart"/>
          </w:tcPr>
          <w:p>
            <w:pPr>
              <w:jc w:val="center"/>
              <w:ind w:right="51"/>
              <w:spacing w:after="0"/>
              <w:rPr>
                <w:sz w:val="20"/>
                <w:szCs w:val="20"/>
                <w:color w:val="auto"/>
              </w:rPr>
            </w:pPr>
            <w:r>
              <w:rPr>
                <w:rFonts w:ascii="Arial" w:cs="Arial" w:eastAsia="Arial" w:hAnsi="Arial"/>
                <w:sz w:val="14"/>
                <w:szCs w:val="14"/>
                <w:color w:val="auto"/>
                <w:w w:val="99"/>
              </w:rPr>
              <w:t>—</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8"/>
              </w:rPr>
              <w:t>19,408</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8"/>
              </w:rPr>
              <w:t>$309,752</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06"/>
        </w:trPr>
        <w:tc>
          <w:tcPr>
            <w:tcW w:w="1440" w:type="dxa"/>
            <w:vAlign w:val="bottom"/>
            <w:tcBorders>
              <w:left w:val="single" w:sz="8" w:color="auto"/>
              <w:right w:val="single" w:sz="8" w:color="auto"/>
            </w:tcBorders>
            <w:vMerge w:val="restart"/>
          </w:tcPr>
          <w:p>
            <w:pPr>
              <w:ind w:left="40"/>
              <w:spacing w:after="0" w:line="146" w:lineRule="exact"/>
              <w:rPr>
                <w:sz w:val="20"/>
                <w:szCs w:val="20"/>
                <w:color w:val="auto"/>
              </w:rPr>
            </w:pPr>
            <w:r>
              <w:rPr>
                <w:rFonts w:ascii="Arial" w:cs="Arial" w:eastAsia="Arial" w:hAnsi="Arial"/>
                <w:sz w:val="14"/>
                <w:szCs w:val="14"/>
                <w:i w:val="1"/>
                <w:iCs w:val="1"/>
                <w:color w:val="auto"/>
                <w:w w:val="98"/>
              </w:rPr>
              <w:t>Chief Revenue Officer</w:t>
            </w:r>
          </w:p>
        </w:tc>
        <w:tc>
          <w:tcPr>
            <w:tcW w:w="64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56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1440" w:type="dxa"/>
            <w:vAlign w:val="bottom"/>
            <w:tcBorders>
              <w:left w:val="single" w:sz="8" w:color="auto"/>
              <w:right w:val="single" w:sz="8" w:color="auto"/>
            </w:tcBorders>
            <w:vMerge w:val="continue"/>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144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3/4/2021</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PSU</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tcPr>
          <w:p>
            <w:pPr>
              <w:jc w:val="center"/>
              <w:ind w:right="51"/>
              <w:spacing w:after="0"/>
              <w:rPr>
                <w:sz w:val="20"/>
                <w:szCs w:val="20"/>
                <w:color w:val="auto"/>
              </w:rPr>
            </w:pPr>
            <w:r>
              <w:rPr>
                <w:rFonts w:ascii="Arial" w:cs="Arial" w:eastAsia="Arial" w:hAnsi="Arial"/>
                <w:sz w:val="14"/>
                <w:szCs w:val="14"/>
                <w:color w:val="auto"/>
                <w:w w:val="99"/>
              </w:rPr>
              <w:t>—</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19,408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$309,752</w:t>
            </w:r>
          </w:p>
        </w:tc>
        <w:tc>
          <w:tcPr>
            <w:tcW w:w="0" w:type="dxa"/>
            <w:vAlign w:val="bottom"/>
          </w:tcPr>
          <w:p>
            <w:pPr>
              <w:spacing w:after="0"/>
              <w:rPr>
                <w:sz w:val="1"/>
                <w:szCs w:val="1"/>
                <w:color w:val="auto"/>
              </w:rPr>
            </w:pPr>
          </w:p>
        </w:tc>
      </w:tr>
      <w:tr>
        <w:trPr>
          <w:trHeight w:val="43"/>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jc w:val="both"/>
        <w:ind w:left="280" w:hanging="268"/>
        <w:spacing w:after="0" w:line="270" w:lineRule="auto"/>
        <w:tabs>
          <w:tab w:leader="none" w:pos="275"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Option Awards columns reflect stock options granted to the applicable NEO on the dates shown, which vest and become exercisable in four equal installments beginning one year after the date of grant, subject to the NEO’s continued employment with the Company. The Option Awards described in this table were granted under the International Money Express, Inc. 2018 Omnibus Equity Compensation Plan.</w:t>
      </w:r>
    </w:p>
    <w:p>
      <w:pPr>
        <w:spacing w:after="0" w:line="174" w:lineRule="exact"/>
        <w:rPr>
          <w:rFonts w:ascii="Arial" w:cs="Arial" w:eastAsia="Arial" w:hAnsi="Arial"/>
          <w:sz w:val="15"/>
          <w:szCs w:val="15"/>
          <w:color w:val="auto"/>
        </w:rPr>
      </w:pPr>
    </w:p>
    <w:p>
      <w:pPr>
        <w:jc w:val="both"/>
        <w:ind w:left="280" w:hanging="268"/>
        <w:spacing w:after="0" w:line="265" w:lineRule="auto"/>
        <w:tabs>
          <w:tab w:leader="none" w:pos="275"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Stock Awards columns reflect RSUs and RSAs granted to the applicable NEO on the dates shown, which vest generally in four equal installments beginning one year after the date of grant, subject to the NEO’s continued employment with the Company. In addition, the Stock Awards column reflects PSUs granted, shown based on threshold performance, to the applicable NEO on the dates shown, which generally vest subject to attainment of performance criteria during the service period established by the Compensation Committee.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175895</wp:posOffset>
            </wp:positionV>
            <wp:extent cx="7178040" cy="400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2" w:name="page83"/>
    <w:bookmarkEnd w:id="82"/>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Retirement Benefit Programs</w:t>
      </w:r>
    </w:p>
    <w:p>
      <w:pPr>
        <w:spacing w:after="0" w:line="222" w:lineRule="exact"/>
        <w:rPr>
          <w:sz w:val="20"/>
          <w:szCs w:val="20"/>
          <w:color w:val="auto"/>
        </w:rPr>
      </w:pPr>
    </w:p>
    <w:p>
      <w:pPr>
        <w:jc w:val="both"/>
        <w:ind w:right="20" w:firstLine="275"/>
        <w:spacing w:after="0" w:line="270" w:lineRule="auto"/>
        <w:rPr>
          <w:sz w:val="20"/>
          <w:szCs w:val="20"/>
          <w:color w:val="auto"/>
        </w:rPr>
      </w:pPr>
      <w:r>
        <w:rPr>
          <w:rFonts w:ascii="Arial" w:cs="Arial" w:eastAsia="Arial" w:hAnsi="Arial"/>
          <w:sz w:val="15"/>
          <w:szCs w:val="15"/>
          <w:color w:val="auto"/>
        </w:rPr>
        <w:t>The Company maintains a tax-qualified defined contribution plan (the “401(k) Plan”) that provides retirement benefits to employees, including matching contributions. The Company matches 50% of each employee’s contributions up to a maximum of 3% of their total compensation. The NEOs are eligible to participate in the 401(k) Plan on the same terms as other participating employees.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Potential Payments upon Termination or Change in Control</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Severance under Employment Agreements</w:t>
      </w:r>
    </w:p>
    <w:p>
      <w:pPr>
        <w:spacing w:after="0" w:line="218"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5"/>
          <w:szCs w:val="15"/>
          <w:color w:val="auto"/>
        </w:rPr>
        <w:t>Pursuant to the terms of the employment agreements with Mr. Lisy, Mr. Bende, Mr. Aguilar and Mr. Nilsen, the NEOs are entitled to receive certain payments in connection with certain termination events.</w:t>
      </w:r>
    </w:p>
    <w:p>
      <w:pPr>
        <w:spacing w:after="0" w:line="164" w:lineRule="exact"/>
        <w:rPr>
          <w:sz w:val="20"/>
          <w:szCs w:val="20"/>
          <w:color w:val="auto"/>
        </w:rPr>
      </w:pPr>
    </w:p>
    <w:p>
      <w:pPr>
        <w:jc w:val="both"/>
        <w:ind w:firstLine="275"/>
        <w:spacing w:after="0" w:line="260" w:lineRule="auto"/>
        <w:rPr>
          <w:sz w:val="20"/>
          <w:szCs w:val="20"/>
          <w:color w:val="auto"/>
        </w:rPr>
      </w:pPr>
      <w:r>
        <w:rPr>
          <w:rFonts w:ascii="Arial" w:cs="Arial" w:eastAsia="Arial" w:hAnsi="Arial"/>
          <w:sz w:val="15"/>
          <w:szCs w:val="15"/>
          <w:color w:val="auto"/>
        </w:rPr>
        <w:t>In the event that (i) Mr. Lisy is terminated by Holdings other than for Cause, Disability (as such terms are defined in the New CEO Employment Agreement) or death, (ii) if Mr. Lisy resigns for Good Reason (as defined in the New CEO Employment Agreement) or (iii) Mr. Lisy’s employment is terminated pursuant to the Company providing notice of non-renewal of the term of the New CEO Employment Agreement, Mr. Lisy is entitled to an amount equal to two times the sum of Mr. Lisy’s base salary and Mr. Lisy’s target bonus payable in equal installments over the two year period following termination and any other Accrued Rights (as defined in the New CEO Employment Agreement). In the event Mr. Lisy’s employment is terminated by us for Cause (as defined in the New CEO Employment Agreement), Mr. Lisy would be entitled to receive any base salary through the date of termination that remains unpaid as of the date of termination, any accrued and unpaid bonus for any previously completed year that Mr. Lisy is entitled to receive as of the date of termination, and any other Accrued Rights (as defined in the New CEO Employment Agreement).</w:t>
      </w:r>
    </w:p>
    <w:p>
      <w:pPr>
        <w:spacing w:after="0" w:line="183" w:lineRule="exact"/>
        <w:rPr>
          <w:sz w:val="20"/>
          <w:szCs w:val="20"/>
          <w:color w:val="auto"/>
        </w:rPr>
      </w:pPr>
    </w:p>
    <w:p>
      <w:pPr>
        <w:jc w:val="both"/>
        <w:ind w:right="20" w:firstLine="275"/>
        <w:spacing w:after="0" w:line="285" w:lineRule="auto"/>
        <w:rPr>
          <w:sz w:val="20"/>
          <w:szCs w:val="20"/>
          <w:color w:val="auto"/>
        </w:rPr>
      </w:pPr>
      <w:r>
        <w:rPr>
          <w:rFonts w:ascii="Arial" w:cs="Arial" w:eastAsia="Arial" w:hAnsi="Arial"/>
          <w:sz w:val="15"/>
          <w:szCs w:val="15"/>
          <w:color w:val="auto"/>
        </w:rPr>
        <w:t>If Mr. Lisy resigns for retirement (resignation after attainment of age 66 and providing six months’ notice), then outstanding awards granted under the Holdings long term incentive program will continue to vest in accordance with their original vesting schedule, subject to attainment of any applicable performance goals.</w:t>
      </w:r>
    </w:p>
    <w:p>
      <w:pPr>
        <w:spacing w:after="0" w:line="164" w:lineRule="exact"/>
        <w:rPr>
          <w:sz w:val="20"/>
          <w:szCs w:val="20"/>
          <w:color w:val="auto"/>
        </w:rPr>
      </w:pPr>
    </w:p>
    <w:p>
      <w:pPr>
        <w:jc w:val="both"/>
        <w:ind w:firstLine="275"/>
        <w:spacing w:after="0" w:line="259" w:lineRule="auto"/>
        <w:rPr>
          <w:sz w:val="20"/>
          <w:szCs w:val="20"/>
          <w:color w:val="auto"/>
        </w:rPr>
      </w:pPr>
      <w:r>
        <w:rPr>
          <w:rFonts w:ascii="Arial" w:cs="Arial" w:eastAsia="Arial" w:hAnsi="Arial"/>
          <w:sz w:val="15"/>
          <w:szCs w:val="15"/>
          <w:color w:val="auto"/>
        </w:rPr>
        <w:t>Pursuant to the New CEO Employment Agreement, in the event that any of the payments or benefits provided by Holdings to Mr. Lisy (whether pursuant to the terms of the New CEO Employment Agreement or any equity compensation or other agreement with Holdings) would constitute “parachute payments” (“Parachute Payments”) within the meaning of Section 280G of the Code, and would be subject to the excise tax imposed under Section 4999 of the Code or any interest or penalties with respect to such excise tax (collectively, the “Excise Tax”), then such Parachute Payments to be made to Mr. Lisy shall be payable either (1) in full or (2) as to such lesser amount which would result in no portion of such Parachute Payments being subject to the Excise Tax, whichever of the foregoing amounts, taking into account the applicable federal, state and local income taxes and the Excise Tax, results in Mr. Lisy’s receipt on an after-tax basis, of the greatest amount of economic benefits under the New CEO Employment Agreement, notwithstanding that all or some portion of such benefits may be subject to the Excise Tax. If a reduction in the Parachute Payment is necessary, then the reduction shall occur in accordance with the terms of the New CEO Employment Agreement.</w:t>
      </w:r>
    </w:p>
    <w:p>
      <w:pPr>
        <w:spacing w:after="0" w:line="186" w:lineRule="exact"/>
        <w:rPr>
          <w:sz w:val="20"/>
          <w:szCs w:val="20"/>
          <w:color w:val="auto"/>
        </w:rPr>
      </w:pPr>
    </w:p>
    <w:p>
      <w:pPr>
        <w:jc w:val="both"/>
        <w:ind w:firstLine="275"/>
        <w:spacing w:after="0" w:line="283" w:lineRule="auto"/>
        <w:rPr>
          <w:sz w:val="20"/>
          <w:szCs w:val="20"/>
          <w:color w:val="auto"/>
        </w:rPr>
      </w:pPr>
      <w:r>
        <w:rPr>
          <w:rFonts w:ascii="Arial" w:cs="Arial" w:eastAsia="Arial" w:hAnsi="Arial"/>
          <w:sz w:val="14"/>
          <w:szCs w:val="14"/>
          <w:color w:val="auto"/>
        </w:rPr>
        <w:t>In the event that Mr. Bende is terminated by Holdings other than for Cause, Disability (as such terms are defined in the CFO Employment Agreement) or death or if Mr. Bende resigns for Good Reason (as defined in the CFO Employment Agreement), he is entitled to base salary continuation for nine months, a payment equal to a pro-rata portion of his target bonus for the year in which termination occurs (less any bonus amounts already paid for such year) and any other Accrued Rights (as defined in the CFO Employment Agreement). In the event Mr. Bende’s employment is terminated by the Company for Cause (as defined in the CFO Employment Agreement), Mr. Bende would be entitled to any base salary through the date of termination that remains unpaid as of the date of termination, any accrued and unpaid bonus for any previously completed bonus period that Mr. Bende is entitled to receive as of the date of termination, and any other Accrued Rights (as defined in the CFO Employment Agreement).</w:t>
      </w:r>
    </w:p>
    <w:p>
      <w:pPr>
        <w:spacing w:after="0" w:line="169" w:lineRule="exact"/>
        <w:rPr>
          <w:sz w:val="20"/>
          <w:szCs w:val="20"/>
          <w:color w:val="auto"/>
        </w:rPr>
      </w:pPr>
    </w:p>
    <w:p>
      <w:pPr>
        <w:jc w:val="both"/>
        <w:ind w:firstLine="275"/>
        <w:spacing w:after="0" w:line="283" w:lineRule="auto"/>
        <w:rPr>
          <w:sz w:val="20"/>
          <w:szCs w:val="20"/>
          <w:color w:val="auto"/>
        </w:rPr>
      </w:pPr>
      <w:r>
        <w:rPr>
          <w:rFonts w:ascii="Arial" w:cs="Arial" w:eastAsia="Arial" w:hAnsi="Arial"/>
          <w:sz w:val="14"/>
          <w:szCs w:val="14"/>
          <w:color w:val="auto"/>
        </w:rPr>
        <w:t>In the event that Mr. Aguilar is terminated by Holdings other than for Cause, Disability (as such terms are defined in the COO Employment Agreement) or death or if Mr. Aguilar resigns for Good Reason (as defined in the COO Employment Agreement), he is entitled to base salary continuation for nine months, a pro-rata portion of his target bonus for the year in which termination occurs (less any bonus amounts already paid for such year) and any other Accrued Rights (as defined in the COO Employment Agreement). In the event Mr. Aguilar’s employment is terminated by the Company for Cause (as defined in the COO Employment Agreement), Mr. Aguilar would be entitled to any base salary through the date of termination that remains unpaid as of the date of termination, any accrued and unpaid bonus for any previously completed bonus period that Mr. Aguilar is entitled to receive as of the date of termination, and any other Accrued Rights (as defined in the COO Employment Agreement).</w:t>
      </w:r>
    </w:p>
    <w:p>
      <w:pPr>
        <w:spacing w:after="0" w:line="169" w:lineRule="exact"/>
        <w:rPr>
          <w:sz w:val="20"/>
          <w:szCs w:val="20"/>
          <w:color w:val="auto"/>
        </w:rPr>
      </w:pPr>
    </w:p>
    <w:p>
      <w:pPr>
        <w:jc w:val="both"/>
        <w:ind w:firstLine="275"/>
        <w:spacing w:after="0" w:line="290" w:lineRule="auto"/>
        <w:rPr>
          <w:sz w:val="20"/>
          <w:szCs w:val="20"/>
          <w:color w:val="auto"/>
        </w:rPr>
      </w:pPr>
      <w:r>
        <w:rPr>
          <w:rFonts w:ascii="Arial" w:cs="Arial" w:eastAsia="Arial" w:hAnsi="Arial"/>
          <w:sz w:val="14"/>
          <w:szCs w:val="14"/>
          <w:color w:val="auto"/>
        </w:rPr>
        <w:t>In the event that Mr. Nilsen is terminated by Holdings other than for Cause, Disability (as such terms are defined in the CRO Employment Agreement) or death or if Mr. Nilsen resigns for Good Reason (as defined in the CRO Employment Agreement), he is entitled to base salary continuation for nine months, a pro-rata portion of his target bonus for the year in which termination occurs (less any bonus amounts already paid for such year) and any other Accrued Rights (as defined in the CRO Employment Agreement). In the event Mr. Nilsen’s employment is terminated by the Company for Cause (as defined in the CRO Employment Agreement), Mr. Nilsen would be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83" w:name="page84"/>
    <w:bookmarkEnd w:id="83"/>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40" w:lineRule="exact"/>
        <w:rPr>
          <w:sz w:val="20"/>
          <w:szCs w:val="20"/>
          <w:color w:val="auto"/>
        </w:rPr>
      </w:pPr>
    </w:p>
    <w:p>
      <w:pPr>
        <w:jc w:val="both"/>
        <w:ind w:right="20"/>
        <w:spacing w:after="0" w:line="323" w:lineRule="auto"/>
        <w:rPr>
          <w:sz w:val="20"/>
          <w:szCs w:val="20"/>
          <w:color w:val="auto"/>
        </w:rPr>
      </w:pPr>
      <w:r>
        <w:rPr>
          <w:rFonts w:ascii="Arial" w:cs="Arial" w:eastAsia="Arial" w:hAnsi="Arial"/>
          <w:sz w:val="14"/>
          <w:szCs w:val="14"/>
          <w:color w:val="auto"/>
        </w:rPr>
        <w:t>entitled to receive any base salary through the date of termination that remains unpaid as of the date of termination, any accrued and unpaid bonus for any previously completed bonus period that Mr. Nilsen is entitled to receive as of the date of termination, and any other Accrued Rights (as defined in the CRO Employment Agreement).</w:t>
      </w:r>
    </w:p>
    <w:p>
      <w:pPr>
        <w:spacing w:after="0" w:line="140" w:lineRule="exact"/>
        <w:rPr>
          <w:sz w:val="20"/>
          <w:szCs w:val="20"/>
          <w:color w:val="auto"/>
        </w:rPr>
      </w:pPr>
    </w:p>
    <w:p>
      <w:pPr>
        <w:jc w:val="both"/>
        <w:ind w:firstLine="275"/>
        <w:spacing w:after="0" w:line="298" w:lineRule="auto"/>
        <w:rPr>
          <w:sz w:val="20"/>
          <w:szCs w:val="20"/>
          <w:color w:val="auto"/>
        </w:rPr>
      </w:pPr>
      <w:r>
        <w:rPr>
          <w:rFonts w:ascii="Arial" w:cs="Arial" w:eastAsia="Arial" w:hAnsi="Arial"/>
          <w:sz w:val="14"/>
          <w:szCs w:val="14"/>
          <w:color w:val="auto"/>
        </w:rPr>
        <w:t>In addition to the rights described above upon certain terminations, termination of an NEO’s employment due to death or disability will result in accelerated vesting of outstanding awards under the International Money Express, Inc. 2018 Omnibus Equity Compensation Plan (the “2018 Plan”) and the 2020 Plan, although the number of any outstanding PSUs that vest depends on when the termination occurs during the applicable vesting period (either 100% of target or based on attainment of performance goals).</w:t>
      </w:r>
    </w:p>
    <w:p>
      <w:pPr>
        <w:spacing w:after="0" w:line="157"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In the event of a change in control (as defined in the 2018 Plan) of Holdings, the NEO would be entitled to a full vesting of all options outstanding under the 2018 Plan. Awards granted under the standard form of RSU and PSU award agreements under the 2020 Plan provide that upon a change in control (as defined in the 2020 Plan) of Holdings, all awards will vest for an NEO if (a) the award is not assumed in the change in control or (b) the award is assumed in the change in control but within two years following the change in control the NEO’s employment is terminated without Cause (as defined in the 2020 Plan form of award agreement).</w:t>
      </w:r>
    </w:p>
    <w:p>
      <w:pPr>
        <w:spacing w:after="0" w:line="179" w:lineRule="exact"/>
        <w:rPr>
          <w:sz w:val="20"/>
          <w:szCs w:val="20"/>
          <w:color w:val="auto"/>
        </w:rPr>
      </w:pPr>
    </w:p>
    <w:p>
      <w:pPr>
        <w:jc w:val="both"/>
        <w:ind w:firstLine="275"/>
        <w:spacing w:after="0" w:line="260" w:lineRule="auto"/>
        <w:rPr>
          <w:sz w:val="20"/>
          <w:szCs w:val="20"/>
          <w:color w:val="auto"/>
        </w:rPr>
      </w:pPr>
      <w:r>
        <w:rPr>
          <w:rFonts w:ascii="Arial" w:cs="Arial" w:eastAsia="Arial" w:hAnsi="Arial"/>
          <w:sz w:val="15"/>
          <w:szCs w:val="15"/>
          <w:color w:val="auto"/>
        </w:rPr>
        <w:t>For awards of PSUs under the 2020 Plan standard form, if a change in control (as defined in the 2020 Plan) of Holdings occurs, the PSUs will generally convert into RSUs if the award is assumed in the change in control and the RSUs will continue to vest either based on target or based on attainment of performance goals through the change in control, but the other vesting rules applicable to RSU awards under the 2020 Plan will then apply (either full acceleration of vesting if no assumption of the RSU in the change in control or full acceleration of vesting following a termination without Cause within 2 years following the change in control). In addition, in the event of a termination without Cause (as defined in the 2020 Plan form PSU agreement) after the first year of the performance period, a pro rata portion of the PSUs may vest depending upon attainment of performance goals identified in the PSU agreement. Except for the terms of the awards for Mr. Lisy as described above, awards of RSUs and PSUs granted to NEOs in March 2021 each contain the terms set forth in the standard form of RSU and PSU agreement, as applicable.</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of Directors</w:t>
      </w:r>
    </w:p>
    <w:p>
      <w:pPr>
        <w:spacing w:after="0" w:line="222" w:lineRule="exact"/>
        <w:rPr>
          <w:sz w:val="20"/>
          <w:szCs w:val="20"/>
          <w:color w:val="auto"/>
        </w:rPr>
      </w:pPr>
    </w:p>
    <w:p>
      <w:pPr>
        <w:jc w:val="both"/>
        <w:ind w:firstLine="275"/>
        <w:spacing w:after="0" w:line="298" w:lineRule="auto"/>
        <w:rPr>
          <w:sz w:val="20"/>
          <w:szCs w:val="20"/>
          <w:color w:val="auto"/>
        </w:rPr>
      </w:pPr>
      <w:r>
        <w:rPr>
          <w:rFonts w:ascii="Arial" w:cs="Arial" w:eastAsia="Arial" w:hAnsi="Arial"/>
          <w:sz w:val="14"/>
          <w:szCs w:val="14"/>
          <w:color w:val="auto"/>
        </w:rPr>
        <w:t>The directors for fiscal year 2021 included Robert Lisy, Justin Wender, Adam Godfrey, John Rincon, Kurt Holstein, Michael Purcell, Christopher Lofgren and Laura Maydón. Only the independent non-employee directors of the Company, John Rincon, Kurt Holstein, Michael Purcell, Christopher Lofgren and Laura Maydón, received compensation for their service as directors for the fiscal year ended December 31, 2021. Messrs. Kurt Holstein and Christopher Lofgren retired from the Board of Directors effective January 6, 2022.</w:t>
      </w:r>
    </w:p>
    <w:p>
      <w:pPr>
        <w:spacing w:after="0" w:line="157" w:lineRule="exact"/>
        <w:rPr>
          <w:sz w:val="20"/>
          <w:szCs w:val="20"/>
          <w:color w:val="auto"/>
        </w:rPr>
      </w:pPr>
    </w:p>
    <w:p>
      <w:pPr>
        <w:jc w:val="both"/>
        <w:ind w:firstLine="275"/>
        <w:spacing w:after="0" w:line="281" w:lineRule="auto"/>
        <w:rPr>
          <w:sz w:val="20"/>
          <w:szCs w:val="20"/>
          <w:color w:val="auto"/>
        </w:rPr>
      </w:pPr>
      <w:r>
        <w:rPr>
          <w:rFonts w:ascii="Arial" w:cs="Arial" w:eastAsia="Arial" w:hAnsi="Arial"/>
          <w:sz w:val="14"/>
          <w:szCs w:val="14"/>
          <w:color w:val="auto"/>
        </w:rPr>
        <w:t>For 2021, the compensation of the independent non-employee directors was as follows: (a) the Lead Independent Director received an annual retainer of $36,000 in cash and $36,000 in an award of fully vested shares, payable on a quarterly basis, at the end of each quarter; (b) the Audit Committee Chair received an annual retainer of $12,000 in cash and $12,000 in an award of fully vested shares, payable on a quarterly basis, at the end of each quarter; (c) the Compensation Committee Chair and Nominating and Corporate Governance Committee Chair each received an annual retainer of $8,000 in cash and $8,000 in an award of fully vested shares, payable on a quarterly basis at the end of each quarter; (d) the non-chair members of all committees each received an annual retainer of $8,000 in cash payable on an annual basis; and (e) the equity portion of the annual retainer for all independent non-employee directors was $100,000, payable on an annual basis in an equity-based award that vests on the one-year anniversary of the grant date. Independent non-employee directors also each continued to receive an annual cash retainer of $50,000, payable on an annual basis.</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Also, all members of our Board of Directors are reimbursed for their usual and customary expenses incurred in connection with attending all Board and other committee meetings.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84" w:name="page85"/>
    <w:bookmarkEnd w:id="84"/>
    <w:p>
      <w:pPr>
        <w:ind w:left="8"/>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36"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Director Compensation Table for Fiscal Year 2021</w:t>
      </w:r>
    </w:p>
    <w:p>
      <w:pPr>
        <w:spacing w:after="0" w:line="222" w:lineRule="exact"/>
        <w:rPr>
          <w:sz w:val="20"/>
          <w:szCs w:val="20"/>
          <w:color w:val="auto"/>
        </w:rPr>
      </w:pPr>
    </w:p>
    <w:p>
      <w:pPr>
        <w:ind w:left="8" w:firstLine="275"/>
        <w:spacing w:after="0" w:line="276" w:lineRule="auto"/>
        <w:rPr>
          <w:sz w:val="20"/>
          <w:szCs w:val="20"/>
          <w:color w:val="auto"/>
        </w:rPr>
      </w:pPr>
      <w:r>
        <w:rPr>
          <w:rFonts w:ascii="Arial" w:cs="Arial" w:eastAsia="Arial" w:hAnsi="Arial"/>
          <w:sz w:val="15"/>
          <w:szCs w:val="15"/>
          <w:color w:val="auto"/>
        </w:rPr>
        <w:t>The following table sets forth information for the year ended December 31, 2021 regarding the compensation awarded to, earned by or paid to our independent non-employee directors:</w:t>
      </w:r>
    </w:p>
    <w:tbl>
      <w:tblPr>
        <w:tblLayout w:type="fixed"/>
        <w:tblInd w:w="268" w:type="dxa"/>
        <w:tblCellMar>
          <w:top w:w="0" w:type="dxa"/>
          <w:left w:w="0" w:type="dxa"/>
          <w:bottom w:w="0" w:type="dxa"/>
          <w:right w:w="0" w:type="dxa"/>
        </w:tblCellMar>
      </w:tblPr>
      <w:tr>
        <w:trPr>
          <w:trHeight w:val="153"/>
        </w:trPr>
        <w:tc>
          <w:tcPr>
            <w:tcW w:w="2740" w:type="dxa"/>
            <w:vAlign w:val="bottom"/>
          </w:tcPr>
          <w:p>
            <w:pPr>
              <w:spacing w:after="0"/>
              <w:rPr>
                <w:sz w:val="13"/>
                <w:szCs w:val="13"/>
                <w:color w:val="auto"/>
              </w:rPr>
            </w:pPr>
          </w:p>
        </w:tc>
        <w:tc>
          <w:tcPr>
            <w:tcW w:w="2500" w:type="dxa"/>
            <w:vAlign w:val="bottom"/>
          </w:tcPr>
          <w:p>
            <w:pPr>
              <w:ind w:left="860"/>
              <w:spacing w:after="0" w:line="153" w:lineRule="exact"/>
              <w:rPr>
                <w:sz w:val="20"/>
                <w:szCs w:val="20"/>
                <w:color w:val="auto"/>
              </w:rPr>
            </w:pPr>
            <w:r>
              <w:rPr>
                <w:rFonts w:ascii="Arial" w:cs="Arial" w:eastAsia="Arial" w:hAnsi="Arial"/>
                <w:sz w:val="15"/>
                <w:szCs w:val="15"/>
                <w:b w:val="1"/>
                <w:bCs w:val="1"/>
                <w:color w:val="auto"/>
              </w:rPr>
              <w:t>Fees earned or</w:t>
            </w:r>
          </w:p>
        </w:tc>
        <w:tc>
          <w:tcPr>
            <w:tcW w:w="2040" w:type="dxa"/>
            <w:vAlign w:val="bottom"/>
          </w:tcPr>
          <w:p>
            <w:pPr>
              <w:jc w:val="center"/>
              <w:ind w:right="8"/>
              <w:spacing w:after="0" w:line="153" w:lineRule="exact"/>
              <w:rPr>
                <w:sz w:val="20"/>
                <w:szCs w:val="20"/>
                <w:color w:val="auto"/>
              </w:rPr>
            </w:pPr>
            <w:r>
              <w:rPr>
                <w:rFonts w:ascii="Arial" w:cs="Arial" w:eastAsia="Arial" w:hAnsi="Arial"/>
                <w:sz w:val="15"/>
                <w:szCs w:val="15"/>
                <w:b w:val="1"/>
                <w:bCs w:val="1"/>
                <w:color w:val="auto"/>
                <w:w w:val="88"/>
              </w:rPr>
              <w:t>Stock</w:t>
            </w:r>
          </w:p>
        </w:tc>
        <w:tc>
          <w:tcPr>
            <w:tcW w:w="1980" w:type="dxa"/>
            <w:vAlign w:val="bottom"/>
            <w:vMerge w:val="restart"/>
          </w:tcPr>
          <w:p>
            <w:pPr>
              <w:jc w:val="center"/>
              <w:ind w:left="64"/>
              <w:spacing w:after="0"/>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49"/>
        </w:trPr>
        <w:tc>
          <w:tcPr>
            <w:tcW w:w="2740" w:type="dxa"/>
            <w:vAlign w:val="bottom"/>
            <w:vMerge w:val="restart"/>
          </w:tcPr>
          <w:p>
            <w:pPr>
              <w:ind w:left="1260"/>
              <w:spacing w:after="0"/>
              <w:rPr>
                <w:sz w:val="20"/>
                <w:szCs w:val="20"/>
                <w:color w:val="auto"/>
              </w:rPr>
            </w:pPr>
            <w:r>
              <w:rPr>
                <w:rFonts w:ascii="Arial" w:cs="Arial" w:eastAsia="Arial" w:hAnsi="Arial"/>
                <w:sz w:val="15"/>
                <w:szCs w:val="15"/>
                <w:b w:val="1"/>
                <w:bCs w:val="1"/>
                <w:color w:val="auto"/>
              </w:rPr>
              <w:t>Director</w:t>
            </w:r>
            <w:r>
              <w:rPr>
                <w:rFonts w:ascii="Arial" w:cs="Arial" w:eastAsia="Arial" w:hAnsi="Arial"/>
                <w:sz w:val="19"/>
                <w:szCs w:val="19"/>
                <w:b w:val="1"/>
                <w:bCs w:val="1"/>
                <w:color w:val="auto"/>
                <w:vertAlign w:val="superscript"/>
              </w:rPr>
              <w:t>(1)</w:t>
            </w:r>
          </w:p>
        </w:tc>
        <w:tc>
          <w:tcPr>
            <w:tcW w:w="2500" w:type="dxa"/>
            <w:vAlign w:val="bottom"/>
          </w:tcPr>
          <w:p>
            <w:pPr>
              <w:jc w:val="center"/>
              <w:ind w:right="4"/>
              <w:spacing w:after="0" w:line="149" w:lineRule="exact"/>
              <w:rPr>
                <w:sz w:val="20"/>
                <w:szCs w:val="20"/>
                <w:color w:val="auto"/>
              </w:rPr>
            </w:pPr>
            <w:r>
              <w:rPr>
                <w:rFonts w:ascii="Arial" w:cs="Arial" w:eastAsia="Arial" w:hAnsi="Arial"/>
                <w:sz w:val="15"/>
                <w:szCs w:val="15"/>
                <w:b w:val="1"/>
                <w:bCs w:val="1"/>
                <w:color w:val="auto"/>
                <w:w w:val="89"/>
              </w:rPr>
              <w:t>paid in cash</w:t>
            </w:r>
          </w:p>
        </w:tc>
        <w:tc>
          <w:tcPr>
            <w:tcW w:w="2040" w:type="dxa"/>
            <w:vAlign w:val="bottom"/>
          </w:tcPr>
          <w:p>
            <w:pPr>
              <w:jc w:val="center"/>
              <w:ind w:right="8"/>
              <w:spacing w:after="0" w:line="149" w:lineRule="exact"/>
              <w:rPr>
                <w:sz w:val="20"/>
                <w:szCs w:val="20"/>
                <w:color w:val="auto"/>
              </w:rPr>
            </w:pPr>
            <w:r>
              <w:rPr>
                <w:rFonts w:ascii="Arial" w:cs="Arial" w:eastAsia="Arial" w:hAnsi="Arial"/>
                <w:sz w:val="15"/>
                <w:szCs w:val="15"/>
                <w:b w:val="1"/>
                <w:bCs w:val="1"/>
                <w:color w:val="auto"/>
                <w:w w:val="92"/>
              </w:rPr>
              <w:t>awards</w:t>
            </w:r>
          </w:p>
        </w:tc>
        <w:tc>
          <w:tcPr>
            <w:tcW w:w="1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740" w:type="dxa"/>
            <w:vAlign w:val="bottom"/>
            <w:tcBorders>
              <w:bottom w:val="single" w:sz="8" w:color="auto"/>
            </w:tcBorders>
            <w:vMerge w:val="continue"/>
          </w:tcPr>
          <w:p>
            <w:pPr>
              <w:spacing w:after="0"/>
              <w:rPr>
                <w:sz w:val="17"/>
                <w:szCs w:val="17"/>
                <w:color w:val="auto"/>
              </w:rPr>
            </w:pPr>
          </w:p>
        </w:tc>
        <w:tc>
          <w:tcPr>
            <w:tcW w:w="2500" w:type="dxa"/>
            <w:vAlign w:val="bottom"/>
            <w:tcBorders>
              <w:bottom w:val="single" w:sz="8" w:color="auto"/>
            </w:tcBorders>
          </w:tcPr>
          <w:p>
            <w:pPr>
              <w:jc w:val="right"/>
              <w:ind w:right="1124"/>
              <w:spacing w:after="0"/>
              <w:rPr>
                <w:sz w:val="20"/>
                <w:szCs w:val="20"/>
                <w:color w:val="auto"/>
              </w:rPr>
            </w:pPr>
            <w:r>
              <w:rPr>
                <w:rFonts w:ascii="Arial" w:cs="Arial" w:eastAsia="Arial" w:hAnsi="Arial"/>
                <w:sz w:val="15"/>
                <w:szCs w:val="15"/>
                <w:b w:val="1"/>
                <w:bCs w:val="1"/>
                <w:color w:val="auto"/>
              </w:rPr>
              <w:t>($)</w:t>
            </w:r>
          </w:p>
        </w:tc>
        <w:tc>
          <w:tcPr>
            <w:tcW w:w="2040" w:type="dxa"/>
            <w:vAlign w:val="bottom"/>
            <w:tcBorders>
              <w:bottom w:val="single" w:sz="8" w:color="auto"/>
            </w:tcBorders>
          </w:tcPr>
          <w:p>
            <w:pPr>
              <w:jc w:val="center"/>
              <w:ind w:right="8"/>
              <w:spacing w:after="0" w:line="195"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8"/>
                <w:szCs w:val="8"/>
                <w:b w:val="1"/>
                <w:bCs w:val="1"/>
                <w:color w:val="auto"/>
              </w:rPr>
              <w:t>(2)(3)</w:t>
            </w:r>
          </w:p>
        </w:tc>
        <w:tc>
          <w:tcPr>
            <w:tcW w:w="1980" w:type="dxa"/>
            <w:vAlign w:val="bottom"/>
            <w:tcBorders>
              <w:bottom w:val="single" w:sz="8" w:color="auto"/>
            </w:tcBorders>
          </w:tcPr>
          <w:p>
            <w:pPr>
              <w:jc w:val="right"/>
              <w:ind w:right="88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5"/>
        </w:trPr>
        <w:tc>
          <w:tcPr>
            <w:tcW w:w="27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John Rincon</w:t>
            </w:r>
          </w:p>
        </w:tc>
        <w:tc>
          <w:tcPr>
            <w:tcW w:w="2500" w:type="dxa"/>
            <w:vAlign w:val="bottom"/>
            <w:shd w:val="clear" w:color="auto" w:fill="CCEEFF"/>
          </w:tcPr>
          <w:p>
            <w:pPr>
              <w:jc w:val="center"/>
              <w:ind w:left="124"/>
              <w:spacing w:after="0"/>
              <w:rPr>
                <w:sz w:val="20"/>
                <w:szCs w:val="20"/>
                <w:color w:val="auto"/>
              </w:rPr>
            </w:pPr>
            <w:r>
              <w:rPr>
                <w:rFonts w:ascii="Arial" w:cs="Arial" w:eastAsia="Arial" w:hAnsi="Arial"/>
                <w:sz w:val="15"/>
                <w:szCs w:val="15"/>
                <w:color w:val="auto"/>
                <w:w w:val="92"/>
              </w:rPr>
              <w:t>$66,000</w:t>
            </w:r>
          </w:p>
        </w:tc>
        <w:tc>
          <w:tcPr>
            <w:tcW w:w="2040" w:type="dxa"/>
            <w:vAlign w:val="bottom"/>
            <w:shd w:val="clear" w:color="auto" w:fill="CCEEFF"/>
          </w:tcPr>
          <w:p>
            <w:pPr>
              <w:jc w:val="center"/>
              <w:ind w:right="8"/>
              <w:spacing w:after="0"/>
              <w:rPr>
                <w:sz w:val="20"/>
                <w:szCs w:val="20"/>
                <w:color w:val="auto"/>
              </w:rPr>
            </w:pPr>
            <w:r>
              <w:rPr>
                <w:rFonts w:ascii="Arial" w:cs="Arial" w:eastAsia="Arial" w:hAnsi="Arial"/>
                <w:sz w:val="15"/>
                <w:szCs w:val="15"/>
                <w:color w:val="auto"/>
                <w:w w:val="89"/>
              </w:rPr>
              <w:t>$100,000</w:t>
            </w:r>
          </w:p>
        </w:tc>
        <w:tc>
          <w:tcPr>
            <w:tcW w:w="1980" w:type="dxa"/>
            <w:vAlign w:val="bottom"/>
            <w:shd w:val="clear" w:color="auto" w:fill="CCEEFF"/>
          </w:tcPr>
          <w:p>
            <w:pPr>
              <w:jc w:val="center"/>
              <w:ind w:left="64"/>
              <w:spacing w:after="0"/>
              <w:rPr>
                <w:sz w:val="20"/>
                <w:szCs w:val="20"/>
                <w:color w:val="auto"/>
              </w:rPr>
            </w:pPr>
            <w:r>
              <w:rPr>
                <w:rFonts w:ascii="Arial" w:cs="Arial" w:eastAsia="Arial" w:hAnsi="Arial"/>
                <w:sz w:val="15"/>
                <w:szCs w:val="15"/>
                <w:color w:val="auto"/>
                <w:w w:val="89"/>
              </w:rPr>
              <w:t>$166,000</w:t>
            </w:r>
          </w:p>
        </w:tc>
        <w:tc>
          <w:tcPr>
            <w:tcW w:w="0" w:type="dxa"/>
            <w:vAlign w:val="bottom"/>
          </w:tcPr>
          <w:p>
            <w:pPr>
              <w:spacing w:after="0"/>
              <w:rPr>
                <w:sz w:val="1"/>
                <w:szCs w:val="1"/>
                <w:color w:val="auto"/>
              </w:rPr>
            </w:pPr>
          </w:p>
        </w:tc>
      </w:tr>
      <w:tr>
        <w:trPr>
          <w:trHeight w:val="195"/>
        </w:trPr>
        <w:tc>
          <w:tcPr>
            <w:tcW w:w="2740" w:type="dxa"/>
            <w:vAlign w:val="bottom"/>
          </w:tcPr>
          <w:p>
            <w:pPr>
              <w:ind w:left="300"/>
              <w:spacing w:after="0" w:line="195" w:lineRule="exact"/>
              <w:rPr>
                <w:sz w:val="20"/>
                <w:szCs w:val="20"/>
                <w:color w:val="auto"/>
              </w:rPr>
            </w:pPr>
            <w:r>
              <w:rPr>
                <w:rFonts w:ascii="Arial" w:cs="Arial" w:eastAsia="Arial" w:hAnsi="Arial"/>
                <w:sz w:val="15"/>
                <w:szCs w:val="15"/>
                <w:color w:val="auto"/>
              </w:rPr>
              <w:t>Kurt Holstein</w:t>
            </w:r>
            <w:r>
              <w:rPr>
                <w:rFonts w:ascii="Arial" w:cs="Arial" w:eastAsia="Arial" w:hAnsi="Arial"/>
                <w:sz w:val="19"/>
                <w:szCs w:val="19"/>
                <w:color w:val="auto"/>
                <w:vertAlign w:val="superscript"/>
              </w:rPr>
              <w:t>(4)</w:t>
            </w:r>
          </w:p>
        </w:tc>
        <w:tc>
          <w:tcPr>
            <w:tcW w:w="2500" w:type="dxa"/>
            <w:vAlign w:val="bottom"/>
          </w:tcPr>
          <w:p>
            <w:pPr>
              <w:jc w:val="center"/>
              <w:ind w:left="124"/>
              <w:spacing w:after="0"/>
              <w:rPr>
                <w:sz w:val="20"/>
                <w:szCs w:val="20"/>
                <w:color w:val="auto"/>
              </w:rPr>
            </w:pPr>
            <w:r>
              <w:rPr>
                <w:rFonts w:ascii="Arial" w:cs="Arial" w:eastAsia="Arial" w:hAnsi="Arial"/>
                <w:sz w:val="15"/>
                <w:szCs w:val="15"/>
                <w:color w:val="auto"/>
                <w:w w:val="92"/>
              </w:rPr>
              <w:t>$66,000</w:t>
            </w:r>
          </w:p>
        </w:tc>
        <w:tc>
          <w:tcPr>
            <w:tcW w:w="2040" w:type="dxa"/>
            <w:vAlign w:val="bottom"/>
          </w:tcPr>
          <w:p>
            <w:pPr>
              <w:jc w:val="center"/>
              <w:ind w:right="8"/>
              <w:spacing w:after="0"/>
              <w:rPr>
                <w:sz w:val="20"/>
                <w:szCs w:val="20"/>
                <w:color w:val="auto"/>
              </w:rPr>
            </w:pPr>
            <w:r>
              <w:rPr>
                <w:rFonts w:ascii="Arial" w:cs="Arial" w:eastAsia="Arial" w:hAnsi="Arial"/>
                <w:sz w:val="15"/>
                <w:szCs w:val="15"/>
                <w:color w:val="auto"/>
                <w:w w:val="89"/>
              </w:rPr>
              <w:t>$108,000</w:t>
            </w:r>
          </w:p>
        </w:tc>
        <w:tc>
          <w:tcPr>
            <w:tcW w:w="1980" w:type="dxa"/>
            <w:vAlign w:val="bottom"/>
          </w:tcPr>
          <w:p>
            <w:pPr>
              <w:jc w:val="center"/>
              <w:ind w:left="64"/>
              <w:spacing w:after="0"/>
              <w:rPr>
                <w:sz w:val="20"/>
                <w:szCs w:val="20"/>
                <w:color w:val="auto"/>
              </w:rPr>
            </w:pPr>
            <w:r>
              <w:rPr>
                <w:rFonts w:ascii="Arial" w:cs="Arial" w:eastAsia="Arial" w:hAnsi="Arial"/>
                <w:sz w:val="15"/>
                <w:szCs w:val="15"/>
                <w:color w:val="auto"/>
                <w:w w:val="89"/>
              </w:rPr>
              <w:t>$174,000</w:t>
            </w:r>
          </w:p>
        </w:tc>
        <w:tc>
          <w:tcPr>
            <w:tcW w:w="0" w:type="dxa"/>
            <w:vAlign w:val="bottom"/>
          </w:tcPr>
          <w:p>
            <w:pPr>
              <w:spacing w:after="0"/>
              <w:rPr>
                <w:sz w:val="1"/>
                <w:szCs w:val="1"/>
                <w:color w:val="auto"/>
              </w:rPr>
            </w:pPr>
          </w:p>
        </w:tc>
      </w:tr>
      <w:tr>
        <w:trPr>
          <w:trHeight w:val="195"/>
        </w:trPr>
        <w:tc>
          <w:tcPr>
            <w:tcW w:w="27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Michael Purcell</w:t>
            </w:r>
          </w:p>
        </w:tc>
        <w:tc>
          <w:tcPr>
            <w:tcW w:w="2500" w:type="dxa"/>
            <w:vAlign w:val="bottom"/>
            <w:shd w:val="clear" w:color="auto" w:fill="CCEEFF"/>
          </w:tcPr>
          <w:p>
            <w:pPr>
              <w:jc w:val="center"/>
              <w:ind w:left="124"/>
              <w:spacing w:after="0"/>
              <w:rPr>
                <w:sz w:val="20"/>
                <w:szCs w:val="20"/>
                <w:color w:val="auto"/>
              </w:rPr>
            </w:pPr>
            <w:r>
              <w:rPr>
                <w:rFonts w:ascii="Arial" w:cs="Arial" w:eastAsia="Arial" w:hAnsi="Arial"/>
                <w:sz w:val="15"/>
                <w:szCs w:val="15"/>
                <w:color w:val="auto"/>
                <w:w w:val="92"/>
              </w:rPr>
              <w:t>$106,000</w:t>
            </w:r>
          </w:p>
        </w:tc>
        <w:tc>
          <w:tcPr>
            <w:tcW w:w="2040" w:type="dxa"/>
            <w:vAlign w:val="bottom"/>
            <w:shd w:val="clear" w:color="auto" w:fill="CCEEFF"/>
          </w:tcPr>
          <w:p>
            <w:pPr>
              <w:jc w:val="center"/>
              <w:ind w:right="8"/>
              <w:spacing w:after="0"/>
              <w:rPr>
                <w:sz w:val="20"/>
                <w:szCs w:val="20"/>
                <w:color w:val="auto"/>
              </w:rPr>
            </w:pPr>
            <w:r>
              <w:rPr>
                <w:rFonts w:ascii="Arial" w:cs="Arial" w:eastAsia="Arial" w:hAnsi="Arial"/>
                <w:sz w:val="15"/>
                <w:szCs w:val="15"/>
                <w:color w:val="auto"/>
                <w:w w:val="89"/>
              </w:rPr>
              <w:t>$148,000</w:t>
            </w:r>
          </w:p>
        </w:tc>
        <w:tc>
          <w:tcPr>
            <w:tcW w:w="1980" w:type="dxa"/>
            <w:vAlign w:val="bottom"/>
            <w:shd w:val="clear" w:color="auto" w:fill="CCEEFF"/>
          </w:tcPr>
          <w:p>
            <w:pPr>
              <w:jc w:val="center"/>
              <w:ind w:left="64"/>
              <w:spacing w:after="0"/>
              <w:rPr>
                <w:sz w:val="20"/>
                <w:szCs w:val="20"/>
                <w:color w:val="auto"/>
              </w:rPr>
            </w:pPr>
            <w:r>
              <w:rPr>
                <w:rFonts w:ascii="Arial" w:cs="Arial" w:eastAsia="Arial" w:hAnsi="Arial"/>
                <w:sz w:val="15"/>
                <w:szCs w:val="15"/>
                <w:color w:val="auto"/>
                <w:w w:val="89"/>
              </w:rPr>
              <w:t>$254,000</w:t>
            </w:r>
          </w:p>
        </w:tc>
        <w:tc>
          <w:tcPr>
            <w:tcW w:w="0" w:type="dxa"/>
            <w:vAlign w:val="bottom"/>
          </w:tcPr>
          <w:p>
            <w:pPr>
              <w:spacing w:after="0"/>
              <w:rPr>
                <w:sz w:val="1"/>
                <w:szCs w:val="1"/>
                <w:color w:val="auto"/>
              </w:rPr>
            </w:pPr>
          </w:p>
        </w:tc>
      </w:tr>
      <w:tr>
        <w:trPr>
          <w:trHeight w:val="195"/>
        </w:trPr>
        <w:tc>
          <w:tcPr>
            <w:tcW w:w="2740" w:type="dxa"/>
            <w:vAlign w:val="bottom"/>
          </w:tcPr>
          <w:p>
            <w:pPr>
              <w:ind w:left="300"/>
              <w:spacing w:after="0" w:line="195" w:lineRule="exact"/>
              <w:rPr>
                <w:sz w:val="20"/>
                <w:szCs w:val="20"/>
                <w:color w:val="auto"/>
              </w:rPr>
            </w:pPr>
            <w:r>
              <w:rPr>
                <w:rFonts w:ascii="Arial" w:cs="Arial" w:eastAsia="Arial" w:hAnsi="Arial"/>
                <w:sz w:val="15"/>
                <w:szCs w:val="15"/>
                <w:color w:val="auto"/>
              </w:rPr>
              <w:t>Christopher Lofgren</w:t>
            </w:r>
            <w:r>
              <w:rPr>
                <w:rFonts w:ascii="Arial" w:cs="Arial" w:eastAsia="Arial" w:hAnsi="Arial"/>
                <w:sz w:val="19"/>
                <w:szCs w:val="19"/>
                <w:color w:val="auto"/>
                <w:vertAlign w:val="superscript"/>
              </w:rPr>
              <w:t>(4)</w:t>
            </w:r>
          </w:p>
        </w:tc>
        <w:tc>
          <w:tcPr>
            <w:tcW w:w="2500" w:type="dxa"/>
            <w:vAlign w:val="bottom"/>
          </w:tcPr>
          <w:p>
            <w:pPr>
              <w:jc w:val="center"/>
              <w:ind w:left="124"/>
              <w:spacing w:after="0"/>
              <w:rPr>
                <w:sz w:val="20"/>
                <w:szCs w:val="20"/>
                <w:color w:val="auto"/>
              </w:rPr>
            </w:pPr>
            <w:r>
              <w:rPr>
                <w:rFonts w:ascii="Arial" w:cs="Arial" w:eastAsia="Arial" w:hAnsi="Arial"/>
                <w:sz w:val="15"/>
                <w:szCs w:val="15"/>
                <w:color w:val="auto"/>
                <w:w w:val="92"/>
              </w:rPr>
              <w:t>$66,000</w:t>
            </w:r>
          </w:p>
        </w:tc>
        <w:tc>
          <w:tcPr>
            <w:tcW w:w="2040" w:type="dxa"/>
            <w:vAlign w:val="bottom"/>
          </w:tcPr>
          <w:p>
            <w:pPr>
              <w:jc w:val="center"/>
              <w:ind w:right="8"/>
              <w:spacing w:after="0"/>
              <w:rPr>
                <w:sz w:val="20"/>
                <w:szCs w:val="20"/>
                <w:color w:val="auto"/>
              </w:rPr>
            </w:pPr>
            <w:r>
              <w:rPr>
                <w:rFonts w:ascii="Arial" w:cs="Arial" w:eastAsia="Arial" w:hAnsi="Arial"/>
                <w:sz w:val="15"/>
                <w:szCs w:val="15"/>
                <w:color w:val="auto"/>
                <w:w w:val="89"/>
              </w:rPr>
              <w:t>$104,000</w:t>
            </w:r>
          </w:p>
        </w:tc>
        <w:tc>
          <w:tcPr>
            <w:tcW w:w="1980" w:type="dxa"/>
            <w:vAlign w:val="bottom"/>
          </w:tcPr>
          <w:p>
            <w:pPr>
              <w:jc w:val="center"/>
              <w:ind w:left="64"/>
              <w:spacing w:after="0"/>
              <w:rPr>
                <w:sz w:val="20"/>
                <w:szCs w:val="20"/>
                <w:color w:val="auto"/>
              </w:rPr>
            </w:pPr>
            <w:r>
              <w:rPr>
                <w:rFonts w:ascii="Arial" w:cs="Arial" w:eastAsia="Arial" w:hAnsi="Arial"/>
                <w:sz w:val="15"/>
                <w:szCs w:val="15"/>
                <w:color w:val="auto"/>
                <w:w w:val="89"/>
              </w:rPr>
              <w:t>$170,000</w:t>
            </w:r>
          </w:p>
        </w:tc>
        <w:tc>
          <w:tcPr>
            <w:tcW w:w="0" w:type="dxa"/>
            <w:vAlign w:val="bottom"/>
          </w:tcPr>
          <w:p>
            <w:pPr>
              <w:spacing w:after="0"/>
              <w:rPr>
                <w:sz w:val="1"/>
                <w:szCs w:val="1"/>
                <w:color w:val="auto"/>
              </w:rPr>
            </w:pPr>
          </w:p>
        </w:tc>
      </w:tr>
      <w:tr>
        <w:trPr>
          <w:trHeight w:val="206"/>
        </w:trPr>
        <w:tc>
          <w:tcPr>
            <w:tcW w:w="27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Laura Maydón</w:t>
            </w:r>
          </w:p>
        </w:tc>
        <w:tc>
          <w:tcPr>
            <w:tcW w:w="2500" w:type="dxa"/>
            <w:vAlign w:val="bottom"/>
            <w:shd w:val="clear" w:color="auto" w:fill="CCEEFF"/>
          </w:tcPr>
          <w:p>
            <w:pPr>
              <w:jc w:val="center"/>
              <w:ind w:left="124"/>
              <w:spacing w:after="0"/>
              <w:rPr>
                <w:sz w:val="20"/>
                <w:szCs w:val="20"/>
                <w:color w:val="auto"/>
              </w:rPr>
            </w:pPr>
            <w:r>
              <w:rPr>
                <w:rFonts w:ascii="Arial" w:cs="Arial" w:eastAsia="Arial" w:hAnsi="Arial"/>
                <w:sz w:val="15"/>
                <w:szCs w:val="15"/>
                <w:color w:val="auto"/>
                <w:w w:val="92"/>
              </w:rPr>
              <w:t>$66,000</w:t>
            </w:r>
          </w:p>
        </w:tc>
        <w:tc>
          <w:tcPr>
            <w:tcW w:w="2040" w:type="dxa"/>
            <w:vAlign w:val="bottom"/>
            <w:shd w:val="clear" w:color="auto" w:fill="CCEEFF"/>
          </w:tcPr>
          <w:p>
            <w:pPr>
              <w:jc w:val="center"/>
              <w:ind w:right="8"/>
              <w:spacing w:after="0"/>
              <w:rPr>
                <w:sz w:val="20"/>
                <w:szCs w:val="20"/>
                <w:color w:val="auto"/>
              </w:rPr>
            </w:pPr>
            <w:r>
              <w:rPr>
                <w:rFonts w:ascii="Arial" w:cs="Arial" w:eastAsia="Arial" w:hAnsi="Arial"/>
                <w:sz w:val="15"/>
                <w:szCs w:val="15"/>
                <w:color w:val="auto"/>
                <w:w w:val="89"/>
              </w:rPr>
              <w:t>$104,000</w:t>
            </w:r>
          </w:p>
        </w:tc>
        <w:tc>
          <w:tcPr>
            <w:tcW w:w="1980" w:type="dxa"/>
            <w:vAlign w:val="bottom"/>
            <w:shd w:val="clear" w:color="auto" w:fill="CCEEFF"/>
          </w:tcPr>
          <w:p>
            <w:pPr>
              <w:jc w:val="center"/>
              <w:ind w:left="64"/>
              <w:spacing w:after="0"/>
              <w:rPr>
                <w:sz w:val="20"/>
                <w:szCs w:val="20"/>
                <w:color w:val="auto"/>
              </w:rPr>
            </w:pPr>
            <w:r>
              <w:rPr>
                <w:rFonts w:ascii="Arial" w:cs="Arial" w:eastAsia="Arial" w:hAnsi="Arial"/>
                <w:sz w:val="15"/>
                <w:szCs w:val="15"/>
                <w:color w:val="auto"/>
                <w:w w:val="89"/>
              </w:rPr>
              <w:t>$170,000</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268" w:right="20" w:hanging="268"/>
        <w:spacing w:after="0" w:line="285" w:lineRule="auto"/>
        <w:tabs>
          <w:tab w:leader="none" w:pos="263" w:val="left"/>
        </w:tabs>
        <w:numPr>
          <w:ilvl w:val="0"/>
          <w:numId w:val="30"/>
        </w:numPr>
        <w:rPr>
          <w:rFonts w:ascii="Arial" w:cs="Arial" w:eastAsia="Arial" w:hAnsi="Arial"/>
          <w:sz w:val="15"/>
          <w:szCs w:val="15"/>
          <w:color w:val="auto"/>
        </w:rPr>
      </w:pPr>
      <w:r>
        <w:rPr>
          <w:rFonts w:ascii="Arial" w:cs="Arial" w:eastAsia="Arial" w:hAnsi="Arial"/>
          <w:sz w:val="15"/>
          <w:szCs w:val="15"/>
          <w:color w:val="auto"/>
        </w:rPr>
        <w:t>Does not include any non-independent directors, including directors who also serve as officers of the Company, as these directors do not receive compensation for their service on the Board of Directors.</w:t>
      </w:r>
    </w:p>
    <w:p>
      <w:pPr>
        <w:spacing w:after="0" w:line="163" w:lineRule="exact"/>
        <w:rPr>
          <w:rFonts w:ascii="Arial" w:cs="Arial" w:eastAsia="Arial" w:hAnsi="Arial"/>
          <w:sz w:val="15"/>
          <w:szCs w:val="15"/>
          <w:color w:val="auto"/>
        </w:rPr>
      </w:pPr>
    </w:p>
    <w:p>
      <w:pPr>
        <w:jc w:val="both"/>
        <w:ind w:left="268" w:hanging="268"/>
        <w:spacing w:after="0" w:line="270" w:lineRule="auto"/>
        <w:tabs>
          <w:tab w:leader="none" w:pos="263" w:val="left"/>
        </w:tabs>
        <w:numPr>
          <w:ilvl w:val="0"/>
          <w:numId w:val="30"/>
        </w:numPr>
        <w:rPr>
          <w:rFonts w:ascii="Arial" w:cs="Arial" w:eastAsia="Arial" w:hAnsi="Arial"/>
          <w:sz w:val="15"/>
          <w:szCs w:val="15"/>
          <w:color w:val="auto"/>
        </w:rPr>
      </w:pPr>
      <w:r>
        <w:rPr>
          <w:rFonts w:ascii="Arial" w:cs="Arial" w:eastAsia="Arial" w:hAnsi="Arial"/>
          <w:sz w:val="15"/>
          <w:szCs w:val="15"/>
          <w:color w:val="auto"/>
        </w:rPr>
        <w:t>Amounts shown in this column represent the grant date fair value of (a) restricted stock units granted to and (b) fully vested shares issued to each of the Company’s independent directors during fiscal year 2021 as computed in accordance with FASB ASC Topic 718. For a discussion of the assumptions made in the valuation reflected in these columns, see Note 12 to the Consolidated Financial Statements in this Annual Report on Form 10-K.</w:t>
      </w:r>
    </w:p>
    <w:p>
      <w:pPr>
        <w:spacing w:after="0" w:line="174" w:lineRule="exact"/>
        <w:rPr>
          <w:rFonts w:ascii="Arial" w:cs="Arial" w:eastAsia="Arial" w:hAnsi="Arial"/>
          <w:sz w:val="15"/>
          <w:szCs w:val="15"/>
          <w:color w:val="auto"/>
        </w:rPr>
      </w:pPr>
    </w:p>
    <w:p>
      <w:pPr>
        <w:ind w:left="268" w:hanging="268"/>
        <w:spacing w:after="0"/>
        <w:tabs>
          <w:tab w:leader="none" w:pos="268" w:val="left"/>
        </w:tabs>
        <w:numPr>
          <w:ilvl w:val="0"/>
          <w:numId w:val="30"/>
        </w:numPr>
        <w:rPr>
          <w:rFonts w:ascii="Arial" w:cs="Arial" w:eastAsia="Arial" w:hAnsi="Arial"/>
          <w:sz w:val="15"/>
          <w:szCs w:val="15"/>
          <w:color w:val="auto"/>
        </w:rPr>
      </w:pPr>
      <w:r>
        <w:rPr>
          <w:rFonts w:ascii="Arial" w:cs="Arial" w:eastAsia="Arial" w:hAnsi="Arial"/>
          <w:sz w:val="15"/>
          <w:szCs w:val="15"/>
          <w:color w:val="auto"/>
        </w:rPr>
        <w:t>As of December 31, 2021, each of the independent directors held 6,473 unvested restricted stock units, which vest on June 30, 2022.</w:t>
      </w:r>
    </w:p>
    <w:p>
      <w:pPr>
        <w:spacing w:after="0" w:line="217" w:lineRule="exact"/>
        <w:rPr>
          <w:rFonts w:ascii="Arial" w:cs="Arial" w:eastAsia="Arial" w:hAnsi="Arial"/>
          <w:sz w:val="15"/>
          <w:szCs w:val="15"/>
          <w:color w:val="auto"/>
        </w:rPr>
      </w:pPr>
    </w:p>
    <w:p>
      <w:pPr>
        <w:ind w:left="268" w:hanging="268"/>
        <w:spacing w:after="0"/>
        <w:tabs>
          <w:tab w:leader="none" w:pos="268" w:val="left"/>
        </w:tabs>
        <w:numPr>
          <w:ilvl w:val="0"/>
          <w:numId w:val="30"/>
        </w:numPr>
        <w:rPr>
          <w:rFonts w:ascii="Arial" w:cs="Arial" w:eastAsia="Arial" w:hAnsi="Arial"/>
          <w:sz w:val="15"/>
          <w:szCs w:val="15"/>
          <w:color w:val="auto"/>
        </w:rPr>
      </w:pPr>
      <w:r>
        <w:rPr>
          <w:rFonts w:ascii="Arial" w:cs="Arial" w:eastAsia="Arial" w:hAnsi="Arial"/>
          <w:sz w:val="15"/>
          <w:szCs w:val="15"/>
          <w:color w:val="auto"/>
        </w:rPr>
        <w:t>Messrs. Kurt Holstein and Christopher Lofgren retired from the Board of Directors effective January 6, 2022.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78040" cy="400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29" w:right="319" w:bottom="1440" w:gutter="0" w:footer="0" w:header="0"/>
        </w:sectPr>
      </w:pPr>
    </w:p>
    <w:bookmarkStart w:id="85" w:name="page86"/>
    <w:bookmarkEnd w:id="85"/>
    <w:p>
      <w:pPr>
        <w:ind w:left="8"/>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36" w:lineRule="exact"/>
        <w:rPr>
          <w:sz w:val="20"/>
          <w:szCs w:val="20"/>
          <w:color w:val="auto"/>
        </w:rPr>
      </w:pPr>
    </w:p>
    <w:p>
      <w:pPr>
        <w:ind w:left="8"/>
        <w:spacing w:after="0"/>
        <w:tabs>
          <w:tab w:leader="none" w:pos="768" w:val="left"/>
        </w:tabs>
        <w:rPr>
          <w:sz w:val="20"/>
          <w:szCs w:val="20"/>
          <w:color w:val="auto"/>
        </w:rPr>
      </w:pPr>
      <w:r>
        <w:rPr>
          <w:rFonts w:ascii="Arial" w:cs="Arial" w:eastAsia="Arial" w:hAnsi="Arial"/>
          <w:sz w:val="15"/>
          <w:szCs w:val="15"/>
          <w:b w:val="1"/>
          <w:bCs w:val="1"/>
          <w:color w:val="auto"/>
        </w:rPr>
        <w:t>ITEM 12.</w:t>
        <w:tab/>
        <w:t>SECURITY OWNERSHIP OF CERTAIN BENEFICIAL OWNERS AND MANAGEMENT AND RELATED STOCKHOLDER MATTERS</w:t>
      </w:r>
    </w:p>
    <w:p>
      <w:pPr>
        <w:spacing w:after="0" w:line="195"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Equity Compensation Plan Information</w:t>
      </w:r>
    </w:p>
    <w:p>
      <w:pPr>
        <w:spacing w:after="0" w:line="222" w:lineRule="exact"/>
        <w:rPr>
          <w:sz w:val="20"/>
          <w:szCs w:val="20"/>
          <w:color w:val="auto"/>
        </w:rPr>
      </w:pPr>
    </w:p>
    <w:p>
      <w:pPr>
        <w:jc w:val="both"/>
        <w:ind w:left="8" w:firstLine="275"/>
        <w:spacing w:after="0" w:line="269" w:lineRule="auto"/>
        <w:rPr>
          <w:sz w:val="20"/>
          <w:szCs w:val="20"/>
          <w:color w:val="auto"/>
        </w:rPr>
      </w:pPr>
      <w:r>
        <w:rPr>
          <w:rFonts w:ascii="Arial" w:cs="Arial" w:eastAsia="Arial" w:hAnsi="Arial"/>
          <w:sz w:val="15"/>
          <w:szCs w:val="15"/>
          <w:color w:val="auto"/>
        </w:rPr>
        <w:t>The following table sets forth information about our common stock that may be issued under all of our equity compensation plans as of December 31, 2021, which included: the International Money Express, Inc. 2020 Omnibus Equity Compensation Plan (“2020 Plan”) and the International Money Express, Inc. 2020 Employee Stock Purchase Plan (the “ESPP”), each of which was approved by the Company’s stockholders.</w:t>
      </w:r>
    </w:p>
    <w:tbl>
      <w:tblPr>
        <w:tblLayout w:type="fixed"/>
        <w:tblInd w:w="8" w:type="dxa"/>
        <w:tblCellMar>
          <w:top w:w="0" w:type="dxa"/>
          <w:left w:w="0" w:type="dxa"/>
          <w:bottom w:w="0" w:type="dxa"/>
          <w:right w:w="0" w:type="dxa"/>
        </w:tblCellMar>
      </w:tblPr>
      <w:tr>
        <w:trPr>
          <w:trHeight w:val="153"/>
        </w:trPr>
        <w:tc>
          <w:tcPr>
            <w:tcW w:w="3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80" w:type="dxa"/>
            <w:vAlign w:val="bottom"/>
          </w:tcPr>
          <w:p>
            <w:pPr>
              <w:jc w:val="center"/>
              <w:ind w:right="244"/>
              <w:spacing w:after="0" w:line="154" w:lineRule="exact"/>
              <w:rPr>
                <w:sz w:val="20"/>
                <w:szCs w:val="20"/>
                <w:color w:val="auto"/>
              </w:rPr>
            </w:pPr>
            <w:r>
              <w:rPr>
                <w:rFonts w:ascii="Arial" w:cs="Arial" w:eastAsia="Arial" w:hAnsi="Arial"/>
                <w:sz w:val="15"/>
                <w:szCs w:val="15"/>
                <w:b w:val="1"/>
                <w:bCs w:val="1"/>
                <w:color w:val="auto"/>
                <w:w w:val="92"/>
              </w:rPr>
              <w:t>Number of securities remaining</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vMerge w:val="restart"/>
          </w:tcPr>
          <w:p>
            <w:pPr>
              <w:jc w:val="center"/>
              <w:ind w:right="360"/>
              <w:spacing w:after="0"/>
              <w:rPr>
                <w:sz w:val="20"/>
                <w:szCs w:val="20"/>
                <w:color w:val="auto"/>
              </w:rPr>
            </w:pPr>
            <w:r>
              <w:rPr>
                <w:rFonts w:ascii="Arial" w:cs="Arial" w:eastAsia="Arial" w:hAnsi="Arial"/>
                <w:sz w:val="15"/>
                <w:szCs w:val="15"/>
                <w:b w:val="1"/>
                <w:bCs w:val="1"/>
                <w:color w:val="auto"/>
                <w:w w:val="91"/>
              </w:rPr>
              <w:t>Weighted-average</w:t>
            </w:r>
          </w:p>
        </w:tc>
        <w:tc>
          <w:tcPr>
            <w:tcW w:w="2880" w:type="dxa"/>
            <w:vAlign w:val="bottom"/>
          </w:tcPr>
          <w:p>
            <w:pPr>
              <w:jc w:val="center"/>
              <w:ind w:right="244"/>
              <w:spacing w:after="0" w:line="149" w:lineRule="exact"/>
              <w:rPr>
                <w:sz w:val="20"/>
                <w:szCs w:val="20"/>
                <w:color w:val="auto"/>
              </w:rPr>
            </w:pPr>
            <w:r>
              <w:rPr>
                <w:rFonts w:ascii="Arial" w:cs="Arial" w:eastAsia="Arial" w:hAnsi="Arial"/>
                <w:sz w:val="15"/>
                <w:szCs w:val="15"/>
                <w:b w:val="1"/>
                <w:bCs w:val="1"/>
                <w:color w:val="auto"/>
                <w:w w:val="94"/>
              </w:rPr>
              <w:t>available</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gridSpan w:val="2"/>
            <w:vMerge w:val="restart"/>
          </w:tcPr>
          <w:p>
            <w:pPr>
              <w:jc w:val="center"/>
              <w:ind w:right="320"/>
              <w:spacing w:after="0"/>
              <w:rPr>
                <w:sz w:val="20"/>
                <w:szCs w:val="20"/>
                <w:color w:val="auto"/>
              </w:rPr>
            </w:pPr>
            <w:r>
              <w:rPr>
                <w:rFonts w:ascii="Arial" w:cs="Arial" w:eastAsia="Arial" w:hAnsi="Arial"/>
                <w:sz w:val="15"/>
                <w:szCs w:val="15"/>
                <w:b w:val="1"/>
                <w:bCs w:val="1"/>
                <w:color w:val="auto"/>
                <w:w w:val="91"/>
              </w:rPr>
              <w:t>Number of securities</w:t>
            </w:r>
          </w:p>
        </w:tc>
        <w:tc>
          <w:tcPr>
            <w:tcW w:w="3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880" w:type="dxa"/>
            <w:vAlign w:val="bottom"/>
          </w:tcPr>
          <w:p>
            <w:pPr>
              <w:jc w:val="right"/>
              <w:ind w:right="924"/>
              <w:spacing w:after="0" w:line="149" w:lineRule="exact"/>
              <w:rPr>
                <w:sz w:val="20"/>
                <w:szCs w:val="20"/>
                <w:color w:val="auto"/>
              </w:rPr>
            </w:pPr>
            <w:r>
              <w:rPr>
                <w:rFonts w:ascii="Arial" w:cs="Arial" w:eastAsia="Arial" w:hAnsi="Arial"/>
                <w:sz w:val="15"/>
                <w:szCs w:val="15"/>
                <w:b w:val="1"/>
                <w:bCs w:val="1"/>
                <w:color w:val="auto"/>
              </w:rPr>
              <w:t>for future issuance</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tcPr>
          <w:p>
            <w:pPr>
              <w:jc w:val="center"/>
              <w:ind w:right="360"/>
              <w:spacing w:after="0" w:line="149" w:lineRule="exact"/>
              <w:rPr>
                <w:sz w:val="20"/>
                <w:szCs w:val="20"/>
                <w:color w:val="auto"/>
              </w:rPr>
            </w:pPr>
            <w:r>
              <w:rPr>
                <w:rFonts w:ascii="Arial" w:cs="Arial" w:eastAsia="Arial" w:hAnsi="Arial"/>
                <w:sz w:val="15"/>
                <w:szCs w:val="15"/>
                <w:b w:val="1"/>
                <w:bCs w:val="1"/>
                <w:color w:val="auto"/>
                <w:w w:val="89"/>
              </w:rPr>
              <w:t>exercise price of</w:t>
            </w:r>
          </w:p>
        </w:tc>
        <w:tc>
          <w:tcPr>
            <w:tcW w:w="2880" w:type="dxa"/>
            <w:vAlign w:val="bottom"/>
          </w:tcPr>
          <w:p>
            <w:pPr>
              <w:jc w:val="center"/>
              <w:ind w:right="244"/>
              <w:spacing w:after="0" w:line="149" w:lineRule="exact"/>
              <w:rPr>
                <w:sz w:val="20"/>
                <w:szCs w:val="20"/>
                <w:color w:val="auto"/>
              </w:rPr>
            </w:pPr>
            <w:r>
              <w:rPr>
                <w:rFonts w:ascii="Arial" w:cs="Arial" w:eastAsia="Arial" w:hAnsi="Arial"/>
                <w:sz w:val="15"/>
                <w:szCs w:val="15"/>
                <w:b w:val="1"/>
                <w:bCs w:val="1"/>
                <w:color w:val="auto"/>
                <w:w w:val="93"/>
              </w:rPr>
              <w:t>under equity</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gridSpan w:val="2"/>
          </w:tcPr>
          <w:p>
            <w:pPr>
              <w:jc w:val="center"/>
              <w:ind w:right="320"/>
              <w:spacing w:after="0" w:line="149" w:lineRule="exact"/>
              <w:rPr>
                <w:sz w:val="20"/>
                <w:szCs w:val="20"/>
                <w:color w:val="auto"/>
              </w:rPr>
            </w:pPr>
            <w:r>
              <w:rPr>
                <w:rFonts w:ascii="Arial" w:cs="Arial" w:eastAsia="Arial" w:hAnsi="Arial"/>
                <w:sz w:val="15"/>
                <w:szCs w:val="15"/>
                <w:b w:val="1"/>
                <w:bCs w:val="1"/>
                <w:color w:val="auto"/>
                <w:w w:val="87"/>
              </w:rPr>
              <w:t>to be issued upon exercise of</w:t>
            </w:r>
          </w:p>
        </w:tc>
        <w:tc>
          <w:tcPr>
            <w:tcW w:w="300" w:type="dxa"/>
            <w:vAlign w:val="bottom"/>
          </w:tcPr>
          <w:p>
            <w:pPr>
              <w:spacing w:after="0"/>
              <w:rPr>
                <w:sz w:val="12"/>
                <w:szCs w:val="12"/>
                <w:color w:val="auto"/>
              </w:rPr>
            </w:pPr>
          </w:p>
        </w:tc>
        <w:tc>
          <w:tcPr>
            <w:tcW w:w="1980" w:type="dxa"/>
            <w:vAlign w:val="bottom"/>
            <w:gridSpan w:val="2"/>
          </w:tcPr>
          <w:p>
            <w:pPr>
              <w:jc w:val="center"/>
              <w:ind w:right="360"/>
              <w:spacing w:after="0" w:line="149" w:lineRule="exact"/>
              <w:rPr>
                <w:sz w:val="20"/>
                <w:szCs w:val="20"/>
                <w:color w:val="auto"/>
              </w:rPr>
            </w:pPr>
            <w:r>
              <w:rPr>
                <w:rFonts w:ascii="Arial" w:cs="Arial" w:eastAsia="Arial" w:hAnsi="Arial"/>
                <w:sz w:val="15"/>
                <w:szCs w:val="15"/>
                <w:b w:val="1"/>
                <w:bCs w:val="1"/>
                <w:color w:val="auto"/>
                <w:w w:val="90"/>
              </w:rPr>
              <w:t>outstanding</w:t>
            </w:r>
          </w:p>
        </w:tc>
        <w:tc>
          <w:tcPr>
            <w:tcW w:w="2880" w:type="dxa"/>
            <w:vAlign w:val="bottom"/>
          </w:tcPr>
          <w:p>
            <w:pPr>
              <w:jc w:val="center"/>
              <w:ind w:right="244"/>
              <w:spacing w:after="0" w:line="149" w:lineRule="exact"/>
              <w:rPr>
                <w:sz w:val="20"/>
                <w:szCs w:val="20"/>
                <w:color w:val="auto"/>
              </w:rPr>
            </w:pPr>
            <w:r>
              <w:rPr>
                <w:rFonts w:ascii="Arial" w:cs="Arial" w:eastAsia="Arial" w:hAnsi="Arial"/>
                <w:sz w:val="15"/>
                <w:szCs w:val="15"/>
                <w:b w:val="1"/>
                <w:bCs w:val="1"/>
                <w:color w:val="auto"/>
                <w:w w:val="89"/>
              </w:rPr>
              <w:t>compensation plans (excluding</w:t>
            </w:r>
          </w:p>
        </w:tc>
        <w:tc>
          <w:tcPr>
            <w:tcW w:w="0" w:type="dxa"/>
            <w:vAlign w:val="bottom"/>
          </w:tcPr>
          <w:p>
            <w:pPr>
              <w:spacing w:after="0"/>
              <w:rPr>
                <w:sz w:val="1"/>
                <w:szCs w:val="1"/>
                <w:color w:val="auto"/>
              </w:rPr>
            </w:pPr>
          </w:p>
        </w:tc>
      </w:tr>
      <w:tr>
        <w:trPr>
          <w:trHeight w:val="149"/>
        </w:trPr>
        <w:tc>
          <w:tcPr>
            <w:tcW w:w="35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Plan category</w:t>
            </w:r>
          </w:p>
        </w:tc>
        <w:tc>
          <w:tcPr>
            <w:tcW w:w="2520" w:type="dxa"/>
            <w:vAlign w:val="bottom"/>
            <w:gridSpan w:val="2"/>
          </w:tcPr>
          <w:p>
            <w:pPr>
              <w:jc w:val="center"/>
              <w:ind w:right="320"/>
              <w:spacing w:after="0" w:line="149" w:lineRule="exact"/>
              <w:rPr>
                <w:sz w:val="20"/>
                <w:szCs w:val="20"/>
                <w:color w:val="auto"/>
              </w:rPr>
            </w:pPr>
            <w:r>
              <w:rPr>
                <w:rFonts w:ascii="Arial" w:cs="Arial" w:eastAsia="Arial" w:hAnsi="Arial"/>
                <w:sz w:val="15"/>
                <w:szCs w:val="15"/>
                <w:b w:val="1"/>
                <w:bCs w:val="1"/>
                <w:color w:val="auto"/>
                <w:w w:val="91"/>
              </w:rPr>
              <w:t>outstanding options, warrants</w:t>
            </w:r>
          </w:p>
        </w:tc>
        <w:tc>
          <w:tcPr>
            <w:tcW w:w="300" w:type="dxa"/>
            <w:vAlign w:val="bottom"/>
          </w:tcPr>
          <w:p>
            <w:pPr>
              <w:spacing w:after="0"/>
              <w:rPr>
                <w:sz w:val="12"/>
                <w:szCs w:val="12"/>
                <w:color w:val="auto"/>
              </w:rPr>
            </w:pPr>
          </w:p>
        </w:tc>
        <w:tc>
          <w:tcPr>
            <w:tcW w:w="1980" w:type="dxa"/>
            <w:vAlign w:val="bottom"/>
            <w:gridSpan w:val="2"/>
          </w:tcPr>
          <w:p>
            <w:pPr>
              <w:jc w:val="center"/>
              <w:ind w:right="360"/>
              <w:spacing w:after="0" w:line="149" w:lineRule="exact"/>
              <w:rPr>
                <w:sz w:val="20"/>
                <w:szCs w:val="20"/>
                <w:color w:val="auto"/>
              </w:rPr>
            </w:pPr>
            <w:r>
              <w:rPr>
                <w:rFonts w:ascii="Arial" w:cs="Arial" w:eastAsia="Arial" w:hAnsi="Arial"/>
                <w:sz w:val="15"/>
                <w:szCs w:val="15"/>
                <w:b w:val="1"/>
                <w:bCs w:val="1"/>
                <w:color w:val="auto"/>
                <w:w w:val="91"/>
              </w:rPr>
              <w:t>options, warrants</w:t>
            </w:r>
          </w:p>
        </w:tc>
        <w:tc>
          <w:tcPr>
            <w:tcW w:w="2880" w:type="dxa"/>
            <w:vAlign w:val="bottom"/>
          </w:tcPr>
          <w:p>
            <w:pPr>
              <w:jc w:val="center"/>
              <w:ind w:right="244"/>
              <w:spacing w:after="0" w:line="149" w:lineRule="exact"/>
              <w:rPr>
                <w:sz w:val="20"/>
                <w:szCs w:val="20"/>
                <w:color w:val="auto"/>
              </w:rPr>
            </w:pPr>
            <w:r>
              <w:rPr>
                <w:rFonts w:ascii="Arial" w:cs="Arial" w:eastAsia="Arial" w:hAnsi="Arial"/>
                <w:sz w:val="15"/>
                <w:szCs w:val="15"/>
                <w:b w:val="1"/>
                <w:bCs w:val="1"/>
                <w:color w:val="auto"/>
                <w:w w:val="85"/>
              </w:rPr>
              <w:t>securities</w:t>
            </w:r>
          </w:p>
        </w:tc>
        <w:tc>
          <w:tcPr>
            <w:tcW w:w="0" w:type="dxa"/>
            <w:vAlign w:val="bottom"/>
          </w:tcPr>
          <w:p>
            <w:pPr>
              <w:spacing w:after="0"/>
              <w:rPr>
                <w:sz w:val="1"/>
                <w:szCs w:val="1"/>
                <w:color w:val="auto"/>
              </w:rPr>
            </w:pPr>
          </w:p>
        </w:tc>
      </w:tr>
      <w:tr>
        <w:trPr>
          <w:trHeight w:val="196"/>
        </w:trPr>
        <w:tc>
          <w:tcPr>
            <w:tcW w:w="3500" w:type="dxa"/>
            <w:vAlign w:val="bottom"/>
            <w:gridSpan w:val="2"/>
            <w:vMerge w:val="continue"/>
          </w:tcPr>
          <w:p>
            <w:pPr>
              <w:spacing w:after="0"/>
              <w:rPr>
                <w:sz w:val="17"/>
                <w:szCs w:val="17"/>
                <w:color w:val="auto"/>
              </w:rPr>
            </w:pPr>
          </w:p>
        </w:tc>
        <w:tc>
          <w:tcPr>
            <w:tcW w:w="25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3"/>
              </w:rPr>
              <w:t>and rights</w:t>
            </w:r>
          </w:p>
        </w:tc>
        <w:tc>
          <w:tcPr>
            <w:tcW w:w="300" w:type="dxa"/>
            <w:vAlign w:val="bottom"/>
          </w:tcPr>
          <w:p>
            <w:pPr>
              <w:spacing w:after="0"/>
              <w:rPr>
                <w:sz w:val="17"/>
                <w:szCs w:val="17"/>
                <w:color w:val="auto"/>
              </w:rPr>
            </w:pPr>
          </w:p>
        </w:tc>
        <w:tc>
          <w:tcPr>
            <w:tcW w:w="198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0"/>
              </w:rPr>
              <w:t>and rights</w:t>
            </w:r>
          </w:p>
        </w:tc>
        <w:tc>
          <w:tcPr>
            <w:tcW w:w="2880" w:type="dxa"/>
            <w:vAlign w:val="bottom"/>
          </w:tcPr>
          <w:p>
            <w:pPr>
              <w:jc w:val="center"/>
              <w:ind w:right="244"/>
              <w:spacing w:after="0"/>
              <w:rPr>
                <w:sz w:val="20"/>
                <w:szCs w:val="20"/>
                <w:color w:val="auto"/>
              </w:rPr>
            </w:pPr>
            <w:r>
              <w:rPr>
                <w:rFonts w:ascii="Arial" w:cs="Arial" w:eastAsia="Arial" w:hAnsi="Arial"/>
                <w:sz w:val="15"/>
                <w:szCs w:val="15"/>
                <w:b w:val="1"/>
                <w:bCs w:val="1"/>
                <w:color w:val="auto"/>
                <w:w w:val="92"/>
              </w:rPr>
              <w:t>reflected in column (a))</w:t>
            </w:r>
          </w:p>
        </w:tc>
        <w:tc>
          <w:tcPr>
            <w:tcW w:w="0" w:type="dxa"/>
            <w:vAlign w:val="bottom"/>
          </w:tcPr>
          <w:p>
            <w:pPr>
              <w:spacing w:after="0"/>
              <w:rPr>
                <w:sz w:val="1"/>
                <w:szCs w:val="1"/>
                <w:color w:val="auto"/>
              </w:rPr>
            </w:pPr>
          </w:p>
        </w:tc>
      </w:tr>
      <w:tr>
        <w:trPr>
          <w:trHeight w:val="197"/>
        </w:trPr>
        <w:tc>
          <w:tcPr>
            <w:tcW w:w="34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5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5"/>
                <w:szCs w:val="15"/>
                <w:color w:val="auto"/>
                <w:w w:val="87"/>
              </w:rPr>
              <w:t>(a)</w:t>
            </w:r>
          </w:p>
        </w:tc>
        <w:tc>
          <w:tcPr>
            <w:tcW w:w="3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center"/>
              <w:ind w:right="204"/>
              <w:spacing w:after="0"/>
              <w:rPr>
                <w:sz w:val="20"/>
                <w:szCs w:val="20"/>
                <w:color w:val="auto"/>
              </w:rPr>
            </w:pPr>
            <w:r>
              <w:rPr>
                <w:rFonts w:ascii="Arial" w:cs="Arial" w:eastAsia="Arial" w:hAnsi="Arial"/>
                <w:sz w:val="15"/>
                <w:szCs w:val="15"/>
                <w:color w:val="auto"/>
                <w:w w:val="97"/>
              </w:rPr>
              <w:t>(b)</w:t>
            </w:r>
          </w:p>
        </w:tc>
        <w:tc>
          <w:tcPr>
            <w:tcW w:w="80" w:type="dxa"/>
            <w:vAlign w:val="bottom"/>
            <w:tcBorders>
              <w:bottom w:val="single" w:sz="8" w:color="CCEEFF"/>
            </w:tcBorders>
          </w:tcPr>
          <w:p>
            <w:pPr>
              <w:spacing w:after="0"/>
              <w:rPr>
                <w:sz w:val="17"/>
                <w:szCs w:val="17"/>
                <w:color w:val="auto"/>
              </w:rPr>
            </w:pPr>
          </w:p>
        </w:tc>
        <w:tc>
          <w:tcPr>
            <w:tcW w:w="2880" w:type="dxa"/>
            <w:vAlign w:val="bottom"/>
            <w:tcBorders>
              <w:bottom w:val="single" w:sz="8" w:color="auto"/>
            </w:tcBorders>
          </w:tcPr>
          <w:p>
            <w:pPr>
              <w:jc w:val="center"/>
              <w:ind w:right="244"/>
              <w:spacing w:after="0"/>
              <w:rPr>
                <w:sz w:val="20"/>
                <w:szCs w:val="20"/>
                <w:color w:val="auto"/>
              </w:rPr>
            </w:pPr>
            <w:r>
              <w:rPr>
                <w:rFonts w:ascii="Arial" w:cs="Arial" w:eastAsia="Arial" w:hAnsi="Arial"/>
                <w:sz w:val="15"/>
                <w:szCs w:val="15"/>
                <w:color w:val="auto"/>
                <w:w w:val="91"/>
              </w:rPr>
              <w:t>(c)</w:t>
            </w:r>
          </w:p>
        </w:tc>
        <w:tc>
          <w:tcPr>
            <w:tcW w:w="0" w:type="dxa"/>
            <w:vAlign w:val="bottom"/>
          </w:tcPr>
          <w:p>
            <w:pPr>
              <w:spacing w:after="0"/>
              <w:rPr>
                <w:sz w:val="1"/>
                <w:szCs w:val="1"/>
                <w:color w:val="auto"/>
              </w:rPr>
            </w:pPr>
          </w:p>
        </w:tc>
      </w:tr>
      <w:tr>
        <w:trPr>
          <w:trHeight w:val="150"/>
        </w:trPr>
        <w:tc>
          <w:tcPr>
            <w:tcW w:w="3500" w:type="dxa"/>
            <w:vAlign w:val="bottom"/>
            <w:gridSpan w:val="2"/>
            <w:shd w:val="clear" w:color="auto" w:fill="CCEEFF"/>
          </w:tcPr>
          <w:p>
            <w:pPr>
              <w:spacing w:after="0" w:line="150" w:lineRule="exact"/>
              <w:rPr>
                <w:sz w:val="20"/>
                <w:szCs w:val="20"/>
                <w:color w:val="auto"/>
              </w:rPr>
            </w:pPr>
            <w:r>
              <w:rPr>
                <w:rFonts w:ascii="Arial" w:cs="Arial" w:eastAsia="Arial" w:hAnsi="Arial"/>
                <w:sz w:val="15"/>
                <w:szCs w:val="15"/>
                <w:color w:val="auto"/>
              </w:rPr>
              <w:t>Equity compensation plans approved by security</w:t>
            </w:r>
          </w:p>
        </w:tc>
        <w:tc>
          <w:tcPr>
            <w:tcW w:w="2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 xml:space="preserve">2,390,336 </w:t>
            </w:r>
            <w:r>
              <w:rPr>
                <w:rFonts w:ascii="Arial" w:cs="Arial" w:eastAsia="Arial" w:hAnsi="Arial"/>
                <w:sz w:val="13"/>
                <w:szCs w:val="13"/>
                <w:color w:val="auto"/>
              </w:rPr>
              <w:t>(1)</w:t>
            </w:r>
          </w:p>
        </w:tc>
        <w:tc>
          <w:tcPr>
            <w:tcW w:w="30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11.92</w:t>
            </w:r>
          </w:p>
        </w:tc>
        <w:tc>
          <w:tcPr>
            <w:tcW w:w="80" w:type="dxa"/>
            <w:vAlign w:val="bottom"/>
            <w:shd w:val="clear" w:color="auto" w:fill="CCEEFF"/>
          </w:tcPr>
          <w:p>
            <w:pPr>
              <w:spacing w:after="0"/>
              <w:rPr>
                <w:sz w:val="13"/>
                <w:szCs w:val="13"/>
                <w:color w:val="auto"/>
              </w:rPr>
            </w:pPr>
          </w:p>
        </w:tc>
        <w:tc>
          <w:tcPr>
            <w:tcW w:w="288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 xml:space="preserve">3,631,490 </w:t>
            </w: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94"/>
        </w:trPr>
        <w:tc>
          <w:tcPr>
            <w:tcW w:w="35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holders</w:t>
            </w:r>
          </w:p>
        </w:tc>
        <w:tc>
          <w:tcPr>
            <w:tcW w:w="2520" w:type="dxa"/>
            <w:vAlign w:val="bottom"/>
            <w:gridSpan w:val="2"/>
            <w:vMerge w:val="continue"/>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1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500" w:type="dxa"/>
            <w:vAlign w:val="bottom"/>
            <w:gridSpan w:val="2"/>
          </w:tcPr>
          <w:p>
            <w:pPr>
              <w:spacing w:after="0" w:line="150" w:lineRule="exact"/>
              <w:rPr>
                <w:sz w:val="20"/>
                <w:szCs w:val="20"/>
                <w:color w:val="auto"/>
              </w:rPr>
            </w:pPr>
            <w:r>
              <w:rPr>
                <w:rFonts w:ascii="Arial" w:cs="Arial" w:eastAsia="Arial" w:hAnsi="Arial"/>
                <w:sz w:val="15"/>
                <w:szCs w:val="15"/>
                <w:color w:val="auto"/>
              </w:rPr>
              <w:t>Equity compensation plans not approved by security</w:t>
            </w:r>
          </w:p>
        </w:tc>
        <w:tc>
          <w:tcPr>
            <w:tcW w:w="22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32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19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vMerge w:val="restart"/>
          </w:tcPr>
          <w:p>
            <w:pPr>
              <w:spacing w:after="0"/>
              <w:rPr>
                <w:sz w:val="13"/>
                <w:szCs w:val="13"/>
                <w:color w:val="auto"/>
              </w:rPr>
            </w:pPr>
          </w:p>
        </w:tc>
        <w:tc>
          <w:tcPr>
            <w:tcW w:w="2880" w:type="dxa"/>
            <w:vAlign w:val="bottom"/>
            <w:vMerge w:val="restart"/>
          </w:tcPr>
          <w:p>
            <w:pPr>
              <w:jc w:val="right"/>
              <w:ind w:right="30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342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holders</w:t>
            </w:r>
          </w:p>
        </w:tc>
        <w:tc>
          <w:tcPr>
            <w:tcW w:w="80" w:type="dxa"/>
            <w:vAlign w:val="bottom"/>
            <w:tcBorders>
              <w:bottom w:val="single" w:sz="8" w:color="CCEEFF"/>
            </w:tcBorders>
          </w:tcPr>
          <w:p>
            <w:pPr>
              <w:spacing w:after="0"/>
              <w:rPr>
                <w:sz w:val="16"/>
                <w:szCs w:val="16"/>
                <w:color w:val="auto"/>
              </w:rPr>
            </w:pPr>
          </w:p>
        </w:tc>
        <w:tc>
          <w:tcPr>
            <w:tcW w:w="22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Total</w:t>
            </w:r>
          </w:p>
        </w:tc>
        <w:tc>
          <w:tcPr>
            <w:tcW w:w="2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2,390,336</w:t>
            </w: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11.92</w:t>
            </w:r>
          </w:p>
        </w:tc>
        <w:tc>
          <w:tcPr>
            <w:tcW w:w="80" w:type="dxa"/>
            <w:vAlign w:val="bottom"/>
            <w:shd w:val="clear" w:color="auto" w:fill="CCEEFF"/>
          </w:tcPr>
          <w:p>
            <w:pPr>
              <w:spacing w:after="0"/>
              <w:rPr>
                <w:sz w:val="16"/>
                <w:szCs w:val="16"/>
                <w:color w:val="auto"/>
              </w:rPr>
            </w:pPr>
          </w:p>
        </w:tc>
        <w:tc>
          <w:tcPr>
            <w:tcW w:w="288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rPr>
              <w:t>3,631,490</w:t>
            </w:r>
          </w:p>
        </w:tc>
        <w:tc>
          <w:tcPr>
            <w:tcW w:w="0" w:type="dxa"/>
            <w:vAlign w:val="bottom"/>
          </w:tcPr>
          <w:p>
            <w:pPr>
              <w:spacing w:after="0"/>
              <w:rPr>
                <w:sz w:val="1"/>
                <w:szCs w:val="1"/>
                <w:color w:val="auto"/>
              </w:rPr>
            </w:pPr>
          </w:p>
        </w:tc>
      </w:tr>
    </w:tbl>
    <w:p>
      <w:pPr>
        <w:spacing w:after="0" w:line="276" w:lineRule="exact"/>
        <w:rPr>
          <w:sz w:val="20"/>
          <w:szCs w:val="20"/>
          <w:color w:val="auto"/>
        </w:rPr>
      </w:pPr>
    </w:p>
    <w:p>
      <w:pPr>
        <w:jc w:val="both"/>
        <w:ind w:left="268" w:hanging="268"/>
        <w:spacing w:after="0" w:line="298" w:lineRule="auto"/>
        <w:tabs>
          <w:tab w:leader="none" w:pos="263"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This number includes the following: 1,673,687 shares subject to outstanding awards granted under the 2018 Plan, all of which were subject to outstanding options awards. This number also includes 716,649 shares subject to outstanding awards granted under the 2020 Plan, of which 225,000 shares were subject to outstanding options awards, 231,934 shares were subject to outstanding RSU awards, 88,215 shares were subject to outstanding RSA awards, and 171,500 shares were subject to outstanding PSU awards.</w:t>
      </w:r>
    </w:p>
    <w:p>
      <w:pPr>
        <w:spacing w:after="0" w:line="157" w:lineRule="exact"/>
        <w:rPr>
          <w:rFonts w:ascii="Arial" w:cs="Arial" w:eastAsia="Arial" w:hAnsi="Arial"/>
          <w:sz w:val="14"/>
          <w:szCs w:val="14"/>
          <w:color w:val="auto"/>
        </w:rPr>
      </w:pPr>
    </w:p>
    <w:p>
      <w:pPr>
        <w:ind w:left="268" w:hanging="268"/>
        <w:spacing w:after="0"/>
        <w:tabs>
          <w:tab w:leader="none" w:pos="268"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Represents 2,881,490 shares available for issuance under the 2020 Plan and 750,000 shares available for issuance under the ESPP.</w:t>
      </w:r>
    </w:p>
    <w:p>
      <w:pPr>
        <w:spacing w:after="0" w:line="263"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78040" cy="400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29" w:right="319" w:bottom="1440" w:gutter="0" w:footer="0" w:header="0"/>
        </w:sectPr>
      </w:pPr>
    </w:p>
    <w:bookmarkStart w:id="86" w:name="page87"/>
    <w:bookmarkEnd w:id="86"/>
    <w:p>
      <w:pPr>
        <w:ind w:left="8"/>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36"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Security Ownership of Certain Beneficial Owners and Management</w:t>
      </w:r>
    </w:p>
    <w:p>
      <w:pPr>
        <w:spacing w:after="0" w:line="222" w:lineRule="exact"/>
        <w:rPr>
          <w:sz w:val="20"/>
          <w:szCs w:val="20"/>
          <w:color w:val="auto"/>
        </w:rPr>
      </w:pPr>
    </w:p>
    <w:p>
      <w:pPr>
        <w:ind w:left="8" w:right="200" w:firstLine="275"/>
        <w:spacing w:after="0" w:line="265" w:lineRule="auto"/>
        <w:rPr>
          <w:sz w:val="20"/>
          <w:szCs w:val="20"/>
          <w:color w:val="auto"/>
        </w:rPr>
      </w:pPr>
      <w:r>
        <w:rPr>
          <w:rFonts w:ascii="Arial" w:cs="Arial" w:eastAsia="Arial" w:hAnsi="Arial"/>
          <w:sz w:val="15"/>
          <w:szCs w:val="15"/>
          <w:color w:val="auto"/>
        </w:rPr>
        <w:t>The following table sets forth certain information regarding the beneficial ownership of our outstanding shares of common stock as of February 25, 2022 by: (a) each person or “group” (as such term is used in Section 13(d)(3) of the Exchange Act) who is known by us to beneficially own 5% or more of our shares of common stock, (b) each of our directors and each of our NEOs, and (c) all of our directors and executive officers as a group. Except as otherwise indicated, the persons named in the table below have sole voting and investment power with respect to all of the common stock owned by them.</w:t>
      </w:r>
    </w:p>
    <w:p>
      <w:pPr>
        <w:spacing w:after="0" w:line="179" w:lineRule="exact"/>
        <w:rPr>
          <w:sz w:val="20"/>
          <w:szCs w:val="20"/>
          <w:color w:val="auto"/>
        </w:rPr>
      </w:pPr>
    </w:p>
    <w:p>
      <w:pPr>
        <w:ind w:left="8" w:right="820" w:firstLine="275"/>
        <w:spacing w:after="0" w:line="285" w:lineRule="auto"/>
        <w:rPr>
          <w:sz w:val="20"/>
          <w:szCs w:val="20"/>
          <w:color w:val="auto"/>
        </w:rPr>
      </w:pPr>
      <w:r>
        <w:rPr>
          <w:rFonts w:ascii="Arial" w:cs="Arial" w:eastAsia="Arial" w:hAnsi="Arial"/>
          <w:sz w:val="15"/>
          <w:szCs w:val="15"/>
          <w:color w:val="auto"/>
        </w:rPr>
        <w:t>Unless otherwise provided, beneficial ownership of common stock of the Company is based on 38,318,279 shares of common stock of the Company outstanding as of February 25, 2022.</w:t>
      </w:r>
    </w:p>
    <w:p>
      <w:pPr>
        <w:spacing w:after="0" w:line="164" w:lineRule="exact"/>
        <w:rPr>
          <w:sz w:val="20"/>
          <w:szCs w:val="20"/>
          <w:color w:val="auto"/>
        </w:rPr>
      </w:pPr>
    </w:p>
    <w:p>
      <w:pPr>
        <w:ind w:left="8" w:firstLine="275"/>
        <w:spacing w:after="0" w:line="285" w:lineRule="auto"/>
        <w:rPr>
          <w:sz w:val="20"/>
          <w:szCs w:val="20"/>
          <w:color w:val="auto"/>
        </w:rPr>
      </w:pPr>
      <w:r>
        <w:rPr>
          <w:rFonts w:ascii="Arial" w:cs="Arial" w:eastAsia="Arial" w:hAnsi="Arial"/>
          <w:sz w:val="15"/>
          <w:szCs w:val="15"/>
          <w:color w:val="auto"/>
        </w:rPr>
        <w:t>Unless otherwise indicated, we believe that all persons named in the table below have sole voting and investment power with respect to all shares of common stock beneficially owned.</w:t>
      </w:r>
    </w:p>
    <w:p>
      <w:pPr>
        <w:spacing w:after="0" w:line="205" w:lineRule="exact"/>
        <w:rPr>
          <w:sz w:val="20"/>
          <w:szCs w:val="20"/>
          <w:color w:val="auto"/>
        </w:rPr>
      </w:pPr>
    </w:p>
    <w:tbl>
      <w:tblPr>
        <w:tblLayout w:type="fixed"/>
        <w:tblInd w:w="278" w:type="dxa"/>
        <w:tblCellMar>
          <w:top w:w="0" w:type="dxa"/>
          <w:left w:w="0" w:type="dxa"/>
          <w:bottom w:w="0" w:type="dxa"/>
          <w:right w:w="0" w:type="dxa"/>
        </w:tblCellMar>
      </w:tblPr>
      <w:tr>
        <w:trPr>
          <w:trHeight w:val="172"/>
        </w:trPr>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600" w:type="dxa"/>
            <w:vAlign w:val="bottom"/>
          </w:tcPr>
          <w:p>
            <w:pPr>
              <w:jc w:val="center"/>
              <w:ind w:left="724"/>
              <w:spacing w:after="0"/>
              <w:rPr>
                <w:sz w:val="20"/>
                <w:szCs w:val="20"/>
                <w:color w:val="auto"/>
              </w:rPr>
            </w:pPr>
            <w:r>
              <w:rPr>
                <w:rFonts w:ascii="Arial" w:cs="Arial" w:eastAsia="Arial" w:hAnsi="Arial"/>
                <w:sz w:val="15"/>
                <w:szCs w:val="15"/>
                <w:b w:val="1"/>
                <w:bCs w:val="1"/>
                <w:color w:val="auto"/>
                <w:w w:val="92"/>
              </w:rPr>
              <w:t>Number of Shares of</w:t>
            </w:r>
          </w:p>
        </w:tc>
        <w:tc>
          <w:tcPr>
            <w:tcW w:w="1880" w:type="dxa"/>
            <w:vAlign w:val="bottom"/>
          </w:tcPr>
          <w:p>
            <w:pPr>
              <w:spacing w:after="0"/>
              <w:rPr>
                <w:sz w:val="14"/>
                <w:szCs w:val="14"/>
                <w:color w:val="auto"/>
              </w:rPr>
            </w:pPr>
          </w:p>
        </w:tc>
      </w:tr>
      <w:tr>
        <w:trPr>
          <w:trHeight w:val="172"/>
        </w:trPr>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600" w:type="dxa"/>
            <w:vAlign w:val="bottom"/>
          </w:tcPr>
          <w:p>
            <w:pPr>
              <w:jc w:val="center"/>
              <w:ind w:left="724"/>
              <w:spacing w:after="0"/>
              <w:rPr>
                <w:sz w:val="20"/>
                <w:szCs w:val="20"/>
                <w:color w:val="auto"/>
              </w:rPr>
            </w:pPr>
            <w:r>
              <w:rPr>
                <w:rFonts w:ascii="Arial" w:cs="Arial" w:eastAsia="Arial" w:hAnsi="Arial"/>
                <w:sz w:val="15"/>
                <w:szCs w:val="15"/>
                <w:b w:val="1"/>
                <w:bCs w:val="1"/>
                <w:color w:val="auto"/>
                <w:w w:val="90"/>
              </w:rPr>
              <w:t>Common Stock</w:t>
            </w:r>
          </w:p>
        </w:tc>
        <w:tc>
          <w:tcPr>
            <w:tcW w:w="1880" w:type="dxa"/>
            <w:vAlign w:val="bottom"/>
          </w:tcPr>
          <w:p>
            <w:pPr>
              <w:jc w:val="center"/>
              <w:spacing w:after="0"/>
              <w:rPr>
                <w:sz w:val="20"/>
                <w:szCs w:val="20"/>
                <w:color w:val="auto"/>
              </w:rPr>
            </w:pPr>
            <w:r>
              <w:rPr>
                <w:rFonts w:ascii="Arial" w:cs="Arial" w:eastAsia="Arial" w:hAnsi="Arial"/>
                <w:sz w:val="15"/>
                <w:szCs w:val="15"/>
                <w:b w:val="1"/>
                <w:bCs w:val="1"/>
                <w:color w:val="auto"/>
                <w:w w:val="91"/>
              </w:rPr>
              <w:t>Percentage of Common</w:t>
            </w:r>
          </w:p>
        </w:tc>
      </w:tr>
      <w:tr>
        <w:trPr>
          <w:trHeight w:val="161"/>
        </w:trPr>
        <w:tc>
          <w:tcPr>
            <w:tcW w:w="1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600" w:type="dxa"/>
            <w:vAlign w:val="bottom"/>
          </w:tcPr>
          <w:p>
            <w:pPr>
              <w:jc w:val="center"/>
              <w:ind w:left="724"/>
              <w:spacing w:after="0" w:line="161" w:lineRule="exact"/>
              <w:rPr>
                <w:sz w:val="20"/>
                <w:szCs w:val="20"/>
                <w:color w:val="auto"/>
              </w:rPr>
            </w:pPr>
            <w:r>
              <w:rPr>
                <w:rFonts w:ascii="Arial" w:cs="Arial" w:eastAsia="Arial" w:hAnsi="Arial"/>
                <w:sz w:val="15"/>
                <w:szCs w:val="15"/>
                <w:b w:val="1"/>
                <w:bCs w:val="1"/>
                <w:color w:val="auto"/>
                <w:w w:val="93"/>
              </w:rPr>
              <w:t>Beneficially Owned</w:t>
            </w:r>
          </w:p>
        </w:tc>
        <w:tc>
          <w:tcPr>
            <w:tcW w:w="188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90"/>
              </w:rPr>
              <w:t>Stock Beneficially Owned</w:t>
            </w:r>
          </w:p>
        </w:tc>
      </w:tr>
      <w:tr>
        <w:trPr>
          <w:trHeight w:val="198"/>
        </w:trPr>
        <w:tc>
          <w:tcPr>
            <w:tcW w:w="4880" w:type="dxa"/>
            <w:vAlign w:val="bottom"/>
            <w:gridSpan w:val="3"/>
          </w:tcPr>
          <w:p>
            <w:pPr>
              <w:ind w:left="20"/>
              <w:spacing w:after="0"/>
              <w:rPr>
                <w:sz w:val="20"/>
                <w:szCs w:val="20"/>
                <w:color w:val="auto"/>
              </w:rPr>
            </w:pPr>
            <w:r>
              <w:rPr>
                <w:rFonts w:ascii="Arial" w:cs="Arial" w:eastAsia="Arial" w:hAnsi="Arial"/>
                <w:sz w:val="15"/>
                <w:szCs w:val="15"/>
                <w:b w:val="1"/>
                <w:bCs w:val="1"/>
                <w:color w:val="auto"/>
              </w:rPr>
              <w:t>Name of Beneficial Owners</w:t>
            </w:r>
          </w:p>
        </w:tc>
        <w:tc>
          <w:tcPr>
            <w:tcW w:w="2600" w:type="dxa"/>
            <w:vAlign w:val="bottom"/>
          </w:tcPr>
          <w:p>
            <w:pPr>
              <w:jc w:val="center"/>
              <w:ind w:left="724"/>
              <w:spacing w:after="0"/>
              <w:rPr>
                <w:sz w:val="20"/>
                <w:szCs w:val="20"/>
                <w:color w:val="auto"/>
              </w:rPr>
            </w:pPr>
            <w:r>
              <w:rPr>
                <w:rFonts w:ascii="Arial" w:cs="Arial" w:eastAsia="Arial" w:hAnsi="Arial"/>
                <w:sz w:val="15"/>
                <w:szCs w:val="15"/>
                <w:b w:val="1"/>
                <w:bCs w:val="1"/>
                <w:color w:val="auto"/>
                <w:w w:val="87"/>
              </w:rPr>
              <w:t>(1)</w:t>
            </w:r>
          </w:p>
        </w:tc>
        <w:tc>
          <w:tcPr>
            <w:tcW w:w="1880" w:type="dxa"/>
            <w:vAlign w:val="bottom"/>
          </w:tcPr>
          <w:p>
            <w:pPr>
              <w:jc w:val="center"/>
              <w:spacing w:after="0"/>
              <w:rPr>
                <w:sz w:val="20"/>
                <w:szCs w:val="20"/>
                <w:color w:val="auto"/>
              </w:rPr>
            </w:pPr>
            <w:r>
              <w:rPr>
                <w:rFonts w:ascii="Arial" w:cs="Arial" w:eastAsia="Arial" w:hAnsi="Arial"/>
                <w:sz w:val="15"/>
                <w:szCs w:val="15"/>
                <w:b w:val="1"/>
                <w:bCs w:val="1"/>
                <w:color w:val="auto"/>
                <w:w w:val="97"/>
              </w:rPr>
              <w:t>(2)</w:t>
            </w:r>
          </w:p>
        </w:tc>
      </w:tr>
      <w:tr>
        <w:trPr>
          <w:trHeight w:val="46"/>
        </w:trPr>
        <w:tc>
          <w:tcPr>
            <w:tcW w:w="1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r>
      <w:tr>
        <w:trPr>
          <w:trHeight w:val="175"/>
        </w:trPr>
        <w:tc>
          <w:tcPr>
            <w:tcW w:w="4880" w:type="dxa"/>
            <w:vAlign w:val="bottom"/>
            <w:tcBorders>
              <w:left w:val="single" w:sz="8" w:color="CCEEFF"/>
            </w:tcBorders>
            <w:gridSpan w:val="3"/>
            <w:shd w:val="clear" w:color="auto" w:fill="CCEEFF"/>
          </w:tcPr>
          <w:p>
            <w:pPr>
              <w:ind w:left="20"/>
              <w:spacing w:after="0" w:line="161" w:lineRule="exact"/>
              <w:rPr>
                <w:sz w:val="20"/>
                <w:szCs w:val="20"/>
                <w:color w:val="auto"/>
              </w:rPr>
            </w:pPr>
            <w:r>
              <w:rPr>
                <w:rFonts w:ascii="Arial" w:cs="Arial" w:eastAsia="Arial" w:hAnsi="Arial"/>
                <w:sz w:val="15"/>
                <w:szCs w:val="15"/>
                <w:i w:val="1"/>
                <w:iCs w:val="1"/>
                <w:color w:val="auto"/>
              </w:rPr>
              <w:t>Directors and Executive Officers:</w:t>
            </w:r>
            <w:r>
              <w:rPr>
                <w:rFonts w:ascii="Arial" w:cs="Arial" w:eastAsia="Arial" w:hAnsi="Arial"/>
                <w:sz w:val="18"/>
                <w:szCs w:val="18"/>
                <w:i w:val="1"/>
                <w:iCs w:val="1"/>
                <w:color w:val="auto"/>
                <w:vertAlign w:val="superscript"/>
              </w:rPr>
              <w:t>(3)</w:t>
            </w:r>
          </w:p>
        </w:tc>
        <w:tc>
          <w:tcPr>
            <w:tcW w:w="260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r>
      <w:tr>
        <w:trPr>
          <w:trHeight w:val="195"/>
        </w:trPr>
        <w:tc>
          <w:tcPr>
            <w:tcW w:w="2080" w:type="dxa"/>
            <w:vAlign w:val="bottom"/>
            <w:tcBorders>
              <w:top w:val="single" w:sz="8" w:color="auto"/>
            </w:tcBorders>
            <w:gridSpan w:val="2"/>
          </w:tcPr>
          <w:p>
            <w:pPr>
              <w:ind w:left="20"/>
              <w:spacing w:after="0"/>
              <w:rPr>
                <w:sz w:val="20"/>
                <w:szCs w:val="20"/>
                <w:color w:val="auto"/>
              </w:rPr>
            </w:pPr>
            <w:r>
              <w:rPr>
                <w:rFonts w:ascii="Arial" w:cs="Arial" w:eastAsia="Arial" w:hAnsi="Arial"/>
                <w:sz w:val="15"/>
                <w:szCs w:val="15"/>
                <w:color w:val="auto"/>
              </w:rPr>
              <w:t>Robert Lisy (4)</w:t>
            </w:r>
          </w:p>
        </w:tc>
        <w:tc>
          <w:tcPr>
            <w:tcW w:w="2800" w:type="dxa"/>
            <w:vAlign w:val="bottom"/>
            <w:tcBorders>
              <w:top w:val="single" w:sz="8" w:color="CCEEFF"/>
            </w:tcBorders>
          </w:tcPr>
          <w:p>
            <w:pPr>
              <w:spacing w:after="0"/>
              <w:rPr>
                <w:sz w:val="16"/>
                <w:szCs w:val="16"/>
                <w:color w:val="auto"/>
              </w:rPr>
            </w:pPr>
          </w:p>
        </w:tc>
        <w:tc>
          <w:tcPr>
            <w:tcW w:w="2600" w:type="dxa"/>
            <w:vAlign w:val="bottom"/>
            <w:tcBorders>
              <w:top w:val="single" w:sz="8" w:color="CCEEFF"/>
            </w:tcBorders>
          </w:tcPr>
          <w:p>
            <w:pPr>
              <w:jc w:val="right"/>
              <w:ind w:right="4"/>
              <w:spacing w:after="0"/>
              <w:rPr>
                <w:sz w:val="20"/>
                <w:szCs w:val="20"/>
                <w:color w:val="auto"/>
              </w:rPr>
            </w:pPr>
            <w:r>
              <w:rPr>
                <w:rFonts w:ascii="Arial" w:cs="Arial" w:eastAsia="Arial" w:hAnsi="Arial"/>
                <w:sz w:val="15"/>
                <w:szCs w:val="15"/>
                <w:color w:val="auto"/>
              </w:rPr>
              <w:t>1,814,789</w:t>
            </w:r>
          </w:p>
        </w:tc>
        <w:tc>
          <w:tcPr>
            <w:tcW w:w="188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rPr>
              <w:t>4.7 %</w:t>
            </w:r>
          </w:p>
        </w:tc>
      </w:tr>
      <w:tr>
        <w:trPr>
          <w:trHeight w:val="195"/>
        </w:trPr>
        <w:tc>
          <w:tcPr>
            <w:tcW w:w="48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Andras Bende (5)</w:t>
            </w:r>
          </w:p>
        </w:tc>
        <w:tc>
          <w:tcPr>
            <w:tcW w:w="2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3,750</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5"/>
        </w:trPr>
        <w:tc>
          <w:tcPr>
            <w:tcW w:w="4880" w:type="dxa"/>
            <w:vAlign w:val="bottom"/>
            <w:gridSpan w:val="3"/>
          </w:tcPr>
          <w:p>
            <w:pPr>
              <w:ind w:left="20"/>
              <w:spacing w:after="0"/>
              <w:rPr>
                <w:sz w:val="20"/>
                <w:szCs w:val="20"/>
                <w:color w:val="auto"/>
              </w:rPr>
            </w:pPr>
            <w:r>
              <w:rPr>
                <w:rFonts w:ascii="Arial" w:cs="Arial" w:eastAsia="Arial" w:hAnsi="Arial"/>
                <w:sz w:val="15"/>
                <w:szCs w:val="15"/>
                <w:color w:val="auto"/>
              </w:rPr>
              <w:t>Randall D. Nilsen (6)</w:t>
            </w:r>
          </w:p>
        </w:tc>
        <w:tc>
          <w:tcPr>
            <w:tcW w:w="2600" w:type="dxa"/>
            <w:vAlign w:val="bottom"/>
          </w:tcPr>
          <w:p>
            <w:pPr>
              <w:jc w:val="right"/>
              <w:ind w:right="4"/>
              <w:spacing w:after="0"/>
              <w:rPr>
                <w:sz w:val="20"/>
                <w:szCs w:val="20"/>
                <w:color w:val="auto"/>
              </w:rPr>
            </w:pPr>
            <w:r>
              <w:rPr>
                <w:rFonts w:ascii="Arial" w:cs="Arial" w:eastAsia="Arial" w:hAnsi="Arial"/>
                <w:sz w:val="15"/>
                <w:szCs w:val="15"/>
                <w:color w:val="auto"/>
              </w:rPr>
              <w:t>348,274</w:t>
            </w:r>
          </w:p>
        </w:tc>
        <w:tc>
          <w:tcPr>
            <w:tcW w:w="18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5"/>
        </w:trPr>
        <w:tc>
          <w:tcPr>
            <w:tcW w:w="48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Joseph Aguilar (7)</w:t>
            </w:r>
          </w:p>
        </w:tc>
        <w:tc>
          <w:tcPr>
            <w:tcW w:w="2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98,602</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5"/>
        </w:trPr>
        <w:tc>
          <w:tcPr>
            <w:tcW w:w="4880" w:type="dxa"/>
            <w:vAlign w:val="bottom"/>
            <w:gridSpan w:val="3"/>
          </w:tcPr>
          <w:p>
            <w:pPr>
              <w:ind w:left="20"/>
              <w:spacing w:after="0"/>
              <w:rPr>
                <w:sz w:val="20"/>
                <w:szCs w:val="20"/>
                <w:color w:val="auto"/>
              </w:rPr>
            </w:pPr>
            <w:r>
              <w:rPr>
                <w:rFonts w:ascii="Arial" w:cs="Arial" w:eastAsia="Arial" w:hAnsi="Arial"/>
                <w:sz w:val="15"/>
                <w:szCs w:val="15"/>
                <w:color w:val="auto"/>
              </w:rPr>
              <w:t>Debra Bradford (8)</w:t>
            </w:r>
          </w:p>
        </w:tc>
        <w:tc>
          <w:tcPr>
            <w:tcW w:w="26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880" w:type="dxa"/>
            <w:vAlign w:val="bottom"/>
          </w:tcPr>
          <w:p>
            <w:pPr>
              <w:jc w:val="right"/>
              <w:ind w:right="124"/>
              <w:spacing w:after="0"/>
              <w:rPr>
                <w:sz w:val="20"/>
                <w:szCs w:val="20"/>
                <w:color w:val="auto"/>
              </w:rPr>
            </w:pPr>
            <w:r>
              <w:rPr>
                <w:rFonts w:ascii="Arial" w:cs="Arial" w:eastAsia="Arial" w:hAnsi="Arial"/>
                <w:sz w:val="15"/>
                <w:szCs w:val="15"/>
                <w:color w:val="auto"/>
              </w:rPr>
              <w:t>—</w:t>
            </w:r>
          </w:p>
        </w:tc>
      </w:tr>
      <w:tr>
        <w:trPr>
          <w:trHeight w:val="195"/>
        </w:trPr>
        <w:tc>
          <w:tcPr>
            <w:tcW w:w="48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Bernardo Fernández (9)</w:t>
            </w:r>
          </w:p>
        </w:tc>
        <w:tc>
          <w:tcPr>
            <w:tcW w:w="2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8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r>
      <w:tr>
        <w:trPr>
          <w:trHeight w:val="195"/>
        </w:trPr>
        <w:tc>
          <w:tcPr>
            <w:tcW w:w="4880" w:type="dxa"/>
            <w:vAlign w:val="bottom"/>
            <w:gridSpan w:val="3"/>
          </w:tcPr>
          <w:p>
            <w:pPr>
              <w:ind w:left="20"/>
              <w:spacing w:after="0"/>
              <w:rPr>
                <w:sz w:val="20"/>
                <w:szCs w:val="20"/>
                <w:color w:val="auto"/>
              </w:rPr>
            </w:pPr>
            <w:r>
              <w:rPr>
                <w:rFonts w:ascii="Arial" w:cs="Arial" w:eastAsia="Arial" w:hAnsi="Arial"/>
                <w:sz w:val="15"/>
                <w:szCs w:val="15"/>
                <w:color w:val="auto"/>
              </w:rPr>
              <w:t>Adam Godfrey (10)</w:t>
            </w:r>
          </w:p>
        </w:tc>
        <w:tc>
          <w:tcPr>
            <w:tcW w:w="2600" w:type="dxa"/>
            <w:vAlign w:val="bottom"/>
          </w:tcPr>
          <w:p>
            <w:pPr>
              <w:jc w:val="right"/>
              <w:ind w:right="4"/>
              <w:spacing w:after="0"/>
              <w:rPr>
                <w:sz w:val="20"/>
                <w:szCs w:val="20"/>
                <w:color w:val="auto"/>
              </w:rPr>
            </w:pPr>
            <w:r>
              <w:rPr>
                <w:rFonts w:ascii="Arial" w:cs="Arial" w:eastAsia="Arial" w:hAnsi="Arial"/>
                <w:sz w:val="15"/>
                <w:szCs w:val="15"/>
                <w:color w:val="auto"/>
              </w:rPr>
              <w:t>3,192,076</w:t>
            </w:r>
          </w:p>
        </w:tc>
        <w:tc>
          <w:tcPr>
            <w:tcW w:w="1880" w:type="dxa"/>
            <w:vAlign w:val="bottom"/>
          </w:tcPr>
          <w:p>
            <w:pPr>
              <w:jc w:val="right"/>
              <w:spacing w:after="0"/>
              <w:rPr>
                <w:sz w:val="20"/>
                <w:szCs w:val="20"/>
                <w:color w:val="auto"/>
              </w:rPr>
            </w:pPr>
            <w:r>
              <w:rPr>
                <w:rFonts w:ascii="Arial" w:cs="Arial" w:eastAsia="Arial" w:hAnsi="Arial"/>
                <w:sz w:val="15"/>
                <w:szCs w:val="15"/>
                <w:color w:val="auto"/>
              </w:rPr>
              <w:t>8.3 %</w:t>
            </w:r>
          </w:p>
        </w:tc>
      </w:tr>
      <w:tr>
        <w:trPr>
          <w:trHeight w:val="195"/>
        </w:trPr>
        <w:tc>
          <w:tcPr>
            <w:tcW w:w="48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Michael Purcell (11)</w:t>
            </w:r>
          </w:p>
        </w:tc>
        <w:tc>
          <w:tcPr>
            <w:tcW w:w="2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29,675</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5"/>
        </w:trPr>
        <w:tc>
          <w:tcPr>
            <w:tcW w:w="4880" w:type="dxa"/>
            <w:vAlign w:val="bottom"/>
            <w:gridSpan w:val="3"/>
          </w:tcPr>
          <w:p>
            <w:pPr>
              <w:ind w:left="20"/>
              <w:spacing w:after="0"/>
              <w:rPr>
                <w:sz w:val="20"/>
                <w:szCs w:val="20"/>
                <w:color w:val="auto"/>
              </w:rPr>
            </w:pPr>
            <w:r>
              <w:rPr>
                <w:rFonts w:ascii="Arial" w:cs="Arial" w:eastAsia="Arial" w:hAnsi="Arial"/>
                <w:sz w:val="15"/>
                <w:szCs w:val="15"/>
                <w:color w:val="auto"/>
              </w:rPr>
              <w:t>Laura Maydón (12)</w:t>
            </w:r>
          </w:p>
        </w:tc>
        <w:tc>
          <w:tcPr>
            <w:tcW w:w="2600" w:type="dxa"/>
            <w:vAlign w:val="bottom"/>
          </w:tcPr>
          <w:p>
            <w:pPr>
              <w:jc w:val="right"/>
              <w:ind w:right="4"/>
              <w:spacing w:after="0"/>
              <w:rPr>
                <w:sz w:val="20"/>
                <w:szCs w:val="20"/>
                <w:color w:val="auto"/>
              </w:rPr>
            </w:pPr>
            <w:r>
              <w:rPr>
                <w:rFonts w:ascii="Arial" w:cs="Arial" w:eastAsia="Arial" w:hAnsi="Arial"/>
                <w:sz w:val="15"/>
                <w:szCs w:val="15"/>
                <w:color w:val="auto"/>
              </w:rPr>
              <w:t>5,050</w:t>
            </w:r>
          </w:p>
        </w:tc>
        <w:tc>
          <w:tcPr>
            <w:tcW w:w="18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5"/>
        </w:trPr>
        <w:tc>
          <w:tcPr>
            <w:tcW w:w="48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John Rincon (13)</w:t>
            </w:r>
          </w:p>
        </w:tc>
        <w:tc>
          <w:tcPr>
            <w:tcW w:w="2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695,060</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1.8 %</w:t>
            </w:r>
          </w:p>
        </w:tc>
      </w:tr>
      <w:tr>
        <w:trPr>
          <w:trHeight w:val="195"/>
        </w:trPr>
        <w:tc>
          <w:tcPr>
            <w:tcW w:w="4880" w:type="dxa"/>
            <w:vAlign w:val="bottom"/>
            <w:gridSpan w:val="3"/>
          </w:tcPr>
          <w:p>
            <w:pPr>
              <w:ind w:left="20"/>
              <w:spacing w:after="0"/>
              <w:rPr>
                <w:sz w:val="20"/>
                <w:szCs w:val="20"/>
                <w:color w:val="auto"/>
              </w:rPr>
            </w:pPr>
            <w:r>
              <w:rPr>
                <w:rFonts w:ascii="Arial" w:cs="Arial" w:eastAsia="Arial" w:hAnsi="Arial"/>
                <w:sz w:val="15"/>
                <w:szCs w:val="15"/>
                <w:color w:val="auto"/>
              </w:rPr>
              <w:t>Justin Wender (10)</w:t>
            </w:r>
          </w:p>
        </w:tc>
        <w:tc>
          <w:tcPr>
            <w:tcW w:w="2600" w:type="dxa"/>
            <w:vAlign w:val="bottom"/>
          </w:tcPr>
          <w:p>
            <w:pPr>
              <w:jc w:val="right"/>
              <w:ind w:right="4"/>
              <w:spacing w:after="0"/>
              <w:rPr>
                <w:sz w:val="20"/>
                <w:szCs w:val="20"/>
                <w:color w:val="auto"/>
              </w:rPr>
            </w:pPr>
            <w:r>
              <w:rPr>
                <w:rFonts w:ascii="Arial" w:cs="Arial" w:eastAsia="Arial" w:hAnsi="Arial"/>
                <w:sz w:val="15"/>
                <w:szCs w:val="15"/>
                <w:color w:val="auto"/>
              </w:rPr>
              <w:t>3,192,076</w:t>
            </w:r>
          </w:p>
        </w:tc>
        <w:tc>
          <w:tcPr>
            <w:tcW w:w="1880" w:type="dxa"/>
            <w:vAlign w:val="bottom"/>
          </w:tcPr>
          <w:p>
            <w:pPr>
              <w:jc w:val="right"/>
              <w:spacing w:after="0"/>
              <w:rPr>
                <w:sz w:val="20"/>
                <w:szCs w:val="20"/>
                <w:color w:val="auto"/>
              </w:rPr>
            </w:pPr>
            <w:r>
              <w:rPr>
                <w:rFonts w:ascii="Arial" w:cs="Arial" w:eastAsia="Arial" w:hAnsi="Arial"/>
                <w:sz w:val="15"/>
                <w:szCs w:val="15"/>
                <w:color w:val="auto"/>
              </w:rPr>
              <w:t>8.3 %</w:t>
            </w:r>
          </w:p>
        </w:tc>
      </w:tr>
      <w:tr>
        <w:trPr>
          <w:trHeight w:val="195"/>
        </w:trPr>
        <w:tc>
          <w:tcPr>
            <w:tcW w:w="48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All directors and executive officers as a group (12 individuals)</w:t>
            </w:r>
          </w:p>
        </w:tc>
        <w:tc>
          <w:tcPr>
            <w:tcW w:w="2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6,193,213</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15.8 %</w:t>
            </w:r>
          </w:p>
        </w:tc>
      </w:tr>
      <w:tr>
        <w:trPr>
          <w:trHeight w:val="229"/>
        </w:trPr>
        <w:tc>
          <w:tcPr>
            <w:tcW w:w="1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161"/>
        </w:trPr>
        <w:tc>
          <w:tcPr>
            <w:tcW w:w="4880" w:type="dxa"/>
            <w:vAlign w:val="bottom"/>
            <w:tcBorders>
              <w:left w:val="single" w:sz="8" w:color="CCEEFF"/>
            </w:tcBorders>
            <w:gridSpan w:val="3"/>
            <w:shd w:val="clear" w:color="auto" w:fill="CCEEFF"/>
          </w:tcPr>
          <w:p>
            <w:pPr>
              <w:ind w:left="20"/>
              <w:spacing w:after="0" w:line="161" w:lineRule="exact"/>
              <w:rPr>
                <w:sz w:val="20"/>
                <w:szCs w:val="20"/>
                <w:color w:val="auto"/>
              </w:rPr>
            </w:pPr>
            <w:r>
              <w:rPr>
                <w:rFonts w:ascii="Arial" w:cs="Arial" w:eastAsia="Arial" w:hAnsi="Arial"/>
                <w:sz w:val="15"/>
                <w:szCs w:val="15"/>
                <w:i w:val="1"/>
                <w:iCs w:val="1"/>
                <w:color w:val="auto"/>
              </w:rPr>
              <w:t>Five Percent Holders:</w:t>
            </w:r>
          </w:p>
        </w:tc>
        <w:tc>
          <w:tcPr>
            <w:tcW w:w="260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r>
      <w:tr>
        <w:trPr>
          <w:trHeight w:val="34"/>
        </w:trPr>
        <w:tc>
          <w:tcPr>
            <w:tcW w:w="1380" w:type="dxa"/>
            <w:vAlign w:val="bottom"/>
            <w:tcBorders>
              <w:left w:val="single" w:sz="8" w:color="CCEEFF"/>
            </w:tcBorders>
            <w:shd w:val="clear" w:color="auto" w:fill="000000"/>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r>
        <w:trPr>
          <w:trHeight w:val="195"/>
        </w:trPr>
        <w:tc>
          <w:tcPr>
            <w:tcW w:w="4880" w:type="dxa"/>
            <w:vAlign w:val="bottom"/>
            <w:gridSpan w:val="3"/>
          </w:tcPr>
          <w:p>
            <w:pPr>
              <w:ind w:left="20"/>
              <w:spacing w:after="0"/>
              <w:rPr>
                <w:sz w:val="20"/>
                <w:szCs w:val="20"/>
                <w:color w:val="auto"/>
              </w:rPr>
            </w:pPr>
            <w:r>
              <w:rPr>
                <w:rFonts w:ascii="Arial" w:cs="Arial" w:eastAsia="Arial" w:hAnsi="Arial"/>
                <w:sz w:val="15"/>
                <w:szCs w:val="15"/>
                <w:color w:val="auto"/>
              </w:rPr>
              <w:t>SPC Intermex, LP (14)</w:t>
            </w:r>
          </w:p>
        </w:tc>
        <w:tc>
          <w:tcPr>
            <w:tcW w:w="2600" w:type="dxa"/>
            <w:vAlign w:val="bottom"/>
          </w:tcPr>
          <w:p>
            <w:pPr>
              <w:jc w:val="right"/>
              <w:ind w:right="4"/>
              <w:spacing w:after="0"/>
              <w:rPr>
                <w:sz w:val="20"/>
                <w:szCs w:val="20"/>
                <w:color w:val="auto"/>
              </w:rPr>
            </w:pPr>
            <w:r>
              <w:rPr>
                <w:rFonts w:ascii="Arial" w:cs="Arial" w:eastAsia="Arial" w:hAnsi="Arial"/>
                <w:sz w:val="15"/>
                <w:szCs w:val="15"/>
                <w:color w:val="auto"/>
              </w:rPr>
              <w:t>3,192,076</w:t>
            </w:r>
          </w:p>
        </w:tc>
        <w:tc>
          <w:tcPr>
            <w:tcW w:w="1880" w:type="dxa"/>
            <w:vAlign w:val="bottom"/>
          </w:tcPr>
          <w:p>
            <w:pPr>
              <w:jc w:val="right"/>
              <w:spacing w:after="0"/>
              <w:rPr>
                <w:sz w:val="20"/>
                <w:szCs w:val="20"/>
                <w:color w:val="auto"/>
              </w:rPr>
            </w:pPr>
            <w:r>
              <w:rPr>
                <w:rFonts w:ascii="Arial" w:cs="Arial" w:eastAsia="Arial" w:hAnsi="Arial"/>
                <w:sz w:val="15"/>
                <w:szCs w:val="15"/>
                <w:color w:val="auto"/>
              </w:rPr>
              <w:t>8.3 %</w:t>
            </w:r>
          </w:p>
        </w:tc>
      </w:tr>
      <w:tr>
        <w:trPr>
          <w:trHeight w:val="195"/>
        </w:trPr>
        <w:tc>
          <w:tcPr>
            <w:tcW w:w="48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Wellington Management Group LLP (15)</w:t>
            </w:r>
          </w:p>
        </w:tc>
        <w:tc>
          <w:tcPr>
            <w:tcW w:w="2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3,506,275</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9.2 %</w:t>
            </w:r>
          </w:p>
        </w:tc>
      </w:tr>
      <w:tr>
        <w:trPr>
          <w:trHeight w:val="195"/>
        </w:trPr>
        <w:tc>
          <w:tcPr>
            <w:tcW w:w="4880" w:type="dxa"/>
            <w:vAlign w:val="bottom"/>
            <w:gridSpan w:val="3"/>
          </w:tcPr>
          <w:p>
            <w:pPr>
              <w:ind w:left="20"/>
              <w:spacing w:after="0"/>
              <w:rPr>
                <w:sz w:val="20"/>
                <w:szCs w:val="20"/>
                <w:color w:val="auto"/>
              </w:rPr>
            </w:pPr>
            <w:r>
              <w:rPr>
                <w:rFonts w:ascii="Arial" w:cs="Arial" w:eastAsia="Arial" w:hAnsi="Arial"/>
                <w:sz w:val="15"/>
                <w:szCs w:val="15"/>
                <w:color w:val="auto"/>
              </w:rPr>
              <w:t>Conifer Management, L.L.C. (16)</w:t>
            </w:r>
          </w:p>
        </w:tc>
        <w:tc>
          <w:tcPr>
            <w:tcW w:w="2600" w:type="dxa"/>
            <w:vAlign w:val="bottom"/>
          </w:tcPr>
          <w:p>
            <w:pPr>
              <w:jc w:val="right"/>
              <w:ind w:right="4"/>
              <w:spacing w:after="0"/>
              <w:rPr>
                <w:sz w:val="20"/>
                <w:szCs w:val="20"/>
                <w:color w:val="auto"/>
              </w:rPr>
            </w:pPr>
            <w:r>
              <w:rPr>
                <w:rFonts w:ascii="Arial" w:cs="Arial" w:eastAsia="Arial" w:hAnsi="Arial"/>
                <w:sz w:val="15"/>
                <w:szCs w:val="15"/>
                <w:color w:val="auto"/>
              </w:rPr>
              <w:t>2,000,000</w:t>
            </w:r>
          </w:p>
        </w:tc>
        <w:tc>
          <w:tcPr>
            <w:tcW w:w="1880" w:type="dxa"/>
            <w:vAlign w:val="bottom"/>
          </w:tcPr>
          <w:p>
            <w:pPr>
              <w:jc w:val="right"/>
              <w:spacing w:after="0"/>
              <w:rPr>
                <w:sz w:val="20"/>
                <w:szCs w:val="20"/>
                <w:color w:val="auto"/>
              </w:rPr>
            </w:pPr>
            <w:r>
              <w:rPr>
                <w:rFonts w:ascii="Arial" w:cs="Arial" w:eastAsia="Arial" w:hAnsi="Arial"/>
                <w:sz w:val="15"/>
                <w:szCs w:val="15"/>
                <w:color w:val="auto"/>
              </w:rPr>
              <w:t>5.2 %</w:t>
            </w:r>
          </w:p>
        </w:tc>
      </w:tr>
      <w:tr>
        <w:trPr>
          <w:trHeight w:val="195"/>
        </w:trPr>
        <w:tc>
          <w:tcPr>
            <w:tcW w:w="48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BlackRock, Inc. (17)</w:t>
            </w:r>
          </w:p>
        </w:tc>
        <w:tc>
          <w:tcPr>
            <w:tcW w:w="2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2,550,399</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6.7 %</w:t>
            </w:r>
          </w:p>
        </w:tc>
      </w:tr>
      <w:tr>
        <w:trPr>
          <w:trHeight w:val="195"/>
        </w:trPr>
        <w:tc>
          <w:tcPr>
            <w:tcW w:w="4880" w:type="dxa"/>
            <w:vAlign w:val="bottom"/>
            <w:gridSpan w:val="3"/>
          </w:tcPr>
          <w:p>
            <w:pPr>
              <w:ind w:left="20"/>
              <w:spacing w:after="0"/>
              <w:rPr>
                <w:sz w:val="20"/>
                <w:szCs w:val="20"/>
                <w:color w:val="auto"/>
              </w:rPr>
            </w:pPr>
            <w:r>
              <w:rPr>
                <w:rFonts w:ascii="Arial" w:cs="Arial" w:eastAsia="Arial" w:hAnsi="Arial"/>
                <w:sz w:val="15"/>
                <w:szCs w:val="15"/>
                <w:color w:val="auto"/>
              </w:rPr>
              <w:t>Wellington Trust Company (18)</w:t>
            </w:r>
          </w:p>
        </w:tc>
        <w:tc>
          <w:tcPr>
            <w:tcW w:w="2600" w:type="dxa"/>
            <w:vAlign w:val="bottom"/>
          </w:tcPr>
          <w:p>
            <w:pPr>
              <w:jc w:val="right"/>
              <w:ind w:right="4"/>
              <w:spacing w:after="0"/>
              <w:rPr>
                <w:sz w:val="20"/>
                <w:szCs w:val="20"/>
                <w:color w:val="auto"/>
              </w:rPr>
            </w:pPr>
            <w:r>
              <w:rPr>
                <w:rFonts w:ascii="Arial" w:cs="Arial" w:eastAsia="Arial" w:hAnsi="Arial"/>
                <w:sz w:val="15"/>
                <w:szCs w:val="15"/>
                <w:color w:val="auto"/>
              </w:rPr>
              <w:t>2,187,632</w:t>
            </w:r>
          </w:p>
        </w:tc>
        <w:tc>
          <w:tcPr>
            <w:tcW w:w="1880" w:type="dxa"/>
            <w:vAlign w:val="bottom"/>
          </w:tcPr>
          <w:p>
            <w:pPr>
              <w:jc w:val="right"/>
              <w:spacing w:after="0"/>
              <w:rPr>
                <w:sz w:val="20"/>
                <w:szCs w:val="20"/>
                <w:color w:val="auto"/>
              </w:rPr>
            </w:pPr>
            <w:r>
              <w:rPr>
                <w:rFonts w:ascii="Arial" w:cs="Arial" w:eastAsia="Arial" w:hAnsi="Arial"/>
                <w:sz w:val="15"/>
                <w:szCs w:val="15"/>
                <w:color w:val="auto"/>
              </w:rPr>
              <w:t>5.7 %</w:t>
            </w:r>
          </w:p>
        </w:tc>
      </w:tr>
      <w:tr>
        <w:trPr>
          <w:trHeight w:val="195"/>
        </w:trPr>
        <w:tc>
          <w:tcPr>
            <w:tcW w:w="48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The Vanguard Group, Inc. (19)</w:t>
            </w:r>
          </w:p>
        </w:tc>
        <w:tc>
          <w:tcPr>
            <w:tcW w:w="2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2,119,575</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5.5 %</w:t>
            </w:r>
          </w:p>
        </w:tc>
      </w:tr>
    </w:tbl>
    <w:p>
      <w:pPr>
        <w:spacing w:after="0" w:line="253" w:lineRule="exact"/>
        <w:rPr>
          <w:sz w:val="20"/>
          <w:szCs w:val="20"/>
          <w:color w:val="auto"/>
        </w:rPr>
      </w:pPr>
    </w:p>
    <w:p>
      <w:pPr>
        <w:ind w:left="548"/>
        <w:spacing w:after="0"/>
        <w:rPr>
          <w:sz w:val="20"/>
          <w:szCs w:val="20"/>
          <w:color w:val="auto"/>
        </w:rPr>
      </w:pPr>
      <w:r>
        <w:rPr>
          <w:rFonts w:ascii="Arial" w:cs="Arial" w:eastAsia="Arial" w:hAnsi="Arial"/>
          <w:sz w:val="15"/>
          <w:szCs w:val="15"/>
          <w:color w:val="auto"/>
        </w:rPr>
        <w:t>*  Less than 1 percent.</w:t>
      </w:r>
    </w:p>
    <w:p>
      <w:pPr>
        <w:spacing w:after="0" w:line="217" w:lineRule="exact"/>
        <w:rPr>
          <w:sz w:val="20"/>
          <w:szCs w:val="20"/>
          <w:color w:val="auto"/>
        </w:rPr>
      </w:pPr>
    </w:p>
    <w:p>
      <w:pPr>
        <w:jc w:val="both"/>
        <w:ind w:left="548" w:hanging="548"/>
        <w:spacing w:after="0" w:line="270" w:lineRule="auto"/>
        <w:tabs>
          <w:tab w:leader="none" w:pos="543" w:val="left"/>
        </w:tabs>
        <w:numPr>
          <w:ilvl w:val="0"/>
          <w:numId w:val="32"/>
        </w:numPr>
        <w:rPr>
          <w:rFonts w:ascii="Arial" w:cs="Arial" w:eastAsia="Arial" w:hAnsi="Arial"/>
          <w:sz w:val="15"/>
          <w:szCs w:val="15"/>
          <w:color w:val="auto"/>
        </w:rPr>
      </w:pPr>
      <w:r>
        <w:rPr>
          <w:rFonts w:ascii="Arial" w:cs="Arial" w:eastAsia="Arial" w:hAnsi="Arial"/>
          <w:sz w:val="15"/>
          <w:szCs w:val="15"/>
          <w:color w:val="auto"/>
        </w:rPr>
        <w:t>For purposes of this table, a person is deemed to be the beneficial owner of a security if he or she (a) has or shares voting power or dispositive power with respect to such security, or (b) has the right to acquire such ownership within 60 days. “Voting power” is the power to vote or direct the voting of shares, and “dispositive power” is the power to dispose or direct the disposition of shares, irrespective of any economic interest in such shares.</w:t>
      </w:r>
    </w:p>
    <w:p>
      <w:pPr>
        <w:spacing w:after="0" w:line="174" w:lineRule="exact"/>
        <w:rPr>
          <w:rFonts w:ascii="Arial" w:cs="Arial" w:eastAsia="Arial" w:hAnsi="Arial"/>
          <w:sz w:val="15"/>
          <w:szCs w:val="15"/>
          <w:color w:val="auto"/>
        </w:rPr>
      </w:pPr>
    </w:p>
    <w:p>
      <w:pPr>
        <w:jc w:val="both"/>
        <w:ind w:left="548" w:hanging="548"/>
        <w:spacing w:after="0" w:line="270" w:lineRule="auto"/>
        <w:tabs>
          <w:tab w:leader="none" w:pos="543" w:val="left"/>
        </w:tabs>
        <w:numPr>
          <w:ilvl w:val="0"/>
          <w:numId w:val="32"/>
        </w:numPr>
        <w:rPr>
          <w:rFonts w:ascii="Arial" w:cs="Arial" w:eastAsia="Arial" w:hAnsi="Arial"/>
          <w:sz w:val="15"/>
          <w:szCs w:val="15"/>
          <w:color w:val="auto"/>
        </w:rPr>
      </w:pPr>
      <w:r>
        <w:rPr>
          <w:rFonts w:ascii="Arial" w:cs="Arial" w:eastAsia="Arial" w:hAnsi="Arial"/>
          <w:sz w:val="15"/>
          <w:szCs w:val="15"/>
          <w:color w:val="auto"/>
        </w:rPr>
        <w:t>In calculating the percentage ownership or percent of equity vote for a given individual or group, the number of common shares outstanding includes unissued shares subject to options, warrants, rights or conversion privileges, exercisable within 60 days of February 25, 2022, held by such individual or group, but are not deemed outstanding by any other person or group.</w:t>
      </w:r>
    </w:p>
    <w:p>
      <w:pPr>
        <w:spacing w:after="0" w:line="174" w:lineRule="exact"/>
        <w:rPr>
          <w:rFonts w:ascii="Arial" w:cs="Arial" w:eastAsia="Arial" w:hAnsi="Arial"/>
          <w:sz w:val="15"/>
          <w:szCs w:val="15"/>
          <w:color w:val="auto"/>
        </w:rPr>
      </w:pPr>
    </w:p>
    <w:p>
      <w:pPr>
        <w:ind w:left="548" w:hanging="548"/>
        <w:spacing w:after="0"/>
        <w:tabs>
          <w:tab w:leader="none" w:pos="548" w:val="left"/>
        </w:tabs>
        <w:numPr>
          <w:ilvl w:val="0"/>
          <w:numId w:val="32"/>
        </w:numPr>
        <w:rPr>
          <w:rFonts w:ascii="Arial" w:cs="Arial" w:eastAsia="Arial" w:hAnsi="Arial"/>
          <w:sz w:val="15"/>
          <w:szCs w:val="15"/>
          <w:color w:val="auto"/>
        </w:rPr>
      </w:pPr>
      <w:r>
        <w:rPr>
          <w:rFonts w:ascii="Arial" w:cs="Arial" w:eastAsia="Arial" w:hAnsi="Arial"/>
          <w:sz w:val="15"/>
          <w:szCs w:val="15"/>
          <w:color w:val="auto"/>
        </w:rPr>
        <w:t>Unless otherwise noted, the business address of each of the directors and executive officers is 9480 South Dixie Highway, Miami, Florida 33156.</w:t>
      </w:r>
    </w:p>
    <w:p>
      <w:pPr>
        <w:spacing w:after="0" w:line="263"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78040" cy="400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29" w:right="319" w:bottom="1440" w:gutter="0" w:footer="0" w:header="0"/>
        </w:sectPr>
      </w:pPr>
    </w:p>
    <w:bookmarkStart w:id="87" w:name="page88"/>
    <w:bookmarkEnd w:id="87"/>
    <w:p>
      <w:pPr>
        <w:ind w:left="8"/>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40" w:lineRule="exact"/>
        <w:rPr>
          <w:sz w:val="20"/>
          <w:szCs w:val="20"/>
          <w:color w:val="auto"/>
        </w:rPr>
      </w:pPr>
    </w:p>
    <w:p>
      <w:pPr>
        <w:jc w:val="both"/>
        <w:ind w:left="548" w:hanging="548"/>
        <w:spacing w:after="0" w:line="270" w:lineRule="auto"/>
        <w:tabs>
          <w:tab w:leader="none" w:pos="543" w:val="left"/>
        </w:tabs>
        <w:numPr>
          <w:ilvl w:val="0"/>
          <w:numId w:val="33"/>
        </w:numPr>
        <w:rPr>
          <w:rFonts w:ascii="Arial" w:cs="Arial" w:eastAsia="Arial" w:hAnsi="Arial"/>
          <w:sz w:val="15"/>
          <w:szCs w:val="15"/>
          <w:color w:val="auto"/>
        </w:rPr>
      </w:pPr>
      <w:r>
        <w:rPr>
          <w:rFonts w:ascii="Arial" w:cs="Arial" w:eastAsia="Arial" w:hAnsi="Arial"/>
          <w:sz w:val="15"/>
          <w:szCs w:val="15"/>
          <w:color w:val="auto"/>
        </w:rPr>
        <w:t>Includes (i) 438,531 shares held by Hawk Time Enterprises, LLC, a Delaware limited liability company (“Hawk Time”), (ii) 813,629 shares held by the Robert Lisy Family Revocable Living Trust (the “Lisy Trust”) and (iii) 497,911 shares held by Mr. Lisy, representing shares issuable upon exercise of options that are exercisable as of February 25, 2022. Mr. Lisy is the sole manager of Hawk Time and sole trustee of the Lisy Trust.</w:t>
      </w:r>
    </w:p>
    <w:p>
      <w:pPr>
        <w:spacing w:after="0" w:line="174" w:lineRule="exact"/>
        <w:rPr>
          <w:rFonts w:ascii="Arial" w:cs="Arial" w:eastAsia="Arial" w:hAnsi="Arial"/>
          <w:sz w:val="15"/>
          <w:szCs w:val="15"/>
          <w:color w:val="auto"/>
        </w:rPr>
      </w:pPr>
    </w:p>
    <w:p>
      <w:pPr>
        <w:ind w:left="548" w:right="20" w:hanging="548"/>
        <w:spacing w:after="0" w:line="285" w:lineRule="auto"/>
        <w:tabs>
          <w:tab w:leader="none" w:pos="543" w:val="left"/>
        </w:tabs>
        <w:numPr>
          <w:ilvl w:val="0"/>
          <w:numId w:val="33"/>
        </w:numPr>
        <w:rPr>
          <w:rFonts w:ascii="Arial" w:cs="Arial" w:eastAsia="Arial" w:hAnsi="Arial"/>
          <w:sz w:val="15"/>
          <w:szCs w:val="15"/>
          <w:color w:val="auto"/>
        </w:rPr>
      </w:pPr>
      <w:r>
        <w:rPr>
          <w:rFonts w:ascii="Arial" w:cs="Arial" w:eastAsia="Arial" w:hAnsi="Arial"/>
          <w:sz w:val="15"/>
          <w:szCs w:val="15"/>
          <w:color w:val="auto"/>
        </w:rPr>
        <w:t>Includes 3,750 shares deliverable within 30 days after vesting of restricted stock units on March 4, 2022. Excludes 22,000 shares deliverable within 30 days after vesting of awards of performance stock units.</w:t>
      </w:r>
    </w:p>
    <w:p>
      <w:pPr>
        <w:spacing w:after="0" w:line="163" w:lineRule="exact"/>
        <w:rPr>
          <w:rFonts w:ascii="Arial" w:cs="Arial" w:eastAsia="Arial" w:hAnsi="Arial"/>
          <w:sz w:val="15"/>
          <w:szCs w:val="15"/>
          <w:color w:val="auto"/>
        </w:rPr>
      </w:pPr>
    </w:p>
    <w:p>
      <w:pPr>
        <w:jc w:val="both"/>
        <w:ind w:left="548" w:hanging="548"/>
        <w:spacing w:after="0" w:line="270" w:lineRule="auto"/>
        <w:tabs>
          <w:tab w:leader="none" w:pos="543" w:val="left"/>
        </w:tabs>
        <w:numPr>
          <w:ilvl w:val="0"/>
          <w:numId w:val="33"/>
        </w:numPr>
        <w:rPr>
          <w:rFonts w:ascii="Arial" w:cs="Arial" w:eastAsia="Arial" w:hAnsi="Arial"/>
          <w:sz w:val="15"/>
          <w:szCs w:val="15"/>
          <w:color w:val="auto"/>
        </w:rPr>
      </w:pPr>
      <w:r>
        <w:rPr>
          <w:rFonts w:ascii="Arial" w:cs="Arial" w:eastAsia="Arial" w:hAnsi="Arial"/>
          <w:sz w:val="15"/>
          <w:szCs w:val="15"/>
          <w:color w:val="auto"/>
        </w:rPr>
        <w:t>Includes 172,500 shares issuable upon exercise of options that are exercisable within 60 days of February 25, 2022 and 4,852 shares deliverable within 30 days after vesting of restricted stock units on March 4, 2022. Excludes 14,556 shares and 19,408 shares deliverable within 30 days after vesting of awards of restricted stock units and performance stock units, respectively.</w:t>
      </w:r>
    </w:p>
    <w:p>
      <w:pPr>
        <w:spacing w:after="0" w:line="174" w:lineRule="exact"/>
        <w:rPr>
          <w:rFonts w:ascii="Arial" w:cs="Arial" w:eastAsia="Arial" w:hAnsi="Arial"/>
          <w:sz w:val="15"/>
          <w:szCs w:val="15"/>
          <w:color w:val="auto"/>
        </w:rPr>
      </w:pPr>
    </w:p>
    <w:p>
      <w:pPr>
        <w:jc w:val="both"/>
        <w:ind w:left="548" w:hanging="548"/>
        <w:spacing w:after="0" w:line="270" w:lineRule="auto"/>
        <w:tabs>
          <w:tab w:leader="none" w:pos="543" w:val="left"/>
        </w:tabs>
        <w:numPr>
          <w:ilvl w:val="0"/>
          <w:numId w:val="33"/>
        </w:numPr>
        <w:rPr>
          <w:rFonts w:ascii="Arial" w:cs="Arial" w:eastAsia="Arial" w:hAnsi="Arial"/>
          <w:sz w:val="15"/>
          <w:szCs w:val="15"/>
          <w:color w:val="auto"/>
        </w:rPr>
      </w:pPr>
      <w:r>
        <w:rPr>
          <w:rFonts w:ascii="Arial" w:cs="Arial" w:eastAsia="Arial" w:hAnsi="Arial"/>
          <w:sz w:val="15"/>
          <w:szCs w:val="15"/>
          <w:color w:val="auto"/>
        </w:rPr>
        <w:t>Includes 93,750 shares issuable upon exercise of options that are exercisable within 60 days of February 25, 2022 and 4,852 shares deliverable within 30 days after vesting of restricted stock units on March 4, 2022. Excludes 14,556 shares and 19,408 shares deliverable within 30 days after vesting of awards of restricted stock units and performance stock units, respectively.</w:t>
      </w:r>
    </w:p>
    <w:p>
      <w:pPr>
        <w:spacing w:after="0" w:line="174" w:lineRule="exact"/>
        <w:rPr>
          <w:rFonts w:ascii="Arial" w:cs="Arial" w:eastAsia="Arial" w:hAnsi="Arial"/>
          <w:sz w:val="15"/>
          <w:szCs w:val="15"/>
          <w:color w:val="auto"/>
        </w:rPr>
      </w:pPr>
    </w:p>
    <w:p>
      <w:pPr>
        <w:ind w:left="548" w:right="20" w:hanging="548"/>
        <w:spacing w:after="0" w:line="285" w:lineRule="auto"/>
        <w:tabs>
          <w:tab w:leader="none" w:pos="543" w:val="left"/>
        </w:tabs>
        <w:numPr>
          <w:ilvl w:val="0"/>
          <w:numId w:val="33"/>
        </w:numPr>
        <w:rPr>
          <w:rFonts w:ascii="Arial" w:cs="Arial" w:eastAsia="Arial" w:hAnsi="Arial"/>
          <w:sz w:val="15"/>
          <w:szCs w:val="15"/>
          <w:color w:val="auto"/>
        </w:rPr>
      </w:pPr>
      <w:r>
        <w:rPr>
          <w:rFonts w:ascii="Arial" w:cs="Arial" w:eastAsia="Arial" w:hAnsi="Arial"/>
          <w:sz w:val="15"/>
          <w:szCs w:val="15"/>
          <w:color w:val="auto"/>
        </w:rPr>
        <w:t>Ms. Bradford currently serves on the Board of Directors of the Company. Excludes 3,104 shares deliverable within 30 days after vesting of restricted stock units on June 30, 2022.</w:t>
      </w:r>
    </w:p>
    <w:p>
      <w:pPr>
        <w:spacing w:after="0" w:line="163" w:lineRule="exact"/>
        <w:rPr>
          <w:rFonts w:ascii="Arial" w:cs="Arial" w:eastAsia="Arial" w:hAnsi="Arial"/>
          <w:sz w:val="15"/>
          <w:szCs w:val="15"/>
          <w:color w:val="auto"/>
        </w:rPr>
      </w:pPr>
    </w:p>
    <w:p>
      <w:pPr>
        <w:ind w:left="548" w:right="20" w:hanging="548"/>
        <w:spacing w:after="0" w:line="285" w:lineRule="auto"/>
        <w:tabs>
          <w:tab w:leader="none" w:pos="543" w:val="left"/>
        </w:tabs>
        <w:numPr>
          <w:ilvl w:val="0"/>
          <w:numId w:val="33"/>
        </w:numPr>
        <w:rPr>
          <w:rFonts w:ascii="Arial" w:cs="Arial" w:eastAsia="Arial" w:hAnsi="Arial"/>
          <w:sz w:val="15"/>
          <w:szCs w:val="15"/>
          <w:color w:val="auto"/>
        </w:rPr>
      </w:pPr>
      <w:r>
        <w:rPr>
          <w:rFonts w:ascii="Arial" w:cs="Arial" w:eastAsia="Arial" w:hAnsi="Arial"/>
          <w:sz w:val="15"/>
          <w:szCs w:val="15"/>
          <w:color w:val="auto"/>
        </w:rPr>
        <w:t>Mr. Fernández currently serves on the Board of Directors of the Company. Excludes 3,104 shares deliverable within 30 days after vesting of restricted stock units on June 30, 2022.</w:t>
      </w:r>
    </w:p>
    <w:p>
      <w:pPr>
        <w:spacing w:after="0" w:line="163" w:lineRule="exact"/>
        <w:rPr>
          <w:rFonts w:ascii="Arial" w:cs="Arial" w:eastAsia="Arial" w:hAnsi="Arial"/>
          <w:sz w:val="15"/>
          <w:szCs w:val="15"/>
          <w:color w:val="auto"/>
        </w:rPr>
      </w:pPr>
    </w:p>
    <w:p>
      <w:pPr>
        <w:jc w:val="both"/>
        <w:ind w:left="548" w:hanging="548"/>
        <w:spacing w:after="0" w:line="306" w:lineRule="auto"/>
        <w:tabs>
          <w:tab w:leader="none" w:pos="539"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Includes 3,192,076 shares held by SPC Intermex, LP, whose general partner is SPC Intermex GP, LLC. Stella Point Capital (“Stella Point”) is the sole manager of SPC Intermex GP, LLC, and Messrs. Godfrey and Wender are Managing Partners of Stella Point and as a result of their position they may be deemed to be the beneficial owner of those shares. Messrs. Godfrey and Wender serve on the Board of Directors of the Company as representatives of Stella Point. The ownership information set forth herein is based in its entirety on the material contained in Schedule 13D, as amended, dated November 5, 2020, filed with the SEC by Messrs. Godfrey and Wender, along with certain other filing parties. Based on the Schedule 13D, as amended, Messrs. Godfrey and Wender are each the beneficial owner of an aggregate of 3,192,076 shares with shared voting power over 3,192,076 shares and shared dispositive power over 3,192,076 shares. Messrs. Godfrey and Wender disclaim beneficial ownership of any shares of common stock held by SPC Intermex, LP. The address for Messrs. Godfrey and Wender is c/o Stella Point Capital LLC, 444 Madison Ave., 25th Floor, New York, New York 10022.</w:t>
      </w:r>
    </w:p>
    <w:p>
      <w:pPr>
        <w:spacing w:after="0" w:line="156" w:lineRule="exact"/>
        <w:rPr>
          <w:rFonts w:ascii="Arial" w:cs="Arial" w:eastAsia="Arial" w:hAnsi="Arial"/>
          <w:sz w:val="13"/>
          <w:szCs w:val="13"/>
          <w:color w:val="auto"/>
        </w:rPr>
      </w:pPr>
    </w:p>
    <w:p>
      <w:pPr>
        <w:ind w:left="548" w:hanging="548"/>
        <w:spacing w:after="0" w:line="285" w:lineRule="auto"/>
        <w:tabs>
          <w:tab w:leader="none" w:pos="533" w:val="left"/>
        </w:tabs>
        <w:numPr>
          <w:ilvl w:val="0"/>
          <w:numId w:val="33"/>
        </w:numPr>
        <w:rPr>
          <w:rFonts w:ascii="Arial" w:cs="Arial" w:eastAsia="Arial" w:hAnsi="Arial"/>
          <w:sz w:val="15"/>
          <w:szCs w:val="15"/>
          <w:color w:val="auto"/>
        </w:rPr>
      </w:pPr>
      <w:r>
        <w:rPr>
          <w:rFonts w:ascii="Arial" w:cs="Arial" w:eastAsia="Arial" w:hAnsi="Arial"/>
          <w:sz w:val="15"/>
          <w:szCs w:val="15"/>
          <w:color w:val="auto"/>
        </w:rPr>
        <w:t>Mr. Purcell, who owns 29,675 shares on a personal basis, currently serves on the Board of Directors of the Company. Excludes 6,473 shares deliverable within 30 days after vesting of restricted stock units on June 30, 2022.</w:t>
      </w:r>
    </w:p>
    <w:p>
      <w:pPr>
        <w:spacing w:after="0" w:line="163" w:lineRule="exact"/>
        <w:rPr>
          <w:rFonts w:ascii="Arial" w:cs="Arial" w:eastAsia="Arial" w:hAnsi="Arial"/>
          <w:sz w:val="15"/>
          <w:szCs w:val="15"/>
          <w:color w:val="auto"/>
        </w:rPr>
      </w:pPr>
    </w:p>
    <w:p>
      <w:pPr>
        <w:ind w:left="548" w:hanging="548"/>
        <w:spacing w:after="0" w:line="285" w:lineRule="auto"/>
        <w:tabs>
          <w:tab w:leader="none" w:pos="539" w:val="left"/>
        </w:tabs>
        <w:numPr>
          <w:ilvl w:val="0"/>
          <w:numId w:val="33"/>
        </w:numPr>
        <w:rPr>
          <w:rFonts w:ascii="Arial" w:cs="Arial" w:eastAsia="Arial" w:hAnsi="Arial"/>
          <w:sz w:val="15"/>
          <w:szCs w:val="15"/>
          <w:color w:val="auto"/>
        </w:rPr>
      </w:pPr>
      <w:r>
        <w:rPr>
          <w:rFonts w:ascii="Arial" w:cs="Arial" w:eastAsia="Arial" w:hAnsi="Arial"/>
          <w:sz w:val="15"/>
          <w:szCs w:val="15"/>
          <w:color w:val="auto"/>
        </w:rPr>
        <w:t>Ms. Maydón, who owns 5,050 shares on a personal basis, currently serves on the Board of Directors of the Company. Excludes 6,473 shares deliverable within 30 days after vesting of restricted stock units on June 30, 2022.</w:t>
      </w:r>
    </w:p>
    <w:p>
      <w:pPr>
        <w:spacing w:after="0" w:line="163" w:lineRule="exact"/>
        <w:rPr>
          <w:rFonts w:ascii="Arial" w:cs="Arial" w:eastAsia="Arial" w:hAnsi="Arial"/>
          <w:sz w:val="15"/>
          <w:szCs w:val="15"/>
          <w:color w:val="auto"/>
        </w:rPr>
      </w:pPr>
    </w:p>
    <w:p>
      <w:pPr>
        <w:jc w:val="both"/>
        <w:ind w:left="548" w:right="20" w:hanging="548"/>
        <w:spacing w:after="0" w:line="265" w:lineRule="auto"/>
        <w:tabs>
          <w:tab w:leader="none" w:pos="539" w:val="left"/>
        </w:tabs>
        <w:numPr>
          <w:ilvl w:val="0"/>
          <w:numId w:val="33"/>
        </w:numPr>
        <w:rPr>
          <w:rFonts w:ascii="Arial" w:cs="Arial" w:eastAsia="Arial" w:hAnsi="Arial"/>
          <w:sz w:val="15"/>
          <w:szCs w:val="15"/>
          <w:color w:val="auto"/>
        </w:rPr>
      </w:pPr>
      <w:r>
        <w:rPr>
          <w:rFonts w:ascii="Arial" w:cs="Arial" w:eastAsia="Arial" w:hAnsi="Arial"/>
          <w:sz w:val="15"/>
          <w:szCs w:val="15"/>
          <w:color w:val="auto"/>
        </w:rPr>
        <w:t>Includes (i) 25,298 shares held by Mr. Rincon, (ii) 495,804 shares held by Latin American Investment Holdings, Inc. and (iii) 180,431 shares held by Rincon Capital Partners, LLC. Mr. Rincon owns 100% of Latin American Investment Holdings, Inc. (“LAIH”) and jointly owns Rincon Capital Partners, LLC (“Rincon LLC”). Excludes 6,473 shares of which are deliverable to Mr. Rincon within 30 days after vesting of restricted stock units on June 30, 2022. Mr. Rincon owns 100% of LAIH and jointly owns Rincon LLC and is its managing member.</w:t>
      </w:r>
    </w:p>
    <w:p>
      <w:pPr>
        <w:spacing w:after="0" w:line="178" w:lineRule="exact"/>
        <w:rPr>
          <w:rFonts w:ascii="Arial" w:cs="Arial" w:eastAsia="Arial" w:hAnsi="Arial"/>
          <w:sz w:val="15"/>
          <w:szCs w:val="15"/>
          <w:color w:val="auto"/>
        </w:rPr>
      </w:pPr>
    </w:p>
    <w:p>
      <w:pPr>
        <w:jc w:val="both"/>
        <w:ind w:left="548" w:hanging="548"/>
        <w:spacing w:after="0" w:line="279" w:lineRule="auto"/>
        <w:tabs>
          <w:tab w:leader="none" w:pos="539"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3,192,706 shares held by SPC Intermex, LP. The ownership information set forth herein is based in its entirety on the information contained in the Schedule 13D, as amended, filed with the SEC on November 5, 2020 by SPC Intermex, LP, SPC Intermex GP, LLC and Stella Point, along with certain other filing parties. Based on the Schedule 13D, as amended, SPC Intermex, LP is the beneficial owner of an aggregate of 3,192,706 shares with shared voting power over 3,192,706 shares and shared dispositive power over 3,192,706 shares. The general partner of SPC Intermex, LP is SPC Intermex GP, LLC and Stella Point is the sole manager of SPC Intermex GP, LLC. Messrs. Godfrey and Wender are the Managing Partners of and jointly control Stella Point. SPC Intermex GP, LLC, Stella Point, and Messrs. Godfrey and Wender may be deemed to share beneficial ownership of the shares held of record by SPC Intermex, LP, but disclaim beneficial ownership of such shares. See “Risk Factors - SPC Intermex LP (“SPC Intermex”), an affiliate of Stella Point Capital (“Stella Point”) has controlled a significant percentage of our common stock, and has had the ability to influence our major corporate decisions. Although SPC Intermex owns significantly fewer shares of our common stock after the Company’s secondary offering in 2020, it remains a significant stockholder the interests of which may conflict with the interests of other holders of our common stock.” in Item 1A of this Annual Report on Form 10-K. The address for SPC Intermex, LP is c/o Stella Point Capital LLC, 444 Madison Ave., 25th Floor, New York, New York 10022.</w:t>
      </w:r>
    </w:p>
    <w:p>
      <w:pPr>
        <w:spacing w:after="0" w:line="216"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78040" cy="40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29" w:right="319" w:bottom="1440" w:gutter="0" w:footer="0" w:header="0"/>
        </w:sectPr>
      </w:pPr>
    </w:p>
    <w:bookmarkStart w:id="88" w:name="page89"/>
    <w:bookmarkEnd w:id="88"/>
    <w:p>
      <w:pPr>
        <w:ind w:left="8"/>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40" w:lineRule="exact"/>
        <w:rPr>
          <w:sz w:val="20"/>
          <w:szCs w:val="20"/>
          <w:color w:val="auto"/>
        </w:rPr>
      </w:pPr>
    </w:p>
    <w:p>
      <w:pPr>
        <w:jc w:val="both"/>
        <w:ind w:left="548" w:hanging="548"/>
        <w:spacing w:after="0" w:line="280" w:lineRule="auto"/>
        <w:tabs>
          <w:tab w:leader="none" w:pos="539" w:val="left"/>
        </w:tabs>
        <w:numPr>
          <w:ilvl w:val="0"/>
          <w:numId w:val="34"/>
        </w:numPr>
        <w:rPr>
          <w:rFonts w:ascii="Arial" w:cs="Arial" w:eastAsia="Arial" w:hAnsi="Arial"/>
          <w:sz w:val="14"/>
          <w:szCs w:val="14"/>
          <w:color w:val="auto"/>
        </w:rPr>
      </w:pPr>
      <w:r>
        <w:rPr>
          <w:rFonts w:ascii="Arial" w:cs="Arial" w:eastAsia="Arial" w:hAnsi="Arial"/>
          <w:sz w:val="14"/>
          <w:szCs w:val="14"/>
          <w:color w:val="auto"/>
        </w:rPr>
        <w:t>Based solely on the information contained in the Schedule 13G, as amended, jointly filed with the SEC on February 4, 2022 by Wellington Management Group LLP (“WMG”), Wellington Group Holdings LLP (“WGH”), Wellington Investment Advisors Holdings LLP (“WIAH”) and Wellington Management Company LLP (“WMC” and collectively with WMG, WGH and WIAH, the “Wellington Group”), each of WMG, WGH and WIAH is the beneficial owner of 3,506,275 shares with shared voting power over 3,437,625 and shared dispositive power over 3,506,275 shares, and WMC is the beneficial owner of 3,452,464 shares with shared voting power over 3,383,814 and shared dispositive power over 3,452,464 shares. The shares were acquired by the following subsidiaries of WMG, as the parent holding company of certain holding companies and investment advisors: WGH, WIAH, Wellington Management Global Holdings, Ltd., WMC, Wellington Management Canada LLC, Wellington Management Singapore Pte Ltd, Wellington Management Hong Kong Ltd, Wellington Management International Ltd, Wellington Management Japan Pte Ltd, and Wellington Management Australia Pty Ltd. The address for the Wellington Group is c/o Wellington Management Company LLP 280 Congress Street, Boston, MA 02210.</w:t>
      </w:r>
    </w:p>
    <w:p>
      <w:pPr>
        <w:spacing w:after="0" w:line="172" w:lineRule="exact"/>
        <w:rPr>
          <w:rFonts w:ascii="Arial" w:cs="Arial" w:eastAsia="Arial" w:hAnsi="Arial"/>
          <w:sz w:val="14"/>
          <w:szCs w:val="14"/>
          <w:color w:val="auto"/>
        </w:rPr>
      </w:pPr>
    </w:p>
    <w:p>
      <w:pPr>
        <w:jc w:val="both"/>
        <w:ind w:left="548" w:hanging="548"/>
        <w:spacing w:after="0" w:line="270" w:lineRule="auto"/>
        <w:tabs>
          <w:tab w:leader="none" w:pos="539" w:val="left"/>
        </w:tabs>
        <w:numPr>
          <w:ilvl w:val="0"/>
          <w:numId w:val="34"/>
        </w:numPr>
        <w:rPr>
          <w:rFonts w:ascii="Arial" w:cs="Arial" w:eastAsia="Arial" w:hAnsi="Arial"/>
          <w:sz w:val="15"/>
          <w:szCs w:val="15"/>
          <w:color w:val="auto"/>
        </w:rPr>
      </w:pPr>
      <w:r>
        <w:rPr>
          <w:rFonts w:ascii="Arial" w:cs="Arial" w:eastAsia="Arial" w:hAnsi="Arial"/>
          <w:sz w:val="15"/>
          <w:szCs w:val="15"/>
          <w:color w:val="auto"/>
        </w:rPr>
        <w:t>Based solely on the information contained in the Schedule 13G filed, as amended, with the SEC on February 14, 2022 by Conifer Management, L.L.C. (“Conifer”), Conifer may be deemed to be the beneficial owner of 2,000,000 shares with sole voting and sole dispositive power over all of such shares. The address for Conifer is 9 West 57th Street, Suite 5000, New York, New York 10019-2701.</w:t>
      </w:r>
    </w:p>
    <w:p>
      <w:pPr>
        <w:spacing w:after="0" w:line="174" w:lineRule="exact"/>
        <w:rPr>
          <w:rFonts w:ascii="Arial" w:cs="Arial" w:eastAsia="Arial" w:hAnsi="Arial"/>
          <w:sz w:val="15"/>
          <w:szCs w:val="15"/>
          <w:color w:val="auto"/>
        </w:rPr>
      </w:pPr>
    </w:p>
    <w:p>
      <w:pPr>
        <w:jc w:val="both"/>
        <w:ind w:left="548" w:hanging="548"/>
        <w:spacing w:after="0" w:line="261" w:lineRule="auto"/>
        <w:tabs>
          <w:tab w:leader="none" w:pos="539" w:val="left"/>
        </w:tabs>
        <w:numPr>
          <w:ilvl w:val="0"/>
          <w:numId w:val="34"/>
        </w:numPr>
        <w:rPr>
          <w:rFonts w:ascii="Arial" w:cs="Arial" w:eastAsia="Arial" w:hAnsi="Arial"/>
          <w:sz w:val="15"/>
          <w:szCs w:val="15"/>
          <w:color w:val="auto"/>
        </w:rPr>
      </w:pPr>
      <w:r>
        <w:rPr>
          <w:rFonts w:ascii="Arial" w:cs="Arial" w:eastAsia="Arial" w:hAnsi="Arial"/>
          <w:sz w:val="15"/>
          <w:szCs w:val="15"/>
          <w:color w:val="auto"/>
        </w:rPr>
        <w:t>Based solely on the information contained in the Schedule 13G filed with the SEC on February 3, 2022 by BlackRock, Inc. (“BlackRock”), BlackRock is the beneficial owner of 2,550,399 shares with sole voting power over 2,437,594 shares and sole dispositive power over 2,550,399 shares. The shares were acquired by the following subsidiaries of BlackRock: Aperio Group, LLC, BlackRock Advisors, LLC, BlackRock Investment Management (UK) Limited, BlackRock Asset Management Canada Limited, BlackRock Fund Advisors, BlackRock Asset Management Ireland Limited, BlackRock Institutional Trust Company, National Association, BlackRock Financial Management, Inc., BlackRock Fund Managers Ltd, BlackRock Japan Co., Ltd., BlackRock Asset Management Schweiz AG, and BlackRock Investment Management, LLC. The address for BlackRock is 55 East 52nd Street, New York, NY 10055.</w:t>
      </w:r>
    </w:p>
    <w:p>
      <w:pPr>
        <w:spacing w:after="0" w:line="182" w:lineRule="exact"/>
        <w:rPr>
          <w:rFonts w:ascii="Arial" w:cs="Arial" w:eastAsia="Arial" w:hAnsi="Arial"/>
          <w:sz w:val="15"/>
          <w:szCs w:val="15"/>
          <w:color w:val="auto"/>
        </w:rPr>
      </w:pPr>
    </w:p>
    <w:p>
      <w:pPr>
        <w:jc w:val="both"/>
        <w:ind w:left="548" w:hanging="548"/>
        <w:spacing w:after="0" w:line="270" w:lineRule="auto"/>
        <w:tabs>
          <w:tab w:leader="none" w:pos="539" w:val="left"/>
        </w:tabs>
        <w:numPr>
          <w:ilvl w:val="0"/>
          <w:numId w:val="34"/>
        </w:numPr>
        <w:rPr>
          <w:rFonts w:ascii="Arial" w:cs="Arial" w:eastAsia="Arial" w:hAnsi="Arial"/>
          <w:sz w:val="15"/>
          <w:szCs w:val="15"/>
          <w:color w:val="auto"/>
        </w:rPr>
      </w:pPr>
      <w:r>
        <w:rPr>
          <w:rFonts w:ascii="Arial" w:cs="Arial" w:eastAsia="Arial" w:hAnsi="Arial"/>
          <w:sz w:val="15"/>
          <w:szCs w:val="15"/>
          <w:color w:val="auto"/>
        </w:rPr>
        <w:t>Based solely on the information contained in the Schedule 13G filed with the SEC on February 4, 2022 by Wellington Trust Company, NA (“WTC”), WTC is the beneficial owner of 2,187,632 shares with shared voting and shared dispositive power over all such shares. The address for the Wellington Trust Company, NA is c/o Wellington Management Company LLP 280 Congress Street, Boston, MA 02210.</w:t>
      </w:r>
    </w:p>
    <w:p>
      <w:pPr>
        <w:spacing w:after="0" w:line="174" w:lineRule="exact"/>
        <w:rPr>
          <w:rFonts w:ascii="Arial" w:cs="Arial" w:eastAsia="Arial" w:hAnsi="Arial"/>
          <w:sz w:val="15"/>
          <w:szCs w:val="15"/>
          <w:color w:val="auto"/>
        </w:rPr>
      </w:pPr>
    </w:p>
    <w:p>
      <w:pPr>
        <w:jc w:val="both"/>
        <w:ind w:left="548" w:hanging="548"/>
        <w:spacing w:after="0" w:line="270" w:lineRule="auto"/>
        <w:tabs>
          <w:tab w:leader="none" w:pos="539" w:val="left"/>
        </w:tabs>
        <w:numPr>
          <w:ilvl w:val="0"/>
          <w:numId w:val="34"/>
        </w:numPr>
        <w:rPr>
          <w:rFonts w:ascii="Arial" w:cs="Arial" w:eastAsia="Arial" w:hAnsi="Arial"/>
          <w:sz w:val="15"/>
          <w:szCs w:val="15"/>
          <w:color w:val="auto"/>
        </w:rPr>
      </w:pPr>
      <w:r>
        <w:rPr>
          <w:rFonts w:ascii="Arial" w:cs="Arial" w:eastAsia="Arial" w:hAnsi="Arial"/>
          <w:sz w:val="15"/>
          <w:szCs w:val="15"/>
          <w:color w:val="auto"/>
        </w:rPr>
        <w:t>Based solely on the information contained in the Schedule 13G filed with the SEC on February 10, 2022 by The Vanguard Group (“Vanguard”), Vanguard may be deemed to be the beneficial owner of 2,119,575 shares with shared voting power over 60,744 shares, sole dispositive power over 2,033,670 shares and shared dispositive power over 85,905 shares. The address for Vanguard is 100 Vanguard Blvd., Malvern, PA 19355.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78040" cy="400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29" w:right="319" w:bottom="1440" w:gutter="0" w:footer="0" w:header="0"/>
        </w:sectPr>
      </w:pPr>
    </w:p>
    <w:bookmarkStart w:id="89" w:name="page90"/>
    <w:bookmarkEnd w:id="89"/>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36"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b w:val="1"/>
          <w:bCs w:val="1"/>
          <w:color w:val="auto"/>
        </w:rPr>
        <w:t>ITEM 13.</w:t>
        <w:tab/>
        <w:t>CERTAIN RELATIONSHIPS AND RELATED TRANSACTIONS, AND DIRECTOR INDEPENDENCE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Review of Related Party Transactions</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In accordance with the charter for the Audit Committee of the Board of Directors, our Audit Committee reviews and approves in advance any proposed related person transactions.</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For purposes of these procedures, “related person” and “transaction” have the meanings contained in Item 404 of Regulation S-K.</w:t>
      </w:r>
    </w:p>
    <w:p>
      <w:pPr>
        <w:spacing w:after="0" w:line="207" w:lineRule="exact"/>
        <w:rPr>
          <w:sz w:val="20"/>
          <w:szCs w:val="20"/>
          <w:color w:val="auto"/>
        </w:rPr>
      </w:pPr>
    </w:p>
    <w:p>
      <w:pPr>
        <w:jc w:val="both"/>
        <w:ind w:firstLine="275"/>
        <w:spacing w:after="0" w:line="290" w:lineRule="auto"/>
        <w:rPr>
          <w:sz w:val="20"/>
          <w:szCs w:val="20"/>
          <w:color w:val="auto"/>
        </w:rPr>
      </w:pPr>
      <w:r>
        <w:rPr>
          <w:rFonts w:ascii="Arial" w:cs="Arial" w:eastAsia="Arial" w:hAnsi="Arial"/>
          <w:sz w:val="14"/>
          <w:szCs w:val="14"/>
          <w:color w:val="auto"/>
        </w:rPr>
        <w:t>Our Board has also adopted a written related person transaction policy that sets forth the policies and procedures for the review and approval or ratification of related person transactions. In accordance with our Related Person Transactions Policy and Procedures, either the Audit Committee or the affirmative vote of a majority of directors who do not have a direct or indirect material interest in such related party transaction must review and approve all transactions in which (i) the Company or one of its subsidiaries is a participant, (ii) the amount involved exceeds $120,000 and (iii) a related person has a direct or indirect material interest, other than transactions available to all employees of the Company generally.</w:t>
      </w:r>
    </w:p>
    <w:p>
      <w:pPr>
        <w:spacing w:after="0" w:line="162" w:lineRule="exact"/>
        <w:rPr>
          <w:sz w:val="20"/>
          <w:szCs w:val="20"/>
          <w:color w:val="auto"/>
        </w:rPr>
      </w:pPr>
    </w:p>
    <w:p>
      <w:pPr>
        <w:jc w:val="both"/>
        <w:ind w:firstLine="275"/>
        <w:spacing w:after="0" w:line="270" w:lineRule="auto"/>
        <w:rPr>
          <w:sz w:val="20"/>
          <w:szCs w:val="20"/>
          <w:color w:val="auto"/>
        </w:rPr>
      </w:pPr>
      <w:r>
        <w:rPr>
          <w:rFonts w:ascii="Arial" w:cs="Arial" w:eastAsia="Arial" w:hAnsi="Arial"/>
          <w:sz w:val="15"/>
          <w:szCs w:val="15"/>
          <w:color w:val="auto"/>
        </w:rPr>
        <w:t>In assessing a related party transaction brought before it for approval the Audit Committee considers, among other factors it deems appropriate, whether the related party transaction is on terms no less favorable than terms generally available to an unaffiliated third-party under the same or similar circumstances and the extent of the related person’s interest in the transaction. The Audit Committee may then approve or disapprove the transaction in its discretion.</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Related Person Transactions</w:t>
      </w:r>
    </w:p>
    <w:p>
      <w:pPr>
        <w:spacing w:after="0" w:line="222" w:lineRule="exact"/>
        <w:rPr>
          <w:sz w:val="20"/>
          <w:szCs w:val="20"/>
          <w:color w:val="auto"/>
        </w:rPr>
      </w:pPr>
    </w:p>
    <w:p>
      <w:pPr>
        <w:jc w:val="both"/>
        <w:ind w:firstLine="275"/>
        <w:spacing w:after="0" w:line="262" w:lineRule="auto"/>
        <w:rPr>
          <w:sz w:val="20"/>
          <w:szCs w:val="20"/>
          <w:color w:val="auto"/>
        </w:rPr>
      </w:pPr>
      <w:r>
        <w:rPr>
          <w:rFonts w:ascii="Arial" w:cs="Arial" w:eastAsia="Arial" w:hAnsi="Arial"/>
          <w:sz w:val="15"/>
          <w:szCs w:val="15"/>
          <w:color w:val="auto"/>
        </w:rPr>
        <w:t>Since the beginning of the fiscal year ended December 31, 2021, there has not been, nor is there, any currently proposed transaction or series of similar transactions to which the Company was or is to be a party in which the amount involved exceeded or exceeds the lesser of $120,000 and in which any related person had, has or will have a direct or indirect material interest, other than as set forth in the sections captioned “Executive Compensation”, “Director Compensation Table” and “Security Ownership of Certain Beneficial Owners and Management” above, or as disclosed below. In addition, please see the section captioned “Risk Factors” in this Annual Report on Form 10-K for descriptions of risks that may arise as a result of these and other such relationships and related person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Registration Rights</w:t>
      </w:r>
    </w:p>
    <w:p>
      <w:pPr>
        <w:spacing w:after="0" w:line="218" w:lineRule="exact"/>
        <w:rPr>
          <w:sz w:val="20"/>
          <w:szCs w:val="20"/>
          <w:color w:val="auto"/>
        </w:rPr>
      </w:pPr>
    </w:p>
    <w:p>
      <w:pPr>
        <w:jc w:val="both"/>
        <w:ind w:firstLine="275"/>
        <w:spacing w:after="0" w:line="260" w:lineRule="auto"/>
        <w:rPr>
          <w:sz w:val="20"/>
          <w:szCs w:val="20"/>
          <w:color w:val="auto"/>
        </w:rPr>
      </w:pPr>
      <w:r>
        <w:rPr>
          <w:rFonts w:ascii="Arial" w:cs="Arial" w:eastAsia="Arial" w:hAnsi="Arial"/>
          <w:sz w:val="15"/>
          <w:szCs w:val="15"/>
          <w:color w:val="auto"/>
        </w:rPr>
        <w:t>The Company is a party to a Registration Rights Agreement, dated July 26, 2018 as amended on July 29, 2019 (as amended, the “Registration Rights Agreement”), with certain of our stockholders, including entities affiliated with certain of our directors, Messrs. Godfrey, Wender, Rincon, Lisy and Holstein, and two of our executives, Messrs. Lisy, and Nilsen, that provides certain registration rights with respect to the shares of the Company’s common stock. The Registration Rights Agreement provides the stockholders party to the agreement the right to require the Company to effect one or more shelf registrations under the Securities Act, covering all or part of such stockholder’s common stock upon written request to the Company. The Registration Rights Agreement additionally provides piggyback rights to the stockholders party to the Registration Rights Agreement, subject to customary underwriter cutbacks and issuer blackout periods. The Company also agreed to pay certain fees and expenses relating to registrations under the Registration Rights Agreement.</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Shareholders Agreement</w:t>
      </w:r>
    </w:p>
    <w:p>
      <w:pPr>
        <w:spacing w:after="0" w:line="218" w:lineRule="exact"/>
        <w:rPr>
          <w:sz w:val="20"/>
          <w:szCs w:val="20"/>
          <w:color w:val="auto"/>
        </w:rPr>
      </w:pPr>
    </w:p>
    <w:p>
      <w:pPr>
        <w:jc w:val="both"/>
        <w:ind w:firstLine="275"/>
        <w:spacing w:after="0" w:line="277" w:lineRule="auto"/>
        <w:rPr>
          <w:sz w:val="20"/>
          <w:szCs w:val="20"/>
          <w:color w:val="auto"/>
        </w:rPr>
      </w:pPr>
      <w:r>
        <w:rPr>
          <w:rFonts w:ascii="Arial" w:cs="Arial" w:eastAsia="Arial" w:hAnsi="Arial"/>
          <w:sz w:val="14"/>
          <w:szCs w:val="14"/>
          <w:color w:val="auto"/>
        </w:rPr>
        <w:t>The Company is a party to the Shareholders Agreement with certain shareholders, including entities affiliated with three directors, Messrs. Godfrey, Wender and Lisy, and two of our executives, Messrs. Lisy and Nilsen. Pursuant to the Shareholders Agreement, for so long as the Intermex Legacy Stockholders party thereto hold, in the aggregate, at least 10% of the total outstanding shares of the Company’s common stock, SPC Representative will be entitled to designate eight individuals for election to the Company’s Board of Directors of which at least three designees must qualify as an “independent director” under the Exchange Act and Nasdaq rules. Following such times as the collective ownership of such Intermex Legacy Stockholders is less than 10% of the outstanding shares of the Company’s common stock, SPC Representative will be entitled to designate one person for election to the Company’s Board of Directors, which designation right will lapse at such time as the Intermex Legacy Stockholders’ collective ownership is less than 5% of the outstanding shares of the Company’s common stock. Pursuant to the Shareholders Agreement, all of the stockholders party thereto are required to vote their shares of the Company’s common stock subject to the Shareholders Agreement as set forth therein for the director nominees designated thereunder; however, on October 5, 2020, the Company, FinTech Investor Holdings II (“Fintech”) and SPC Representative entered into a Waiver to the Shareholders Agreement, pursuant to which the obligation of each party to the Shareholders Agreement (other than SPC Intermex LP) to vote to elect and/or maintain in office as members of the Company’s board of directors the individuals nominated by SPC Representative was irrevocably and permanently waived. As of December 31, 2021, the Intermex Legacy Stockholders continued to own more than 10% of our outstanding shares of common stock. See “Risk Factors - SPC Intermex LP, an affiliate of Stella Point Capital, has controlled a significant percentage of our common stock, and has had the ability to influence our major corporate decisions. Although SPC Intermex owns significantly fewer shares of our common stock after the Company’s secondary offering in 2020, it remains a significant stockholder the interests of which may conflict with the interests of other holders of our common stock.” of this Annual Report on Form 10-K for additional information.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90" w:name="page91"/>
    <w:bookmarkEnd w:id="90"/>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Independence</w:t>
      </w:r>
    </w:p>
    <w:p>
      <w:pPr>
        <w:spacing w:after="0" w:line="222" w:lineRule="exact"/>
        <w:rPr>
          <w:sz w:val="20"/>
          <w:szCs w:val="20"/>
          <w:color w:val="auto"/>
        </w:rPr>
      </w:pPr>
    </w:p>
    <w:p>
      <w:pPr>
        <w:jc w:val="both"/>
        <w:ind w:firstLine="275"/>
        <w:spacing w:after="0" w:line="280" w:lineRule="auto"/>
        <w:rPr>
          <w:sz w:val="20"/>
          <w:szCs w:val="20"/>
          <w:color w:val="auto"/>
        </w:rPr>
      </w:pPr>
      <w:r>
        <w:rPr>
          <w:rFonts w:ascii="Arial" w:cs="Arial" w:eastAsia="Arial" w:hAnsi="Arial"/>
          <w:sz w:val="14"/>
          <w:szCs w:val="14"/>
          <w:color w:val="auto"/>
        </w:rPr>
        <w:t>Nasdaq listing rules require that a majority of the board of directors of a company listed on Nasdaq be composed of “independent directors,” which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John Rincon, Michael Purcell, Laura Maydón, Debra Bradford and Bernardo Fernández are independent directors under the Nasdaq listing rules and Rule 10A-3 of the Exchange Act. Additionally, the Board determined that Kurt Holstein and Christopher Lofgren were independent during the period in which each served as a director during 2021 and 2022. In making these determinations, our Board of Directors considered the current and prior relationships that each non-employee director had with the Company and all other facts and circumstances our Board of Directors deemed relevant in determining independence, including the beneficial ownership of our common stock by each non-employee director, and the transactions involving them. In addition, the Board of Directors appointed Mr. Purcell as the Lead Independent Director, effective September 2020.</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91" w:name="page92"/>
    <w:bookmarkEnd w:id="91"/>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36"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b w:val="1"/>
          <w:bCs w:val="1"/>
          <w:color w:val="auto"/>
        </w:rPr>
        <w:t>ITEM 14.</w:t>
        <w:tab/>
        <w:t>PRINCIPAL ACCOUNTING FEES AND SERVICES</w:t>
      </w:r>
    </w:p>
    <w:p>
      <w:pPr>
        <w:spacing w:after="0" w:line="199" w:lineRule="exact"/>
        <w:rPr>
          <w:sz w:val="20"/>
          <w:szCs w:val="20"/>
          <w:color w:val="auto"/>
        </w:rPr>
      </w:pPr>
    </w:p>
    <w:p>
      <w:pPr>
        <w:jc w:val="both"/>
        <w:ind w:firstLine="551"/>
        <w:spacing w:after="0" w:line="276" w:lineRule="auto"/>
        <w:rPr>
          <w:sz w:val="20"/>
          <w:szCs w:val="20"/>
          <w:color w:val="auto"/>
        </w:rPr>
      </w:pPr>
      <w:r>
        <w:rPr>
          <w:rFonts w:ascii="Arial" w:cs="Arial" w:eastAsia="Arial" w:hAnsi="Arial"/>
          <w:sz w:val="15"/>
          <w:szCs w:val="15"/>
          <w:color w:val="auto"/>
        </w:rPr>
        <w:t>The following tables present fees for professional audit services rendered by BDO USA, LLP for the audit of the Company’s annual financial statements for the years ended December 31, 2021 and 2020, and fees billed for the other services rendered during those periods.</w:t>
      </w:r>
    </w:p>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201"/>
        </w:trPr>
        <w:tc>
          <w:tcPr>
            <w:tcW w:w="48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2020</w:t>
            </w:r>
          </w:p>
        </w:tc>
      </w:tr>
      <w:tr>
        <w:trPr>
          <w:trHeight w:val="195"/>
        </w:trPr>
        <w:tc>
          <w:tcPr>
            <w:tcW w:w="4880" w:type="dxa"/>
            <w:vAlign w:val="bottom"/>
            <w:shd w:val="clear" w:color="auto" w:fill="CCEEFF"/>
          </w:tcPr>
          <w:p>
            <w:pPr>
              <w:ind w:left="560"/>
              <w:spacing w:after="0"/>
              <w:rPr>
                <w:sz w:val="20"/>
                <w:szCs w:val="20"/>
                <w:color w:val="auto"/>
              </w:rPr>
            </w:pPr>
            <w:r>
              <w:rPr>
                <w:rFonts w:ascii="Arial" w:cs="Arial" w:eastAsia="Arial" w:hAnsi="Arial"/>
                <w:sz w:val="15"/>
                <w:szCs w:val="15"/>
                <w:color w:val="auto"/>
              </w:rPr>
              <w:t>Audit fees (1)</w:t>
            </w:r>
          </w:p>
        </w:tc>
        <w:tc>
          <w:tcPr>
            <w:tcW w:w="8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632,500</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692,932</w:t>
            </w:r>
          </w:p>
        </w:tc>
      </w:tr>
      <w:tr>
        <w:trPr>
          <w:trHeight w:val="195"/>
        </w:trPr>
        <w:tc>
          <w:tcPr>
            <w:tcW w:w="4880" w:type="dxa"/>
            <w:vAlign w:val="bottom"/>
          </w:tcPr>
          <w:p>
            <w:pPr>
              <w:ind w:left="560"/>
              <w:spacing w:after="0"/>
              <w:rPr>
                <w:sz w:val="20"/>
                <w:szCs w:val="20"/>
                <w:color w:val="auto"/>
              </w:rPr>
            </w:pPr>
            <w:r>
              <w:rPr>
                <w:rFonts w:ascii="Arial" w:cs="Arial" w:eastAsia="Arial" w:hAnsi="Arial"/>
                <w:sz w:val="15"/>
                <w:szCs w:val="15"/>
                <w:color w:val="auto"/>
              </w:rPr>
              <w:t>Audit-related fees (2)</w:t>
            </w:r>
          </w:p>
        </w:tc>
        <w:tc>
          <w:tcPr>
            <w:tcW w:w="84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398,735</w:t>
            </w:r>
          </w:p>
        </w:tc>
        <w:tc>
          <w:tcPr>
            <w:tcW w:w="120" w:type="dxa"/>
            <w:vAlign w:val="bottom"/>
          </w:tcPr>
          <w:p>
            <w:pPr>
              <w:spacing w:after="0"/>
              <w:rPr>
                <w:sz w:val="16"/>
                <w:szCs w:val="16"/>
                <w:color w:val="auto"/>
              </w:rPr>
            </w:pPr>
          </w:p>
        </w:tc>
        <w:tc>
          <w:tcPr>
            <w:tcW w:w="8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5"/>
        </w:trPr>
        <w:tc>
          <w:tcPr>
            <w:tcW w:w="4880" w:type="dxa"/>
            <w:vAlign w:val="bottom"/>
            <w:shd w:val="clear" w:color="auto" w:fill="CCEEFF"/>
          </w:tcPr>
          <w:p>
            <w:pPr>
              <w:ind w:left="560"/>
              <w:spacing w:after="0"/>
              <w:rPr>
                <w:sz w:val="20"/>
                <w:szCs w:val="20"/>
                <w:color w:val="auto"/>
              </w:rPr>
            </w:pPr>
            <w:r>
              <w:rPr>
                <w:rFonts w:ascii="Arial" w:cs="Arial" w:eastAsia="Arial" w:hAnsi="Arial"/>
                <w:sz w:val="15"/>
                <w:szCs w:val="15"/>
                <w:color w:val="auto"/>
              </w:rPr>
              <w:t>Tax fees (3)</w:t>
            </w:r>
          </w:p>
        </w:tc>
        <w:tc>
          <w:tcPr>
            <w:tcW w:w="8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5"/>
        </w:trPr>
        <w:tc>
          <w:tcPr>
            <w:tcW w:w="4880" w:type="dxa"/>
            <w:vAlign w:val="bottom"/>
          </w:tcPr>
          <w:p>
            <w:pPr>
              <w:ind w:left="560"/>
              <w:spacing w:after="0"/>
              <w:rPr>
                <w:sz w:val="20"/>
                <w:szCs w:val="20"/>
                <w:color w:val="auto"/>
              </w:rPr>
            </w:pPr>
            <w:r>
              <w:rPr>
                <w:rFonts w:ascii="Arial" w:cs="Arial" w:eastAsia="Arial" w:hAnsi="Arial"/>
                <w:sz w:val="15"/>
                <w:szCs w:val="15"/>
                <w:color w:val="auto"/>
              </w:rPr>
              <w:t>All other fees (4)</w:t>
            </w:r>
          </w:p>
        </w:tc>
        <w:tc>
          <w:tcPr>
            <w:tcW w:w="84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2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Audit Fees</w:t>
      </w:r>
    </w:p>
    <w:p>
      <w:pPr>
        <w:spacing w:after="0" w:line="222"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Audit fees include the aggregate fees for the audit of our annual consolidated financial statements included in our Forms 10-K and the reviews of each of the quarterly consolidated financial statements included in our Forms 10-Q, as well as work generally only the independent registered certified public accountants can reasonably be expected to provide, such as statutory and other audit work performed with respect to certain of our subsidiaries. Such audit fees also include professional services for comfort letters, consents and reviews of documents filed with the Securities and Exchange Commission.</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Audit-Related Fees</w:t>
      </w:r>
    </w:p>
    <w:p>
      <w:pPr>
        <w:spacing w:after="0" w:line="222" w:lineRule="exact"/>
        <w:rPr>
          <w:sz w:val="20"/>
          <w:szCs w:val="20"/>
          <w:color w:val="auto"/>
        </w:rPr>
      </w:pPr>
    </w:p>
    <w:p>
      <w:pPr>
        <w:jc w:val="both"/>
        <w:ind w:right="20" w:firstLine="275"/>
        <w:spacing w:after="0" w:line="270" w:lineRule="auto"/>
        <w:rPr>
          <w:sz w:val="20"/>
          <w:szCs w:val="20"/>
          <w:color w:val="auto"/>
        </w:rPr>
      </w:pPr>
      <w:r>
        <w:rPr>
          <w:rFonts w:ascii="Arial" w:cs="Arial" w:eastAsia="Arial" w:hAnsi="Arial"/>
          <w:sz w:val="15"/>
          <w:szCs w:val="15"/>
          <w:color w:val="auto"/>
        </w:rPr>
        <w:t>Audit-related fees primarily include fees, not included in “Audit Fees” above, for assurance and related services traditionally performed by the independent auditor. These services would include, among others, due diligence related to transactions or events, including acquisitions, and attest services related to financial reporting that are not required by statute or regulation.</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Tax Fees</w:t>
      </w:r>
    </w:p>
    <w:p>
      <w:pPr>
        <w:spacing w:after="0" w:line="222" w:lineRule="exact"/>
        <w:rPr>
          <w:sz w:val="20"/>
          <w:szCs w:val="20"/>
          <w:color w:val="auto"/>
        </w:rPr>
      </w:pPr>
    </w:p>
    <w:p>
      <w:pPr>
        <w:jc w:val="both"/>
        <w:ind w:right="20" w:firstLine="275"/>
        <w:spacing w:after="0" w:line="285" w:lineRule="auto"/>
        <w:rPr>
          <w:sz w:val="20"/>
          <w:szCs w:val="20"/>
          <w:color w:val="auto"/>
        </w:rPr>
      </w:pPr>
      <w:r>
        <w:rPr>
          <w:rFonts w:ascii="Arial" w:cs="Arial" w:eastAsia="Arial" w:hAnsi="Arial"/>
          <w:sz w:val="15"/>
          <w:szCs w:val="15"/>
          <w:color w:val="auto"/>
        </w:rPr>
        <w:t>Tax fees would consist of assistance with tax compliance services, preparation of tax returns, tax planning, and providing tax guidance. No such products and services were provided in the relevant periods.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All Other Fees</w:t>
      </w:r>
    </w:p>
    <w:p>
      <w:pPr>
        <w:spacing w:after="0" w:line="222" w:lineRule="exact"/>
        <w:rPr>
          <w:sz w:val="20"/>
          <w:szCs w:val="20"/>
          <w:color w:val="auto"/>
        </w:rPr>
      </w:pPr>
    </w:p>
    <w:p>
      <w:pPr>
        <w:jc w:val="both"/>
        <w:ind w:right="20" w:firstLine="275"/>
        <w:spacing w:after="0" w:line="285" w:lineRule="auto"/>
        <w:rPr>
          <w:sz w:val="20"/>
          <w:szCs w:val="20"/>
          <w:color w:val="auto"/>
        </w:rPr>
      </w:pPr>
      <w:r>
        <w:rPr>
          <w:rFonts w:ascii="Arial" w:cs="Arial" w:eastAsia="Arial" w:hAnsi="Arial"/>
          <w:sz w:val="15"/>
          <w:szCs w:val="15"/>
          <w:color w:val="auto"/>
        </w:rPr>
        <w:t>All other fees would consist of the aggregate fees billed for products and services other than the services described under audit fees, audit-related fees and tax fees. No such products and services were provided in the relevant periods.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Pre-Approval Policies and Procedures</w:t>
      </w:r>
    </w:p>
    <w:p>
      <w:pPr>
        <w:spacing w:after="0" w:line="222" w:lineRule="exact"/>
        <w:rPr>
          <w:sz w:val="20"/>
          <w:szCs w:val="20"/>
          <w:color w:val="auto"/>
        </w:rPr>
      </w:pPr>
    </w:p>
    <w:p>
      <w:pPr>
        <w:jc w:val="both"/>
        <w:ind w:firstLine="275"/>
        <w:spacing w:after="0" w:line="306" w:lineRule="auto"/>
        <w:rPr>
          <w:sz w:val="20"/>
          <w:szCs w:val="20"/>
          <w:color w:val="auto"/>
        </w:rPr>
      </w:pPr>
      <w:r>
        <w:rPr>
          <w:rFonts w:ascii="Arial" w:cs="Arial" w:eastAsia="Arial" w:hAnsi="Arial"/>
          <w:sz w:val="13"/>
          <w:szCs w:val="13"/>
          <w:color w:val="auto"/>
        </w:rPr>
        <w:t>All of the fees described above were approved by the Audit Committee. The Audit Committee is responsible for overseeing the audit fee negotiations associated with the retention of BDO USA LLP to perform the audit of our annual consolidated financial statements. The Audit Committee has adopted a pre-approval policy under which the Audit Committee approves in advance all audit and non-audit services to be performed by our independent auditors. As part of its pre-approval policy, the Audit Committee considers whether the provision of any proposed non-audit services is consistent with the SEC’s rules on auditor independence. If there are any additional services to be provided, a request for pre-approval must be submitted by management to the Audit Committee for its consideration under the policy. Finally, in accordance with the pre-approval policy, the Audit Committee has delegated pre-approval authority to each of its members. Any member who exercises this authority must report any pre-approval decisions to the Audit Committee at its next meeting.</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92" w:name="page93"/>
    <w:bookmarkEnd w:id="92"/>
    <w:p>
      <w:pPr>
        <w:spacing w:after="0" w:line="125" w:lineRule="exact"/>
        <w:rPr>
          <w:sz w:val="20"/>
          <w:szCs w:val="20"/>
          <w:color w:val="auto"/>
        </w:rPr>
      </w:pPr>
    </w:p>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IV</w:t>
      </w:r>
    </w:p>
    <w:p>
      <w:pPr>
        <w:spacing w:after="0" w:line="103"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b w:val="1"/>
          <w:bCs w:val="1"/>
          <w:color w:val="auto"/>
        </w:rPr>
        <w:t>ITEM 15.</w:t>
        <w:tab/>
        <w:t>EXHIBITS, FINANCIAL STATEMENT SCHEDULES</w:t>
      </w:r>
    </w:p>
    <w:p>
      <w:pPr>
        <w:spacing w:after="0" w:line="199" w:lineRule="exact"/>
        <w:rPr>
          <w:sz w:val="20"/>
          <w:szCs w:val="20"/>
          <w:color w:val="auto"/>
        </w:rPr>
      </w:pPr>
    </w:p>
    <w:p>
      <w:pPr>
        <w:ind w:left="540" w:hanging="273"/>
        <w:spacing w:after="0"/>
        <w:tabs>
          <w:tab w:leader="none" w:pos="5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following documents are filed as part of this report:</w:t>
      </w:r>
    </w:p>
    <w:p>
      <w:pPr>
        <w:spacing w:after="0" w:line="194" w:lineRule="exact"/>
        <w:rPr>
          <w:rFonts w:ascii="Arial" w:cs="Arial" w:eastAsia="Arial" w:hAnsi="Arial"/>
          <w:sz w:val="15"/>
          <w:szCs w:val="15"/>
          <w:color w:val="auto"/>
        </w:rPr>
      </w:pPr>
    </w:p>
    <w:p>
      <w:pPr>
        <w:ind w:left="820" w:hanging="278"/>
        <w:spacing w:after="0"/>
        <w:tabs>
          <w:tab w:leader="none" w:pos="820" w:val="left"/>
        </w:tabs>
        <w:numPr>
          <w:ilvl w:val="1"/>
          <w:numId w:val="35"/>
        </w:numPr>
        <w:rPr>
          <w:rFonts w:ascii="Arial" w:cs="Arial" w:eastAsia="Arial" w:hAnsi="Arial"/>
          <w:sz w:val="14"/>
          <w:szCs w:val="14"/>
          <w:color w:val="auto"/>
        </w:rPr>
      </w:pPr>
      <w:r>
        <w:rPr>
          <w:rFonts w:ascii="Arial" w:cs="Arial" w:eastAsia="Arial" w:hAnsi="Arial"/>
          <w:sz w:val="14"/>
          <w:szCs w:val="14"/>
          <w:color w:val="auto"/>
        </w:rPr>
        <w:t xml:space="preserve">Financial Statements (See Index to Consolidated Financial Statements in Item 8, </w:t>
      </w:r>
      <w:r>
        <w:rPr>
          <w:rFonts w:ascii="Arial" w:cs="Arial" w:eastAsia="Arial" w:hAnsi="Arial"/>
          <w:sz w:val="14"/>
          <w:szCs w:val="14"/>
          <w:i w:val="1"/>
          <w:iCs w:val="1"/>
          <w:color w:val="auto"/>
        </w:rPr>
        <w:t>Financial Statements and Supplementary Data</w:t>
      </w:r>
      <w:r>
        <w:rPr>
          <w:rFonts w:ascii="Arial" w:cs="Arial" w:eastAsia="Arial" w:hAnsi="Arial"/>
          <w:sz w:val="14"/>
          <w:szCs w:val="14"/>
          <w:color w:val="auto"/>
        </w:rPr>
        <w:t>, of this Annual Report on Form 10-K);</w:t>
      </w:r>
    </w:p>
    <w:p>
      <w:pPr>
        <w:spacing w:after="0" w:line="206" w:lineRule="exact"/>
        <w:rPr>
          <w:rFonts w:ascii="Arial" w:cs="Arial" w:eastAsia="Arial" w:hAnsi="Arial"/>
          <w:sz w:val="14"/>
          <w:szCs w:val="14"/>
          <w:color w:val="auto"/>
        </w:rPr>
      </w:pPr>
    </w:p>
    <w:p>
      <w:pPr>
        <w:ind w:left="820" w:hanging="278"/>
        <w:spacing w:after="0" w:line="285" w:lineRule="auto"/>
        <w:tabs>
          <w:tab w:leader="none" w:pos="820" w:val="left"/>
        </w:tabs>
        <w:numPr>
          <w:ilvl w:val="1"/>
          <w:numId w:val="35"/>
        </w:numPr>
        <w:rPr>
          <w:rFonts w:ascii="Arial" w:cs="Arial" w:eastAsia="Arial" w:hAnsi="Arial"/>
          <w:sz w:val="15"/>
          <w:szCs w:val="15"/>
          <w:color w:val="auto"/>
        </w:rPr>
      </w:pPr>
      <w:r>
        <w:rPr>
          <w:rFonts w:ascii="Arial" w:cs="Arial" w:eastAsia="Arial" w:hAnsi="Arial"/>
          <w:sz w:val="15"/>
          <w:szCs w:val="15"/>
          <w:color w:val="auto"/>
        </w:rPr>
        <w:t xml:space="preserve">Financial Statement Schedule (See Index to Consolidated Financial Statements in Item 8, </w:t>
      </w:r>
      <w:r>
        <w:rPr>
          <w:rFonts w:ascii="Arial" w:cs="Arial" w:eastAsia="Arial" w:hAnsi="Arial"/>
          <w:sz w:val="15"/>
          <w:szCs w:val="15"/>
          <w:i w:val="1"/>
          <w:iCs w:val="1"/>
          <w:color w:val="auto"/>
        </w:rPr>
        <w:t>Financial Statements and Supplementary Data</w:t>
      </w:r>
      <w:r>
        <w:rPr>
          <w:rFonts w:ascii="Arial" w:cs="Arial" w:eastAsia="Arial" w:hAnsi="Arial"/>
          <w:sz w:val="15"/>
          <w:szCs w:val="15"/>
          <w:color w:val="auto"/>
        </w:rPr>
        <w:t>, of this Annual Report on Form 10-K);</w:t>
      </w:r>
    </w:p>
    <w:p>
      <w:pPr>
        <w:spacing w:after="0" w:line="140" w:lineRule="exact"/>
        <w:rPr>
          <w:rFonts w:ascii="Arial" w:cs="Arial" w:eastAsia="Arial" w:hAnsi="Arial"/>
          <w:sz w:val="15"/>
          <w:szCs w:val="15"/>
          <w:color w:val="auto"/>
        </w:rPr>
      </w:pPr>
    </w:p>
    <w:p>
      <w:pPr>
        <w:ind w:left="820" w:hanging="278"/>
        <w:spacing w:after="0"/>
        <w:tabs>
          <w:tab w:leader="none" w:pos="820" w:val="left"/>
        </w:tabs>
        <w:numPr>
          <w:ilvl w:val="1"/>
          <w:numId w:val="35"/>
        </w:numPr>
        <w:rPr>
          <w:rFonts w:ascii="Arial" w:cs="Arial" w:eastAsia="Arial" w:hAnsi="Arial"/>
          <w:sz w:val="15"/>
          <w:szCs w:val="15"/>
          <w:color w:val="auto"/>
        </w:rPr>
      </w:pPr>
      <w:r>
        <w:rPr>
          <w:rFonts w:ascii="Arial" w:cs="Arial" w:eastAsia="Arial" w:hAnsi="Arial"/>
          <w:sz w:val="15"/>
          <w:szCs w:val="15"/>
          <w:color w:val="auto"/>
        </w:rPr>
        <w:t>The exhibits listed in the "Exhibit Index" attached to this Annual Report on Form 10-K.</w:t>
      </w:r>
    </w:p>
    <w:p>
      <w:pPr>
        <w:spacing w:after="0" w:line="191" w:lineRule="exact"/>
        <w:rPr>
          <w:sz w:val="20"/>
          <w:szCs w:val="20"/>
          <w:color w:val="auto"/>
        </w:rPr>
      </w:pPr>
    </w:p>
    <w:tbl>
      <w:tblPr>
        <w:tblLayout w:type="fixed"/>
        <w:tblInd w:w="540" w:type="dxa"/>
        <w:tblCellMar>
          <w:top w:w="0" w:type="dxa"/>
          <w:left w:w="0" w:type="dxa"/>
          <w:bottom w:w="0" w:type="dxa"/>
          <w:right w:w="0" w:type="dxa"/>
        </w:tblCellMar>
      </w:tblPr>
      <w:tr>
        <w:trPr>
          <w:trHeight w:val="198"/>
        </w:trPr>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80" w:type="dxa"/>
            <w:vAlign w:val="bottom"/>
          </w:tcPr>
          <w:p>
            <w:pPr>
              <w:ind w:left="3320"/>
              <w:spacing w:after="0"/>
              <w:rPr>
                <w:sz w:val="20"/>
                <w:szCs w:val="20"/>
                <w:color w:val="auto"/>
              </w:rPr>
            </w:pPr>
            <w:r>
              <w:rPr>
                <w:rFonts w:ascii="Arial" w:cs="Arial" w:eastAsia="Arial" w:hAnsi="Arial"/>
                <w:sz w:val="15"/>
                <w:szCs w:val="15"/>
                <w:b w:val="1"/>
                <w:bCs w:val="1"/>
                <w:color w:val="auto"/>
              </w:rPr>
              <w:t>EXHIBIT INDEX</w:t>
            </w:r>
          </w:p>
        </w:tc>
      </w:tr>
      <w:tr>
        <w:trPr>
          <w:trHeight w:val="378"/>
        </w:trPr>
        <w:tc>
          <w:tcPr>
            <w:tcW w:w="1180" w:type="dxa"/>
            <w:vAlign w:val="bottom"/>
            <w:gridSpan w:val="6"/>
          </w:tcPr>
          <w:p>
            <w:pPr>
              <w:ind w:left="560"/>
              <w:spacing w:after="0"/>
              <w:rPr>
                <w:sz w:val="20"/>
                <w:szCs w:val="20"/>
                <w:color w:val="auto"/>
              </w:rPr>
            </w:pPr>
            <w:r>
              <w:rPr>
                <w:rFonts w:ascii="Arial" w:cs="Arial" w:eastAsia="Arial" w:hAnsi="Arial"/>
                <w:sz w:val="15"/>
                <w:szCs w:val="15"/>
                <w:b w:val="1"/>
                <w:bCs w:val="1"/>
                <w:color w:val="auto"/>
              </w:rPr>
              <w:t>Exhibit</w:t>
            </w:r>
          </w:p>
        </w:tc>
        <w:tc>
          <w:tcPr>
            <w:tcW w:w="8780" w:type="dxa"/>
            <w:vAlign w:val="bottom"/>
          </w:tcPr>
          <w:p>
            <w:pPr>
              <w:ind w:left="560"/>
              <w:spacing w:after="0"/>
              <w:rPr>
                <w:sz w:val="20"/>
                <w:szCs w:val="20"/>
                <w:color w:val="auto"/>
              </w:rPr>
            </w:pPr>
            <w:r>
              <w:rPr>
                <w:rFonts w:ascii="Arial" w:cs="Arial" w:eastAsia="Arial" w:hAnsi="Arial"/>
                <w:sz w:val="15"/>
                <w:szCs w:val="15"/>
                <w:b w:val="1"/>
                <w:bCs w:val="1"/>
                <w:color w:val="auto"/>
              </w:rPr>
              <w:t>Document</w:t>
            </w:r>
          </w:p>
        </w:tc>
      </w:tr>
      <w:tr>
        <w:trPr>
          <w:trHeight w:val="198"/>
        </w:trPr>
        <w:tc>
          <w:tcPr>
            <w:tcW w:w="1180" w:type="dxa"/>
            <w:vAlign w:val="bottom"/>
            <w:gridSpan w:val="6"/>
          </w:tcPr>
          <w:p>
            <w:pPr>
              <w:ind w:left="20"/>
              <w:spacing w:after="0"/>
              <w:rPr>
                <w:sz w:val="20"/>
                <w:szCs w:val="20"/>
                <w:color w:val="auto"/>
              </w:rPr>
            </w:pPr>
            <w:r>
              <w:rPr>
                <w:rFonts w:ascii="Arial" w:cs="Arial" w:eastAsia="Arial" w:hAnsi="Arial"/>
                <w:sz w:val="15"/>
                <w:szCs w:val="15"/>
                <w:b w:val="1"/>
                <w:bCs w:val="1"/>
                <w:color w:val="auto"/>
              </w:rPr>
              <w:t>No.</w:t>
            </w:r>
          </w:p>
        </w:tc>
        <w:tc>
          <w:tcPr>
            <w:tcW w:w="8780" w:type="dxa"/>
            <w:vAlign w:val="bottom"/>
          </w:tcPr>
          <w:p>
            <w:pPr>
              <w:spacing w:after="0"/>
              <w:rPr>
                <w:sz w:val="17"/>
                <w:szCs w:val="17"/>
                <w:color w:val="auto"/>
              </w:rPr>
            </w:pPr>
          </w:p>
        </w:tc>
      </w:tr>
      <w:tr>
        <w:trPr>
          <w:trHeight w:val="43"/>
        </w:trPr>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161"/>
        </w:trPr>
        <w:tc>
          <w:tcPr>
            <w:tcW w:w="1000" w:type="dxa"/>
            <w:vAlign w:val="bottom"/>
            <w:gridSpan w:val="4"/>
            <w:shd w:val="clear" w:color="auto" w:fill="CCEEFF"/>
          </w:tcPr>
          <w:p>
            <w:pPr>
              <w:ind w:left="560"/>
              <w:spacing w:after="0" w:line="161" w:lineRule="exact"/>
              <w:rPr>
                <w:rFonts w:ascii="Arial" w:cs="Arial" w:eastAsia="Arial" w:hAnsi="Arial"/>
                <w:sz w:val="15"/>
                <w:szCs w:val="15"/>
                <w:color w:val="0000FF"/>
              </w:rPr>
            </w:pPr>
            <w:hyperlink r:id="rId127">
              <w:r>
                <w:rPr>
                  <w:rFonts w:ascii="Arial" w:cs="Arial" w:eastAsia="Arial" w:hAnsi="Arial"/>
                  <w:sz w:val="15"/>
                  <w:szCs w:val="15"/>
                  <w:color w:val="0000FF"/>
                </w:rPr>
                <w:t>3.</w:t>
              </w:r>
              <w:r>
                <w:rPr>
                  <w:rFonts w:ascii="Arial" w:cs="Arial" w:eastAsia="Arial" w:hAnsi="Arial"/>
                  <w:sz w:val="15"/>
                  <w:szCs w:val="15"/>
                  <w:u w:val="single" w:color="auto"/>
                  <w:color w:val="0000FF"/>
                </w:rPr>
                <w:t>1</w:t>
              </w:r>
            </w:hyperlink>
            <w:r>
              <w:rPr>
                <w:rFonts w:ascii="Arial" w:cs="Arial" w:eastAsia="Arial" w:hAnsi="Arial"/>
                <w:sz w:val="15"/>
                <w:szCs w:val="15"/>
                <w:color w:val="000000"/>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780" w:type="dxa"/>
            <w:vAlign w:val="bottom"/>
            <w:shd w:val="clear" w:color="auto" w:fill="CCEEFF"/>
          </w:tcPr>
          <w:p>
            <w:pPr>
              <w:ind w:left="560"/>
              <w:spacing w:after="0" w:line="161" w:lineRule="exact"/>
              <w:rPr>
                <w:sz w:val="20"/>
                <w:szCs w:val="20"/>
                <w:color w:val="auto"/>
              </w:rPr>
            </w:pPr>
            <w:r>
              <w:rPr>
                <w:rFonts w:ascii="Arial" w:cs="Arial" w:eastAsia="Arial" w:hAnsi="Arial"/>
                <w:sz w:val="15"/>
                <w:szCs w:val="15"/>
                <w:color w:val="auto"/>
                <w:w w:val="97"/>
              </w:rPr>
              <w:t>Second Amended and Restated Certificate of Incorporation of the Company, dated July 26, 2018 (incorporated by reference to</w:t>
            </w:r>
          </w:p>
        </w:tc>
      </w:tr>
      <w:tr>
        <w:trPr>
          <w:trHeight w:val="164"/>
        </w:trPr>
        <w:tc>
          <w:tcPr>
            <w:tcW w:w="5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780" w:type="dxa"/>
            <w:vAlign w:val="bottom"/>
            <w:tcBorders>
              <w:top w:val="single" w:sz="8" w:color="CCEEFF"/>
            </w:tcBorders>
            <w:shd w:val="clear" w:color="auto" w:fill="CCEEFF"/>
          </w:tcPr>
          <w:p>
            <w:pPr>
              <w:ind w:left="20"/>
              <w:spacing w:after="0" w:line="164" w:lineRule="exact"/>
              <w:rPr>
                <w:sz w:val="20"/>
                <w:szCs w:val="20"/>
                <w:color w:val="auto"/>
              </w:rPr>
            </w:pPr>
            <w:r>
              <w:rPr>
                <w:rFonts w:ascii="Arial" w:cs="Arial" w:eastAsia="Arial" w:hAnsi="Arial"/>
                <w:sz w:val="15"/>
                <w:szCs w:val="15"/>
                <w:color w:val="auto"/>
              </w:rPr>
              <w:t>Exhibit 3.1 to the Registrant’s Registration Statement on Form S-1 filed on September 28, 2018 (File No. 333-226948)).</w:t>
            </w:r>
          </w:p>
        </w:tc>
      </w:tr>
      <w:tr>
        <w:trPr>
          <w:trHeight w:val="46"/>
        </w:trPr>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161"/>
        </w:trPr>
        <w:tc>
          <w:tcPr>
            <w:tcW w:w="1000" w:type="dxa"/>
            <w:vAlign w:val="bottom"/>
            <w:gridSpan w:val="4"/>
            <w:shd w:val="clear" w:color="auto" w:fill="CCEEFF"/>
          </w:tcPr>
          <w:p>
            <w:pPr>
              <w:ind w:left="560"/>
              <w:spacing w:after="0" w:line="161" w:lineRule="exact"/>
              <w:rPr>
                <w:rFonts w:ascii="Arial" w:cs="Arial" w:eastAsia="Arial" w:hAnsi="Arial"/>
                <w:sz w:val="15"/>
                <w:szCs w:val="15"/>
                <w:color w:val="0000FF"/>
              </w:rPr>
            </w:pPr>
            <w:hyperlink r:id="rId128">
              <w:r>
                <w:rPr>
                  <w:rFonts w:ascii="Arial" w:cs="Arial" w:eastAsia="Arial" w:hAnsi="Arial"/>
                  <w:sz w:val="15"/>
                  <w:szCs w:val="15"/>
                  <w:color w:val="0000FF"/>
                </w:rPr>
                <w:t>3.</w:t>
              </w:r>
              <w:r>
                <w:rPr>
                  <w:rFonts w:ascii="Arial" w:cs="Arial" w:eastAsia="Arial" w:hAnsi="Arial"/>
                  <w:sz w:val="15"/>
                  <w:szCs w:val="15"/>
                  <w:u w:val="single" w:color="auto"/>
                  <w:color w:val="0000FF"/>
                </w:rPr>
                <w:t>2</w:t>
              </w:r>
            </w:hyperlink>
            <w:r>
              <w:rPr>
                <w:rFonts w:ascii="Arial" w:cs="Arial" w:eastAsia="Arial" w:hAnsi="Arial"/>
                <w:sz w:val="15"/>
                <w:szCs w:val="15"/>
                <w:color w:val="000000"/>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780" w:type="dxa"/>
            <w:vAlign w:val="bottom"/>
            <w:shd w:val="clear" w:color="auto" w:fill="CCEEFF"/>
          </w:tcPr>
          <w:p>
            <w:pPr>
              <w:ind w:left="560"/>
              <w:spacing w:after="0" w:line="161" w:lineRule="exact"/>
              <w:rPr>
                <w:sz w:val="20"/>
                <w:szCs w:val="20"/>
                <w:color w:val="auto"/>
              </w:rPr>
            </w:pPr>
            <w:r>
              <w:rPr>
                <w:rFonts w:ascii="Arial" w:cs="Arial" w:eastAsia="Arial" w:hAnsi="Arial"/>
                <w:sz w:val="15"/>
                <w:szCs w:val="15"/>
                <w:color w:val="auto"/>
                <w:w w:val="93"/>
              </w:rPr>
              <w:t>Second Amended and Restated Bylaws of the Company, effective as of July 26, 2018 (incorporated by reference to Exhibit 3.2 to the</w:t>
            </w:r>
          </w:p>
        </w:tc>
      </w:tr>
      <w:tr>
        <w:trPr>
          <w:trHeight w:val="164"/>
        </w:trPr>
        <w:tc>
          <w:tcPr>
            <w:tcW w:w="5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780" w:type="dxa"/>
            <w:vAlign w:val="bottom"/>
            <w:tcBorders>
              <w:top w:val="single" w:sz="8" w:color="CCEEFF"/>
            </w:tcBorders>
            <w:shd w:val="clear" w:color="auto" w:fill="CCEEFF"/>
          </w:tcPr>
          <w:p>
            <w:pPr>
              <w:ind w:left="20"/>
              <w:spacing w:after="0" w:line="164" w:lineRule="exact"/>
              <w:rPr>
                <w:sz w:val="20"/>
                <w:szCs w:val="20"/>
                <w:color w:val="auto"/>
              </w:rPr>
            </w:pPr>
            <w:r>
              <w:rPr>
                <w:rFonts w:ascii="Arial" w:cs="Arial" w:eastAsia="Arial" w:hAnsi="Arial"/>
                <w:sz w:val="15"/>
                <w:szCs w:val="15"/>
                <w:color w:val="auto"/>
              </w:rPr>
              <w:t>Registrant’s Registration Statement on Form S-1 filed on September 28, 2018 (File No. 333-226948)).</w:t>
            </w:r>
          </w:p>
        </w:tc>
      </w:tr>
      <w:tr>
        <w:trPr>
          <w:trHeight w:val="46"/>
        </w:trPr>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161"/>
        </w:trPr>
        <w:tc>
          <w:tcPr>
            <w:tcW w:w="1000" w:type="dxa"/>
            <w:vAlign w:val="bottom"/>
            <w:gridSpan w:val="4"/>
            <w:shd w:val="clear" w:color="auto" w:fill="CCEEFF"/>
          </w:tcPr>
          <w:p>
            <w:pPr>
              <w:ind w:left="560"/>
              <w:spacing w:after="0" w:line="161" w:lineRule="exact"/>
              <w:rPr>
                <w:rFonts w:ascii="Arial" w:cs="Arial" w:eastAsia="Arial" w:hAnsi="Arial"/>
                <w:sz w:val="15"/>
                <w:szCs w:val="15"/>
                <w:color w:val="0000FF"/>
              </w:rPr>
            </w:pPr>
            <w:hyperlink r:id="rId129">
              <w:r>
                <w:rPr>
                  <w:rFonts w:ascii="Arial" w:cs="Arial" w:eastAsia="Arial" w:hAnsi="Arial"/>
                  <w:sz w:val="15"/>
                  <w:szCs w:val="15"/>
                  <w:color w:val="0000FF"/>
                </w:rPr>
                <w:t>4.</w:t>
              </w:r>
              <w:r>
                <w:rPr>
                  <w:rFonts w:ascii="Arial" w:cs="Arial" w:eastAsia="Arial" w:hAnsi="Arial"/>
                  <w:sz w:val="15"/>
                  <w:szCs w:val="15"/>
                  <w:u w:val="single" w:color="auto"/>
                  <w:color w:val="0000FF"/>
                </w:rPr>
                <w:t>1</w:t>
              </w:r>
            </w:hyperlink>
            <w:r>
              <w:rPr>
                <w:rFonts w:ascii="Arial" w:cs="Arial" w:eastAsia="Arial" w:hAnsi="Arial"/>
                <w:sz w:val="15"/>
                <w:szCs w:val="15"/>
                <w:color w:val="000000"/>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780" w:type="dxa"/>
            <w:vAlign w:val="bottom"/>
            <w:shd w:val="clear" w:color="auto" w:fill="CCEEFF"/>
          </w:tcPr>
          <w:p>
            <w:pPr>
              <w:ind w:left="560"/>
              <w:spacing w:after="0" w:line="161" w:lineRule="exact"/>
              <w:rPr>
                <w:sz w:val="20"/>
                <w:szCs w:val="20"/>
                <w:color w:val="auto"/>
              </w:rPr>
            </w:pPr>
            <w:r>
              <w:rPr>
                <w:rFonts w:ascii="Arial" w:cs="Arial" w:eastAsia="Arial" w:hAnsi="Arial"/>
                <w:sz w:val="15"/>
                <w:szCs w:val="15"/>
                <w:color w:val="auto"/>
                <w:w w:val="93"/>
              </w:rPr>
              <w:t>Warrant Agreement, dated January 19, 2017, between Continental Stock Transfer &amp; Trust Company and the Company (incorporated</w:t>
            </w:r>
          </w:p>
        </w:tc>
      </w:tr>
      <w:tr>
        <w:trPr>
          <w:trHeight w:val="164"/>
        </w:trPr>
        <w:tc>
          <w:tcPr>
            <w:tcW w:w="5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780" w:type="dxa"/>
            <w:vAlign w:val="bottom"/>
            <w:tcBorders>
              <w:top w:val="single" w:sz="8" w:color="CCEEFF"/>
            </w:tcBorders>
            <w:shd w:val="clear" w:color="auto" w:fill="CCEEFF"/>
          </w:tcPr>
          <w:p>
            <w:pPr>
              <w:ind w:left="20"/>
              <w:spacing w:after="0" w:line="164" w:lineRule="exact"/>
              <w:rPr>
                <w:sz w:val="20"/>
                <w:szCs w:val="20"/>
                <w:color w:val="auto"/>
              </w:rPr>
            </w:pPr>
            <w:r>
              <w:rPr>
                <w:rFonts w:ascii="Arial" w:cs="Arial" w:eastAsia="Arial" w:hAnsi="Arial"/>
                <w:sz w:val="15"/>
                <w:szCs w:val="15"/>
                <w:color w:val="auto"/>
                <w:w w:val="97"/>
              </w:rPr>
              <w:t>by reference to Exhibit 4.2 to the Registrant’s Registration Statement on Form S-1 filed on September 28, 2018 (File No. 333-226948)).</w:t>
            </w:r>
          </w:p>
        </w:tc>
      </w:tr>
      <w:tr>
        <w:trPr>
          <w:trHeight w:val="46"/>
        </w:trPr>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161"/>
        </w:trPr>
        <w:tc>
          <w:tcPr>
            <w:tcW w:w="1000" w:type="dxa"/>
            <w:vAlign w:val="bottom"/>
            <w:gridSpan w:val="4"/>
            <w:shd w:val="clear" w:color="auto" w:fill="CCEEFF"/>
          </w:tcPr>
          <w:p>
            <w:pPr>
              <w:ind w:left="560"/>
              <w:spacing w:after="0" w:line="141" w:lineRule="exact"/>
              <w:rPr>
                <w:rFonts w:ascii="Arial" w:cs="Arial" w:eastAsia="Arial" w:hAnsi="Arial"/>
                <w:sz w:val="15"/>
                <w:szCs w:val="15"/>
                <w:color w:val="0000FF"/>
              </w:rPr>
            </w:pPr>
            <w:hyperlink r:id="rId130">
              <w:r>
                <w:rPr>
                  <w:rFonts w:ascii="Arial" w:cs="Arial" w:eastAsia="Arial" w:hAnsi="Arial"/>
                  <w:sz w:val="15"/>
                  <w:szCs w:val="15"/>
                  <w:color w:val="0000FF"/>
                </w:rPr>
                <w:t>4.</w:t>
              </w:r>
              <w:r>
                <w:rPr>
                  <w:rFonts w:ascii="Arial" w:cs="Arial" w:eastAsia="Arial" w:hAnsi="Arial"/>
                  <w:sz w:val="15"/>
                  <w:szCs w:val="15"/>
                  <w:u w:val="single" w:color="auto"/>
                  <w:color w:val="0000FF"/>
                </w:rPr>
                <w:t>2</w:t>
              </w:r>
            </w:hyperlink>
            <w:r>
              <w:rPr>
                <w:rFonts w:ascii="Arial" w:cs="Arial" w:eastAsia="Arial" w:hAnsi="Arial"/>
                <w:sz w:val="15"/>
                <w:szCs w:val="15"/>
                <w:color w:val="000000"/>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780" w:type="dxa"/>
            <w:vAlign w:val="bottom"/>
            <w:shd w:val="clear" w:color="auto" w:fill="CCEEFF"/>
          </w:tcPr>
          <w:p>
            <w:pPr>
              <w:ind w:left="560"/>
              <w:spacing w:after="0" w:line="141" w:lineRule="exact"/>
              <w:rPr>
                <w:sz w:val="20"/>
                <w:szCs w:val="20"/>
                <w:color w:val="auto"/>
              </w:rPr>
            </w:pPr>
            <w:r>
              <w:rPr>
                <w:rFonts w:ascii="Arial" w:cs="Arial" w:eastAsia="Arial" w:hAnsi="Arial"/>
                <w:sz w:val="15"/>
                <w:szCs w:val="15"/>
                <w:color w:val="auto"/>
                <w:w w:val="94"/>
              </w:rPr>
              <w:t>Amendment No. 1 to Warrant Agreement, dated April 29, 2019, by and between International Money Express, Inc. and Continental</w:t>
            </w:r>
          </w:p>
        </w:tc>
      </w:tr>
      <w:tr>
        <w:trPr>
          <w:trHeight w:val="176"/>
        </w:trPr>
        <w:tc>
          <w:tcPr>
            <w:tcW w:w="5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3"/>
              </w:rPr>
              <w:t>Stock Transfer &amp; Trust Company (incorporated by reference to Exhibit 10.1 to the Registrant’s Current Report on Form 8-K Filed on April 30,</w:t>
            </w:r>
          </w:p>
        </w:tc>
      </w:tr>
      <w:tr>
        <w:trPr>
          <w:trHeight w:val="206"/>
        </w:trPr>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2019).</w:t>
            </w:r>
          </w:p>
        </w:tc>
      </w:tr>
      <w:tr>
        <w:trPr>
          <w:trHeight w:val="46"/>
        </w:trPr>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161"/>
        </w:trPr>
        <w:tc>
          <w:tcPr>
            <w:tcW w:w="1000" w:type="dxa"/>
            <w:vAlign w:val="bottom"/>
            <w:gridSpan w:val="4"/>
            <w:shd w:val="clear" w:color="auto" w:fill="CCEEFF"/>
          </w:tcPr>
          <w:p>
            <w:pPr>
              <w:ind w:left="560"/>
              <w:spacing w:after="0" w:line="161" w:lineRule="exact"/>
              <w:rPr>
                <w:rFonts w:ascii="Arial" w:cs="Arial" w:eastAsia="Arial" w:hAnsi="Arial"/>
                <w:sz w:val="15"/>
                <w:szCs w:val="15"/>
                <w:color w:val="0000FF"/>
              </w:rPr>
            </w:pPr>
            <w:hyperlink r:id="rId131">
              <w:r>
                <w:rPr>
                  <w:rFonts w:ascii="Arial" w:cs="Arial" w:eastAsia="Arial" w:hAnsi="Arial"/>
                  <w:sz w:val="15"/>
                  <w:szCs w:val="15"/>
                  <w:color w:val="0000FF"/>
                </w:rPr>
                <w:t>4.</w:t>
              </w:r>
              <w:r>
                <w:rPr>
                  <w:rFonts w:ascii="Arial" w:cs="Arial" w:eastAsia="Arial" w:hAnsi="Arial"/>
                  <w:sz w:val="15"/>
                  <w:szCs w:val="15"/>
                  <w:u w:val="single" w:color="auto"/>
                  <w:color w:val="0000FF"/>
                </w:rPr>
                <w:t>3</w:t>
              </w:r>
            </w:hyperlink>
            <w:r>
              <w:rPr>
                <w:rFonts w:ascii="Arial" w:cs="Arial" w:eastAsia="Arial" w:hAnsi="Arial"/>
                <w:sz w:val="15"/>
                <w:szCs w:val="15"/>
                <w:color w:val="000000"/>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780" w:type="dxa"/>
            <w:vAlign w:val="bottom"/>
            <w:shd w:val="clear" w:color="auto" w:fill="CCEEFF"/>
          </w:tcPr>
          <w:p>
            <w:pPr>
              <w:ind w:left="560"/>
              <w:spacing w:after="0" w:line="161" w:lineRule="exact"/>
              <w:rPr>
                <w:sz w:val="20"/>
                <w:szCs w:val="20"/>
                <w:color w:val="auto"/>
              </w:rPr>
            </w:pPr>
            <w:r>
              <w:rPr>
                <w:rFonts w:ascii="Arial" w:cs="Arial" w:eastAsia="Arial" w:hAnsi="Arial"/>
                <w:sz w:val="15"/>
                <w:szCs w:val="15"/>
                <w:color w:val="auto"/>
                <w:w w:val="98"/>
              </w:rPr>
              <w:t>Shareholders Agreement, dated July 26, 2018, between the Company and the stockholders of the Company signatory thereto</w:t>
            </w:r>
          </w:p>
        </w:tc>
      </w:tr>
      <w:tr>
        <w:trPr>
          <w:trHeight w:val="119"/>
        </w:trPr>
        <w:tc>
          <w:tcPr>
            <w:tcW w:w="5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780" w:type="dxa"/>
            <w:vAlign w:val="bottom"/>
            <w:tcBorders>
              <w:top w:val="single" w:sz="8" w:color="CCEEFF"/>
            </w:tcBorders>
            <w:shd w:val="clear" w:color="auto" w:fill="CCEEFF"/>
          </w:tcPr>
          <w:p>
            <w:pPr>
              <w:ind w:left="20"/>
              <w:spacing w:after="0" w:line="119" w:lineRule="exact"/>
              <w:rPr>
                <w:sz w:val="20"/>
                <w:szCs w:val="20"/>
                <w:color w:val="auto"/>
              </w:rPr>
            </w:pPr>
            <w:r>
              <w:rPr>
                <w:rFonts w:ascii="Arial" w:cs="Arial" w:eastAsia="Arial" w:hAnsi="Arial"/>
                <w:sz w:val="13"/>
                <w:szCs w:val="13"/>
                <w:color w:val="auto"/>
              </w:rPr>
              <w:t>(incorporated by reference to Exhibit 4.3 to the Registrant’s Registration Statement on Form S-1 filed on September 28, 2018 (File No. 333-</w:t>
            </w:r>
          </w:p>
        </w:tc>
      </w:tr>
      <w:tr>
        <w:trPr>
          <w:trHeight w:val="194"/>
        </w:trPr>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226948)).</w:t>
            </w:r>
          </w:p>
        </w:tc>
      </w:tr>
      <w:tr>
        <w:trPr>
          <w:trHeight w:val="46"/>
        </w:trPr>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161"/>
        </w:trPr>
        <w:tc>
          <w:tcPr>
            <w:tcW w:w="1000" w:type="dxa"/>
            <w:vAlign w:val="bottom"/>
            <w:gridSpan w:val="4"/>
            <w:shd w:val="clear" w:color="auto" w:fill="CCEEFF"/>
          </w:tcPr>
          <w:p>
            <w:pPr>
              <w:ind w:left="560"/>
              <w:spacing w:after="0" w:line="161" w:lineRule="exact"/>
              <w:rPr>
                <w:rFonts w:ascii="Arial" w:cs="Arial" w:eastAsia="Arial" w:hAnsi="Arial"/>
                <w:sz w:val="15"/>
                <w:szCs w:val="15"/>
                <w:color w:val="0000FF"/>
              </w:rPr>
            </w:pPr>
            <w:hyperlink r:id="rId132">
              <w:r>
                <w:rPr>
                  <w:rFonts w:ascii="Arial" w:cs="Arial" w:eastAsia="Arial" w:hAnsi="Arial"/>
                  <w:sz w:val="15"/>
                  <w:szCs w:val="15"/>
                  <w:color w:val="0000FF"/>
                </w:rPr>
                <w:t>4.</w:t>
              </w:r>
              <w:r>
                <w:rPr>
                  <w:rFonts w:ascii="Arial" w:cs="Arial" w:eastAsia="Arial" w:hAnsi="Arial"/>
                  <w:sz w:val="15"/>
                  <w:szCs w:val="15"/>
                  <w:u w:val="single" w:color="auto"/>
                  <w:color w:val="0000FF"/>
                </w:rPr>
                <w:t>4</w:t>
              </w:r>
            </w:hyperlink>
            <w:r>
              <w:rPr>
                <w:rFonts w:ascii="Arial" w:cs="Arial" w:eastAsia="Arial" w:hAnsi="Arial"/>
                <w:sz w:val="15"/>
                <w:szCs w:val="15"/>
                <w:color w:val="000000"/>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780" w:type="dxa"/>
            <w:vAlign w:val="bottom"/>
            <w:shd w:val="clear" w:color="auto" w:fill="CCEEFF"/>
          </w:tcPr>
          <w:p>
            <w:pPr>
              <w:ind w:left="560"/>
              <w:spacing w:after="0" w:line="161" w:lineRule="exact"/>
              <w:rPr>
                <w:sz w:val="20"/>
                <w:szCs w:val="20"/>
                <w:color w:val="auto"/>
              </w:rPr>
            </w:pPr>
            <w:r>
              <w:rPr>
                <w:rFonts w:ascii="Arial" w:cs="Arial" w:eastAsia="Arial" w:hAnsi="Arial"/>
                <w:sz w:val="15"/>
                <w:szCs w:val="15"/>
                <w:color w:val="auto"/>
                <w:w w:val="98"/>
              </w:rPr>
              <w:t>Shareholders Agreement Amendment, dated as of December 12, 2018, by and among FinTech Investor Holdings II, LLC, the</w:t>
            </w:r>
          </w:p>
        </w:tc>
      </w:tr>
      <w:tr>
        <w:trPr>
          <w:trHeight w:val="119"/>
        </w:trPr>
        <w:tc>
          <w:tcPr>
            <w:tcW w:w="5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780" w:type="dxa"/>
            <w:vAlign w:val="bottom"/>
            <w:tcBorders>
              <w:top w:val="single" w:sz="8" w:color="CCEEFF"/>
            </w:tcBorders>
            <w:shd w:val="clear" w:color="auto" w:fill="CCEEFF"/>
          </w:tcPr>
          <w:p>
            <w:pPr>
              <w:ind w:left="20"/>
              <w:spacing w:after="0" w:line="119" w:lineRule="exact"/>
              <w:rPr>
                <w:sz w:val="20"/>
                <w:szCs w:val="20"/>
                <w:color w:val="auto"/>
              </w:rPr>
            </w:pPr>
            <w:r>
              <w:rPr>
                <w:rFonts w:ascii="Arial" w:cs="Arial" w:eastAsia="Arial" w:hAnsi="Arial"/>
                <w:sz w:val="13"/>
                <w:szCs w:val="13"/>
                <w:color w:val="auto"/>
              </w:rPr>
              <w:t>Company and SPC Intermex Representative LLC (incorporated by reference to Exhibit 4.1 to the Registrant’s Current Report on Form 8-K on</w:t>
            </w:r>
          </w:p>
        </w:tc>
      </w:tr>
      <w:tr>
        <w:trPr>
          <w:trHeight w:val="194"/>
        </w:trPr>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filed on December 14, 2018).</w:t>
            </w:r>
          </w:p>
        </w:tc>
      </w:tr>
      <w:tr>
        <w:trPr>
          <w:trHeight w:val="46"/>
        </w:trPr>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161"/>
        </w:trPr>
        <w:tc>
          <w:tcPr>
            <w:tcW w:w="1000" w:type="dxa"/>
            <w:vAlign w:val="bottom"/>
            <w:gridSpan w:val="4"/>
            <w:shd w:val="clear" w:color="auto" w:fill="CCEEFF"/>
          </w:tcPr>
          <w:p>
            <w:pPr>
              <w:ind w:left="560"/>
              <w:spacing w:after="0" w:line="161" w:lineRule="exact"/>
              <w:rPr>
                <w:rFonts w:ascii="Arial" w:cs="Arial" w:eastAsia="Arial" w:hAnsi="Arial"/>
                <w:sz w:val="15"/>
                <w:szCs w:val="15"/>
                <w:color w:val="0000FF"/>
              </w:rPr>
            </w:pPr>
            <w:hyperlink r:id="rId133">
              <w:r>
                <w:rPr>
                  <w:rFonts w:ascii="Arial" w:cs="Arial" w:eastAsia="Arial" w:hAnsi="Arial"/>
                  <w:sz w:val="15"/>
                  <w:szCs w:val="15"/>
                  <w:color w:val="0000FF"/>
                </w:rPr>
                <w:t>4.</w:t>
              </w:r>
              <w:r>
                <w:rPr>
                  <w:rFonts w:ascii="Arial" w:cs="Arial" w:eastAsia="Arial" w:hAnsi="Arial"/>
                  <w:sz w:val="15"/>
                  <w:szCs w:val="15"/>
                  <w:u w:val="single" w:color="auto"/>
                  <w:color w:val="0000FF"/>
                </w:rPr>
                <w:t>5</w:t>
              </w:r>
            </w:hyperlink>
            <w:r>
              <w:rPr>
                <w:rFonts w:ascii="Arial" w:cs="Arial" w:eastAsia="Arial" w:hAnsi="Arial"/>
                <w:sz w:val="15"/>
                <w:szCs w:val="15"/>
                <w:color w:val="000000"/>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780" w:type="dxa"/>
            <w:vAlign w:val="bottom"/>
            <w:shd w:val="clear" w:color="auto" w:fill="CCEEFF"/>
          </w:tcPr>
          <w:p>
            <w:pPr>
              <w:ind w:left="560"/>
              <w:spacing w:after="0" w:line="161" w:lineRule="exact"/>
              <w:rPr>
                <w:sz w:val="20"/>
                <w:szCs w:val="20"/>
                <w:color w:val="auto"/>
              </w:rPr>
            </w:pPr>
            <w:r>
              <w:rPr>
                <w:rFonts w:ascii="Arial" w:cs="Arial" w:eastAsia="Arial" w:hAnsi="Arial"/>
                <w:sz w:val="15"/>
                <w:szCs w:val="15"/>
                <w:color w:val="auto"/>
                <w:w w:val="93"/>
              </w:rPr>
              <w:t>Shareholders Agreement Waiver dated August 23, 2019, among Fintech Investor Holdings II, LLC, the Company and SPC Intermex</w:t>
            </w:r>
          </w:p>
        </w:tc>
      </w:tr>
      <w:tr>
        <w:trPr>
          <w:trHeight w:val="164"/>
        </w:trPr>
        <w:tc>
          <w:tcPr>
            <w:tcW w:w="5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780" w:type="dxa"/>
            <w:vAlign w:val="bottom"/>
            <w:tcBorders>
              <w:top w:val="single" w:sz="8" w:color="CCEEFF"/>
            </w:tcBorders>
            <w:shd w:val="clear" w:color="auto" w:fill="CCEEFF"/>
          </w:tcPr>
          <w:p>
            <w:pPr>
              <w:ind w:left="20"/>
              <w:spacing w:after="0" w:line="164" w:lineRule="exact"/>
              <w:rPr>
                <w:sz w:val="20"/>
                <w:szCs w:val="20"/>
                <w:color w:val="auto"/>
              </w:rPr>
            </w:pPr>
            <w:r>
              <w:rPr>
                <w:rFonts w:ascii="Arial" w:cs="Arial" w:eastAsia="Arial" w:hAnsi="Arial"/>
                <w:sz w:val="15"/>
                <w:szCs w:val="15"/>
                <w:color w:val="auto"/>
                <w:w w:val="96"/>
              </w:rPr>
              <w:t>Representative LLC (incorporated by reference to Exhibit 10.1 to the Registrant’s Current Report on Form 8-K Filed on August 23, 2019).</w:t>
            </w:r>
          </w:p>
        </w:tc>
      </w:tr>
      <w:tr>
        <w:trPr>
          <w:trHeight w:val="46"/>
        </w:trPr>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161"/>
        </w:trPr>
        <w:tc>
          <w:tcPr>
            <w:tcW w:w="1000" w:type="dxa"/>
            <w:vAlign w:val="bottom"/>
            <w:gridSpan w:val="4"/>
            <w:shd w:val="clear" w:color="auto" w:fill="CCEEFF"/>
          </w:tcPr>
          <w:p>
            <w:pPr>
              <w:ind w:left="560"/>
              <w:spacing w:after="0" w:line="161" w:lineRule="exact"/>
              <w:rPr>
                <w:rFonts w:ascii="Arial" w:cs="Arial" w:eastAsia="Arial" w:hAnsi="Arial"/>
                <w:sz w:val="15"/>
                <w:szCs w:val="15"/>
                <w:color w:val="0000FF"/>
              </w:rPr>
            </w:pPr>
            <w:hyperlink r:id="rId134">
              <w:r>
                <w:rPr>
                  <w:rFonts w:ascii="Arial" w:cs="Arial" w:eastAsia="Arial" w:hAnsi="Arial"/>
                  <w:sz w:val="15"/>
                  <w:szCs w:val="15"/>
                  <w:color w:val="0000FF"/>
                </w:rPr>
                <w:t>4.</w:t>
              </w:r>
              <w:r>
                <w:rPr>
                  <w:rFonts w:ascii="Arial" w:cs="Arial" w:eastAsia="Arial" w:hAnsi="Arial"/>
                  <w:sz w:val="15"/>
                  <w:szCs w:val="15"/>
                  <w:u w:val="single" w:color="auto"/>
                  <w:color w:val="0000FF"/>
                </w:rPr>
                <w:t>6</w:t>
              </w:r>
            </w:hyperlink>
            <w:r>
              <w:rPr>
                <w:rFonts w:ascii="Arial" w:cs="Arial" w:eastAsia="Arial" w:hAnsi="Arial"/>
                <w:sz w:val="15"/>
                <w:szCs w:val="15"/>
                <w:color w:val="000000"/>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780" w:type="dxa"/>
            <w:vAlign w:val="bottom"/>
            <w:shd w:val="clear" w:color="auto" w:fill="CCEEFF"/>
          </w:tcPr>
          <w:p>
            <w:pPr>
              <w:ind w:left="560"/>
              <w:spacing w:after="0" w:line="161" w:lineRule="exact"/>
              <w:rPr>
                <w:sz w:val="20"/>
                <w:szCs w:val="20"/>
                <w:color w:val="auto"/>
              </w:rPr>
            </w:pPr>
            <w:r>
              <w:rPr>
                <w:rFonts w:ascii="Arial" w:cs="Arial" w:eastAsia="Arial" w:hAnsi="Arial"/>
                <w:sz w:val="15"/>
                <w:szCs w:val="15"/>
                <w:color w:val="auto"/>
                <w:w w:val="97"/>
              </w:rPr>
              <w:t>Shareholders Agreement Waiver, dated October 5, 2020, among the Company, FinTech Investor Holdings II and SPC Intermex</w:t>
            </w:r>
          </w:p>
        </w:tc>
      </w:tr>
      <w:tr>
        <w:trPr>
          <w:trHeight w:val="164"/>
        </w:trPr>
        <w:tc>
          <w:tcPr>
            <w:tcW w:w="5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780" w:type="dxa"/>
            <w:vAlign w:val="bottom"/>
            <w:tcBorders>
              <w:top w:val="single" w:sz="8" w:color="CCEEFF"/>
            </w:tcBorders>
            <w:shd w:val="clear" w:color="auto" w:fill="CCEEFF"/>
          </w:tcPr>
          <w:p>
            <w:pPr>
              <w:ind w:left="20"/>
              <w:spacing w:after="0" w:line="164" w:lineRule="exact"/>
              <w:rPr>
                <w:sz w:val="20"/>
                <w:szCs w:val="20"/>
                <w:color w:val="auto"/>
              </w:rPr>
            </w:pPr>
            <w:r>
              <w:rPr>
                <w:rFonts w:ascii="Arial" w:cs="Arial" w:eastAsia="Arial" w:hAnsi="Arial"/>
                <w:sz w:val="15"/>
                <w:szCs w:val="15"/>
                <w:color w:val="auto"/>
                <w:w w:val="93"/>
              </w:rPr>
              <w:t>Representative LLC (incorporated by reference to Exhibit 4.1 to the Registrant’s Quarterly Report on Form 10-Q filed on November 6, 2020).</w:t>
            </w:r>
          </w:p>
        </w:tc>
      </w:tr>
      <w:tr>
        <w:trPr>
          <w:trHeight w:val="46"/>
        </w:trPr>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161"/>
        </w:trPr>
        <w:tc>
          <w:tcPr>
            <w:tcW w:w="1000" w:type="dxa"/>
            <w:vAlign w:val="bottom"/>
            <w:gridSpan w:val="4"/>
            <w:shd w:val="clear" w:color="auto" w:fill="CCEEFF"/>
          </w:tcPr>
          <w:p>
            <w:pPr>
              <w:ind w:left="560"/>
              <w:spacing w:after="0" w:line="141" w:lineRule="exact"/>
              <w:rPr>
                <w:rFonts w:ascii="Arial" w:cs="Arial" w:eastAsia="Arial" w:hAnsi="Arial"/>
                <w:sz w:val="15"/>
                <w:szCs w:val="15"/>
                <w:color w:val="0000FF"/>
              </w:rPr>
            </w:pPr>
            <w:hyperlink r:id="rId135">
              <w:r>
                <w:rPr>
                  <w:rFonts w:ascii="Arial" w:cs="Arial" w:eastAsia="Arial" w:hAnsi="Arial"/>
                  <w:sz w:val="15"/>
                  <w:szCs w:val="15"/>
                  <w:color w:val="0000FF"/>
                </w:rPr>
                <w:t>4.</w:t>
              </w:r>
              <w:r>
                <w:rPr>
                  <w:rFonts w:ascii="Arial" w:cs="Arial" w:eastAsia="Arial" w:hAnsi="Arial"/>
                  <w:sz w:val="15"/>
                  <w:szCs w:val="15"/>
                  <w:u w:val="single" w:color="auto"/>
                  <w:color w:val="0000FF"/>
                </w:rPr>
                <w:t>7</w:t>
              </w:r>
            </w:hyperlink>
            <w:r>
              <w:rPr>
                <w:rFonts w:ascii="Arial" w:cs="Arial" w:eastAsia="Arial" w:hAnsi="Arial"/>
                <w:sz w:val="15"/>
                <w:szCs w:val="15"/>
                <w:color w:val="000000"/>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780" w:type="dxa"/>
            <w:vAlign w:val="bottom"/>
            <w:shd w:val="clear" w:color="auto" w:fill="CCEEFF"/>
          </w:tcPr>
          <w:p>
            <w:pPr>
              <w:ind w:left="560"/>
              <w:spacing w:after="0" w:line="141" w:lineRule="exact"/>
              <w:rPr>
                <w:sz w:val="20"/>
                <w:szCs w:val="20"/>
                <w:color w:val="auto"/>
              </w:rPr>
            </w:pPr>
            <w:r>
              <w:rPr>
                <w:rFonts w:ascii="Arial" w:cs="Arial" w:eastAsia="Arial" w:hAnsi="Arial"/>
                <w:sz w:val="15"/>
                <w:szCs w:val="15"/>
                <w:color w:val="auto"/>
                <w:w w:val="95"/>
              </w:rPr>
              <w:t>Description of Securities (incorporated by reference to Exhibit 4.6 to the Registrant’s Annual Report on Form 10-K Filed on March</w:t>
            </w:r>
          </w:p>
        </w:tc>
      </w:tr>
      <w:tr>
        <w:trPr>
          <w:trHeight w:val="209"/>
        </w:trPr>
        <w:tc>
          <w:tcPr>
            <w:tcW w:w="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11, 2020).</w:t>
            </w:r>
          </w:p>
        </w:tc>
      </w:tr>
      <w:tr>
        <w:trPr>
          <w:trHeight w:val="46"/>
        </w:trPr>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161"/>
        </w:trPr>
        <w:tc>
          <w:tcPr>
            <w:tcW w:w="1180" w:type="dxa"/>
            <w:vAlign w:val="bottom"/>
            <w:gridSpan w:val="6"/>
            <w:shd w:val="clear" w:color="auto" w:fill="CCEEFF"/>
          </w:tcPr>
          <w:p>
            <w:pPr>
              <w:ind w:left="560"/>
              <w:spacing w:after="0" w:line="141" w:lineRule="exact"/>
              <w:rPr>
                <w:rFonts w:ascii="Arial" w:cs="Arial" w:eastAsia="Arial" w:hAnsi="Arial"/>
                <w:sz w:val="15"/>
                <w:szCs w:val="15"/>
                <w:color w:val="0000FF"/>
              </w:rPr>
            </w:pPr>
            <w:hyperlink r:id="rId136">
              <w:r>
                <w:rPr>
                  <w:rFonts w:ascii="Arial" w:cs="Arial" w:eastAsia="Arial" w:hAnsi="Arial"/>
                  <w:sz w:val="15"/>
                  <w:szCs w:val="15"/>
                  <w:color w:val="0000FF"/>
                </w:rPr>
                <w:t>10.</w:t>
              </w:r>
              <w:r>
                <w:rPr>
                  <w:rFonts w:ascii="Arial" w:cs="Arial" w:eastAsia="Arial" w:hAnsi="Arial"/>
                  <w:sz w:val="15"/>
                  <w:szCs w:val="15"/>
                  <w:u w:val="single" w:color="auto"/>
                  <w:color w:val="0000FF"/>
                </w:rPr>
                <w:t>1(a)</w:t>
              </w:r>
            </w:hyperlink>
            <w:r>
              <w:rPr>
                <w:rFonts w:ascii="Arial" w:cs="Arial" w:eastAsia="Arial" w:hAnsi="Arial"/>
                <w:sz w:val="15"/>
                <w:szCs w:val="15"/>
                <w:color w:val="000000"/>
              </w:rPr>
              <w:t>**</w:t>
            </w:r>
          </w:p>
        </w:tc>
        <w:tc>
          <w:tcPr>
            <w:tcW w:w="8780" w:type="dxa"/>
            <w:vAlign w:val="bottom"/>
            <w:shd w:val="clear" w:color="auto" w:fill="CCEEFF"/>
          </w:tcPr>
          <w:p>
            <w:pPr>
              <w:ind w:left="560"/>
              <w:spacing w:after="0" w:line="141" w:lineRule="exact"/>
              <w:rPr>
                <w:sz w:val="20"/>
                <w:szCs w:val="20"/>
                <w:color w:val="auto"/>
              </w:rPr>
            </w:pPr>
            <w:r>
              <w:rPr>
                <w:rFonts w:ascii="Arial" w:cs="Arial" w:eastAsia="Arial" w:hAnsi="Arial"/>
                <w:sz w:val="15"/>
                <w:szCs w:val="15"/>
                <w:color w:val="auto"/>
                <w:w w:val="97"/>
              </w:rPr>
              <w:t>Credit Agreement, dated November 7, 2018, by and among Intermex Wire Transfer, LLC, Intermex Holdings, Inc., International</w:t>
            </w:r>
          </w:p>
        </w:tc>
      </w:tr>
      <w:tr>
        <w:trPr>
          <w:trHeight w:val="176"/>
        </w:trPr>
        <w:tc>
          <w:tcPr>
            <w:tcW w:w="5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16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4"/>
              </w:rPr>
              <w:t>Money Express, Inc., International Money Express Sub 2, LLC, each Guarantor, and KeyBank National Association, as Administrative Agent</w:t>
            </w:r>
          </w:p>
        </w:tc>
      </w:tr>
      <w:tr>
        <w:trPr>
          <w:trHeight w:val="206"/>
        </w:trPr>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5"/>
                <w:szCs w:val="15"/>
                <w:color w:val="auto"/>
                <w:w w:val="96"/>
              </w:rPr>
              <w:t>and L/C Issuer (incorporated by reference to Exhibit 10.1 to the Registrant’s Current Report on Form 8-K on filed on November 8, 2018).</w:t>
            </w:r>
          </w:p>
        </w:tc>
      </w:tr>
      <w:tr>
        <w:trPr>
          <w:trHeight w:val="46"/>
        </w:trPr>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161"/>
        </w:trPr>
        <w:tc>
          <w:tcPr>
            <w:tcW w:w="1180" w:type="dxa"/>
            <w:vAlign w:val="bottom"/>
            <w:gridSpan w:val="6"/>
            <w:shd w:val="clear" w:color="auto" w:fill="CCEEFF"/>
          </w:tcPr>
          <w:p>
            <w:pPr>
              <w:ind w:left="560"/>
              <w:spacing w:after="0" w:line="141" w:lineRule="exact"/>
              <w:rPr>
                <w:rFonts w:ascii="Arial" w:cs="Arial" w:eastAsia="Arial" w:hAnsi="Arial"/>
                <w:sz w:val="15"/>
                <w:szCs w:val="15"/>
                <w:color w:val="0000FF"/>
              </w:rPr>
            </w:pPr>
            <w:hyperlink r:id="rId137">
              <w:r>
                <w:rPr>
                  <w:rFonts w:ascii="Arial" w:cs="Arial" w:eastAsia="Arial" w:hAnsi="Arial"/>
                  <w:sz w:val="15"/>
                  <w:szCs w:val="15"/>
                  <w:color w:val="0000FF"/>
                </w:rPr>
                <w:t>10.</w:t>
              </w:r>
              <w:r>
                <w:rPr>
                  <w:rFonts w:ascii="Arial" w:cs="Arial" w:eastAsia="Arial" w:hAnsi="Arial"/>
                  <w:sz w:val="15"/>
                  <w:szCs w:val="15"/>
                  <w:u w:val="single" w:color="auto"/>
                  <w:color w:val="0000FF"/>
                </w:rPr>
                <w:t>1(b)</w:t>
              </w:r>
            </w:hyperlink>
            <w:r>
              <w:rPr>
                <w:rFonts w:ascii="Arial" w:cs="Arial" w:eastAsia="Arial" w:hAnsi="Arial"/>
                <w:sz w:val="15"/>
                <w:szCs w:val="15"/>
                <w:color w:val="000000"/>
              </w:rPr>
              <w:t>**</w:t>
            </w:r>
          </w:p>
        </w:tc>
        <w:tc>
          <w:tcPr>
            <w:tcW w:w="8780" w:type="dxa"/>
            <w:vAlign w:val="bottom"/>
            <w:shd w:val="clear" w:color="auto" w:fill="CCEEFF"/>
          </w:tcPr>
          <w:p>
            <w:pPr>
              <w:ind w:left="560"/>
              <w:spacing w:after="0" w:line="141" w:lineRule="exact"/>
              <w:rPr>
                <w:sz w:val="20"/>
                <w:szCs w:val="20"/>
                <w:color w:val="auto"/>
              </w:rPr>
            </w:pPr>
            <w:r>
              <w:rPr>
                <w:rFonts w:ascii="Arial" w:cs="Arial" w:eastAsia="Arial" w:hAnsi="Arial"/>
                <w:sz w:val="15"/>
                <w:szCs w:val="15"/>
                <w:color w:val="auto"/>
                <w:w w:val="93"/>
              </w:rPr>
              <w:t>Amendment No. 1, dated as of December 7, 2018 to the Credit by and among Intermex Wire Transfer, LLC, Intermex Holdings, Inc.,</w:t>
            </w:r>
          </w:p>
        </w:tc>
      </w:tr>
      <w:tr>
        <w:trPr>
          <w:trHeight w:val="176"/>
        </w:trPr>
        <w:tc>
          <w:tcPr>
            <w:tcW w:w="5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16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9"/>
              </w:rPr>
              <w:t>International Money Express, Inc., International Money Express Sub 2, LLC, each Guarantor, and KeyBank National Association, as</w:t>
            </w:r>
          </w:p>
        </w:tc>
      </w:tr>
      <w:tr>
        <w:trPr>
          <w:trHeight w:val="172"/>
        </w:trPr>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5"/>
                <w:szCs w:val="15"/>
                <w:color w:val="auto"/>
                <w:w w:val="96"/>
              </w:rPr>
              <w:t>Administrative Agent and L/C Issuer (incorporated by reference to Exhibit 10.1 to the Registrant’s Current Report on Form 8-K on filed on</w:t>
            </w:r>
          </w:p>
        </w:tc>
      </w:tr>
      <w:tr>
        <w:trPr>
          <w:trHeight w:val="206"/>
        </w:trPr>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 10, 2018).</w:t>
            </w:r>
          </w:p>
        </w:tc>
      </w:tr>
      <w:tr>
        <w:trPr>
          <w:trHeight w:val="46"/>
        </w:trPr>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161"/>
        </w:trPr>
        <w:tc>
          <w:tcPr>
            <w:tcW w:w="1180" w:type="dxa"/>
            <w:vAlign w:val="bottom"/>
            <w:gridSpan w:val="6"/>
            <w:shd w:val="clear" w:color="auto" w:fill="CCEEFF"/>
          </w:tcPr>
          <w:p>
            <w:pPr>
              <w:ind w:left="560"/>
              <w:spacing w:after="0" w:line="161" w:lineRule="exact"/>
              <w:rPr>
                <w:rFonts w:ascii="Arial" w:cs="Arial" w:eastAsia="Arial" w:hAnsi="Arial"/>
                <w:sz w:val="15"/>
                <w:szCs w:val="15"/>
                <w:color w:val="0000FF"/>
              </w:rPr>
            </w:pPr>
            <w:hyperlink r:id="rId138">
              <w:r>
                <w:rPr>
                  <w:rFonts w:ascii="Arial" w:cs="Arial" w:eastAsia="Arial" w:hAnsi="Arial"/>
                  <w:sz w:val="15"/>
                  <w:szCs w:val="15"/>
                  <w:color w:val="0000FF"/>
                </w:rPr>
                <w:t>10.</w:t>
              </w:r>
              <w:r>
                <w:rPr>
                  <w:rFonts w:ascii="Arial" w:cs="Arial" w:eastAsia="Arial" w:hAnsi="Arial"/>
                  <w:sz w:val="15"/>
                  <w:szCs w:val="15"/>
                  <w:u w:val="single" w:color="auto"/>
                  <w:color w:val="0000FF"/>
                </w:rPr>
                <w:t>1(c)</w:t>
              </w:r>
            </w:hyperlink>
            <w:r>
              <w:rPr>
                <w:rFonts w:ascii="Arial" w:cs="Arial" w:eastAsia="Arial" w:hAnsi="Arial"/>
                <w:sz w:val="15"/>
                <w:szCs w:val="15"/>
                <w:color w:val="000000"/>
              </w:rPr>
              <w:t>**</w:t>
            </w:r>
          </w:p>
        </w:tc>
        <w:tc>
          <w:tcPr>
            <w:tcW w:w="8780" w:type="dxa"/>
            <w:vAlign w:val="bottom"/>
            <w:shd w:val="clear" w:color="auto" w:fill="CCEEFF"/>
          </w:tcPr>
          <w:p>
            <w:pPr>
              <w:ind w:left="560"/>
              <w:spacing w:after="0" w:line="161" w:lineRule="exact"/>
              <w:rPr>
                <w:sz w:val="20"/>
                <w:szCs w:val="20"/>
                <w:color w:val="auto"/>
              </w:rPr>
            </w:pPr>
            <w:r>
              <w:rPr>
                <w:rFonts w:ascii="Arial" w:cs="Arial" w:eastAsia="Arial" w:hAnsi="Arial"/>
                <w:sz w:val="15"/>
                <w:szCs w:val="15"/>
                <w:color w:val="auto"/>
                <w:w w:val="94"/>
              </w:rPr>
              <w:t>Increase Joinder No. 1 to Credit Agreement, dated March 25, 2019, by and among International Money Express, Inc., as Holdings,</w:t>
            </w:r>
          </w:p>
        </w:tc>
      </w:tr>
      <w:tr>
        <w:trPr>
          <w:trHeight w:val="119"/>
        </w:trPr>
        <w:tc>
          <w:tcPr>
            <w:tcW w:w="5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16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780" w:type="dxa"/>
            <w:vAlign w:val="bottom"/>
            <w:tcBorders>
              <w:top w:val="single" w:sz="8" w:color="CCEEFF"/>
            </w:tcBorders>
            <w:shd w:val="clear" w:color="auto" w:fill="CCEEFF"/>
          </w:tcPr>
          <w:p>
            <w:pPr>
              <w:ind w:left="20"/>
              <w:spacing w:after="0" w:line="119" w:lineRule="exact"/>
              <w:rPr>
                <w:sz w:val="20"/>
                <w:szCs w:val="20"/>
                <w:color w:val="auto"/>
              </w:rPr>
            </w:pPr>
            <w:r>
              <w:rPr>
                <w:rFonts w:ascii="Arial" w:cs="Arial" w:eastAsia="Arial" w:hAnsi="Arial"/>
                <w:sz w:val="13"/>
                <w:szCs w:val="13"/>
                <w:color w:val="auto"/>
              </w:rPr>
              <w:t>International Money Express Sub 2, LLC, as Intermediate Holdings, Intermex Holdings, Inc., as the Term Borrower, Intermex Wire Transfer,</w:t>
            </w:r>
          </w:p>
        </w:tc>
      </w:tr>
      <w:tr>
        <w:trPr>
          <w:trHeight w:val="149"/>
        </w:trPr>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78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color w:val="auto"/>
                <w:w w:val="93"/>
              </w:rPr>
              <w:t>LLC, as the Revolver Borrower, the other guarantors from time to time party thereto, the lenders from time to time party thereto and Keybank</w:t>
            </w:r>
          </w:p>
        </w:tc>
      </w:tr>
      <w:tr>
        <w:trPr>
          <w:trHeight w:val="149"/>
        </w:trPr>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78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color w:val="auto"/>
                <w:w w:val="95"/>
              </w:rPr>
              <w:t>National Association, as the administrative agent (incorporated by reference to Exhibit 10.2 to the Registrant’s Current Report on Form 8-K</w:t>
            </w:r>
          </w:p>
        </w:tc>
      </w:tr>
      <w:tr>
        <w:trPr>
          <w:trHeight w:val="194"/>
        </w:trPr>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filed on April 30, 2019).</w:t>
            </w:r>
          </w:p>
        </w:tc>
      </w:tr>
      <w:tr>
        <w:trPr>
          <w:trHeight w:val="46"/>
        </w:trPr>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161"/>
        </w:trPr>
        <w:tc>
          <w:tcPr>
            <w:tcW w:w="1180" w:type="dxa"/>
            <w:vAlign w:val="bottom"/>
            <w:gridSpan w:val="6"/>
            <w:shd w:val="clear" w:color="auto" w:fill="CCEEFF"/>
          </w:tcPr>
          <w:p>
            <w:pPr>
              <w:ind w:left="560"/>
              <w:spacing w:after="0" w:line="161" w:lineRule="exact"/>
              <w:rPr>
                <w:rFonts w:ascii="Arial" w:cs="Arial" w:eastAsia="Arial" w:hAnsi="Arial"/>
                <w:sz w:val="15"/>
                <w:szCs w:val="15"/>
                <w:color w:val="0000FF"/>
              </w:rPr>
            </w:pPr>
            <w:hyperlink r:id="rId139">
              <w:r>
                <w:rPr>
                  <w:rFonts w:ascii="Arial" w:cs="Arial" w:eastAsia="Arial" w:hAnsi="Arial"/>
                  <w:sz w:val="15"/>
                  <w:szCs w:val="15"/>
                  <w:color w:val="0000FF"/>
                </w:rPr>
                <w:t>10.</w:t>
              </w:r>
              <w:r>
                <w:rPr>
                  <w:rFonts w:ascii="Arial" w:cs="Arial" w:eastAsia="Arial" w:hAnsi="Arial"/>
                  <w:sz w:val="15"/>
                  <w:szCs w:val="15"/>
                  <w:u w:val="single" w:color="auto"/>
                  <w:color w:val="0000FF"/>
                </w:rPr>
                <w:t>1(d)</w:t>
              </w:r>
            </w:hyperlink>
            <w:r>
              <w:rPr>
                <w:rFonts w:ascii="Arial" w:cs="Arial" w:eastAsia="Arial" w:hAnsi="Arial"/>
                <w:sz w:val="15"/>
                <w:szCs w:val="15"/>
                <w:color w:val="000000"/>
              </w:rPr>
              <w:t>**</w:t>
            </w:r>
          </w:p>
        </w:tc>
        <w:tc>
          <w:tcPr>
            <w:tcW w:w="8780" w:type="dxa"/>
            <w:vAlign w:val="bottom"/>
            <w:shd w:val="clear" w:color="auto" w:fill="CCEEFF"/>
          </w:tcPr>
          <w:p>
            <w:pPr>
              <w:ind w:left="560"/>
              <w:spacing w:after="0" w:line="161" w:lineRule="exact"/>
              <w:rPr>
                <w:sz w:val="20"/>
                <w:szCs w:val="20"/>
                <w:color w:val="auto"/>
              </w:rPr>
            </w:pPr>
            <w:r>
              <w:rPr>
                <w:rFonts w:ascii="Arial" w:cs="Arial" w:eastAsia="Arial" w:hAnsi="Arial"/>
                <w:sz w:val="15"/>
                <w:szCs w:val="15"/>
                <w:color w:val="auto"/>
                <w:w w:val="99"/>
              </w:rPr>
              <w:t>Increase Joinder No. 2 to Credit Agreement, dated as of May 12, 2021, by and among International Money Express, Inc., as</w:t>
            </w:r>
          </w:p>
        </w:tc>
      </w:tr>
      <w:tr>
        <w:trPr>
          <w:trHeight w:val="119"/>
        </w:trPr>
        <w:tc>
          <w:tcPr>
            <w:tcW w:w="5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16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780" w:type="dxa"/>
            <w:vAlign w:val="bottom"/>
            <w:tcBorders>
              <w:top w:val="single" w:sz="8" w:color="CCEEFF"/>
            </w:tcBorders>
            <w:shd w:val="clear" w:color="auto" w:fill="CCEEFF"/>
          </w:tcPr>
          <w:p>
            <w:pPr>
              <w:ind w:left="20"/>
              <w:spacing w:after="0" w:line="119" w:lineRule="exact"/>
              <w:rPr>
                <w:sz w:val="20"/>
                <w:szCs w:val="20"/>
                <w:color w:val="auto"/>
              </w:rPr>
            </w:pPr>
            <w:r>
              <w:rPr>
                <w:rFonts w:ascii="Arial" w:cs="Arial" w:eastAsia="Arial" w:hAnsi="Arial"/>
                <w:sz w:val="13"/>
                <w:szCs w:val="13"/>
                <w:color w:val="auto"/>
              </w:rPr>
              <w:t>Holdings, International Money Express Sub 2, LLC, as Intermediate Holdings, Intermex Holdings, Inc., as the Term Borrower, Intermex Wire</w:t>
            </w:r>
          </w:p>
        </w:tc>
      </w:tr>
      <w:tr>
        <w:trPr>
          <w:trHeight w:val="149"/>
        </w:trPr>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78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color w:val="auto"/>
                <w:w w:val="93"/>
              </w:rPr>
              <w:t>Transfer, LLC, as the Revolver Borrower, the other guarantors from time to time party thereto, the lenders from time to time party thereto and</w:t>
            </w:r>
          </w:p>
        </w:tc>
      </w:tr>
      <w:tr>
        <w:trPr>
          <w:trHeight w:val="149"/>
        </w:trPr>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78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color w:val="auto"/>
                <w:w w:val="96"/>
              </w:rPr>
              <w:t>KeyBank National Association, as the Administrative Agent and L/C Issuer. (incorporated by reference to Exhibit 10.1 to the Registrant’s</w:t>
            </w:r>
          </w:p>
        </w:tc>
      </w:tr>
      <w:tr>
        <w:trPr>
          <w:trHeight w:val="194"/>
        </w:trPr>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Report on Form 8-K filed on May 14, 2021)</w:t>
            </w:r>
          </w:p>
        </w:tc>
      </w:tr>
      <w:tr>
        <w:trPr>
          <w:trHeight w:val="46"/>
        </w:trPr>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161"/>
        </w:trPr>
        <w:tc>
          <w:tcPr>
            <w:tcW w:w="1180" w:type="dxa"/>
            <w:vAlign w:val="bottom"/>
            <w:gridSpan w:val="6"/>
            <w:shd w:val="clear" w:color="auto" w:fill="CCEEFF"/>
          </w:tcPr>
          <w:p>
            <w:pPr>
              <w:ind w:left="560"/>
              <w:spacing w:after="0" w:line="161" w:lineRule="exact"/>
              <w:rPr>
                <w:rFonts w:ascii="Arial" w:cs="Arial" w:eastAsia="Arial" w:hAnsi="Arial"/>
                <w:sz w:val="15"/>
                <w:szCs w:val="15"/>
                <w:color w:val="0000FF"/>
              </w:rPr>
            </w:pPr>
            <w:hyperlink r:id="rId140">
              <w:r>
                <w:rPr>
                  <w:rFonts w:ascii="Arial" w:cs="Arial" w:eastAsia="Arial" w:hAnsi="Arial"/>
                  <w:sz w:val="15"/>
                  <w:szCs w:val="15"/>
                  <w:color w:val="0000FF"/>
                </w:rPr>
                <w:t>10.</w:t>
              </w:r>
              <w:r>
                <w:rPr>
                  <w:rFonts w:ascii="Arial" w:cs="Arial" w:eastAsia="Arial" w:hAnsi="Arial"/>
                  <w:sz w:val="15"/>
                  <w:szCs w:val="15"/>
                  <w:u w:val="single" w:color="auto"/>
                  <w:color w:val="0000FF"/>
                </w:rPr>
                <w:t>1(e)</w:t>
              </w:r>
            </w:hyperlink>
            <w:r>
              <w:rPr>
                <w:rFonts w:ascii="Arial" w:cs="Arial" w:eastAsia="Arial" w:hAnsi="Arial"/>
                <w:sz w:val="15"/>
                <w:szCs w:val="15"/>
                <w:color w:val="000000"/>
              </w:rPr>
              <w:t>**</w:t>
            </w:r>
          </w:p>
        </w:tc>
        <w:tc>
          <w:tcPr>
            <w:tcW w:w="8780" w:type="dxa"/>
            <w:vAlign w:val="bottom"/>
            <w:shd w:val="clear" w:color="auto" w:fill="CCEEFF"/>
          </w:tcPr>
          <w:p>
            <w:pPr>
              <w:ind w:left="560"/>
              <w:spacing w:after="0" w:line="161" w:lineRule="exact"/>
              <w:rPr>
                <w:sz w:val="20"/>
                <w:szCs w:val="20"/>
                <w:color w:val="auto"/>
              </w:rPr>
            </w:pPr>
            <w:r>
              <w:rPr>
                <w:rFonts w:ascii="Arial" w:cs="Arial" w:eastAsia="Arial" w:hAnsi="Arial"/>
                <w:sz w:val="15"/>
                <w:szCs w:val="15"/>
                <w:color w:val="auto"/>
                <w:w w:val="92"/>
              </w:rPr>
              <w:t>Amended and Restated Credit Agreement, dated as of June 24, 2021, by and among International Money Express, Inc., as Holdings,</w:t>
            </w:r>
          </w:p>
        </w:tc>
      </w:tr>
      <w:tr>
        <w:trPr>
          <w:trHeight w:val="119"/>
        </w:trPr>
        <w:tc>
          <w:tcPr>
            <w:tcW w:w="5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16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780" w:type="dxa"/>
            <w:vAlign w:val="bottom"/>
            <w:tcBorders>
              <w:top w:val="single" w:sz="8" w:color="CCEEFF"/>
            </w:tcBorders>
            <w:shd w:val="clear" w:color="auto" w:fill="CCEEFF"/>
          </w:tcPr>
          <w:p>
            <w:pPr>
              <w:ind w:left="20"/>
              <w:spacing w:after="0" w:line="119" w:lineRule="exact"/>
              <w:rPr>
                <w:sz w:val="20"/>
                <w:szCs w:val="20"/>
                <w:color w:val="auto"/>
              </w:rPr>
            </w:pPr>
            <w:r>
              <w:rPr>
                <w:rFonts w:ascii="Arial" w:cs="Arial" w:eastAsia="Arial" w:hAnsi="Arial"/>
                <w:sz w:val="13"/>
                <w:szCs w:val="13"/>
                <w:color w:val="auto"/>
              </w:rPr>
              <w:t>International Money Express Sub 2, LLC, as Intermediate Holdings, Intermex Holdings, Inc., as the Term Borrower, Intermex Wire Transfer,</w:t>
            </w:r>
          </w:p>
        </w:tc>
      </w:tr>
      <w:tr>
        <w:trPr>
          <w:trHeight w:val="149"/>
        </w:trPr>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78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color w:val="auto"/>
                <w:w w:val="93"/>
              </w:rPr>
              <w:t>LLC, as the Revolver Borrower, the other guarantors from time to time party thereto, the lenders from time to time party thereto and KeyBank</w:t>
            </w:r>
          </w:p>
        </w:tc>
      </w:tr>
      <w:tr>
        <w:trPr>
          <w:trHeight w:val="149"/>
        </w:trPr>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78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color w:val="auto"/>
                <w:w w:val="98"/>
              </w:rPr>
              <w:t>National Association, as the Administrative Agent and L/C Issuer. (incorporated by reference to Exhibit 10.1 to the Registrant’s Current</w:t>
            </w:r>
          </w:p>
        </w:tc>
      </w:tr>
      <w:tr>
        <w:trPr>
          <w:trHeight w:val="194"/>
        </w:trPr>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Report on Form 8-K filed on June 28, 2021)</w:t>
            </w:r>
          </w:p>
        </w:tc>
      </w:tr>
      <w:tr>
        <w:trPr>
          <w:trHeight w:val="46"/>
        </w:trPr>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161"/>
        </w:trPr>
        <w:tc>
          <w:tcPr>
            <w:tcW w:w="1180" w:type="dxa"/>
            <w:vAlign w:val="bottom"/>
            <w:gridSpan w:val="6"/>
            <w:shd w:val="clear" w:color="auto" w:fill="CCEEFF"/>
          </w:tcPr>
          <w:p>
            <w:pPr>
              <w:ind w:left="560"/>
              <w:spacing w:after="0" w:line="141" w:lineRule="exact"/>
              <w:rPr>
                <w:rFonts w:ascii="Arial" w:cs="Arial" w:eastAsia="Arial" w:hAnsi="Arial"/>
                <w:sz w:val="15"/>
                <w:szCs w:val="15"/>
                <w:color w:val="0000FF"/>
              </w:rPr>
            </w:pPr>
            <w:hyperlink r:id="rId141">
              <w:r>
                <w:rPr>
                  <w:rFonts w:ascii="Arial" w:cs="Arial" w:eastAsia="Arial" w:hAnsi="Arial"/>
                  <w:sz w:val="15"/>
                  <w:szCs w:val="15"/>
                  <w:color w:val="0000FF"/>
                </w:rPr>
                <w:t>10.</w:t>
              </w:r>
              <w:r>
                <w:rPr>
                  <w:rFonts w:ascii="Arial" w:cs="Arial" w:eastAsia="Arial" w:hAnsi="Arial"/>
                  <w:sz w:val="15"/>
                  <w:szCs w:val="15"/>
                  <w:u w:val="single" w:color="auto"/>
                  <w:color w:val="0000FF"/>
                </w:rPr>
                <w:t>2(a)</w:t>
              </w:r>
            </w:hyperlink>
            <w:r>
              <w:rPr>
                <w:rFonts w:ascii="Arial" w:cs="Arial" w:eastAsia="Arial" w:hAnsi="Arial"/>
                <w:sz w:val="15"/>
                <w:szCs w:val="15"/>
                <w:color w:val="000000"/>
              </w:rPr>
              <w:t>**</w:t>
            </w:r>
          </w:p>
        </w:tc>
        <w:tc>
          <w:tcPr>
            <w:tcW w:w="8780" w:type="dxa"/>
            <w:vAlign w:val="bottom"/>
            <w:shd w:val="clear" w:color="auto" w:fill="CCEEFF"/>
          </w:tcPr>
          <w:p>
            <w:pPr>
              <w:ind w:left="560"/>
              <w:spacing w:after="0" w:line="141" w:lineRule="exact"/>
              <w:rPr>
                <w:sz w:val="20"/>
                <w:szCs w:val="20"/>
                <w:color w:val="auto"/>
              </w:rPr>
            </w:pPr>
            <w:r>
              <w:rPr>
                <w:rFonts w:ascii="Arial" w:cs="Arial" w:eastAsia="Arial" w:hAnsi="Arial"/>
                <w:sz w:val="15"/>
                <w:szCs w:val="15"/>
                <w:color w:val="auto"/>
                <w:w w:val="94"/>
              </w:rPr>
              <w:t>Registration Rights Agreement, dated July 26, 2018, by and among FinTech Acquisition Corp. II, SPC Investors, Minority Investors</w:t>
            </w:r>
          </w:p>
        </w:tc>
      </w:tr>
      <w:tr>
        <w:trPr>
          <w:trHeight w:val="176"/>
        </w:trPr>
        <w:tc>
          <w:tcPr>
            <w:tcW w:w="5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16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3"/>
              </w:rPr>
              <w:t>and Additional Investors (incorporated by reference to Exhibit 10.2 to the Registrant’s Registration Statement on Form S-1 filed on September</w:t>
            </w:r>
          </w:p>
        </w:tc>
      </w:tr>
      <w:tr>
        <w:trPr>
          <w:trHeight w:val="206"/>
        </w:trPr>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28, 2018 (File No. 333-226948)).</w:t>
            </w:r>
          </w:p>
        </w:tc>
      </w:tr>
      <w:tr>
        <w:trPr>
          <w:trHeight w:val="46"/>
        </w:trPr>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161"/>
        </w:trPr>
        <w:tc>
          <w:tcPr>
            <w:tcW w:w="1180" w:type="dxa"/>
            <w:vAlign w:val="bottom"/>
            <w:gridSpan w:val="6"/>
            <w:shd w:val="clear" w:color="auto" w:fill="CCEEFF"/>
          </w:tcPr>
          <w:p>
            <w:pPr>
              <w:ind w:left="560"/>
              <w:spacing w:after="0" w:line="161" w:lineRule="exact"/>
              <w:rPr>
                <w:rFonts w:ascii="Arial" w:cs="Arial" w:eastAsia="Arial" w:hAnsi="Arial"/>
                <w:sz w:val="15"/>
                <w:szCs w:val="15"/>
                <w:color w:val="0000FF"/>
              </w:rPr>
            </w:pPr>
            <w:hyperlink r:id="rId142">
              <w:r>
                <w:rPr>
                  <w:rFonts w:ascii="Arial" w:cs="Arial" w:eastAsia="Arial" w:hAnsi="Arial"/>
                  <w:sz w:val="15"/>
                  <w:szCs w:val="15"/>
                  <w:color w:val="0000FF"/>
                </w:rPr>
                <w:t>10.</w:t>
              </w:r>
              <w:r>
                <w:rPr>
                  <w:rFonts w:ascii="Arial" w:cs="Arial" w:eastAsia="Arial" w:hAnsi="Arial"/>
                  <w:sz w:val="15"/>
                  <w:szCs w:val="15"/>
                  <w:u w:val="single" w:color="auto"/>
                  <w:color w:val="0000FF"/>
                </w:rPr>
                <w:t>2(b)</w:t>
              </w:r>
            </w:hyperlink>
            <w:r>
              <w:rPr>
                <w:rFonts w:ascii="Arial" w:cs="Arial" w:eastAsia="Arial" w:hAnsi="Arial"/>
                <w:sz w:val="15"/>
                <w:szCs w:val="15"/>
                <w:color w:val="000000"/>
              </w:rPr>
              <w:t>**</w:t>
            </w:r>
          </w:p>
        </w:tc>
        <w:tc>
          <w:tcPr>
            <w:tcW w:w="8780" w:type="dxa"/>
            <w:vAlign w:val="bottom"/>
            <w:shd w:val="clear" w:color="auto" w:fill="CCEEFF"/>
          </w:tcPr>
          <w:p>
            <w:pPr>
              <w:ind w:left="560"/>
              <w:spacing w:after="0" w:line="161" w:lineRule="exact"/>
              <w:rPr>
                <w:sz w:val="20"/>
                <w:szCs w:val="20"/>
                <w:color w:val="auto"/>
              </w:rPr>
            </w:pPr>
            <w:r>
              <w:rPr>
                <w:rFonts w:ascii="Arial" w:cs="Arial" w:eastAsia="Arial" w:hAnsi="Arial"/>
                <w:sz w:val="15"/>
                <w:szCs w:val="15"/>
                <w:color w:val="auto"/>
                <w:w w:val="98"/>
              </w:rPr>
              <w:t>Amendment No. 1 to the Registration Rights Agreement, dated July 29, 2019 (incorporated by reference to Exhibit 10.1 to the</w:t>
            </w:r>
          </w:p>
        </w:tc>
      </w:tr>
      <w:tr>
        <w:trPr>
          <w:trHeight w:val="164"/>
        </w:trPr>
        <w:tc>
          <w:tcPr>
            <w:tcW w:w="5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780" w:type="dxa"/>
            <w:vAlign w:val="bottom"/>
            <w:tcBorders>
              <w:top w:val="single" w:sz="8" w:color="CCEEFF"/>
            </w:tcBorders>
            <w:shd w:val="clear" w:color="auto" w:fill="CCEEFF"/>
          </w:tcPr>
          <w:p>
            <w:pPr>
              <w:ind w:left="20"/>
              <w:spacing w:after="0" w:line="164" w:lineRule="exact"/>
              <w:rPr>
                <w:sz w:val="20"/>
                <w:szCs w:val="20"/>
                <w:color w:val="auto"/>
              </w:rPr>
            </w:pPr>
            <w:r>
              <w:rPr>
                <w:rFonts w:ascii="Arial" w:cs="Arial" w:eastAsia="Arial" w:hAnsi="Arial"/>
                <w:sz w:val="15"/>
                <w:szCs w:val="15"/>
                <w:color w:val="auto"/>
              </w:rPr>
              <w:t>Registrant’s Current Report on Form 8-K filed on July 30, 2019).</w:t>
            </w:r>
          </w:p>
        </w:tc>
      </w:tr>
      <w:tr>
        <w:trPr>
          <w:trHeight w:val="46"/>
        </w:trPr>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161"/>
        </w:trPr>
        <w:tc>
          <w:tcPr>
            <w:tcW w:w="1000" w:type="dxa"/>
            <w:vAlign w:val="bottom"/>
            <w:gridSpan w:val="4"/>
            <w:shd w:val="clear" w:color="auto" w:fill="CCEEFF"/>
          </w:tcPr>
          <w:p>
            <w:pPr>
              <w:ind w:left="560"/>
              <w:spacing w:after="0" w:line="161" w:lineRule="exact"/>
              <w:rPr>
                <w:rFonts w:ascii="Arial" w:cs="Arial" w:eastAsia="Arial" w:hAnsi="Arial"/>
                <w:sz w:val="15"/>
                <w:szCs w:val="15"/>
                <w:color w:val="0000FF"/>
              </w:rPr>
            </w:pPr>
            <w:hyperlink r:id="rId143">
              <w:r>
                <w:rPr>
                  <w:rFonts w:ascii="Arial" w:cs="Arial" w:eastAsia="Arial" w:hAnsi="Arial"/>
                  <w:sz w:val="15"/>
                  <w:szCs w:val="15"/>
                  <w:color w:val="0000FF"/>
                </w:rPr>
                <w:t>10.</w:t>
              </w:r>
              <w:r>
                <w:rPr>
                  <w:rFonts w:ascii="Arial" w:cs="Arial" w:eastAsia="Arial" w:hAnsi="Arial"/>
                  <w:sz w:val="15"/>
                  <w:szCs w:val="15"/>
                  <w:u w:val="single" w:color="auto"/>
                  <w:color w:val="0000FF"/>
                </w:rPr>
                <w:t>3</w:t>
              </w:r>
            </w:hyperlink>
            <w:r>
              <w:rPr>
                <w:rFonts w:ascii="Arial" w:cs="Arial" w:eastAsia="Arial" w:hAnsi="Arial"/>
                <w:sz w:val="15"/>
                <w:szCs w:val="15"/>
                <w:color w:val="000000"/>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780" w:type="dxa"/>
            <w:vAlign w:val="bottom"/>
            <w:shd w:val="clear" w:color="auto" w:fill="CCEEFF"/>
          </w:tcPr>
          <w:p>
            <w:pPr>
              <w:ind w:left="560"/>
              <w:spacing w:after="0" w:line="161" w:lineRule="exact"/>
              <w:rPr>
                <w:sz w:val="20"/>
                <w:szCs w:val="20"/>
                <w:color w:val="auto"/>
              </w:rPr>
            </w:pPr>
            <w:r>
              <w:rPr>
                <w:rFonts w:ascii="Arial" w:cs="Arial" w:eastAsia="Arial" w:hAnsi="Arial"/>
                <w:sz w:val="15"/>
                <w:szCs w:val="15"/>
                <w:color w:val="auto"/>
                <w:w w:val="99"/>
              </w:rPr>
              <w:t>Registration Rights Agreement Waiver dated August 23, 2019, among Fintech Investor Holdings II, LLC, International Money</w:t>
            </w:r>
          </w:p>
        </w:tc>
      </w:tr>
      <w:tr>
        <w:trPr>
          <w:trHeight w:val="119"/>
        </w:trPr>
        <w:tc>
          <w:tcPr>
            <w:tcW w:w="5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780" w:type="dxa"/>
            <w:vAlign w:val="bottom"/>
            <w:tcBorders>
              <w:top w:val="single" w:sz="8" w:color="CCEEFF"/>
            </w:tcBorders>
            <w:shd w:val="clear" w:color="auto" w:fill="CCEEFF"/>
          </w:tcPr>
          <w:p>
            <w:pPr>
              <w:ind w:left="20"/>
              <w:spacing w:after="0" w:line="119" w:lineRule="exact"/>
              <w:rPr>
                <w:sz w:val="20"/>
                <w:szCs w:val="20"/>
                <w:color w:val="auto"/>
              </w:rPr>
            </w:pPr>
            <w:r>
              <w:rPr>
                <w:rFonts w:ascii="Arial" w:cs="Arial" w:eastAsia="Arial" w:hAnsi="Arial"/>
                <w:sz w:val="13"/>
                <w:szCs w:val="13"/>
                <w:color w:val="auto"/>
              </w:rPr>
              <w:t>Express, Inc. and SPC Intermex, LP (incorporated by reference to Exhibit 10.2 to the Registrant’s Current Report on Form 8-K filed on</w:t>
            </w:r>
          </w:p>
        </w:tc>
      </w:tr>
      <w:tr>
        <w:trPr>
          <w:trHeight w:val="194"/>
        </w:trPr>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August 23, 2019).</w:t>
            </w:r>
          </w:p>
        </w:tc>
      </w:tr>
      <w:tr>
        <w:trPr>
          <w:trHeight w:val="46"/>
        </w:trPr>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161"/>
        </w:trPr>
        <w:tc>
          <w:tcPr>
            <w:tcW w:w="1000" w:type="dxa"/>
            <w:vAlign w:val="bottom"/>
            <w:gridSpan w:val="4"/>
            <w:shd w:val="clear" w:color="auto" w:fill="CCEEFF"/>
          </w:tcPr>
          <w:p>
            <w:pPr>
              <w:ind w:left="560"/>
              <w:spacing w:after="0" w:line="161" w:lineRule="exact"/>
              <w:rPr>
                <w:rFonts w:ascii="Arial" w:cs="Arial" w:eastAsia="Arial" w:hAnsi="Arial"/>
                <w:sz w:val="15"/>
                <w:szCs w:val="15"/>
                <w:color w:val="0000FF"/>
              </w:rPr>
            </w:pPr>
            <w:hyperlink r:id="rId144">
              <w:r>
                <w:rPr>
                  <w:rFonts w:ascii="Arial" w:cs="Arial" w:eastAsia="Arial" w:hAnsi="Arial"/>
                  <w:sz w:val="15"/>
                  <w:szCs w:val="15"/>
                  <w:color w:val="0000FF"/>
                </w:rPr>
                <w:t>10.</w:t>
              </w:r>
              <w:r>
                <w:rPr>
                  <w:rFonts w:ascii="Arial" w:cs="Arial" w:eastAsia="Arial" w:hAnsi="Arial"/>
                  <w:sz w:val="15"/>
                  <w:szCs w:val="15"/>
                  <w:u w:val="single" w:color="auto"/>
                  <w:color w:val="0000FF"/>
                </w:rPr>
                <w:t>4</w:t>
              </w:r>
            </w:hyperlink>
            <w:r>
              <w:rPr>
                <w:rFonts w:ascii="Arial" w:cs="Arial" w:eastAsia="Arial" w:hAnsi="Arial"/>
                <w:sz w:val="15"/>
                <w:szCs w:val="15"/>
                <w:color w:val="000000"/>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780" w:type="dxa"/>
            <w:vAlign w:val="bottom"/>
            <w:shd w:val="clear" w:color="auto" w:fill="CCEEFF"/>
          </w:tcPr>
          <w:p>
            <w:pPr>
              <w:ind w:left="560"/>
              <w:spacing w:after="0" w:line="161" w:lineRule="exact"/>
              <w:rPr>
                <w:sz w:val="20"/>
                <w:szCs w:val="20"/>
                <w:color w:val="auto"/>
              </w:rPr>
            </w:pPr>
            <w:r>
              <w:rPr>
                <w:rFonts w:ascii="Arial" w:cs="Arial" w:eastAsia="Arial" w:hAnsi="Arial"/>
                <w:sz w:val="15"/>
                <w:szCs w:val="15"/>
                <w:color w:val="auto"/>
                <w:w w:val="96"/>
              </w:rPr>
              <w:t>Settlement Agreement and Release, dated March 16, 2020, among Stuart Sawyer, on behalf of himself and all Settlement Class</w:t>
            </w:r>
          </w:p>
        </w:tc>
      </w:tr>
      <w:tr>
        <w:trPr>
          <w:trHeight w:val="119"/>
        </w:trPr>
        <w:tc>
          <w:tcPr>
            <w:tcW w:w="5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780" w:type="dxa"/>
            <w:vAlign w:val="bottom"/>
            <w:tcBorders>
              <w:top w:val="single" w:sz="8" w:color="CCEEFF"/>
            </w:tcBorders>
            <w:shd w:val="clear" w:color="auto" w:fill="CCEEFF"/>
          </w:tcPr>
          <w:p>
            <w:pPr>
              <w:ind w:left="20"/>
              <w:spacing w:after="0" w:line="119" w:lineRule="exact"/>
              <w:rPr>
                <w:sz w:val="20"/>
                <w:szCs w:val="20"/>
                <w:color w:val="auto"/>
              </w:rPr>
            </w:pPr>
            <w:r>
              <w:rPr>
                <w:rFonts w:ascii="Arial" w:cs="Arial" w:eastAsia="Arial" w:hAnsi="Arial"/>
                <w:sz w:val="13"/>
                <w:szCs w:val="13"/>
                <w:color w:val="auto"/>
              </w:rPr>
              <w:t>Members, and Intermex Wire Transfer, LLC (incorporated by reference to Exhibit 10.1 to the Registrant’s Current Report on Form 8-K filed</w:t>
            </w:r>
          </w:p>
        </w:tc>
      </w:tr>
      <w:tr>
        <w:trPr>
          <w:trHeight w:val="194"/>
        </w:trPr>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on March 19,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29210</wp:posOffset>
            </wp:positionV>
            <wp:extent cx="6322695" cy="2476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5">
                      <a:extLst>
                        <a:ext uri="{28A0092B-C50C-407E-A947-70E740481C1C}"/>
                      </a:extLst>
                    </a:blip>
                    <a:srcRect/>
                    <a:stretch>
                      <a:fillRect/>
                    </a:stretch>
                  </pic:blipFill>
                  <pic:spPr bwMode="auto">
                    <a:xfrm>
                      <a:off x="0" y="0"/>
                      <a:ext cx="6322695" cy="247650"/>
                    </a:xfrm>
                    <a:prstGeom prst="rect">
                      <a:avLst/>
                    </a:prstGeom>
                    <a:noFill/>
                  </pic:spPr>
                </pic:pic>
              </a:graphicData>
            </a:graphic>
          </wp:anchor>
        </w:drawing>
      </w:r>
    </w:p>
    <w:p>
      <w:pPr>
        <w:sectPr>
          <w:pgSz w:w="11900" w:h="16963" w:orient="portrait"/>
          <w:cols w:equalWidth="0" w:num="1">
            <w:col w:w="11240"/>
          </w:cols>
          <w:pgMar w:left="320" w:top="129" w:right="339" w:bottom="0" w:gutter="0" w:footer="0" w:header="0"/>
        </w:sectPr>
      </w:pPr>
    </w:p>
    <w:p>
      <w:pPr>
        <w:spacing w:after="0" w:line="47" w:lineRule="exact"/>
        <w:rPr>
          <w:sz w:val="20"/>
          <w:szCs w:val="20"/>
          <w:color w:val="auto"/>
        </w:rPr>
      </w:pPr>
    </w:p>
    <w:p>
      <w:pPr>
        <w:ind w:left="1100"/>
        <w:spacing w:after="0"/>
        <w:rPr>
          <w:rFonts w:ascii="Arial" w:cs="Arial" w:eastAsia="Arial" w:hAnsi="Arial"/>
          <w:sz w:val="15"/>
          <w:szCs w:val="15"/>
          <w:color w:val="0000FF"/>
        </w:rPr>
      </w:pPr>
      <w:hyperlink r:id="rId146">
        <w:r>
          <w:rPr>
            <w:rFonts w:ascii="Arial" w:cs="Arial" w:eastAsia="Arial" w:hAnsi="Arial"/>
            <w:sz w:val="15"/>
            <w:szCs w:val="15"/>
            <w:u w:val="single" w:color="auto"/>
            <w:color w:val="0000FF"/>
          </w:rPr>
          <w:t>10.5</w:t>
        </w:r>
      </w:hyperlink>
      <w:r>
        <w:rPr>
          <w:rFonts w:ascii="Arial" w:cs="Arial" w:eastAsia="Arial" w:hAnsi="Arial"/>
          <w:sz w:val="15"/>
          <w:szCs w:val="15"/>
          <w:color w:val="000000"/>
        </w:rPr>
        <w:t>**†</w:t>
      </w:r>
    </w:p>
    <w:p>
      <w:pPr>
        <w:spacing w:after="0" w:line="263" w:lineRule="exact"/>
        <w:rPr>
          <w:sz w:val="20"/>
          <w:szCs w:val="20"/>
          <w:color w:val="auto"/>
        </w:rPr>
      </w:pPr>
    </w:p>
    <w:p>
      <w:pPr>
        <w:ind w:left="1100"/>
        <w:spacing w:after="0"/>
        <w:rPr>
          <w:rFonts w:ascii="Arial" w:cs="Arial" w:eastAsia="Arial" w:hAnsi="Arial"/>
          <w:sz w:val="15"/>
          <w:szCs w:val="15"/>
          <w:color w:val="0000FF"/>
        </w:rPr>
      </w:pPr>
      <w:hyperlink r:id="rId147">
        <w:r>
          <w:rPr>
            <w:rFonts w:ascii="Arial" w:cs="Arial" w:eastAsia="Arial" w:hAnsi="Arial"/>
            <w:sz w:val="15"/>
            <w:szCs w:val="15"/>
            <w:u w:val="single" w:color="auto"/>
            <w:color w:val="0000FF"/>
          </w:rPr>
          <w:t>10.6</w:t>
        </w:r>
      </w:hyperlink>
      <w:r>
        <w:rPr>
          <w:rFonts w:ascii="Arial" w:cs="Arial" w:eastAsia="Arial" w:hAnsi="Arial"/>
          <w:sz w:val="15"/>
          <w:szCs w:val="15"/>
          <w:color w:val="000000"/>
        </w:rPr>
        <w:t>**†</w:t>
      </w:r>
    </w:p>
    <w:p>
      <w:pPr>
        <w:spacing w:after="0" w:line="200" w:lineRule="exact"/>
        <w:rPr>
          <w:sz w:val="20"/>
          <w:szCs w:val="20"/>
          <w:color w:val="auto"/>
        </w:rPr>
      </w:pPr>
    </w:p>
    <w:p>
      <w:pPr>
        <w:spacing w:after="0" w:line="235" w:lineRule="exact"/>
        <w:rPr>
          <w:sz w:val="20"/>
          <w:szCs w:val="20"/>
          <w:color w:val="auto"/>
        </w:rPr>
      </w:pPr>
    </w:p>
    <w:p>
      <w:pPr>
        <w:ind w:left="1100"/>
        <w:spacing w:after="0"/>
        <w:rPr>
          <w:rFonts w:ascii="Arial" w:cs="Arial" w:eastAsia="Arial" w:hAnsi="Arial"/>
          <w:sz w:val="15"/>
          <w:szCs w:val="15"/>
          <w:color w:val="0000FF"/>
        </w:rPr>
      </w:pPr>
      <w:hyperlink r:id="rId148">
        <w:r>
          <w:rPr>
            <w:rFonts w:ascii="Arial" w:cs="Arial" w:eastAsia="Arial" w:hAnsi="Arial"/>
            <w:sz w:val="15"/>
            <w:szCs w:val="15"/>
            <w:u w:val="single" w:color="auto"/>
            <w:color w:val="0000FF"/>
          </w:rPr>
          <w:t>10.7</w:t>
        </w:r>
      </w:hyperlink>
      <w:r>
        <w:rPr>
          <w:rFonts w:ascii="Arial" w:cs="Arial" w:eastAsia="Arial" w:hAnsi="Arial"/>
          <w:sz w:val="15"/>
          <w:szCs w:val="15"/>
          <w:color w:val="000000"/>
        </w:rPr>
        <w:t>**†</w:t>
      </w:r>
    </w:p>
    <w:p>
      <w:pPr>
        <w:spacing w:after="0" w:line="200" w:lineRule="exact"/>
        <w:rPr>
          <w:sz w:val="20"/>
          <w:szCs w:val="20"/>
          <w:color w:val="auto"/>
        </w:rPr>
      </w:pPr>
    </w:p>
    <w:p>
      <w:pPr>
        <w:spacing w:after="0" w:line="235" w:lineRule="exact"/>
        <w:rPr>
          <w:sz w:val="20"/>
          <w:szCs w:val="20"/>
          <w:color w:val="auto"/>
        </w:rPr>
      </w:pPr>
    </w:p>
    <w:p>
      <w:pPr>
        <w:ind w:left="1100"/>
        <w:spacing w:after="0"/>
        <w:rPr>
          <w:rFonts w:ascii="Arial" w:cs="Arial" w:eastAsia="Arial" w:hAnsi="Arial"/>
          <w:sz w:val="15"/>
          <w:szCs w:val="15"/>
          <w:color w:val="0000FF"/>
        </w:rPr>
      </w:pPr>
      <w:hyperlink r:id="rId149">
        <w:r>
          <w:rPr>
            <w:rFonts w:ascii="Arial" w:cs="Arial" w:eastAsia="Arial" w:hAnsi="Arial"/>
            <w:sz w:val="15"/>
            <w:szCs w:val="15"/>
            <w:u w:val="single" w:color="auto"/>
            <w:color w:val="0000FF"/>
          </w:rPr>
          <w:t>10.8</w:t>
        </w:r>
      </w:hyperlink>
      <w:r>
        <w:rPr>
          <w:rFonts w:ascii="Arial" w:cs="Arial" w:eastAsia="Arial" w:hAnsi="Arial"/>
          <w:sz w:val="15"/>
          <w:szCs w:val="15"/>
          <w:color w:val="000000"/>
        </w:rPr>
        <w:t>**†</w:t>
      </w:r>
    </w:p>
    <w:p>
      <w:pPr>
        <w:spacing w:after="0" w:line="200" w:lineRule="exact"/>
        <w:rPr>
          <w:sz w:val="20"/>
          <w:szCs w:val="20"/>
          <w:color w:val="auto"/>
        </w:rPr>
      </w:pPr>
    </w:p>
    <w:p>
      <w:pPr>
        <w:spacing w:after="0" w:line="235" w:lineRule="exact"/>
        <w:rPr>
          <w:sz w:val="20"/>
          <w:szCs w:val="20"/>
          <w:color w:val="auto"/>
        </w:rPr>
      </w:pPr>
    </w:p>
    <w:p>
      <w:pPr>
        <w:ind w:left="1100"/>
        <w:spacing w:after="0"/>
        <w:rPr>
          <w:rFonts w:ascii="Arial" w:cs="Arial" w:eastAsia="Arial" w:hAnsi="Arial"/>
          <w:sz w:val="15"/>
          <w:szCs w:val="15"/>
          <w:color w:val="0000FF"/>
        </w:rPr>
      </w:pPr>
      <w:hyperlink r:id="rId150">
        <w:r>
          <w:rPr>
            <w:rFonts w:ascii="Arial" w:cs="Arial" w:eastAsia="Arial" w:hAnsi="Arial"/>
            <w:sz w:val="15"/>
            <w:szCs w:val="15"/>
            <w:u w:val="single" w:color="auto"/>
            <w:color w:val="0000FF"/>
          </w:rPr>
          <w:t>10.9</w:t>
        </w:r>
      </w:hyperlink>
      <w:r>
        <w:rPr>
          <w:rFonts w:ascii="Arial" w:cs="Arial" w:eastAsia="Arial" w:hAnsi="Arial"/>
          <w:sz w:val="15"/>
          <w:szCs w:val="15"/>
          <w:color w:val="000000"/>
        </w:rPr>
        <w:t>**†</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right="1080" w:firstLine="551"/>
        <w:spacing w:after="0" w:line="269" w:lineRule="auto"/>
        <w:rPr>
          <w:sz w:val="20"/>
          <w:szCs w:val="20"/>
          <w:color w:val="auto"/>
        </w:rPr>
      </w:pPr>
      <w:r>
        <w:rPr>
          <w:rFonts w:ascii="Arial" w:cs="Arial" w:eastAsia="Arial" w:hAnsi="Arial"/>
          <w:sz w:val="15"/>
          <w:szCs w:val="15"/>
          <w:color w:val="auto"/>
        </w:rPr>
        <w:t>International Money Express, Inc. 2018 Omnibus Equity Compensation Plan (incorporated by reference to Exhibit 10.3(a) to the Registrant’s Registration Statement on Form S-1 filed on September 28, 2018 (File No. 333-226948)).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23495</wp:posOffset>
            </wp:positionV>
            <wp:extent cx="6322695" cy="3568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6322695" cy="356870"/>
                    </a:xfrm>
                    <a:prstGeom prst="rect">
                      <a:avLst/>
                    </a:prstGeom>
                    <a:noFill/>
                  </pic:spPr>
                </pic:pic>
              </a:graphicData>
            </a:graphic>
          </wp:anchor>
        </w:drawing>
      </w:r>
    </w:p>
    <w:p>
      <w:pPr>
        <w:spacing w:after="0" w:line="29" w:lineRule="exact"/>
        <w:rPr>
          <w:sz w:val="20"/>
          <w:szCs w:val="20"/>
          <w:color w:val="auto"/>
        </w:rPr>
      </w:pPr>
    </w:p>
    <w:p>
      <w:pPr>
        <w:jc w:val="both"/>
        <w:ind w:right="1160" w:firstLine="551"/>
        <w:spacing w:after="0" w:line="254" w:lineRule="auto"/>
        <w:rPr>
          <w:sz w:val="20"/>
          <w:szCs w:val="20"/>
          <w:color w:val="auto"/>
        </w:rPr>
      </w:pPr>
      <w:r>
        <w:rPr>
          <w:rFonts w:ascii="Arial" w:cs="Arial" w:eastAsia="Arial" w:hAnsi="Arial"/>
          <w:sz w:val="15"/>
          <w:szCs w:val="15"/>
          <w:color w:val="auto"/>
        </w:rPr>
        <w:t>Form of Nonqualified Stock Option Agreement (Robert Lisy) pursuant to the International Money Express, Inc. 2018 Omnibus Equity Compensation Plan (incorporated by reference to Exhibit 10.4(f) to the Registrant’s Registration Statement on Form S-1 filed on September 28, 2018 (File No. 333-226948)).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30480</wp:posOffset>
            </wp:positionV>
            <wp:extent cx="6322695" cy="3568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6322695" cy="356870"/>
                    </a:xfrm>
                    <a:prstGeom prst="rect">
                      <a:avLst/>
                    </a:prstGeom>
                    <a:noFill/>
                  </pic:spPr>
                </pic:pic>
              </a:graphicData>
            </a:graphic>
          </wp:anchor>
        </w:drawing>
      </w:r>
    </w:p>
    <w:p>
      <w:pPr>
        <w:spacing w:after="0" w:line="40" w:lineRule="exact"/>
        <w:rPr>
          <w:sz w:val="20"/>
          <w:szCs w:val="20"/>
          <w:color w:val="auto"/>
        </w:rPr>
      </w:pPr>
    </w:p>
    <w:p>
      <w:pPr>
        <w:ind w:right="920" w:firstLine="551"/>
        <w:spacing w:after="0" w:line="254" w:lineRule="auto"/>
        <w:rPr>
          <w:sz w:val="20"/>
          <w:szCs w:val="20"/>
          <w:color w:val="auto"/>
        </w:rPr>
      </w:pPr>
      <w:r>
        <w:rPr>
          <w:rFonts w:ascii="Arial" w:cs="Arial" w:eastAsia="Arial" w:hAnsi="Arial"/>
          <w:sz w:val="15"/>
          <w:szCs w:val="15"/>
          <w:color w:val="auto"/>
        </w:rPr>
        <w:t>Form of Nonqualified Stock Option Agreement pursuant to the International Money Express, Inc. 2018 Omnibus Equity Compensation Plan (incorporated by reference to Exhibit 10.4(b) to the Registrant’s Registration Statement on Form S-1 filed on September 28, 2018 (File No. 333-226948)).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30480</wp:posOffset>
            </wp:positionV>
            <wp:extent cx="6322695" cy="3568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6322695" cy="356870"/>
                    </a:xfrm>
                    <a:prstGeom prst="rect">
                      <a:avLst/>
                    </a:prstGeom>
                    <a:noFill/>
                  </pic:spPr>
                </pic:pic>
              </a:graphicData>
            </a:graphic>
          </wp:anchor>
        </w:drawing>
      </w:r>
    </w:p>
    <w:p>
      <w:pPr>
        <w:spacing w:after="0" w:line="40" w:lineRule="exact"/>
        <w:rPr>
          <w:sz w:val="20"/>
          <w:szCs w:val="20"/>
          <w:color w:val="auto"/>
        </w:rPr>
      </w:pPr>
    </w:p>
    <w:p>
      <w:pPr>
        <w:ind w:right="860" w:firstLine="551"/>
        <w:spacing w:after="0" w:line="254" w:lineRule="auto"/>
        <w:rPr>
          <w:sz w:val="20"/>
          <w:szCs w:val="20"/>
          <w:color w:val="auto"/>
        </w:rPr>
      </w:pPr>
      <w:r>
        <w:rPr>
          <w:rFonts w:ascii="Arial" w:cs="Arial" w:eastAsia="Arial" w:hAnsi="Arial"/>
          <w:sz w:val="15"/>
          <w:szCs w:val="15"/>
          <w:color w:val="auto"/>
        </w:rPr>
        <w:t>Form of Incentive Stock Option Award pursuant to the International Money Express, Inc. 2018 Omnibus Equity Compensation Plan (incorporated by reference to Exhibit 10.4(a) to the Registrant’s Registration Statement on Form S-1 filed on September 28, 2018 (File No. 333-226948)).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30480</wp:posOffset>
            </wp:positionV>
            <wp:extent cx="6322695" cy="2476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6322695" cy="247650"/>
                    </a:xfrm>
                    <a:prstGeom prst="rect">
                      <a:avLst/>
                    </a:prstGeom>
                    <a:noFill/>
                  </pic:spPr>
                </pic:pic>
              </a:graphicData>
            </a:graphic>
          </wp:anchor>
        </w:drawing>
      </w:r>
    </w:p>
    <w:p>
      <w:pPr>
        <w:spacing w:after="0" w:line="40" w:lineRule="exact"/>
        <w:rPr>
          <w:sz w:val="20"/>
          <w:szCs w:val="20"/>
          <w:color w:val="auto"/>
        </w:rPr>
      </w:pPr>
    </w:p>
    <w:p>
      <w:pPr>
        <w:ind w:right="1460" w:firstLine="551"/>
        <w:spacing w:after="0" w:line="340" w:lineRule="auto"/>
        <w:rPr>
          <w:sz w:val="20"/>
          <w:szCs w:val="20"/>
          <w:color w:val="auto"/>
        </w:rPr>
      </w:pPr>
      <w:r>
        <w:rPr>
          <w:rFonts w:ascii="Arial" w:cs="Arial" w:eastAsia="Arial" w:hAnsi="Arial"/>
          <w:sz w:val="13"/>
          <w:szCs w:val="13"/>
          <w:color w:val="auto"/>
        </w:rPr>
        <w:t>International Money Express, Inc. 2020 Omnibus Equity Compensation Plan (incorporated by reference to Annex A to the Registrant’s Definitive Proxy Statement on Schedule 14A filed with the Securities and Exchange Commission on May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0</wp:posOffset>
            </wp:positionV>
            <wp:extent cx="6322695" cy="1943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6322695" cy="194310"/>
                    </a:xfrm>
                    <a:prstGeom prst="rect">
                      <a:avLst/>
                    </a:prstGeom>
                    <a:noFill/>
                  </pic:spPr>
                </pic:pic>
              </a:graphicData>
            </a:graphic>
          </wp:anchor>
        </w:drawing>
      </w:r>
    </w:p>
    <w:p>
      <w:pPr>
        <w:spacing w:after="0" w:line="1" w:lineRule="exact"/>
        <w:rPr>
          <w:sz w:val="20"/>
          <w:szCs w:val="20"/>
          <w:color w:val="auto"/>
        </w:rPr>
      </w:pPr>
    </w:p>
    <w:p>
      <w:pPr>
        <w:sectPr>
          <w:pgSz w:w="11900" w:h="16963" w:orient="portrait"/>
          <w:cols w:equalWidth="0" w:num="2">
            <w:col w:w="1600" w:space="140"/>
            <w:col w:w="9500"/>
          </w:cols>
          <w:pgMar w:left="320" w:top="129" w:right="339" w:bottom="0" w:gutter="0" w:footer="0" w:header="0"/>
          <w:type w:val="continuous"/>
        </w:sectPr>
      </w:pPr>
    </w:p>
    <w:p>
      <w:pPr>
        <w:ind w:left="1100"/>
        <w:spacing w:after="0"/>
        <w:tabs>
          <w:tab w:leader="none" w:pos="2260" w:val="left"/>
        </w:tabs>
        <w:rPr>
          <w:rFonts w:ascii="Arial" w:cs="Arial" w:eastAsia="Arial" w:hAnsi="Arial"/>
          <w:sz w:val="15"/>
          <w:szCs w:val="15"/>
          <w:color w:val="0000FF"/>
        </w:rPr>
      </w:pPr>
      <w:hyperlink r:id="rId150">
        <w:r>
          <w:rPr>
            <w:rFonts w:ascii="Arial" w:cs="Arial" w:eastAsia="Arial" w:hAnsi="Arial"/>
            <w:sz w:val="15"/>
            <w:szCs w:val="15"/>
            <w:u w:val="single" w:color="auto"/>
            <w:color w:val="0000FF"/>
          </w:rPr>
          <w:t>10.10</w:t>
        </w:r>
      </w:hyperlink>
      <w:r>
        <w:rPr>
          <w:rFonts w:ascii="Arial" w:cs="Arial" w:eastAsia="Arial" w:hAnsi="Arial"/>
          <w:sz w:val="15"/>
          <w:szCs w:val="15"/>
          <w:color w:val="000000"/>
        </w:rPr>
        <w:t>**†</w:t>
      </w:r>
      <w:r>
        <w:rPr>
          <w:rFonts w:ascii="Arial" w:cs="Arial" w:eastAsia="Arial" w:hAnsi="Arial"/>
          <w:sz w:val="15"/>
          <w:szCs w:val="15"/>
          <w:color w:val="0000FF"/>
        </w:rPr>
        <w:tab/>
      </w:r>
      <w:r>
        <w:rPr>
          <w:rFonts w:ascii="Arial" w:cs="Arial" w:eastAsia="Arial" w:hAnsi="Arial"/>
          <w:sz w:val="13"/>
          <w:szCs w:val="13"/>
          <w:color w:val="0000FF"/>
        </w:rPr>
        <w:t>International Money Express, Inc. 2020 Employee Stock Purchase Plan (incorporated by reference to Annex B to the Registrant’s</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Definitive Proxy Statement on Schedule 14A filed with the Securities and Exchange Commission on May 15 2020)</w:t>
      </w:r>
    </w:p>
    <w:p>
      <w:pPr>
        <w:sectPr>
          <w:pgSz w:w="11900" w:h="16963" w:orient="portrait"/>
          <w:cols w:equalWidth="0" w:num="1">
            <w:col w:w="11240"/>
          </w:cols>
          <w:pgMar w:left="320" w:top="129" w:right="339" w:bottom="0" w:gutter="0" w:footer="0" w:header="0"/>
          <w:type w:val="continuous"/>
        </w:sectPr>
      </w:pPr>
    </w:p>
    <w:bookmarkStart w:id="93" w:name="page94"/>
    <w:bookmarkEnd w:id="93"/>
    <w:tbl>
      <w:tblPr>
        <w:tblLayout w:type="fixed"/>
        <w:tblInd w:w="280" w:type="dxa"/>
        <w:tblCellMar>
          <w:top w:w="0" w:type="dxa"/>
          <w:left w:w="0" w:type="dxa"/>
          <w:bottom w:w="0" w:type="dxa"/>
          <w:right w:w="0" w:type="dxa"/>
        </w:tblCellMar>
      </w:tblPr>
      <w:tr>
        <w:trPr>
          <w:trHeight w:val="192"/>
        </w:trPr>
        <w:tc>
          <w:tcPr>
            <w:tcW w:w="1180" w:type="dxa"/>
            <w:vAlign w:val="bottom"/>
            <w:gridSpan w:val="5"/>
            <w:shd w:val="clear" w:color="auto" w:fill="CCEEFF"/>
          </w:tcPr>
          <w:p>
            <w:pPr>
              <w:ind w:left="560"/>
              <w:spacing w:after="0"/>
              <w:rPr>
                <w:rFonts w:ascii="Arial" w:cs="Arial" w:eastAsia="Arial" w:hAnsi="Arial"/>
                <w:sz w:val="15"/>
                <w:szCs w:val="15"/>
                <w:color w:val="0000FF"/>
              </w:rPr>
            </w:pPr>
            <w:hyperlink r:id="rId156">
              <w:r>
                <w:rPr>
                  <w:rFonts w:ascii="Arial" w:cs="Arial" w:eastAsia="Arial" w:hAnsi="Arial"/>
                  <w:sz w:val="15"/>
                  <w:szCs w:val="15"/>
                  <w:color w:val="0000FF"/>
                </w:rPr>
                <w:t>10.</w:t>
              </w:r>
              <w:r>
                <w:rPr>
                  <w:rFonts w:ascii="Arial" w:cs="Arial" w:eastAsia="Arial" w:hAnsi="Arial"/>
                  <w:sz w:val="15"/>
                  <w:szCs w:val="15"/>
                  <w:u w:val="single" w:color="auto"/>
                  <w:color w:val="0000FF"/>
                </w:rPr>
                <w:t>11</w:t>
              </w:r>
            </w:hyperlink>
            <w:r>
              <w:rPr>
                <w:rFonts w:ascii="Arial" w:cs="Arial" w:eastAsia="Arial" w:hAnsi="Arial"/>
                <w:sz w:val="15"/>
                <w:szCs w:val="15"/>
                <w:color w:val="000000"/>
              </w:rPr>
              <w:t>**†</w:t>
            </w:r>
          </w:p>
        </w:tc>
        <w:tc>
          <w:tcPr>
            <w:tcW w:w="8780" w:type="dxa"/>
            <w:vAlign w:val="bottom"/>
            <w:shd w:val="clear" w:color="auto" w:fill="CCEEFF"/>
          </w:tcPr>
          <w:p>
            <w:pPr>
              <w:ind w:left="560"/>
              <w:spacing w:after="0"/>
              <w:rPr>
                <w:sz w:val="20"/>
                <w:szCs w:val="20"/>
                <w:color w:val="auto"/>
              </w:rPr>
            </w:pPr>
            <w:r>
              <w:rPr>
                <w:rFonts w:ascii="Arial" w:cs="Arial" w:eastAsia="Arial" w:hAnsi="Arial"/>
                <w:sz w:val="15"/>
                <w:szCs w:val="15"/>
                <w:color w:val="auto"/>
              </w:rPr>
              <w:t>Form of Non-Qualified Stock Option Agreement pursuant to the International Money Express, Inc. 2020 Omnibus Equity</w:t>
            </w:r>
          </w:p>
        </w:tc>
      </w:tr>
      <w:tr>
        <w:trPr>
          <w:trHeight w:val="209"/>
        </w:trPr>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5"/>
              </w:rPr>
              <w:t>Compensation Plan (incorporated by reference to Exhibit 10.3 to the Registrant’s Quarterly Report on Form 10-Q filed on August 6, 2020).</w:t>
            </w:r>
          </w:p>
        </w:tc>
      </w:tr>
      <w:tr>
        <w:trPr>
          <w:trHeight w:val="46"/>
        </w:trPr>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161"/>
        </w:trPr>
        <w:tc>
          <w:tcPr>
            <w:tcW w:w="1180" w:type="dxa"/>
            <w:vAlign w:val="bottom"/>
            <w:gridSpan w:val="5"/>
            <w:shd w:val="clear" w:color="auto" w:fill="CCEEFF"/>
          </w:tcPr>
          <w:p>
            <w:pPr>
              <w:ind w:left="560"/>
              <w:spacing w:after="0" w:line="141" w:lineRule="exact"/>
              <w:rPr>
                <w:rFonts w:ascii="Arial" w:cs="Arial" w:eastAsia="Arial" w:hAnsi="Arial"/>
                <w:sz w:val="15"/>
                <w:szCs w:val="15"/>
                <w:color w:val="0000FF"/>
              </w:rPr>
            </w:pPr>
            <w:hyperlink r:id="rId157">
              <w:r>
                <w:rPr>
                  <w:rFonts w:ascii="Arial" w:cs="Arial" w:eastAsia="Arial" w:hAnsi="Arial"/>
                  <w:sz w:val="15"/>
                  <w:szCs w:val="15"/>
                  <w:color w:val="0000FF"/>
                </w:rPr>
                <w:t>10.</w:t>
              </w:r>
              <w:r>
                <w:rPr>
                  <w:rFonts w:ascii="Arial" w:cs="Arial" w:eastAsia="Arial" w:hAnsi="Arial"/>
                  <w:sz w:val="15"/>
                  <w:szCs w:val="15"/>
                  <w:u w:val="single" w:color="auto"/>
                  <w:color w:val="0000FF"/>
                </w:rPr>
                <w:t>12</w:t>
              </w:r>
            </w:hyperlink>
            <w:r>
              <w:rPr>
                <w:rFonts w:ascii="Arial" w:cs="Arial" w:eastAsia="Arial" w:hAnsi="Arial"/>
                <w:sz w:val="15"/>
                <w:szCs w:val="15"/>
                <w:color w:val="000000"/>
              </w:rPr>
              <w:t>**†</w:t>
            </w:r>
          </w:p>
        </w:tc>
        <w:tc>
          <w:tcPr>
            <w:tcW w:w="8780" w:type="dxa"/>
            <w:vAlign w:val="bottom"/>
            <w:shd w:val="clear" w:color="auto" w:fill="CCEEFF"/>
          </w:tcPr>
          <w:p>
            <w:pPr>
              <w:ind w:left="560"/>
              <w:spacing w:after="0" w:line="141" w:lineRule="exact"/>
              <w:rPr>
                <w:sz w:val="20"/>
                <w:szCs w:val="20"/>
                <w:color w:val="auto"/>
              </w:rPr>
            </w:pPr>
            <w:r>
              <w:rPr>
                <w:rFonts w:ascii="Arial" w:cs="Arial" w:eastAsia="Arial" w:hAnsi="Arial"/>
                <w:sz w:val="15"/>
                <w:szCs w:val="15"/>
                <w:color w:val="auto"/>
                <w:w w:val="99"/>
              </w:rPr>
              <w:t>Form of RSU Agreement (Non-Employee Directors) pursuant to the International Money Express, Inc. 2020 Omnibus Equity</w:t>
            </w:r>
          </w:p>
        </w:tc>
      </w:tr>
      <w:tr>
        <w:trPr>
          <w:trHeight w:val="209"/>
        </w:trPr>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5"/>
              </w:rPr>
              <w:t>Compensation Plan (incorporated by reference to Exhibit 10.4 to the Registrant’s Quarterly Report on Form 10-Q filed on August 6, 2020).</w:t>
            </w:r>
          </w:p>
        </w:tc>
      </w:tr>
      <w:tr>
        <w:trPr>
          <w:trHeight w:val="46"/>
        </w:trPr>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161"/>
        </w:trPr>
        <w:tc>
          <w:tcPr>
            <w:tcW w:w="1180" w:type="dxa"/>
            <w:vAlign w:val="bottom"/>
            <w:gridSpan w:val="5"/>
            <w:shd w:val="clear" w:color="auto" w:fill="CCEEFF"/>
          </w:tcPr>
          <w:p>
            <w:pPr>
              <w:ind w:left="560"/>
              <w:spacing w:after="0" w:line="161" w:lineRule="exact"/>
              <w:rPr>
                <w:rFonts w:ascii="Arial" w:cs="Arial" w:eastAsia="Arial" w:hAnsi="Arial"/>
                <w:sz w:val="15"/>
                <w:szCs w:val="15"/>
                <w:color w:val="0000FF"/>
              </w:rPr>
            </w:pPr>
            <w:hyperlink r:id="rId158">
              <w:r>
                <w:rPr>
                  <w:rFonts w:ascii="Arial" w:cs="Arial" w:eastAsia="Arial" w:hAnsi="Arial"/>
                  <w:sz w:val="15"/>
                  <w:szCs w:val="15"/>
                  <w:color w:val="0000FF"/>
                </w:rPr>
                <w:t>10.</w:t>
              </w:r>
              <w:r>
                <w:rPr>
                  <w:rFonts w:ascii="Arial" w:cs="Arial" w:eastAsia="Arial" w:hAnsi="Arial"/>
                  <w:sz w:val="15"/>
                  <w:szCs w:val="15"/>
                  <w:u w:val="single" w:color="auto"/>
                  <w:color w:val="0000FF"/>
                </w:rPr>
                <w:t>13</w:t>
              </w:r>
            </w:hyperlink>
            <w:r>
              <w:rPr>
                <w:rFonts w:ascii="Arial" w:cs="Arial" w:eastAsia="Arial" w:hAnsi="Arial"/>
                <w:sz w:val="15"/>
                <w:szCs w:val="15"/>
                <w:color w:val="000000"/>
              </w:rPr>
              <w:t>**†</w:t>
            </w:r>
          </w:p>
        </w:tc>
        <w:tc>
          <w:tcPr>
            <w:tcW w:w="8780" w:type="dxa"/>
            <w:vAlign w:val="bottom"/>
            <w:shd w:val="clear" w:color="auto" w:fill="CCEEFF"/>
          </w:tcPr>
          <w:p>
            <w:pPr>
              <w:ind w:left="560"/>
              <w:spacing w:after="0" w:line="161" w:lineRule="exact"/>
              <w:rPr>
                <w:sz w:val="20"/>
                <w:szCs w:val="20"/>
                <w:color w:val="auto"/>
              </w:rPr>
            </w:pPr>
            <w:r>
              <w:rPr>
                <w:rFonts w:ascii="Arial" w:cs="Arial" w:eastAsia="Arial" w:hAnsi="Arial"/>
                <w:sz w:val="15"/>
                <w:szCs w:val="15"/>
                <w:color w:val="auto"/>
                <w:w w:val="94"/>
              </w:rPr>
              <w:t>Form of RSU Agreement (Employees) pursuant to the International Money Express, Inc. 2020 Omnibus Equity Compensation Plan</w:t>
            </w:r>
          </w:p>
        </w:tc>
      </w:tr>
      <w:tr>
        <w:trPr>
          <w:trHeight w:val="186"/>
        </w:trPr>
        <w:tc>
          <w:tcPr>
            <w:tcW w:w="5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0000FF"/>
            </w:tcBorders>
            <w:shd w:val="clear" w:color="auto" w:fill="CCEEFF"/>
          </w:tcPr>
          <w:p>
            <w:pPr>
              <w:spacing w:after="0"/>
              <w:rPr>
                <w:sz w:val="16"/>
                <w:szCs w:val="16"/>
                <w:color w:val="auto"/>
              </w:rPr>
            </w:pPr>
          </w:p>
        </w:tc>
        <w:tc>
          <w:tcPr>
            <w:tcW w:w="6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(incorporated by reference to Exhibit 10.17 to the Registrant’s Annual Report on Form 10-K filed on March 15, 2021).</w:t>
            </w:r>
          </w:p>
        </w:tc>
      </w:tr>
      <w:tr>
        <w:trPr>
          <w:trHeight w:val="46"/>
        </w:trPr>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161"/>
        </w:trPr>
        <w:tc>
          <w:tcPr>
            <w:tcW w:w="1180" w:type="dxa"/>
            <w:vAlign w:val="bottom"/>
            <w:gridSpan w:val="5"/>
            <w:shd w:val="clear" w:color="auto" w:fill="CCEEFF"/>
          </w:tcPr>
          <w:p>
            <w:pPr>
              <w:ind w:left="560"/>
              <w:spacing w:after="0" w:line="161" w:lineRule="exact"/>
              <w:rPr>
                <w:rFonts w:ascii="Arial" w:cs="Arial" w:eastAsia="Arial" w:hAnsi="Arial"/>
                <w:sz w:val="15"/>
                <w:szCs w:val="15"/>
                <w:color w:val="0000FF"/>
              </w:rPr>
            </w:pPr>
            <w:hyperlink r:id="rId159">
              <w:r>
                <w:rPr>
                  <w:rFonts w:ascii="Arial" w:cs="Arial" w:eastAsia="Arial" w:hAnsi="Arial"/>
                  <w:sz w:val="15"/>
                  <w:szCs w:val="15"/>
                  <w:color w:val="0000FF"/>
                </w:rPr>
                <w:t>10.</w:t>
              </w:r>
              <w:r>
                <w:rPr>
                  <w:rFonts w:ascii="Arial" w:cs="Arial" w:eastAsia="Arial" w:hAnsi="Arial"/>
                  <w:sz w:val="15"/>
                  <w:szCs w:val="15"/>
                  <w:u w:val="single" w:color="auto"/>
                  <w:color w:val="0000FF"/>
                </w:rPr>
                <w:t>14</w:t>
              </w:r>
            </w:hyperlink>
            <w:r>
              <w:rPr>
                <w:rFonts w:ascii="Arial" w:cs="Arial" w:eastAsia="Arial" w:hAnsi="Arial"/>
                <w:sz w:val="15"/>
                <w:szCs w:val="15"/>
                <w:color w:val="000000"/>
              </w:rPr>
              <w:t>**†</w:t>
            </w:r>
          </w:p>
        </w:tc>
        <w:tc>
          <w:tcPr>
            <w:tcW w:w="8780" w:type="dxa"/>
            <w:vAlign w:val="bottom"/>
            <w:shd w:val="clear" w:color="auto" w:fill="CCEEFF"/>
          </w:tcPr>
          <w:p>
            <w:pPr>
              <w:ind w:left="560"/>
              <w:spacing w:after="0" w:line="161" w:lineRule="exact"/>
              <w:rPr>
                <w:sz w:val="20"/>
                <w:szCs w:val="20"/>
                <w:color w:val="auto"/>
              </w:rPr>
            </w:pPr>
            <w:r>
              <w:rPr>
                <w:rFonts w:ascii="Arial" w:cs="Arial" w:eastAsia="Arial" w:hAnsi="Arial"/>
                <w:sz w:val="15"/>
                <w:szCs w:val="15"/>
                <w:color w:val="auto"/>
                <w:w w:val="94"/>
              </w:rPr>
              <w:t>Form of PSU Agreement (Employees) pursuant to the International Money Express, Inc. 2020 Omnibus Equity Compensation Plan</w:t>
            </w:r>
          </w:p>
        </w:tc>
      </w:tr>
      <w:tr>
        <w:trPr>
          <w:trHeight w:val="186"/>
        </w:trPr>
        <w:tc>
          <w:tcPr>
            <w:tcW w:w="5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0000FF"/>
            </w:tcBorders>
            <w:shd w:val="clear" w:color="auto" w:fill="CCEEFF"/>
          </w:tcPr>
          <w:p>
            <w:pPr>
              <w:spacing w:after="0"/>
              <w:rPr>
                <w:sz w:val="16"/>
                <w:szCs w:val="16"/>
                <w:color w:val="auto"/>
              </w:rPr>
            </w:pPr>
          </w:p>
        </w:tc>
        <w:tc>
          <w:tcPr>
            <w:tcW w:w="6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(incorporated by reference to Exhibit 10.18 to the Registrant’s Annual Report on Form 10-K filed on March 15, 2021).</w:t>
            </w:r>
          </w:p>
        </w:tc>
      </w:tr>
      <w:tr>
        <w:trPr>
          <w:trHeight w:val="46"/>
        </w:trPr>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161"/>
        </w:trPr>
        <w:tc>
          <w:tcPr>
            <w:tcW w:w="1180" w:type="dxa"/>
            <w:vAlign w:val="bottom"/>
            <w:gridSpan w:val="5"/>
            <w:shd w:val="clear" w:color="auto" w:fill="CCEEFF"/>
          </w:tcPr>
          <w:p>
            <w:pPr>
              <w:ind w:left="560"/>
              <w:spacing w:after="0" w:line="161" w:lineRule="exact"/>
              <w:rPr>
                <w:rFonts w:ascii="Arial" w:cs="Arial" w:eastAsia="Arial" w:hAnsi="Arial"/>
                <w:sz w:val="15"/>
                <w:szCs w:val="15"/>
                <w:color w:val="0000FF"/>
              </w:rPr>
            </w:pPr>
            <w:hyperlink r:id="rId160">
              <w:r>
                <w:rPr>
                  <w:rFonts w:ascii="Arial" w:cs="Arial" w:eastAsia="Arial" w:hAnsi="Arial"/>
                  <w:sz w:val="15"/>
                  <w:szCs w:val="15"/>
                  <w:color w:val="0000FF"/>
                </w:rPr>
                <w:t>10.</w:t>
              </w:r>
              <w:r>
                <w:rPr>
                  <w:rFonts w:ascii="Arial" w:cs="Arial" w:eastAsia="Arial" w:hAnsi="Arial"/>
                  <w:sz w:val="15"/>
                  <w:szCs w:val="15"/>
                  <w:u w:val="single" w:color="auto"/>
                  <w:color w:val="0000FF"/>
                </w:rPr>
                <w:t>15</w:t>
              </w:r>
            </w:hyperlink>
            <w:r>
              <w:rPr>
                <w:rFonts w:ascii="Arial" w:cs="Arial" w:eastAsia="Arial" w:hAnsi="Arial"/>
                <w:sz w:val="15"/>
                <w:szCs w:val="15"/>
                <w:color w:val="000000"/>
              </w:rPr>
              <w:t>**†</w:t>
            </w:r>
          </w:p>
        </w:tc>
        <w:tc>
          <w:tcPr>
            <w:tcW w:w="8780" w:type="dxa"/>
            <w:vAlign w:val="bottom"/>
            <w:shd w:val="clear" w:color="auto" w:fill="CCEEFF"/>
          </w:tcPr>
          <w:p>
            <w:pPr>
              <w:ind w:left="560"/>
              <w:spacing w:after="0" w:line="161" w:lineRule="exact"/>
              <w:rPr>
                <w:sz w:val="20"/>
                <w:szCs w:val="20"/>
                <w:color w:val="auto"/>
              </w:rPr>
            </w:pPr>
            <w:r>
              <w:rPr>
                <w:rFonts w:ascii="Arial" w:cs="Arial" w:eastAsia="Arial" w:hAnsi="Arial"/>
                <w:sz w:val="15"/>
                <w:szCs w:val="15"/>
                <w:color w:val="auto"/>
                <w:w w:val="94"/>
              </w:rPr>
              <w:t>Form of PSU Agreement (Robert Lisy) pursuant to the International Money Express, Inc. 2020 Omnibus Equity Compensation Plan</w:t>
            </w:r>
          </w:p>
        </w:tc>
      </w:tr>
      <w:tr>
        <w:trPr>
          <w:trHeight w:val="186"/>
        </w:trPr>
        <w:tc>
          <w:tcPr>
            <w:tcW w:w="5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0000FF"/>
            </w:tcBorders>
            <w:shd w:val="clear" w:color="auto" w:fill="CCEEFF"/>
          </w:tcPr>
          <w:p>
            <w:pPr>
              <w:spacing w:after="0"/>
              <w:rPr>
                <w:sz w:val="16"/>
                <w:szCs w:val="16"/>
                <w:color w:val="auto"/>
              </w:rPr>
            </w:pPr>
          </w:p>
        </w:tc>
        <w:tc>
          <w:tcPr>
            <w:tcW w:w="6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(incorporated by reference to Exhibit 10.19 to the Registrant’s Annual Report on Form 10-K filed on March 15, 2021).</w:t>
            </w:r>
          </w:p>
        </w:tc>
      </w:tr>
      <w:tr>
        <w:trPr>
          <w:trHeight w:val="46"/>
        </w:trPr>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161"/>
        </w:trPr>
        <w:tc>
          <w:tcPr>
            <w:tcW w:w="1180" w:type="dxa"/>
            <w:vAlign w:val="bottom"/>
            <w:gridSpan w:val="5"/>
            <w:shd w:val="clear" w:color="auto" w:fill="CCEEFF"/>
          </w:tcPr>
          <w:p>
            <w:pPr>
              <w:ind w:left="560"/>
              <w:spacing w:after="0" w:line="161" w:lineRule="exact"/>
              <w:rPr>
                <w:rFonts w:ascii="Arial" w:cs="Arial" w:eastAsia="Arial" w:hAnsi="Arial"/>
                <w:sz w:val="15"/>
                <w:szCs w:val="15"/>
                <w:color w:val="0000FF"/>
              </w:rPr>
            </w:pPr>
            <w:hyperlink r:id="rId161">
              <w:r>
                <w:rPr>
                  <w:rFonts w:ascii="Arial" w:cs="Arial" w:eastAsia="Arial" w:hAnsi="Arial"/>
                  <w:sz w:val="15"/>
                  <w:szCs w:val="15"/>
                  <w:color w:val="0000FF"/>
                </w:rPr>
                <w:t>10.</w:t>
              </w:r>
              <w:r>
                <w:rPr>
                  <w:rFonts w:ascii="Arial" w:cs="Arial" w:eastAsia="Arial" w:hAnsi="Arial"/>
                  <w:sz w:val="15"/>
                  <w:szCs w:val="15"/>
                  <w:u w:val="single" w:color="auto"/>
                  <w:color w:val="0000FF"/>
                </w:rPr>
                <w:t>16</w:t>
              </w:r>
            </w:hyperlink>
            <w:r>
              <w:rPr>
                <w:rFonts w:ascii="Arial" w:cs="Arial" w:eastAsia="Arial" w:hAnsi="Arial"/>
                <w:sz w:val="15"/>
                <w:szCs w:val="15"/>
                <w:color w:val="000000"/>
              </w:rPr>
              <w:t>**†</w:t>
            </w:r>
          </w:p>
        </w:tc>
        <w:tc>
          <w:tcPr>
            <w:tcW w:w="8780" w:type="dxa"/>
            <w:vAlign w:val="bottom"/>
            <w:shd w:val="clear" w:color="auto" w:fill="CCEEFF"/>
          </w:tcPr>
          <w:p>
            <w:pPr>
              <w:ind w:left="560"/>
              <w:spacing w:after="0" w:line="161" w:lineRule="exact"/>
              <w:rPr>
                <w:sz w:val="20"/>
                <w:szCs w:val="20"/>
                <w:color w:val="auto"/>
              </w:rPr>
            </w:pPr>
            <w:r>
              <w:rPr>
                <w:rFonts w:ascii="Arial" w:cs="Arial" w:eastAsia="Arial" w:hAnsi="Arial"/>
                <w:sz w:val="15"/>
                <w:szCs w:val="15"/>
                <w:color w:val="auto"/>
                <w:w w:val="95"/>
              </w:rPr>
              <w:t>Form of Restricted Stock Award Agreement (Robert Lisy) pursuant to the International Money Express, Inc. 2020 Omnibus Equity</w:t>
            </w:r>
          </w:p>
        </w:tc>
      </w:tr>
      <w:tr>
        <w:trPr>
          <w:trHeight w:val="186"/>
        </w:trPr>
        <w:tc>
          <w:tcPr>
            <w:tcW w:w="5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0000FF"/>
            </w:tcBorders>
            <w:shd w:val="clear" w:color="auto" w:fill="CCEEFF"/>
          </w:tcPr>
          <w:p>
            <w:pPr>
              <w:spacing w:after="0"/>
              <w:rPr>
                <w:sz w:val="16"/>
                <w:szCs w:val="16"/>
                <w:color w:val="auto"/>
              </w:rPr>
            </w:pPr>
          </w:p>
        </w:tc>
        <w:tc>
          <w:tcPr>
            <w:tcW w:w="6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6"/>
              </w:rPr>
              <w:t>Compensation Plan (incorporated by reference to Exhibit 10.20 to the Registrant’s Annual Report on Form 10-K filed on March 15, 2021).</w:t>
            </w:r>
          </w:p>
        </w:tc>
      </w:tr>
      <w:tr>
        <w:trPr>
          <w:trHeight w:val="46"/>
        </w:trPr>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161"/>
        </w:trPr>
        <w:tc>
          <w:tcPr>
            <w:tcW w:w="1180" w:type="dxa"/>
            <w:vAlign w:val="bottom"/>
            <w:gridSpan w:val="5"/>
            <w:shd w:val="clear" w:color="auto" w:fill="CCEEFF"/>
          </w:tcPr>
          <w:p>
            <w:pPr>
              <w:ind w:left="560"/>
              <w:spacing w:after="0" w:line="141" w:lineRule="exact"/>
              <w:rPr>
                <w:rFonts w:ascii="Arial" w:cs="Arial" w:eastAsia="Arial" w:hAnsi="Arial"/>
                <w:sz w:val="15"/>
                <w:szCs w:val="15"/>
                <w:color w:val="0000FF"/>
              </w:rPr>
            </w:pPr>
            <w:hyperlink r:id="rId162">
              <w:r>
                <w:rPr>
                  <w:rFonts w:ascii="Arial" w:cs="Arial" w:eastAsia="Arial" w:hAnsi="Arial"/>
                  <w:sz w:val="15"/>
                  <w:szCs w:val="15"/>
                  <w:color w:val="0000FF"/>
                </w:rPr>
                <w:t>10.</w:t>
              </w:r>
              <w:r>
                <w:rPr>
                  <w:rFonts w:ascii="Arial" w:cs="Arial" w:eastAsia="Arial" w:hAnsi="Arial"/>
                  <w:sz w:val="15"/>
                  <w:szCs w:val="15"/>
                  <w:u w:val="single" w:color="auto"/>
                  <w:color w:val="0000FF"/>
                </w:rPr>
                <w:t>17</w:t>
              </w:r>
            </w:hyperlink>
            <w:r>
              <w:rPr>
                <w:rFonts w:ascii="Arial" w:cs="Arial" w:eastAsia="Arial" w:hAnsi="Arial"/>
                <w:sz w:val="15"/>
                <w:szCs w:val="15"/>
                <w:color w:val="000000"/>
              </w:rPr>
              <w:t>**†</w:t>
            </w:r>
          </w:p>
        </w:tc>
        <w:tc>
          <w:tcPr>
            <w:tcW w:w="8780" w:type="dxa"/>
            <w:vAlign w:val="bottom"/>
            <w:shd w:val="clear" w:color="auto" w:fill="CCEEFF"/>
          </w:tcPr>
          <w:p>
            <w:pPr>
              <w:ind w:left="560"/>
              <w:spacing w:after="0" w:line="141" w:lineRule="exact"/>
              <w:rPr>
                <w:sz w:val="20"/>
                <w:szCs w:val="20"/>
                <w:color w:val="auto"/>
              </w:rPr>
            </w:pPr>
            <w:r>
              <w:rPr>
                <w:rFonts w:ascii="Arial" w:cs="Arial" w:eastAsia="Arial" w:hAnsi="Arial"/>
                <w:sz w:val="15"/>
                <w:szCs w:val="15"/>
                <w:color w:val="auto"/>
                <w:w w:val="93"/>
              </w:rPr>
              <w:t>Amended and Restated Employment Agreement by and between Robert Lisy and Intermex Holdings, Inc., dated as of November 15,</w:t>
            </w:r>
          </w:p>
        </w:tc>
      </w:tr>
      <w:tr>
        <w:trPr>
          <w:trHeight w:val="209"/>
        </w:trPr>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2021 (incorporated by reference to Exhibit 10.1 to the Registrant’s Current Report on Form 8-K filed on November 17, 2021).</w:t>
            </w:r>
          </w:p>
        </w:tc>
      </w:tr>
      <w:tr>
        <w:trPr>
          <w:trHeight w:val="46"/>
        </w:trPr>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161"/>
        </w:trPr>
        <w:tc>
          <w:tcPr>
            <w:tcW w:w="1180" w:type="dxa"/>
            <w:vAlign w:val="bottom"/>
            <w:gridSpan w:val="5"/>
            <w:shd w:val="clear" w:color="auto" w:fill="CCEEFF"/>
          </w:tcPr>
          <w:p>
            <w:pPr>
              <w:ind w:left="560"/>
              <w:spacing w:after="0" w:line="161" w:lineRule="exact"/>
              <w:rPr>
                <w:rFonts w:ascii="Arial" w:cs="Arial" w:eastAsia="Arial" w:hAnsi="Arial"/>
                <w:sz w:val="15"/>
                <w:szCs w:val="15"/>
                <w:color w:val="0000FF"/>
              </w:rPr>
            </w:pPr>
            <w:hyperlink r:id="rId163">
              <w:r>
                <w:rPr>
                  <w:rFonts w:ascii="Arial" w:cs="Arial" w:eastAsia="Arial" w:hAnsi="Arial"/>
                  <w:sz w:val="15"/>
                  <w:szCs w:val="15"/>
                  <w:color w:val="0000FF"/>
                </w:rPr>
                <w:t>10.</w:t>
              </w:r>
              <w:r>
                <w:rPr>
                  <w:rFonts w:ascii="Arial" w:cs="Arial" w:eastAsia="Arial" w:hAnsi="Arial"/>
                  <w:sz w:val="15"/>
                  <w:szCs w:val="15"/>
                  <w:u w:val="single" w:color="auto"/>
                  <w:color w:val="0000FF"/>
                </w:rPr>
                <w:t>18</w:t>
              </w:r>
            </w:hyperlink>
            <w:r>
              <w:rPr>
                <w:rFonts w:ascii="Arial" w:cs="Arial" w:eastAsia="Arial" w:hAnsi="Arial"/>
                <w:sz w:val="15"/>
                <w:szCs w:val="15"/>
                <w:color w:val="000000"/>
              </w:rPr>
              <w:t>**†</w:t>
            </w:r>
          </w:p>
        </w:tc>
        <w:tc>
          <w:tcPr>
            <w:tcW w:w="8780" w:type="dxa"/>
            <w:vAlign w:val="bottom"/>
            <w:shd w:val="clear" w:color="auto" w:fill="CCEEFF"/>
          </w:tcPr>
          <w:p>
            <w:pPr>
              <w:ind w:left="560"/>
              <w:spacing w:after="0" w:line="161" w:lineRule="exact"/>
              <w:rPr>
                <w:sz w:val="20"/>
                <w:szCs w:val="20"/>
                <w:color w:val="auto"/>
              </w:rPr>
            </w:pPr>
            <w:r>
              <w:rPr>
                <w:rFonts w:ascii="Arial" w:cs="Arial" w:eastAsia="Arial" w:hAnsi="Arial"/>
                <w:sz w:val="15"/>
                <w:szCs w:val="15"/>
                <w:color w:val="auto"/>
                <w:w w:val="92"/>
              </w:rPr>
              <w:t>Employment Agreement by and between Andras Bende and the Company, dated as of December 7, 2020 (incorporated by reference</w:t>
            </w:r>
          </w:p>
        </w:tc>
      </w:tr>
      <w:tr>
        <w:trPr>
          <w:trHeight w:val="164"/>
        </w:trPr>
        <w:tc>
          <w:tcPr>
            <w:tcW w:w="5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8780" w:type="dxa"/>
            <w:vAlign w:val="bottom"/>
            <w:tcBorders>
              <w:top w:val="single" w:sz="8" w:color="CCEEFF"/>
            </w:tcBorders>
            <w:shd w:val="clear" w:color="auto" w:fill="CCEEFF"/>
          </w:tcPr>
          <w:p>
            <w:pPr>
              <w:ind w:left="20"/>
              <w:spacing w:after="0" w:line="164" w:lineRule="exact"/>
              <w:rPr>
                <w:sz w:val="20"/>
                <w:szCs w:val="20"/>
                <w:color w:val="auto"/>
              </w:rPr>
            </w:pPr>
            <w:r>
              <w:rPr>
                <w:rFonts w:ascii="Arial" w:cs="Arial" w:eastAsia="Arial" w:hAnsi="Arial"/>
                <w:sz w:val="15"/>
                <w:szCs w:val="15"/>
                <w:color w:val="auto"/>
              </w:rPr>
              <w:t>to Exhibit 10.1 to the Registrant’s Current Report on Form 8-K filed on December 8, 2020).</w:t>
            </w:r>
          </w:p>
        </w:tc>
      </w:tr>
      <w:tr>
        <w:trPr>
          <w:trHeight w:val="46"/>
        </w:trPr>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164"/>
        </w:trPr>
        <w:tc>
          <w:tcPr>
            <w:tcW w:w="1180" w:type="dxa"/>
            <w:vAlign w:val="bottom"/>
            <w:gridSpan w:val="5"/>
            <w:shd w:val="clear" w:color="auto" w:fill="CCEEFF"/>
          </w:tcPr>
          <w:p>
            <w:pPr>
              <w:ind w:left="560"/>
              <w:spacing w:after="0" w:line="161" w:lineRule="exact"/>
              <w:rPr>
                <w:rFonts w:ascii="Arial" w:cs="Arial" w:eastAsia="Arial" w:hAnsi="Arial"/>
                <w:sz w:val="15"/>
                <w:szCs w:val="15"/>
                <w:color w:val="0000FF"/>
              </w:rPr>
            </w:pPr>
            <w:hyperlink r:id="rId164">
              <w:r>
                <w:rPr>
                  <w:rFonts w:ascii="Arial" w:cs="Arial" w:eastAsia="Arial" w:hAnsi="Arial"/>
                  <w:sz w:val="15"/>
                  <w:szCs w:val="15"/>
                  <w:color w:val="0000FF"/>
                </w:rPr>
                <w:t>10.</w:t>
              </w:r>
              <w:r>
                <w:rPr>
                  <w:rFonts w:ascii="Arial" w:cs="Arial" w:eastAsia="Arial" w:hAnsi="Arial"/>
                  <w:sz w:val="15"/>
                  <w:szCs w:val="15"/>
                  <w:u w:val="single" w:color="auto"/>
                  <w:color w:val="0000FF"/>
                </w:rPr>
                <w:t>19</w:t>
              </w:r>
            </w:hyperlink>
            <w:r>
              <w:rPr>
                <w:rFonts w:ascii="Arial" w:cs="Arial" w:eastAsia="Arial" w:hAnsi="Arial"/>
                <w:sz w:val="15"/>
                <w:szCs w:val="15"/>
                <w:color w:val="000000"/>
              </w:rPr>
              <w:t>**†</w:t>
            </w:r>
          </w:p>
        </w:tc>
        <w:tc>
          <w:tcPr>
            <w:tcW w:w="8780" w:type="dxa"/>
            <w:vAlign w:val="bottom"/>
            <w:shd w:val="clear" w:color="auto" w:fill="CCEEFF"/>
          </w:tcPr>
          <w:p>
            <w:pPr>
              <w:ind w:left="560"/>
              <w:spacing w:after="0" w:line="161" w:lineRule="exact"/>
              <w:rPr>
                <w:sz w:val="20"/>
                <w:szCs w:val="20"/>
                <w:color w:val="auto"/>
              </w:rPr>
            </w:pPr>
            <w:r>
              <w:rPr>
                <w:rFonts w:ascii="Arial" w:cs="Arial" w:eastAsia="Arial" w:hAnsi="Arial"/>
                <w:sz w:val="15"/>
                <w:szCs w:val="15"/>
                <w:color w:val="auto"/>
                <w:w w:val="95"/>
              </w:rPr>
              <w:t>Employment Agreement by and between Randy Nilsen and Intermex Holdings, Inc. dated as of February 1, 2017 (incorporated by</w:t>
            </w:r>
          </w:p>
        </w:tc>
      </w:tr>
      <w:tr>
        <w:trPr>
          <w:trHeight w:val="161"/>
        </w:trPr>
        <w:tc>
          <w:tcPr>
            <w:tcW w:w="5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8780" w:type="dxa"/>
            <w:vAlign w:val="bottom"/>
            <w:tcBorders>
              <w:top w:val="single" w:sz="8" w:color="CCEEFF"/>
            </w:tcBorders>
            <w:shd w:val="clear" w:color="auto" w:fill="CCEEFF"/>
          </w:tcPr>
          <w:p>
            <w:pPr>
              <w:ind w:left="20"/>
              <w:spacing w:after="0" w:line="161" w:lineRule="exact"/>
              <w:rPr>
                <w:sz w:val="20"/>
                <w:szCs w:val="20"/>
                <w:color w:val="auto"/>
              </w:rPr>
            </w:pPr>
            <w:r>
              <w:rPr>
                <w:rFonts w:ascii="Arial" w:cs="Arial" w:eastAsia="Arial" w:hAnsi="Arial"/>
                <w:sz w:val="15"/>
                <w:szCs w:val="15"/>
                <w:color w:val="auto"/>
                <w:w w:val="96"/>
              </w:rPr>
              <w:t>reference to Exhibit 10.5(e) to the Registrant’s Registration Statement on Form S-1 filed on September 28, 2018 (File No. 333-226948)).</w:t>
            </w:r>
          </w:p>
        </w:tc>
      </w:tr>
      <w:tr>
        <w:trPr>
          <w:trHeight w:val="46"/>
        </w:trPr>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172"/>
        </w:trPr>
        <w:tc>
          <w:tcPr>
            <w:tcW w:w="1180" w:type="dxa"/>
            <w:vAlign w:val="bottom"/>
            <w:gridSpan w:val="5"/>
            <w:shd w:val="clear" w:color="auto" w:fill="CCEEFF"/>
          </w:tcPr>
          <w:p>
            <w:pPr>
              <w:ind w:left="560"/>
              <w:spacing w:after="0"/>
              <w:rPr>
                <w:rFonts w:ascii="Arial" w:cs="Arial" w:eastAsia="Arial" w:hAnsi="Arial"/>
                <w:sz w:val="15"/>
                <w:szCs w:val="15"/>
                <w:color w:val="0000FF"/>
              </w:rPr>
            </w:pPr>
            <w:hyperlink r:id="rId165">
              <w:r>
                <w:rPr>
                  <w:rFonts w:ascii="Arial" w:cs="Arial" w:eastAsia="Arial" w:hAnsi="Arial"/>
                  <w:sz w:val="15"/>
                  <w:szCs w:val="15"/>
                  <w:color w:val="0000FF"/>
                </w:rPr>
                <w:t>10.</w:t>
              </w:r>
              <w:r>
                <w:rPr>
                  <w:rFonts w:ascii="Arial" w:cs="Arial" w:eastAsia="Arial" w:hAnsi="Arial"/>
                  <w:sz w:val="15"/>
                  <w:szCs w:val="15"/>
                  <w:u w:val="single" w:color="auto"/>
                  <w:color w:val="0000FF"/>
                </w:rPr>
                <w:t>20</w:t>
              </w:r>
            </w:hyperlink>
            <w:r>
              <w:rPr>
                <w:rFonts w:ascii="Arial" w:cs="Arial" w:eastAsia="Arial" w:hAnsi="Arial"/>
                <w:sz w:val="15"/>
                <w:szCs w:val="15"/>
                <w:color w:val="000000"/>
              </w:rPr>
              <w:t>**†</w:t>
            </w:r>
          </w:p>
        </w:tc>
        <w:tc>
          <w:tcPr>
            <w:tcW w:w="8780" w:type="dxa"/>
            <w:vAlign w:val="bottom"/>
            <w:shd w:val="clear" w:color="auto" w:fill="CCEEFF"/>
          </w:tcPr>
          <w:p>
            <w:pPr>
              <w:ind w:left="560"/>
              <w:spacing w:after="0"/>
              <w:rPr>
                <w:sz w:val="20"/>
                <w:szCs w:val="20"/>
                <w:color w:val="auto"/>
              </w:rPr>
            </w:pPr>
            <w:r>
              <w:rPr>
                <w:rFonts w:ascii="Arial" w:cs="Arial" w:eastAsia="Arial" w:hAnsi="Arial"/>
                <w:sz w:val="15"/>
                <w:szCs w:val="15"/>
                <w:color w:val="auto"/>
                <w:w w:val="93"/>
              </w:rPr>
              <w:t>Employment Agreement dated September 23, 2019, between Joseph Aguilar and the Company (incorporated by reference to Exhibit</w:t>
            </w:r>
          </w:p>
        </w:tc>
      </w:tr>
      <w:tr>
        <w:trPr>
          <w:trHeight w:val="198"/>
        </w:trPr>
        <w:tc>
          <w:tcPr>
            <w:tcW w:w="5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10.1 to the Registrant’s Current Report on Form 8-K filed On October 3, 2019).</w:t>
            </w:r>
          </w:p>
        </w:tc>
      </w:tr>
      <w:tr>
        <w:trPr>
          <w:trHeight w:val="46"/>
        </w:trPr>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172"/>
        </w:trPr>
        <w:tc>
          <w:tcPr>
            <w:tcW w:w="1180" w:type="dxa"/>
            <w:vAlign w:val="bottom"/>
            <w:gridSpan w:val="5"/>
            <w:shd w:val="clear" w:color="auto" w:fill="CCEEFF"/>
          </w:tcPr>
          <w:p>
            <w:pPr>
              <w:ind w:left="560"/>
              <w:spacing w:after="0"/>
              <w:rPr>
                <w:rFonts w:ascii="Arial" w:cs="Arial" w:eastAsia="Arial" w:hAnsi="Arial"/>
                <w:sz w:val="15"/>
                <w:szCs w:val="15"/>
                <w:color w:val="0000FF"/>
              </w:rPr>
            </w:pPr>
            <w:hyperlink r:id="rId166">
              <w:r>
                <w:rPr>
                  <w:rFonts w:ascii="Arial" w:cs="Arial" w:eastAsia="Arial" w:hAnsi="Arial"/>
                  <w:sz w:val="15"/>
                  <w:szCs w:val="15"/>
                  <w:color w:val="0000FF"/>
                </w:rPr>
                <w:t>10.</w:t>
              </w:r>
              <w:r>
                <w:rPr>
                  <w:rFonts w:ascii="Arial" w:cs="Arial" w:eastAsia="Arial" w:hAnsi="Arial"/>
                  <w:sz w:val="15"/>
                  <w:szCs w:val="15"/>
                  <w:u w:val="single" w:color="auto"/>
                  <w:color w:val="0000FF"/>
                </w:rPr>
                <w:t>21</w:t>
              </w:r>
            </w:hyperlink>
            <w:r>
              <w:rPr>
                <w:rFonts w:ascii="Arial" w:cs="Arial" w:eastAsia="Arial" w:hAnsi="Arial"/>
                <w:sz w:val="15"/>
                <w:szCs w:val="15"/>
                <w:color w:val="000000"/>
              </w:rPr>
              <w:t>**†</w:t>
            </w:r>
          </w:p>
        </w:tc>
        <w:tc>
          <w:tcPr>
            <w:tcW w:w="8780" w:type="dxa"/>
            <w:vAlign w:val="bottom"/>
            <w:shd w:val="clear" w:color="auto" w:fill="CCEEFF"/>
          </w:tcPr>
          <w:p>
            <w:pPr>
              <w:ind w:left="560"/>
              <w:spacing w:after="0"/>
              <w:rPr>
                <w:sz w:val="20"/>
                <w:szCs w:val="20"/>
                <w:color w:val="auto"/>
              </w:rPr>
            </w:pPr>
            <w:r>
              <w:rPr>
                <w:rFonts w:ascii="Arial" w:cs="Arial" w:eastAsia="Arial" w:hAnsi="Arial"/>
                <w:sz w:val="15"/>
                <w:szCs w:val="15"/>
                <w:color w:val="auto"/>
                <w:w w:val="93"/>
              </w:rPr>
              <w:t>Form of Indemnification Agreement (incorporated by reference to Exhibit 10.1 to the Registrant’s Registration Statement on Form S-</w:t>
            </w:r>
          </w:p>
        </w:tc>
      </w:tr>
      <w:tr>
        <w:trPr>
          <w:trHeight w:val="198"/>
        </w:trPr>
        <w:tc>
          <w:tcPr>
            <w:tcW w:w="5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1 filed on September 28, 2018 (File No. 333-226948)).</w:t>
            </w:r>
          </w:p>
        </w:tc>
      </w:tr>
      <w:tr>
        <w:trPr>
          <w:trHeight w:val="46"/>
        </w:trPr>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181"/>
        </w:trPr>
        <w:tc>
          <w:tcPr>
            <w:tcW w:w="920" w:type="dxa"/>
            <w:vAlign w:val="bottom"/>
            <w:gridSpan w:val="4"/>
            <w:shd w:val="clear" w:color="auto" w:fill="CCEEFF"/>
          </w:tcPr>
          <w:p>
            <w:pPr>
              <w:ind w:left="560"/>
              <w:spacing w:after="0" w:line="161" w:lineRule="exact"/>
              <w:rPr>
                <w:rFonts w:ascii="Arial" w:cs="Arial" w:eastAsia="Arial" w:hAnsi="Arial"/>
                <w:sz w:val="15"/>
                <w:szCs w:val="15"/>
                <w:color w:val="0000FF"/>
                <w:w w:val="96"/>
              </w:rPr>
            </w:pPr>
            <w:hyperlink w:anchor="page97">
              <w:r>
                <w:rPr>
                  <w:rFonts w:ascii="Arial" w:cs="Arial" w:eastAsia="Arial" w:hAnsi="Arial"/>
                  <w:sz w:val="15"/>
                  <w:szCs w:val="15"/>
                  <w:color w:val="0000FF"/>
                  <w:w w:val="96"/>
                </w:rPr>
                <w:t>21.</w:t>
              </w:r>
              <w:r>
                <w:rPr>
                  <w:rFonts w:ascii="Arial" w:cs="Arial" w:eastAsia="Arial" w:hAnsi="Arial"/>
                  <w:sz w:val="15"/>
                  <w:szCs w:val="15"/>
                  <w:u w:val="single" w:color="auto"/>
                  <w:color w:val="0000FF"/>
                  <w:w w:val="96"/>
                </w:rPr>
                <w:t>1</w:t>
              </w:r>
            </w:hyperlink>
            <w:r>
              <w:rPr>
                <w:rFonts w:ascii="Arial" w:cs="Arial" w:eastAsia="Arial" w:hAnsi="Arial"/>
                <w:sz w:val="15"/>
                <w:szCs w:val="15"/>
                <w:color w:val="000000"/>
                <w:w w:val="96"/>
              </w:rPr>
              <w:t>*</w:t>
            </w:r>
          </w:p>
        </w:tc>
        <w:tc>
          <w:tcPr>
            <w:tcW w:w="260" w:type="dxa"/>
            <w:vAlign w:val="bottom"/>
            <w:shd w:val="clear" w:color="auto" w:fill="CCEEFF"/>
          </w:tcPr>
          <w:p>
            <w:pPr>
              <w:spacing w:after="0"/>
              <w:rPr>
                <w:sz w:val="15"/>
                <w:szCs w:val="15"/>
                <w:color w:val="auto"/>
              </w:rPr>
            </w:pPr>
          </w:p>
        </w:tc>
        <w:tc>
          <w:tcPr>
            <w:tcW w:w="8780" w:type="dxa"/>
            <w:vAlign w:val="bottom"/>
            <w:shd w:val="clear" w:color="auto" w:fill="CCEEFF"/>
          </w:tcPr>
          <w:p>
            <w:pPr>
              <w:ind w:left="560"/>
              <w:spacing w:after="0" w:line="161" w:lineRule="exact"/>
              <w:rPr>
                <w:sz w:val="20"/>
                <w:szCs w:val="20"/>
                <w:color w:val="auto"/>
              </w:rPr>
            </w:pPr>
            <w:r>
              <w:rPr>
                <w:rFonts w:ascii="Arial" w:cs="Arial" w:eastAsia="Arial" w:hAnsi="Arial"/>
                <w:sz w:val="15"/>
                <w:szCs w:val="15"/>
                <w:color w:val="auto"/>
              </w:rPr>
              <w:t>Subsidiaries of the registrant</w:t>
            </w:r>
          </w:p>
        </w:tc>
      </w:tr>
      <w:tr>
        <w:trPr>
          <w:trHeight w:val="40"/>
        </w:trPr>
        <w:tc>
          <w:tcPr>
            <w:tcW w:w="560" w:type="dxa"/>
            <w:vAlign w:val="bottom"/>
            <w:tcBorders>
              <w:top w:val="single" w:sz="8" w:color="CCEE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60" w:type="dxa"/>
            <w:vAlign w:val="bottom"/>
            <w:tcBorders>
              <w:top w:val="single" w:sz="8" w:color="CCEEFF"/>
            </w:tcBorders>
          </w:tcPr>
          <w:p>
            <w:pPr>
              <w:spacing w:after="0"/>
              <w:rPr>
                <w:sz w:val="3"/>
                <w:szCs w:val="3"/>
                <w:color w:val="auto"/>
              </w:rPr>
            </w:pPr>
          </w:p>
        </w:tc>
        <w:tc>
          <w:tcPr>
            <w:tcW w:w="20" w:type="dxa"/>
            <w:vAlign w:val="bottom"/>
            <w:tcBorders>
              <w:top w:val="single" w:sz="8" w:color="CCEEFF"/>
            </w:tcBorders>
          </w:tcPr>
          <w:p>
            <w:pPr>
              <w:spacing w:after="0"/>
              <w:rPr>
                <w:sz w:val="3"/>
                <w:szCs w:val="3"/>
                <w:color w:val="auto"/>
              </w:rPr>
            </w:pPr>
          </w:p>
        </w:tc>
        <w:tc>
          <w:tcPr>
            <w:tcW w:w="260" w:type="dxa"/>
            <w:vAlign w:val="bottom"/>
            <w:tcBorders>
              <w:top w:val="single" w:sz="8" w:color="CCEEFF"/>
            </w:tcBorders>
          </w:tcPr>
          <w:p>
            <w:pPr>
              <w:spacing w:after="0"/>
              <w:rPr>
                <w:sz w:val="3"/>
                <w:szCs w:val="3"/>
                <w:color w:val="auto"/>
              </w:rPr>
            </w:pPr>
          </w:p>
        </w:tc>
        <w:tc>
          <w:tcPr>
            <w:tcW w:w="8780" w:type="dxa"/>
            <w:vAlign w:val="bottom"/>
            <w:tcBorders>
              <w:top w:val="single" w:sz="8" w:color="CCEEFF"/>
            </w:tcBorders>
          </w:tcPr>
          <w:p>
            <w:pPr>
              <w:spacing w:after="0"/>
              <w:rPr>
                <w:sz w:val="3"/>
                <w:szCs w:val="3"/>
                <w:color w:val="auto"/>
              </w:rPr>
            </w:pPr>
          </w:p>
        </w:tc>
      </w:tr>
      <w:tr>
        <w:trPr>
          <w:trHeight w:val="181"/>
        </w:trPr>
        <w:tc>
          <w:tcPr>
            <w:tcW w:w="920" w:type="dxa"/>
            <w:vAlign w:val="bottom"/>
            <w:gridSpan w:val="4"/>
            <w:shd w:val="clear" w:color="auto" w:fill="CCEEFF"/>
          </w:tcPr>
          <w:p>
            <w:pPr>
              <w:ind w:left="560"/>
              <w:spacing w:after="0" w:line="161" w:lineRule="exact"/>
              <w:rPr>
                <w:rFonts w:ascii="Arial" w:cs="Arial" w:eastAsia="Arial" w:hAnsi="Arial"/>
                <w:sz w:val="15"/>
                <w:szCs w:val="15"/>
                <w:color w:val="0000FF"/>
                <w:w w:val="96"/>
              </w:rPr>
            </w:pPr>
            <w:hyperlink w:anchor="page98">
              <w:r>
                <w:rPr>
                  <w:rFonts w:ascii="Arial" w:cs="Arial" w:eastAsia="Arial" w:hAnsi="Arial"/>
                  <w:sz w:val="15"/>
                  <w:szCs w:val="15"/>
                  <w:color w:val="0000FF"/>
                  <w:w w:val="96"/>
                </w:rPr>
                <w:t>23.</w:t>
              </w:r>
              <w:r>
                <w:rPr>
                  <w:rFonts w:ascii="Arial" w:cs="Arial" w:eastAsia="Arial" w:hAnsi="Arial"/>
                  <w:sz w:val="15"/>
                  <w:szCs w:val="15"/>
                  <w:u w:val="single" w:color="auto"/>
                  <w:color w:val="0000FF"/>
                  <w:w w:val="96"/>
                </w:rPr>
                <w:t>1</w:t>
              </w:r>
            </w:hyperlink>
            <w:r>
              <w:rPr>
                <w:rFonts w:ascii="Arial" w:cs="Arial" w:eastAsia="Arial" w:hAnsi="Arial"/>
                <w:sz w:val="15"/>
                <w:szCs w:val="15"/>
                <w:color w:val="000000"/>
                <w:w w:val="96"/>
              </w:rPr>
              <w:t>*</w:t>
            </w:r>
          </w:p>
        </w:tc>
        <w:tc>
          <w:tcPr>
            <w:tcW w:w="260" w:type="dxa"/>
            <w:vAlign w:val="bottom"/>
            <w:shd w:val="clear" w:color="auto" w:fill="CCEEFF"/>
          </w:tcPr>
          <w:p>
            <w:pPr>
              <w:spacing w:after="0"/>
              <w:rPr>
                <w:sz w:val="15"/>
                <w:szCs w:val="15"/>
                <w:color w:val="auto"/>
              </w:rPr>
            </w:pPr>
          </w:p>
        </w:tc>
        <w:tc>
          <w:tcPr>
            <w:tcW w:w="8780" w:type="dxa"/>
            <w:vAlign w:val="bottom"/>
            <w:shd w:val="clear" w:color="auto" w:fill="CCEEFF"/>
          </w:tcPr>
          <w:p>
            <w:pPr>
              <w:ind w:left="560"/>
              <w:spacing w:after="0" w:line="161" w:lineRule="exact"/>
              <w:rPr>
                <w:sz w:val="20"/>
                <w:szCs w:val="20"/>
                <w:color w:val="auto"/>
              </w:rPr>
            </w:pPr>
            <w:r>
              <w:rPr>
                <w:rFonts w:ascii="Arial" w:cs="Arial" w:eastAsia="Arial" w:hAnsi="Arial"/>
                <w:sz w:val="15"/>
                <w:szCs w:val="15"/>
                <w:color w:val="auto"/>
              </w:rPr>
              <w:t>Consent of BDO USA, LLP.</w:t>
            </w:r>
          </w:p>
        </w:tc>
      </w:tr>
      <w:tr>
        <w:trPr>
          <w:trHeight w:val="40"/>
        </w:trPr>
        <w:tc>
          <w:tcPr>
            <w:tcW w:w="560" w:type="dxa"/>
            <w:vAlign w:val="bottom"/>
            <w:tcBorders>
              <w:top w:val="single" w:sz="8" w:color="CCEE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60" w:type="dxa"/>
            <w:vAlign w:val="bottom"/>
            <w:tcBorders>
              <w:top w:val="single" w:sz="8" w:color="CCEEFF"/>
            </w:tcBorders>
          </w:tcPr>
          <w:p>
            <w:pPr>
              <w:spacing w:after="0"/>
              <w:rPr>
                <w:sz w:val="3"/>
                <w:szCs w:val="3"/>
                <w:color w:val="auto"/>
              </w:rPr>
            </w:pPr>
          </w:p>
        </w:tc>
        <w:tc>
          <w:tcPr>
            <w:tcW w:w="20" w:type="dxa"/>
            <w:vAlign w:val="bottom"/>
            <w:tcBorders>
              <w:top w:val="single" w:sz="8" w:color="CCEEFF"/>
            </w:tcBorders>
          </w:tcPr>
          <w:p>
            <w:pPr>
              <w:spacing w:after="0"/>
              <w:rPr>
                <w:sz w:val="3"/>
                <w:szCs w:val="3"/>
                <w:color w:val="auto"/>
              </w:rPr>
            </w:pPr>
          </w:p>
        </w:tc>
        <w:tc>
          <w:tcPr>
            <w:tcW w:w="260" w:type="dxa"/>
            <w:vAlign w:val="bottom"/>
            <w:tcBorders>
              <w:top w:val="single" w:sz="8" w:color="CCEEFF"/>
            </w:tcBorders>
          </w:tcPr>
          <w:p>
            <w:pPr>
              <w:spacing w:after="0"/>
              <w:rPr>
                <w:sz w:val="3"/>
                <w:szCs w:val="3"/>
                <w:color w:val="auto"/>
              </w:rPr>
            </w:pPr>
          </w:p>
        </w:tc>
        <w:tc>
          <w:tcPr>
            <w:tcW w:w="8780" w:type="dxa"/>
            <w:vAlign w:val="bottom"/>
            <w:tcBorders>
              <w:top w:val="single" w:sz="8" w:color="CCEEFF"/>
            </w:tcBorders>
          </w:tcPr>
          <w:p>
            <w:pPr>
              <w:spacing w:after="0"/>
              <w:rPr>
                <w:sz w:val="3"/>
                <w:szCs w:val="3"/>
                <w:color w:val="auto"/>
              </w:rPr>
            </w:pPr>
          </w:p>
        </w:tc>
      </w:tr>
      <w:tr>
        <w:trPr>
          <w:trHeight w:val="181"/>
        </w:trPr>
        <w:tc>
          <w:tcPr>
            <w:tcW w:w="920" w:type="dxa"/>
            <w:vAlign w:val="bottom"/>
            <w:gridSpan w:val="4"/>
            <w:shd w:val="clear" w:color="auto" w:fill="CCEEFF"/>
          </w:tcPr>
          <w:p>
            <w:pPr>
              <w:ind w:left="560"/>
              <w:spacing w:after="0" w:line="161" w:lineRule="exact"/>
              <w:rPr>
                <w:rFonts w:ascii="Arial" w:cs="Arial" w:eastAsia="Arial" w:hAnsi="Arial"/>
                <w:sz w:val="15"/>
                <w:szCs w:val="15"/>
                <w:color w:val="0000FF"/>
                <w:w w:val="96"/>
              </w:rPr>
            </w:pPr>
            <w:hyperlink w:anchor="page99">
              <w:r>
                <w:rPr>
                  <w:rFonts w:ascii="Arial" w:cs="Arial" w:eastAsia="Arial" w:hAnsi="Arial"/>
                  <w:sz w:val="15"/>
                  <w:szCs w:val="15"/>
                  <w:color w:val="0000FF"/>
                  <w:w w:val="96"/>
                </w:rPr>
                <w:t>31.</w:t>
              </w:r>
              <w:r>
                <w:rPr>
                  <w:rFonts w:ascii="Arial" w:cs="Arial" w:eastAsia="Arial" w:hAnsi="Arial"/>
                  <w:sz w:val="15"/>
                  <w:szCs w:val="15"/>
                  <w:u w:val="single" w:color="auto"/>
                  <w:color w:val="0000FF"/>
                  <w:w w:val="96"/>
                </w:rPr>
                <w:t>1</w:t>
              </w:r>
            </w:hyperlink>
            <w:r>
              <w:rPr>
                <w:rFonts w:ascii="Arial" w:cs="Arial" w:eastAsia="Arial" w:hAnsi="Arial"/>
                <w:sz w:val="15"/>
                <w:szCs w:val="15"/>
                <w:color w:val="000000"/>
                <w:w w:val="96"/>
              </w:rPr>
              <w:t>*</w:t>
            </w:r>
          </w:p>
        </w:tc>
        <w:tc>
          <w:tcPr>
            <w:tcW w:w="260" w:type="dxa"/>
            <w:vAlign w:val="bottom"/>
            <w:shd w:val="clear" w:color="auto" w:fill="CCEEFF"/>
          </w:tcPr>
          <w:p>
            <w:pPr>
              <w:spacing w:after="0"/>
              <w:rPr>
                <w:sz w:val="15"/>
                <w:szCs w:val="15"/>
                <w:color w:val="auto"/>
              </w:rPr>
            </w:pPr>
          </w:p>
        </w:tc>
        <w:tc>
          <w:tcPr>
            <w:tcW w:w="8780" w:type="dxa"/>
            <w:vAlign w:val="bottom"/>
            <w:shd w:val="clear" w:color="auto" w:fill="CCEEFF"/>
          </w:tcPr>
          <w:p>
            <w:pPr>
              <w:ind w:left="560"/>
              <w:spacing w:after="0" w:line="161" w:lineRule="exact"/>
              <w:rPr>
                <w:sz w:val="20"/>
                <w:szCs w:val="20"/>
                <w:color w:val="auto"/>
              </w:rPr>
            </w:pPr>
            <w:r>
              <w:rPr>
                <w:rFonts w:ascii="Arial" w:cs="Arial" w:eastAsia="Arial" w:hAnsi="Arial"/>
                <w:sz w:val="15"/>
                <w:szCs w:val="15"/>
                <w:color w:val="auto"/>
              </w:rPr>
              <w:t>Certification Pursuant to Section 302 of the Sarbanes-Oxley Act of 2002- Chief Executive Officer</w:t>
            </w:r>
          </w:p>
        </w:tc>
      </w:tr>
      <w:tr>
        <w:trPr>
          <w:trHeight w:val="40"/>
        </w:trPr>
        <w:tc>
          <w:tcPr>
            <w:tcW w:w="560" w:type="dxa"/>
            <w:vAlign w:val="bottom"/>
            <w:tcBorders>
              <w:top w:val="single" w:sz="8" w:color="CCEE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60" w:type="dxa"/>
            <w:vAlign w:val="bottom"/>
            <w:tcBorders>
              <w:top w:val="single" w:sz="8" w:color="CCEEFF"/>
            </w:tcBorders>
          </w:tcPr>
          <w:p>
            <w:pPr>
              <w:spacing w:after="0"/>
              <w:rPr>
                <w:sz w:val="3"/>
                <w:szCs w:val="3"/>
                <w:color w:val="auto"/>
              </w:rPr>
            </w:pPr>
          </w:p>
        </w:tc>
        <w:tc>
          <w:tcPr>
            <w:tcW w:w="20" w:type="dxa"/>
            <w:vAlign w:val="bottom"/>
            <w:tcBorders>
              <w:top w:val="single" w:sz="8" w:color="CCEEFF"/>
            </w:tcBorders>
          </w:tcPr>
          <w:p>
            <w:pPr>
              <w:spacing w:after="0"/>
              <w:rPr>
                <w:sz w:val="3"/>
                <w:szCs w:val="3"/>
                <w:color w:val="auto"/>
              </w:rPr>
            </w:pPr>
          </w:p>
        </w:tc>
        <w:tc>
          <w:tcPr>
            <w:tcW w:w="260" w:type="dxa"/>
            <w:vAlign w:val="bottom"/>
            <w:tcBorders>
              <w:top w:val="single" w:sz="8" w:color="CCEEFF"/>
            </w:tcBorders>
          </w:tcPr>
          <w:p>
            <w:pPr>
              <w:spacing w:after="0"/>
              <w:rPr>
                <w:sz w:val="3"/>
                <w:szCs w:val="3"/>
                <w:color w:val="auto"/>
              </w:rPr>
            </w:pPr>
          </w:p>
        </w:tc>
        <w:tc>
          <w:tcPr>
            <w:tcW w:w="8780" w:type="dxa"/>
            <w:vAlign w:val="bottom"/>
            <w:tcBorders>
              <w:top w:val="single" w:sz="8" w:color="CCEEFF"/>
            </w:tcBorders>
          </w:tcPr>
          <w:p>
            <w:pPr>
              <w:spacing w:after="0"/>
              <w:rPr>
                <w:sz w:val="3"/>
                <w:szCs w:val="3"/>
                <w:color w:val="auto"/>
              </w:rPr>
            </w:pPr>
          </w:p>
        </w:tc>
      </w:tr>
      <w:tr>
        <w:trPr>
          <w:trHeight w:val="181"/>
        </w:trPr>
        <w:tc>
          <w:tcPr>
            <w:tcW w:w="920" w:type="dxa"/>
            <w:vAlign w:val="bottom"/>
            <w:gridSpan w:val="4"/>
            <w:shd w:val="clear" w:color="auto" w:fill="CCEEFF"/>
          </w:tcPr>
          <w:p>
            <w:pPr>
              <w:ind w:left="560"/>
              <w:spacing w:after="0" w:line="161" w:lineRule="exact"/>
              <w:rPr>
                <w:rFonts w:ascii="Arial" w:cs="Arial" w:eastAsia="Arial" w:hAnsi="Arial"/>
                <w:sz w:val="15"/>
                <w:szCs w:val="15"/>
                <w:color w:val="0000FF"/>
                <w:w w:val="96"/>
              </w:rPr>
            </w:pPr>
            <w:hyperlink w:anchor="page101">
              <w:r>
                <w:rPr>
                  <w:rFonts w:ascii="Arial" w:cs="Arial" w:eastAsia="Arial" w:hAnsi="Arial"/>
                  <w:sz w:val="15"/>
                  <w:szCs w:val="15"/>
                  <w:color w:val="0000FF"/>
                  <w:w w:val="96"/>
                </w:rPr>
                <w:t>31.</w:t>
              </w:r>
              <w:r>
                <w:rPr>
                  <w:rFonts w:ascii="Arial" w:cs="Arial" w:eastAsia="Arial" w:hAnsi="Arial"/>
                  <w:sz w:val="15"/>
                  <w:szCs w:val="15"/>
                  <w:u w:val="single" w:color="auto"/>
                  <w:color w:val="0000FF"/>
                  <w:w w:val="96"/>
                </w:rPr>
                <w:t>2</w:t>
              </w:r>
            </w:hyperlink>
            <w:r>
              <w:rPr>
                <w:rFonts w:ascii="Arial" w:cs="Arial" w:eastAsia="Arial" w:hAnsi="Arial"/>
                <w:sz w:val="15"/>
                <w:szCs w:val="15"/>
                <w:color w:val="000000"/>
                <w:w w:val="96"/>
              </w:rPr>
              <w:t>*</w:t>
            </w:r>
          </w:p>
        </w:tc>
        <w:tc>
          <w:tcPr>
            <w:tcW w:w="260" w:type="dxa"/>
            <w:vAlign w:val="bottom"/>
            <w:shd w:val="clear" w:color="auto" w:fill="CCEEFF"/>
          </w:tcPr>
          <w:p>
            <w:pPr>
              <w:spacing w:after="0"/>
              <w:rPr>
                <w:sz w:val="15"/>
                <w:szCs w:val="15"/>
                <w:color w:val="auto"/>
              </w:rPr>
            </w:pPr>
          </w:p>
        </w:tc>
        <w:tc>
          <w:tcPr>
            <w:tcW w:w="8780" w:type="dxa"/>
            <w:vAlign w:val="bottom"/>
            <w:shd w:val="clear" w:color="auto" w:fill="CCEEFF"/>
          </w:tcPr>
          <w:p>
            <w:pPr>
              <w:ind w:left="560"/>
              <w:spacing w:after="0" w:line="161" w:lineRule="exact"/>
              <w:rPr>
                <w:sz w:val="20"/>
                <w:szCs w:val="20"/>
                <w:color w:val="auto"/>
              </w:rPr>
            </w:pPr>
            <w:r>
              <w:rPr>
                <w:rFonts w:ascii="Arial" w:cs="Arial" w:eastAsia="Arial" w:hAnsi="Arial"/>
                <w:sz w:val="15"/>
                <w:szCs w:val="15"/>
                <w:color w:val="auto"/>
              </w:rPr>
              <w:t>Certification Pursuant to Section 302 of the Sarbanes-Oxley Act of 2002- Chief Financial Officer</w:t>
            </w:r>
          </w:p>
        </w:tc>
      </w:tr>
      <w:tr>
        <w:trPr>
          <w:trHeight w:val="40"/>
        </w:trPr>
        <w:tc>
          <w:tcPr>
            <w:tcW w:w="560" w:type="dxa"/>
            <w:vAlign w:val="bottom"/>
            <w:tcBorders>
              <w:top w:val="single" w:sz="8" w:color="CCEE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60" w:type="dxa"/>
            <w:vAlign w:val="bottom"/>
            <w:tcBorders>
              <w:top w:val="single" w:sz="8" w:color="CCEEFF"/>
            </w:tcBorders>
          </w:tcPr>
          <w:p>
            <w:pPr>
              <w:spacing w:after="0"/>
              <w:rPr>
                <w:sz w:val="3"/>
                <w:szCs w:val="3"/>
                <w:color w:val="auto"/>
              </w:rPr>
            </w:pPr>
          </w:p>
        </w:tc>
        <w:tc>
          <w:tcPr>
            <w:tcW w:w="20" w:type="dxa"/>
            <w:vAlign w:val="bottom"/>
            <w:tcBorders>
              <w:top w:val="single" w:sz="8" w:color="CCEEFF"/>
            </w:tcBorders>
          </w:tcPr>
          <w:p>
            <w:pPr>
              <w:spacing w:after="0"/>
              <w:rPr>
                <w:sz w:val="3"/>
                <w:szCs w:val="3"/>
                <w:color w:val="auto"/>
              </w:rPr>
            </w:pPr>
          </w:p>
        </w:tc>
        <w:tc>
          <w:tcPr>
            <w:tcW w:w="260" w:type="dxa"/>
            <w:vAlign w:val="bottom"/>
            <w:tcBorders>
              <w:top w:val="single" w:sz="8" w:color="CCEEFF"/>
            </w:tcBorders>
          </w:tcPr>
          <w:p>
            <w:pPr>
              <w:spacing w:after="0"/>
              <w:rPr>
                <w:sz w:val="3"/>
                <w:szCs w:val="3"/>
                <w:color w:val="auto"/>
              </w:rPr>
            </w:pPr>
          </w:p>
        </w:tc>
        <w:tc>
          <w:tcPr>
            <w:tcW w:w="8780" w:type="dxa"/>
            <w:vAlign w:val="bottom"/>
            <w:tcBorders>
              <w:top w:val="single" w:sz="8" w:color="CCEEFF"/>
            </w:tcBorders>
          </w:tcPr>
          <w:p>
            <w:pPr>
              <w:spacing w:after="0"/>
              <w:rPr>
                <w:sz w:val="3"/>
                <w:szCs w:val="3"/>
                <w:color w:val="auto"/>
              </w:rPr>
            </w:pPr>
          </w:p>
        </w:tc>
      </w:tr>
      <w:tr>
        <w:trPr>
          <w:trHeight w:val="161"/>
        </w:trPr>
        <w:tc>
          <w:tcPr>
            <w:tcW w:w="920" w:type="dxa"/>
            <w:vAlign w:val="bottom"/>
            <w:gridSpan w:val="4"/>
            <w:shd w:val="clear" w:color="auto" w:fill="CCEEFF"/>
          </w:tcPr>
          <w:p>
            <w:pPr>
              <w:ind w:left="560"/>
              <w:spacing w:after="0" w:line="161" w:lineRule="exact"/>
              <w:rPr>
                <w:rFonts w:ascii="Arial" w:cs="Arial" w:eastAsia="Arial" w:hAnsi="Arial"/>
                <w:sz w:val="15"/>
                <w:szCs w:val="15"/>
                <w:color w:val="0000FF"/>
                <w:w w:val="90"/>
              </w:rPr>
            </w:pPr>
            <w:hyperlink w:anchor="page103">
              <w:r>
                <w:rPr>
                  <w:rFonts w:ascii="Arial" w:cs="Arial" w:eastAsia="Arial" w:hAnsi="Arial"/>
                  <w:sz w:val="15"/>
                  <w:szCs w:val="15"/>
                  <w:color w:val="0000FF"/>
                  <w:w w:val="90"/>
                </w:rPr>
                <w:t>32.</w:t>
              </w:r>
              <w:r>
                <w:rPr>
                  <w:rFonts w:ascii="Arial" w:cs="Arial" w:eastAsia="Arial" w:hAnsi="Arial"/>
                  <w:sz w:val="15"/>
                  <w:szCs w:val="15"/>
                  <w:u w:val="single" w:color="auto"/>
                  <w:color w:val="0000FF"/>
                  <w:w w:val="90"/>
                </w:rPr>
                <w:t>1</w:t>
              </w:r>
            </w:hyperlink>
            <w:r>
              <w:rPr>
                <w:rFonts w:ascii="Arial" w:cs="Arial" w:eastAsia="Arial" w:hAnsi="Arial"/>
                <w:sz w:val="15"/>
                <w:szCs w:val="15"/>
                <w:color w:val="000000"/>
                <w:w w:val="90"/>
              </w:rPr>
              <w:t>#</w:t>
            </w:r>
          </w:p>
        </w:tc>
        <w:tc>
          <w:tcPr>
            <w:tcW w:w="260" w:type="dxa"/>
            <w:vAlign w:val="bottom"/>
            <w:shd w:val="clear" w:color="auto" w:fill="CCEEFF"/>
          </w:tcPr>
          <w:p>
            <w:pPr>
              <w:spacing w:after="0"/>
              <w:rPr>
                <w:sz w:val="13"/>
                <w:szCs w:val="13"/>
                <w:color w:val="auto"/>
              </w:rPr>
            </w:pPr>
          </w:p>
        </w:tc>
        <w:tc>
          <w:tcPr>
            <w:tcW w:w="8780" w:type="dxa"/>
            <w:vAlign w:val="bottom"/>
            <w:shd w:val="clear" w:color="auto" w:fill="CCEEFF"/>
          </w:tcPr>
          <w:p>
            <w:pPr>
              <w:ind w:left="560"/>
              <w:spacing w:after="0" w:line="161" w:lineRule="exact"/>
              <w:rPr>
                <w:sz w:val="20"/>
                <w:szCs w:val="20"/>
                <w:color w:val="auto"/>
              </w:rPr>
            </w:pPr>
            <w:r>
              <w:rPr>
                <w:rFonts w:ascii="Arial" w:cs="Arial" w:eastAsia="Arial" w:hAnsi="Arial"/>
                <w:sz w:val="15"/>
                <w:szCs w:val="15"/>
                <w:color w:val="auto"/>
                <w:w w:val="95"/>
              </w:rPr>
              <w:t>Certification of Chief Executive Officer Pursuant to 18 U.S.C. Section 1350, as adopted pursuant to Section 906 of the Sarbanes-</w:t>
            </w:r>
          </w:p>
        </w:tc>
      </w:tr>
      <w:tr>
        <w:trPr>
          <w:trHeight w:val="164"/>
        </w:trPr>
        <w:tc>
          <w:tcPr>
            <w:tcW w:w="5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8780" w:type="dxa"/>
            <w:vAlign w:val="bottom"/>
            <w:tcBorders>
              <w:top w:val="single" w:sz="8" w:color="CCEEFF"/>
            </w:tcBorders>
            <w:shd w:val="clear" w:color="auto" w:fill="CCEEFF"/>
          </w:tcPr>
          <w:p>
            <w:pPr>
              <w:ind w:left="20"/>
              <w:spacing w:after="0" w:line="164" w:lineRule="exact"/>
              <w:rPr>
                <w:sz w:val="20"/>
                <w:szCs w:val="20"/>
                <w:color w:val="auto"/>
              </w:rPr>
            </w:pPr>
            <w:r>
              <w:rPr>
                <w:rFonts w:ascii="Arial" w:cs="Arial" w:eastAsia="Arial" w:hAnsi="Arial"/>
                <w:sz w:val="15"/>
                <w:szCs w:val="15"/>
                <w:color w:val="auto"/>
              </w:rPr>
              <w:t>Oxley Act of 2002</w:t>
            </w:r>
          </w:p>
        </w:tc>
      </w:tr>
      <w:tr>
        <w:trPr>
          <w:trHeight w:val="46"/>
        </w:trPr>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161"/>
        </w:trPr>
        <w:tc>
          <w:tcPr>
            <w:tcW w:w="920" w:type="dxa"/>
            <w:vAlign w:val="bottom"/>
            <w:gridSpan w:val="4"/>
            <w:shd w:val="clear" w:color="auto" w:fill="CCEEFF"/>
          </w:tcPr>
          <w:p>
            <w:pPr>
              <w:ind w:left="560"/>
              <w:spacing w:after="0" w:line="161" w:lineRule="exact"/>
              <w:rPr>
                <w:rFonts w:ascii="Arial" w:cs="Arial" w:eastAsia="Arial" w:hAnsi="Arial"/>
                <w:sz w:val="15"/>
                <w:szCs w:val="15"/>
                <w:color w:val="0000FF"/>
                <w:w w:val="90"/>
              </w:rPr>
            </w:pPr>
            <w:hyperlink w:anchor="page104">
              <w:r>
                <w:rPr>
                  <w:rFonts w:ascii="Arial" w:cs="Arial" w:eastAsia="Arial" w:hAnsi="Arial"/>
                  <w:sz w:val="15"/>
                  <w:szCs w:val="15"/>
                  <w:color w:val="0000FF"/>
                  <w:w w:val="90"/>
                </w:rPr>
                <w:t>32.</w:t>
              </w:r>
              <w:r>
                <w:rPr>
                  <w:rFonts w:ascii="Arial" w:cs="Arial" w:eastAsia="Arial" w:hAnsi="Arial"/>
                  <w:sz w:val="15"/>
                  <w:szCs w:val="15"/>
                  <w:u w:val="single" w:color="auto"/>
                  <w:color w:val="0000FF"/>
                  <w:w w:val="90"/>
                </w:rPr>
                <w:t>2</w:t>
              </w:r>
            </w:hyperlink>
            <w:r>
              <w:rPr>
                <w:rFonts w:ascii="Arial" w:cs="Arial" w:eastAsia="Arial" w:hAnsi="Arial"/>
                <w:sz w:val="15"/>
                <w:szCs w:val="15"/>
                <w:color w:val="000000"/>
                <w:w w:val="90"/>
              </w:rPr>
              <w:t>#</w:t>
            </w:r>
          </w:p>
        </w:tc>
        <w:tc>
          <w:tcPr>
            <w:tcW w:w="260" w:type="dxa"/>
            <w:vAlign w:val="bottom"/>
            <w:shd w:val="clear" w:color="auto" w:fill="CCEEFF"/>
          </w:tcPr>
          <w:p>
            <w:pPr>
              <w:spacing w:after="0"/>
              <w:rPr>
                <w:sz w:val="13"/>
                <w:szCs w:val="13"/>
                <w:color w:val="auto"/>
              </w:rPr>
            </w:pPr>
          </w:p>
        </w:tc>
        <w:tc>
          <w:tcPr>
            <w:tcW w:w="8780" w:type="dxa"/>
            <w:vAlign w:val="bottom"/>
            <w:shd w:val="clear" w:color="auto" w:fill="CCEEFF"/>
          </w:tcPr>
          <w:p>
            <w:pPr>
              <w:ind w:left="560"/>
              <w:spacing w:after="0" w:line="161" w:lineRule="exact"/>
              <w:rPr>
                <w:sz w:val="20"/>
                <w:szCs w:val="20"/>
                <w:color w:val="auto"/>
              </w:rPr>
            </w:pPr>
            <w:r>
              <w:rPr>
                <w:rFonts w:ascii="Arial" w:cs="Arial" w:eastAsia="Arial" w:hAnsi="Arial"/>
                <w:sz w:val="15"/>
                <w:szCs w:val="15"/>
                <w:color w:val="auto"/>
                <w:w w:val="96"/>
              </w:rPr>
              <w:t>Certification of Chief Financial Officer Pursuant to 18 U.S.C. Section 1350, as adopted pursuant to Section 906 of the Sarbanes-</w:t>
            </w:r>
          </w:p>
        </w:tc>
      </w:tr>
      <w:tr>
        <w:trPr>
          <w:trHeight w:val="164"/>
        </w:trPr>
        <w:tc>
          <w:tcPr>
            <w:tcW w:w="5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8780" w:type="dxa"/>
            <w:vAlign w:val="bottom"/>
            <w:tcBorders>
              <w:top w:val="single" w:sz="8" w:color="CCEEFF"/>
            </w:tcBorders>
            <w:shd w:val="clear" w:color="auto" w:fill="CCEEFF"/>
          </w:tcPr>
          <w:p>
            <w:pPr>
              <w:ind w:left="20"/>
              <w:spacing w:after="0" w:line="164" w:lineRule="exact"/>
              <w:rPr>
                <w:sz w:val="20"/>
                <w:szCs w:val="20"/>
                <w:color w:val="auto"/>
              </w:rPr>
            </w:pPr>
            <w:r>
              <w:rPr>
                <w:rFonts w:ascii="Arial" w:cs="Arial" w:eastAsia="Arial" w:hAnsi="Arial"/>
                <w:sz w:val="15"/>
                <w:szCs w:val="15"/>
                <w:color w:val="auto"/>
              </w:rPr>
              <w:t>Oxley Act of 2002</w:t>
            </w:r>
          </w:p>
        </w:tc>
      </w:tr>
      <w:tr>
        <w:trPr>
          <w:trHeight w:val="46"/>
        </w:trPr>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184"/>
        </w:trPr>
        <w:tc>
          <w:tcPr>
            <w:tcW w:w="900" w:type="dxa"/>
            <w:vAlign w:val="bottom"/>
            <w:gridSpan w:val="3"/>
            <w:shd w:val="clear" w:color="auto" w:fill="CCEEFF"/>
          </w:tcPr>
          <w:p>
            <w:pPr>
              <w:ind w:left="560"/>
              <w:spacing w:after="0"/>
              <w:rPr>
                <w:sz w:val="20"/>
                <w:szCs w:val="20"/>
                <w:color w:val="auto"/>
              </w:rPr>
            </w:pPr>
            <w:r>
              <w:rPr>
                <w:rFonts w:ascii="Arial" w:cs="Arial" w:eastAsia="Arial" w:hAnsi="Arial"/>
                <w:sz w:val="15"/>
                <w:szCs w:val="15"/>
                <w:color w:val="auto"/>
              </w:rPr>
              <w:t>101*</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780" w:type="dxa"/>
            <w:vAlign w:val="bottom"/>
            <w:shd w:val="clear" w:color="auto" w:fill="CCEEFF"/>
          </w:tcPr>
          <w:p>
            <w:pPr>
              <w:ind w:left="560"/>
              <w:spacing w:after="0"/>
              <w:rPr>
                <w:sz w:val="20"/>
                <w:szCs w:val="20"/>
                <w:color w:val="auto"/>
              </w:rPr>
            </w:pPr>
            <w:r>
              <w:rPr>
                <w:rFonts w:ascii="Arial" w:cs="Arial" w:eastAsia="Arial" w:hAnsi="Arial"/>
                <w:sz w:val="15"/>
                <w:szCs w:val="15"/>
                <w:color w:val="auto"/>
                <w:w w:val="95"/>
              </w:rPr>
              <w:t>The following materials from the Company’s Annual Report on Form 10-K for the year ended December 31, 2021, are formatted in</w:t>
            </w:r>
          </w:p>
        </w:tc>
      </w:tr>
      <w:tr>
        <w:trPr>
          <w:trHeight w:val="172"/>
        </w:trPr>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iXBRL (Inline Extensible Business Reporting Language): (i) the Audited Consolidated Balance Sheets, (ii) the Audited Consolidated</w:t>
            </w:r>
          </w:p>
        </w:tc>
      </w:tr>
      <w:tr>
        <w:trPr>
          <w:trHeight w:val="172"/>
        </w:trPr>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5"/>
                <w:szCs w:val="15"/>
                <w:color w:val="auto"/>
                <w:w w:val="96"/>
              </w:rPr>
              <w:t>Statements of Income and Comprehensive Income, (iii) the Audited Consolidated Statements of Changes in Stockholders’ Equity, (iv) the</w:t>
            </w:r>
          </w:p>
        </w:tc>
      </w:tr>
      <w:tr>
        <w:trPr>
          <w:trHeight w:val="206"/>
        </w:trPr>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Audited Consolidated Statements of Cash Flows, and (v) the Notes to Audited Consolidated Financial Statements.</w:t>
            </w:r>
          </w:p>
        </w:tc>
      </w:tr>
      <w:tr>
        <w:trPr>
          <w:trHeight w:val="46"/>
        </w:trPr>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780" w:type="dxa"/>
            <w:vAlign w:val="bottom"/>
          </w:tcPr>
          <w:p>
            <w:pPr>
              <w:spacing w:after="0"/>
              <w:rPr>
                <w:sz w:val="3"/>
                <w:szCs w:val="3"/>
                <w:color w:val="auto"/>
              </w:rPr>
            </w:pPr>
          </w:p>
        </w:tc>
      </w:tr>
      <w:tr>
        <w:trPr>
          <w:trHeight w:val="184"/>
        </w:trPr>
        <w:tc>
          <w:tcPr>
            <w:tcW w:w="900" w:type="dxa"/>
            <w:vAlign w:val="bottom"/>
            <w:gridSpan w:val="3"/>
            <w:shd w:val="clear" w:color="auto" w:fill="CCEEFF"/>
          </w:tcPr>
          <w:p>
            <w:pPr>
              <w:ind w:left="560"/>
              <w:spacing w:after="0"/>
              <w:rPr>
                <w:sz w:val="20"/>
                <w:szCs w:val="20"/>
                <w:color w:val="auto"/>
              </w:rPr>
            </w:pPr>
            <w:r>
              <w:rPr>
                <w:rFonts w:ascii="Arial" w:cs="Arial" w:eastAsia="Arial" w:hAnsi="Arial"/>
                <w:sz w:val="15"/>
                <w:szCs w:val="15"/>
                <w:color w:val="auto"/>
              </w:rPr>
              <w:t>104*</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780" w:type="dxa"/>
            <w:vAlign w:val="bottom"/>
            <w:shd w:val="clear" w:color="auto" w:fill="CCEEFF"/>
          </w:tcPr>
          <w:p>
            <w:pPr>
              <w:ind w:left="560"/>
              <w:spacing w:after="0"/>
              <w:rPr>
                <w:sz w:val="20"/>
                <w:szCs w:val="20"/>
                <w:color w:val="auto"/>
              </w:rPr>
            </w:pPr>
            <w:r>
              <w:rPr>
                <w:rFonts w:ascii="Arial" w:cs="Arial" w:eastAsia="Arial" w:hAnsi="Arial"/>
                <w:sz w:val="15"/>
                <w:szCs w:val="15"/>
                <w:color w:val="auto"/>
                <w:w w:val="94"/>
              </w:rPr>
              <w:t>The cover page from the Company’s Annual Report on Form 10-K for the year ended December 31, 2021, formatted in iXBRL and</w:t>
            </w:r>
          </w:p>
        </w:tc>
      </w:tr>
      <w:tr>
        <w:trPr>
          <w:trHeight w:val="206"/>
        </w:trPr>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contained in Exhibit 101.</w:t>
            </w:r>
          </w:p>
        </w:tc>
      </w:tr>
    </w:tbl>
    <w:p>
      <w:pPr>
        <w:spacing w:after="0" w:line="2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547370</wp:posOffset>
            </wp:positionH>
            <wp:positionV relativeFrom="page">
              <wp:posOffset>88900</wp:posOffset>
            </wp:positionV>
            <wp:extent cx="6322695" cy="438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7">
                      <a:extLst>
                        <a:ext uri="{28A0092B-C50C-407E-A947-70E740481C1C}"/>
                      </a:extLst>
                    </a:blip>
                    <a:srcRect/>
                    <a:stretch>
                      <a:fillRect/>
                    </a:stretch>
                  </pic:blipFill>
                  <pic:spPr bwMode="auto">
                    <a:xfrm>
                      <a:off x="0" y="0"/>
                      <a:ext cx="6322695" cy="43815"/>
                    </a:xfrm>
                    <a:prstGeom prst="rect">
                      <a:avLst/>
                    </a:prstGeom>
                    <a:noFill/>
                  </pic:spPr>
                </pic:pic>
              </a:graphicData>
            </a:graphic>
          </wp:anchor>
        </w:drawing>
      </w:r>
    </w:p>
    <w:p>
      <w:pPr>
        <w:ind w:right="6260" w:firstLine="7"/>
        <w:spacing w:after="0" w:line="262" w:lineRule="auto"/>
        <w:tabs>
          <w:tab w:leader="none" w:pos="271" w:val="left"/>
        </w:tabs>
        <w:numPr>
          <w:ilvl w:val="0"/>
          <w:numId w:val="36"/>
        </w:numPr>
        <w:rPr>
          <w:rFonts w:ascii="Arial" w:cs="Arial" w:eastAsia="Arial" w:hAnsi="Arial"/>
          <w:sz w:val="15"/>
          <w:szCs w:val="15"/>
          <w:color w:val="auto"/>
        </w:rPr>
      </w:pPr>
      <w:r>
        <w:rPr>
          <w:rFonts w:ascii="Arial" w:cs="Arial" w:eastAsia="Arial" w:hAnsi="Arial"/>
          <w:sz w:val="15"/>
          <w:szCs w:val="15"/>
          <w:color w:val="auto"/>
        </w:rPr>
        <w:t>Management contract or compensatory plan or arrangement. * Filed herewith.</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  Previously filed.</w:t>
      </w:r>
    </w:p>
    <w:p>
      <w:pPr>
        <w:spacing w:after="0" w:line="1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  Furnished herewith.</w:t>
      </w:r>
    </w:p>
    <w:p>
      <w:pPr>
        <w:spacing w:after="0" w:line="230"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175895</wp:posOffset>
            </wp:positionV>
            <wp:extent cx="7178040" cy="400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0240"/>
          </w:cols>
          <w:pgMar w:left="580" w:top="222" w:right="1079" w:bottom="1440" w:gutter="0" w:footer="0" w:header="0"/>
        </w:sectPr>
      </w:pPr>
    </w:p>
    <w:bookmarkStart w:id="94" w:name="page95"/>
    <w:bookmarkEnd w:id="94"/>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374"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b w:val="1"/>
          <w:bCs w:val="1"/>
          <w:color w:val="auto"/>
        </w:rPr>
        <w:t>ITEM 16.</w:t>
        <w:tab/>
        <w:t>FORM 10-K SUMMARY</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None.</w:t>
      </w:r>
    </w:p>
    <w:p>
      <w:pPr>
        <w:spacing w:after="0" w:line="378" w:lineRule="exact"/>
        <w:rPr>
          <w:sz w:val="20"/>
          <w:szCs w:val="20"/>
          <w:color w:val="auto"/>
        </w:rPr>
      </w:pPr>
    </w:p>
    <w:p>
      <w:pPr>
        <w:jc w:val="right"/>
        <w:ind w:right="4439"/>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175895</wp:posOffset>
            </wp:positionV>
            <wp:extent cx="7178040" cy="400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0139"/>
          </w:cols>
          <w:pgMar w:left="320" w:top="129" w:right="1440" w:bottom="1440" w:gutter="0" w:footer="0" w:header="0"/>
        </w:sectPr>
      </w:pPr>
    </w:p>
    <w:bookmarkStart w:id="95" w:name="page96"/>
    <w:bookmarkEnd w:id="95"/>
    <w:p>
      <w:pPr>
        <w:spacing w:after="0"/>
        <w:rPr>
          <w:rFonts w:ascii="Arial" w:cs="Arial" w:eastAsia="Arial" w:hAnsi="Arial"/>
          <w:sz w:val="15"/>
          <w:szCs w:val="15"/>
          <w:i w:val="1"/>
          <w:iCs w:val="1"/>
          <w:u w:val="single" w:color="auto"/>
          <w:color w:val="0000FF"/>
        </w:rPr>
      </w:pPr>
      <w:hyperlink w:anchor="page1">
        <w:r>
          <w:rPr>
            <w:rFonts w:ascii="Arial" w:cs="Arial" w:eastAsia="Arial" w:hAnsi="Arial"/>
            <w:sz w:val="15"/>
            <w:szCs w:val="15"/>
            <w:i w:val="1"/>
            <w:iCs w:val="1"/>
            <w:u w:val="single" w:color="auto"/>
            <w:color w:val="0000FF"/>
          </w:rPr>
          <w:t>Index</w:t>
        </w:r>
      </w:hyperlink>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199" w:lineRule="exact"/>
        <w:rPr>
          <w:sz w:val="20"/>
          <w:szCs w:val="20"/>
          <w:color w:val="auto"/>
        </w:rPr>
      </w:pPr>
    </w:p>
    <w:p>
      <w:pPr>
        <w:ind w:firstLine="275"/>
        <w:spacing w:after="0" w:line="285"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94" w:lineRule="exact"/>
        <w:rPr>
          <w:sz w:val="20"/>
          <w:szCs w:val="20"/>
          <w:color w:val="auto"/>
        </w:rPr>
      </w:pPr>
    </w:p>
    <w:p>
      <w:pPr>
        <w:ind w:left="4720"/>
        <w:spacing w:after="0"/>
        <w:rPr>
          <w:sz w:val="20"/>
          <w:szCs w:val="20"/>
          <w:color w:val="auto"/>
        </w:rPr>
      </w:pPr>
      <w:r>
        <w:rPr>
          <w:rFonts w:ascii="Arial" w:cs="Arial" w:eastAsia="Arial" w:hAnsi="Arial"/>
          <w:sz w:val="15"/>
          <w:szCs w:val="15"/>
          <w:b w:val="1"/>
          <w:bCs w:val="1"/>
          <w:color w:val="auto"/>
        </w:rPr>
        <w:t>International Money Express, Inc. (Registrant)</w:t>
      </w:r>
    </w:p>
    <w:p>
      <w:pPr>
        <w:spacing w:after="0" w:line="256" w:lineRule="exact"/>
        <w:rPr>
          <w:sz w:val="20"/>
          <w:szCs w:val="20"/>
          <w:color w:val="auto"/>
        </w:rPr>
      </w:pPr>
    </w:p>
    <w:p>
      <w:pPr>
        <w:ind w:left="560"/>
        <w:spacing w:after="0"/>
        <w:tabs>
          <w:tab w:leader="none" w:pos="4700" w:val="left"/>
          <w:tab w:leader="none" w:pos="5220" w:val="left"/>
        </w:tabs>
        <w:rPr>
          <w:sz w:val="20"/>
          <w:szCs w:val="20"/>
          <w:color w:val="auto"/>
        </w:rPr>
      </w:pPr>
      <w:r>
        <w:rPr>
          <w:rFonts w:ascii="Arial" w:cs="Arial" w:eastAsia="Arial" w:hAnsi="Arial"/>
          <w:sz w:val="15"/>
          <w:szCs w:val="15"/>
          <w:color w:val="auto"/>
        </w:rPr>
        <w:t>March 7, 2022</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3141345</wp:posOffset>
            </wp:positionH>
            <wp:positionV relativeFrom="paragraph">
              <wp:posOffset>13970</wp:posOffset>
            </wp:positionV>
            <wp:extent cx="3022600" cy="146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0">
                      <a:extLst>
                        <a:ext uri="{28A0092B-C50C-407E-A947-70E740481C1C}"/>
                      </a:extLst>
                    </a:blip>
                    <a:srcRect/>
                    <a:stretch>
                      <a:fillRect/>
                    </a:stretch>
                  </pic:blipFill>
                  <pic:spPr bwMode="auto">
                    <a:xfrm>
                      <a:off x="0" y="0"/>
                      <a:ext cx="3022600" cy="14605"/>
                    </a:xfrm>
                    <a:prstGeom prst="rect">
                      <a:avLst/>
                    </a:prstGeom>
                    <a:noFill/>
                  </pic:spPr>
                </pic:pic>
              </a:graphicData>
            </a:graphic>
          </wp:anchor>
        </w:drawing>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5"/>
          <w:szCs w:val="15"/>
          <w:b w:val="1"/>
          <w:bCs w:val="1"/>
          <w:color w:val="auto"/>
        </w:rPr>
        <w:t>Robert Lisy</w:t>
      </w:r>
    </w:p>
    <w:p>
      <w:pPr>
        <w:spacing w:after="0" w:line="26" w:lineRule="exact"/>
        <w:rPr>
          <w:sz w:val="20"/>
          <w:szCs w:val="20"/>
          <w:color w:val="auto"/>
        </w:rPr>
      </w:pPr>
    </w:p>
    <w:p>
      <w:pPr>
        <w:ind w:left="5240"/>
        <w:spacing w:after="0"/>
        <w:rPr>
          <w:sz w:val="20"/>
          <w:szCs w:val="20"/>
          <w:color w:val="auto"/>
        </w:rPr>
      </w:pPr>
      <w:r>
        <w:rPr>
          <w:rFonts w:ascii="Arial" w:cs="Arial" w:eastAsia="Arial" w:hAnsi="Arial"/>
          <w:sz w:val="15"/>
          <w:szCs w:val="15"/>
          <w:b w:val="1"/>
          <w:bCs w:val="1"/>
          <w:color w:val="auto"/>
        </w:rPr>
        <w:t>Chief Executive Officer and President</w:t>
      </w:r>
    </w:p>
    <w:p>
      <w:pPr>
        <w:spacing w:after="0" w:line="299" w:lineRule="exact"/>
        <w:rPr>
          <w:sz w:val="20"/>
          <w:szCs w:val="20"/>
          <w:color w:val="auto"/>
        </w:rPr>
      </w:pPr>
    </w:p>
    <w:p>
      <w:pPr>
        <w:ind w:firstLine="275"/>
        <w:spacing w:after="0" w:line="285" w:lineRule="auto"/>
        <w:rPr>
          <w:sz w:val="20"/>
          <w:szCs w:val="20"/>
          <w:color w:val="auto"/>
        </w:rPr>
      </w:pPr>
      <w:r>
        <w:rPr>
          <w:rFonts w:ascii="Arial" w:cs="Arial" w:eastAsia="Arial" w:hAnsi="Arial"/>
          <w:sz w:val="15"/>
          <w:szCs w:val="15"/>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60"/>
          </w:cols>
          <w:pgMar w:left="320" w:top="129" w:right="319" w:bottom="1440" w:gutter="0" w:footer="0" w:header="0"/>
        </w:sectPr>
      </w:pPr>
    </w:p>
    <w:p>
      <w:pPr>
        <w:spacing w:after="0" w:line="194" w:lineRule="exact"/>
        <w:rPr>
          <w:sz w:val="20"/>
          <w:szCs w:val="20"/>
          <w:color w:val="auto"/>
        </w:rPr>
      </w:pPr>
    </w:p>
    <w:p>
      <w:pPr>
        <w:ind w:left="1600"/>
        <w:spacing w:after="0"/>
        <w:rPr>
          <w:sz w:val="20"/>
          <w:szCs w:val="20"/>
          <w:color w:val="auto"/>
        </w:rPr>
      </w:pPr>
      <w:r>
        <w:rPr>
          <w:rFonts w:ascii="Arial" w:cs="Arial" w:eastAsia="Arial" w:hAnsi="Arial"/>
          <w:sz w:val="15"/>
          <w:szCs w:val="15"/>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16510</wp:posOffset>
            </wp:positionV>
            <wp:extent cx="1908175" cy="146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1">
                      <a:extLst>
                        <a:ext uri="{28A0092B-C50C-407E-A947-70E740481C1C}"/>
                      </a:extLst>
                    </a:blip>
                    <a:srcRect/>
                    <a:stretch>
                      <a:fillRect/>
                    </a:stretch>
                  </pic:blipFill>
                  <pic:spPr bwMode="auto">
                    <a:xfrm>
                      <a:off x="0" y="0"/>
                      <a:ext cx="1908175" cy="14605"/>
                    </a:xfrm>
                    <a:prstGeom prst="rect">
                      <a:avLst/>
                    </a:prstGeom>
                    <a:noFill/>
                  </pic:spPr>
                </pic:pic>
              </a:graphicData>
            </a:graphic>
          </wp:anchor>
        </w:drawing>
      </w:r>
    </w:p>
    <w:p>
      <w:pPr>
        <w:spacing w:after="0" w:line="270" w:lineRule="exact"/>
        <w:rPr>
          <w:sz w:val="20"/>
          <w:szCs w:val="20"/>
          <w:color w:val="auto"/>
        </w:rPr>
      </w:pPr>
    </w:p>
    <w:p>
      <w:pPr>
        <w:jc w:val="center"/>
        <w:ind w:left="1180"/>
        <w:spacing w:after="0"/>
        <w:rPr>
          <w:sz w:val="20"/>
          <w:szCs w:val="20"/>
          <w:color w:val="auto"/>
        </w:rPr>
      </w:pPr>
      <w:r>
        <w:rPr>
          <w:rFonts w:ascii="Arial" w:cs="Arial" w:eastAsia="Arial" w:hAnsi="Arial"/>
          <w:sz w:val="15"/>
          <w:szCs w:val="15"/>
          <w:color w:val="auto"/>
        </w:rPr>
        <w:t>/s/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13970</wp:posOffset>
            </wp:positionV>
            <wp:extent cx="1908175" cy="146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2">
                      <a:extLst>
                        <a:ext uri="{28A0092B-C50C-407E-A947-70E740481C1C}"/>
                      </a:extLst>
                    </a:blip>
                    <a:srcRect/>
                    <a:stretch>
                      <a:fillRect/>
                    </a:stretch>
                  </pic:blipFill>
                  <pic:spPr bwMode="auto">
                    <a:xfrm>
                      <a:off x="0" y="0"/>
                      <a:ext cx="1908175" cy="14605"/>
                    </a:xfrm>
                    <a:prstGeom prst="rect">
                      <a:avLst/>
                    </a:prstGeom>
                    <a:noFill/>
                  </pic:spPr>
                </pic:pic>
              </a:graphicData>
            </a:graphic>
          </wp:anchor>
        </w:drawing>
      </w:r>
    </w:p>
    <w:p>
      <w:pPr>
        <w:spacing w:after="0" w:line="44" w:lineRule="exact"/>
        <w:rPr>
          <w:sz w:val="20"/>
          <w:szCs w:val="20"/>
          <w:color w:val="auto"/>
        </w:rPr>
      </w:pPr>
    </w:p>
    <w:p>
      <w:pPr>
        <w:jc w:val="center"/>
        <w:ind w:left="1180"/>
        <w:spacing w:after="0"/>
        <w:rPr>
          <w:sz w:val="20"/>
          <w:szCs w:val="20"/>
          <w:color w:val="auto"/>
        </w:rPr>
      </w:pPr>
      <w:r>
        <w:rPr>
          <w:rFonts w:ascii="Arial" w:cs="Arial" w:eastAsia="Arial" w:hAnsi="Arial"/>
          <w:sz w:val="15"/>
          <w:szCs w:val="15"/>
          <w:b w:val="1"/>
          <w:bCs w:val="1"/>
          <w:color w:val="auto"/>
        </w:rPr>
        <w:t>Robert Lisy</w:t>
      </w:r>
    </w:p>
    <w:p>
      <w:pPr>
        <w:spacing w:after="0" w:line="279" w:lineRule="exact"/>
        <w:rPr>
          <w:sz w:val="20"/>
          <w:szCs w:val="20"/>
          <w:color w:val="auto"/>
        </w:rPr>
      </w:pPr>
    </w:p>
    <w:p>
      <w:pPr>
        <w:jc w:val="center"/>
        <w:ind w:left="1180"/>
        <w:spacing w:after="0"/>
        <w:rPr>
          <w:sz w:val="20"/>
          <w:szCs w:val="20"/>
          <w:color w:val="auto"/>
        </w:rPr>
      </w:pPr>
      <w:r>
        <w:rPr>
          <w:rFonts w:ascii="Arial" w:cs="Arial" w:eastAsia="Arial" w:hAnsi="Arial"/>
          <w:sz w:val="15"/>
          <w:szCs w:val="15"/>
          <w:color w:val="auto"/>
        </w:rPr>
        <w:t>/s/ Andras Bende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13970</wp:posOffset>
            </wp:positionV>
            <wp:extent cx="1908175" cy="146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3">
                      <a:extLst>
                        <a:ext uri="{28A0092B-C50C-407E-A947-70E740481C1C}"/>
                      </a:extLst>
                    </a:blip>
                    <a:srcRect/>
                    <a:stretch>
                      <a:fillRect/>
                    </a:stretch>
                  </pic:blipFill>
                  <pic:spPr bwMode="auto">
                    <a:xfrm>
                      <a:off x="0" y="0"/>
                      <a:ext cx="1908175" cy="14605"/>
                    </a:xfrm>
                    <a:prstGeom prst="rect">
                      <a:avLst/>
                    </a:prstGeom>
                    <a:noFill/>
                  </pic:spPr>
                </pic:pic>
              </a:graphicData>
            </a:graphic>
          </wp:anchor>
        </w:drawing>
      </w:r>
    </w:p>
    <w:p>
      <w:pPr>
        <w:spacing w:after="0" w:line="44" w:lineRule="exact"/>
        <w:rPr>
          <w:sz w:val="20"/>
          <w:szCs w:val="20"/>
          <w:color w:val="auto"/>
        </w:rPr>
      </w:pPr>
    </w:p>
    <w:p>
      <w:pPr>
        <w:jc w:val="center"/>
        <w:ind w:left="1180"/>
        <w:spacing w:after="0"/>
        <w:rPr>
          <w:sz w:val="20"/>
          <w:szCs w:val="20"/>
          <w:color w:val="auto"/>
        </w:rPr>
      </w:pPr>
      <w:r>
        <w:rPr>
          <w:rFonts w:ascii="Arial" w:cs="Arial" w:eastAsia="Arial" w:hAnsi="Arial"/>
          <w:sz w:val="15"/>
          <w:szCs w:val="15"/>
          <w:b w:val="1"/>
          <w:bCs w:val="1"/>
          <w:color w:val="auto"/>
        </w:rPr>
        <w:t>Andras Bende</w:t>
      </w:r>
    </w:p>
    <w:p>
      <w:pPr>
        <w:spacing w:after="0" w:line="279"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/s/ Debra Bradford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13970</wp:posOffset>
            </wp:positionV>
            <wp:extent cx="1908175" cy="146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4">
                      <a:extLst>
                        <a:ext uri="{28A0092B-C50C-407E-A947-70E740481C1C}"/>
                      </a:extLst>
                    </a:blip>
                    <a:srcRect/>
                    <a:stretch>
                      <a:fillRect/>
                    </a:stretch>
                  </pic:blipFill>
                  <pic:spPr bwMode="auto">
                    <a:xfrm>
                      <a:off x="0" y="0"/>
                      <a:ext cx="1908175" cy="14605"/>
                    </a:xfrm>
                    <a:prstGeom prst="rect">
                      <a:avLst/>
                    </a:prstGeom>
                    <a:noFill/>
                  </pic:spPr>
                </pic:pic>
              </a:graphicData>
            </a:graphic>
          </wp:anchor>
        </w:drawing>
      </w:r>
    </w:p>
    <w:p>
      <w:pPr>
        <w:spacing w:after="0" w:line="44" w:lineRule="exact"/>
        <w:rPr>
          <w:sz w:val="20"/>
          <w:szCs w:val="20"/>
          <w:color w:val="auto"/>
        </w:rPr>
      </w:pPr>
    </w:p>
    <w:p>
      <w:pPr>
        <w:ind w:left="1380"/>
        <w:spacing w:after="0"/>
        <w:rPr>
          <w:sz w:val="20"/>
          <w:szCs w:val="20"/>
          <w:color w:val="auto"/>
        </w:rPr>
      </w:pPr>
      <w:r>
        <w:rPr>
          <w:rFonts w:ascii="Arial" w:cs="Arial" w:eastAsia="Arial" w:hAnsi="Arial"/>
          <w:sz w:val="15"/>
          <w:szCs w:val="15"/>
          <w:b w:val="1"/>
          <w:bCs w:val="1"/>
          <w:color w:val="auto"/>
        </w:rPr>
        <w:t>Debra Bradford</w:t>
      </w:r>
    </w:p>
    <w:p>
      <w:pPr>
        <w:spacing w:after="0" w:line="279"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/s/ Bernardo Fernández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28575</wp:posOffset>
            </wp:positionV>
            <wp:extent cx="1908175" cy="146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5">
                      <a:extLst>
                        <a:ext uri="{28A0092B-C50C-407E-A947-70E740481C1C}"/>
                      </a:extLst>
                    </a:blip>
                    <a:srcRect/>
                    <a:stretch>
                      <a:fillRect/>
                    </a:stretch>
                  </pic:blipFill>
                  <pic:spPr bwMode="auto">
                    <a:xfrm>
                      <a:off x="0" y="0"/>
                      <a:ext cx="1908175" cy="14605"/>
                    </a:xfrm>
                    <a:prstGeom prst="rect">
                      <a:avLst/>
                    </a:prstGeom>
                    <a:noFill/>
                  </pic:spPr>
                </pic:pic>
              </a:graphicData>
            </a:graphic>
          </wp:anchor>
        </w:drawing>
      </w:r>
    </w:p>
    <w:p>
      <w:pPr>
        <w:spacing w:after="0" w:line="67"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Bernardo Fernández</w:t>
      </w:r>
    </w:p>
    <w:p>
      <w:pPr>
        <w:spacing w:after="0" w:line="290" w:lineRule="exact"/>
        <w:rPr>
          <w:sz w:val="20"/>
          <w:szCs w:val="20"/>
          <w:color w:val="auto"/>
        </w:rPr>
      </w:pPr>
    </w:p>
    <w:p>
      <w:pPr>
        <w:jc w:val="center"/>
        <w:ind w:left="1180"/>
        <w:spacing w:after="0"/>
        <w:rPr>
          <w:sz w:val="20"/>
          <w:szCs w:val="20"/>
          <w:color w:val="auto"/>
        </w:rPr>
      </w:pPr>
      <w:r>
        <w:rPr>
          <w:rFonts w:ascii="Arial" w:cs="Arial" w:eastAsia="Arial" w:hAnsi="Arial"/>
          <w:sz w:val="15"/>
          <w:szCs w:val="15"/>
          <w:color w:val="auto"/>
        </w:rPr>
        <w:t>/s/ Adam Godfrey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13970</wp:posOffset>
            </wp:positionV>
            <wp:extent cx="1908175" cy="146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6">
                      <a:extLst>
                        <a:ext uri="{28A0092B-C50C-407E-A947-70E740481C1C}"/>
                      </a:extLst>
                    </a:blip>
                    <a:srcRect/>
                    <a:stretch>
                      <a:fillRect/>
                    </a:stretch>
                  </pic:blipFill>
                  <pic:spPr bwMode="auto">
                    <a:xfrm>
                      <a:off x="0" y="0"/>
                      <a:ext cx="1908175" cy="14605"/>
                    </a:xfrm>
                    <a:prstGeom prst="rect">
                      <a:avLst/>
                    </a:prstGeom>
                    <a:noFill/>
                  </pic:spPr>
                </pic:pic>
              </a:graphicData>
            </a:graphic>
          </wp:anchor>
        </w:drawing>
      </w:r>
    </w:p>
    <w:p>
      <w:pPr>
        <w:spacing w:after="0" w:line="44" w:lineRule="exact"/>
        <w:rPr>
          <w:sz w:val="20"/>
          <w:szCs w:val="20"/>
          <w:color w:val="auto"/>
        </w:rPr>
      </w:pPr>
    </w:p>
    <w:p>
      <w:pPr>
        <w:jc w:val="center"/>
        <w:ind w:left="1180"/>
        <w:spacing w:after="0"/>
        <w:rPr>
          <w:sz w:val="20"/>
          <w:szCs w:val="20"/>
          <w:color w:val="auto"/>
        </w:rPr>
      </w:pPr>
      <w:r>
        <w:rPr>
          <w:rFonts w:ascii="Arial" w:cs="Arial" w:eastAsia="Arial" w:hAnsi="Arial"/>
          <w:sz w:val="15"/>
          <w:szCs w:val="15"/>
          <w:b w:val="1"/>
          <w:bCs w:val="1"/>
          <w:color w:val="auto"/>
        </w:rPr>
        <w:t>Adam Godfrey</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/s/ Laura Maydón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13970</wp:posOffset>
            </wp:positionV>
            <wp:extent cx="1908175" cy="146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7">
                      <a:extLst>
                        <a:ext uri="{28A0092B-C50C-407E-A947-70E740481C1C}"/>
                      </a:extLst>
                    </a:blip>
                    <a:srcRect/>
                    <a:stretch>
                      <a:fillRect/>
                    </a:stretch>
                  </pic:blipFill>
                  <pic:spPr bwMode="auto">
                    <a:xfrm>
                      <a:off x="0" y="0"/>
                      <a:ext cx="1908175" cy="14605"/>
                    </a:xfrm>
                    <a:prstGeom prst="rect">
                      <a:avLst/>
                    </a:prstGeom>
                    <a:noFill/>
                  </pic:spPr>
                </pic:pic>
              </a:graphicData>
            </a:graphic>
          </wp:anchor>
        </w:drawing>
      </w:r>
    </w:p>
    <w:p>
      <w:pPr>
        <w:spacing w:after="0" w:line="44" w:lineRule="exact"/>
        <w:rPr>
          <w:sz w:val="20"/>
          <w:szCs w:val="20"/>
          <w:color w:val="auto"/>
        </w:rPr>
      </w:pPr>
    </w:p>
    <w:p>
      <w:pPr>
        <w:ind w:left="1420"/>
        <w:spacing w:after="0"/>
        <w:rPr>
          <w:sz w:val="20"/>
          <w:szCs w:val="20"/>
          <w:color w:val="auto"/>
        </w:rPr>
      </w:pPr>
      <w:r>
        <w:rPr>
          <w:rFonts w:ascii="Arial" w:cs="Arial" w:eastAsia="Arial" w:hAnsi="Arial"/>
          <w:sz w:val="15"/>
          <w:szCs w:val="15"/>
          <w:b w:val="1"/>
          <w:bCs w:val="1"/>
          <w:color w:val="auto"/>
        </w:rPr>
        <w:t>Laura Maydón</w:t>
      </w:r>
    </w:p>
    <w:p>
      <w:pPr>
        <w:spacing w:after="0" w:line="279" w:lineRule="exact"/>
        <w:rPr>
          <w:sz w:val="20"/>
          <w:szCs w:val="20"/>
          <w:color w:val="auto"/>
        </w:rPr>
      </w:pPr>
    </w:p>
    <w:p>
      <w:pPr>
        <w:jc w:val="center"/>
        <w:ind w:left="1180"/>
        <w:spacing w:after="0"/>
        <w:rPr>
          <w:sz w:val="20"/>
          <w:szCs w:val="20"/>
          <w:color w:val="auto"/>
        </w:rPr>
      </w:pPr>
      <w:r>
        <w:rPr>
          <w:rFonts w:ascii="Arial" w:cs="Arial" w:eastAsia="Arial" w:hAnsi="Arial"/>
          <w:sz w:val="15"/>
          <w:szCs w:val="15"/>
          <w:color w:val="auto"/>
        </w:rPr>
        <w:t>/s/ Michael Purcell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13970</wp:posOffset>
            </wp:positionV>
            <wp:extent cx="1908175" cy="146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8">
                      <a:extLst>
                        <a:ext uri="{28A0092B-C50C-407E-A947-70E740481C1C}"/>
                      </a:extLst>
                    </a:blip>
                    <a:srcRect/>
                    <a:stretch>
                      <a:fillRect/>
                    </a:stretch>
                  </pic:blipFill>
                  <pic:spPr bwMode="auto">
                    <a:xfrm>
                      <a:off x="0" y="0"/>
                      <a:ext cx="1908175" cy="14605"/>
                    </a:xfrm>
                    <a:prstGeom prst="rect">
                      <a:avLst/>
                    </a:prstGeom>
                    <a:noFill/>
                  </pic:spPr>
                </pic:pic>
              </a:graphicData>
            </a:graphic>
          </wp:anchor>
        </w:drawing>
      </w:r>
    </w:p>
    <w:p>
      <w:pPr>
        <w:spacing w:after="0" w:line="44" w:lineRule="exact"/>
        <w:rPr>
          <w:sz w:val="20"/>
          <w:szCs w:val="20"/>
          <w:color w:val="auto"/>
        </w:rPr>
      </w:pPr>
    </w:p>
    <w:p>
      <w:pPr>
        <w:jc w:val="center"/>
        <w:ind w:left="1180"/>
        <w:spacing w:after="0"/>
        <w:rPr>
          <w:sz w:val="20"/>
          <w:szCs w:val="20"/>
          <w:color w:val="auto"/>
        </w:rPr>
      </w:pPr>
      <w:r>
        <w:rPr>
          <w:rFonts w:ascii="Arial" w:cs="Arial" w:eastAsia="Arial" w:hAnsi="Arial"/>
          <w:sz w:val="15"/>
          <w:szCs w:val="15"/>
          <w:b w:val="1"/>
          <w:bCs w:val="1"/>
          <w:color w:val="auto"/>
        </w:rPr>
        <w:t>Michael Purcell</w:t>
      </w:r>
    </w:p>
    <w:p>
      <w:pPr>
        <w:spacing w:after="0" w:line="279" w:lineRule="exact"/>
        <w:rPr>
          <w:sz w:val="20"/>
          <w:szCs w:val="20"/>
          <w:color w:val="auto"/>
        </w:rPr>
      </w:pPr>
    </w:p>
    <w:p>
      <w:pPr>
        <w:jc w:val="center"/>
        <w:ind w:left="1180"/>
        <w:spacing w:after="0"/>
        <w:rPr>
          <w:sz w:val="20"/>
          <w:szCs w:val="20"/>
          <w:color w:val="auto"/>
        </w:rPr>
      </w:pPr>
      <w:r>
        <w:rPr>
          <w:rFonts w:ascii="Arial" w:cs="Arial" w:eastAsia="Arial" w:hAnsi="Arial"/>
          <w:sz w:val="15"/>
          <w:szCs w:val="15"/>
          <w:color w:val="auto"/>
        </w:rPr>
        <w:t>/s/ John Rincon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13970</wp:posOffset>
            </wp:positionV>
            <wp:extent cx="1908175" cy="146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9">
                      <a:extLst>
                        <a:ext uri="{28A0092B-C50C-407E-A947-70E740481C1C}"/>
                      </a:extLst>
                    </a:blip>
                    <a:srcRect/>
                    <a:stretch>
                      <a:fillRect/>
                    </a:stretch>
                  </pic:blipFill>
                  <pic:spPr bwMode="auto">
                    <a:xfrm>
                      <a:off x="0" y="0"/>
                      <a:ext cx="1908175" cy="14605"/>
                    </a:xfrm>
                    <a:prstGeom prst="rect">
                      <a:avLst/>
                    </a:prstGeom>
                    <a:noFill/>
                  </pic:spPr>
                </pic:pic>
              </a:graphicData>
            </a:graphic>
          </wp:anchor>
        </w:drawing>
      </w:r>
    </w:p>
    <w:p>
      <w:pPr>
        <w:spacing w:after="0" w:line="44" w:lineRule="exact"/>
        <w:rPr>
          <w:sz w:val="20"/>
          <w:szCs w:val="20"/>
          <w:color w:val="auto"/>
        </w:rPr>
      </w:pPr>
    </w:p>
    <w:p>
      <w:pPr>
        <w:jc w:val="center"/>
        <w:ind w:left="1180"/>
        <w:spacing w:after="0"/>
        <w:rPr>
          <w:sz w:val="20"/>
          <w:szCs w:val="20"/>
          <w:color w:val="auto"/>
        </w:rPr>
      </w:pPr>
      <w:r>
        <w:rPr>
          <w:rFonts w:ascii="Arial" w:cs="Arial" w:eastAsia="Arial" w:hAnsi="Arial"/>
          <w:sz w:val="15"/>
          <w:szCs w:val="15"/>
          <w:b w:val="1"/>
          <w:bCs w:val="1"/>
          <w:color w:val="auto"/>
        </w:rPr>
        <w:t>John Rincon</w:t>
      </w:r>
    </w:p>
    <w:p>
      <w:pPr>
        <w:spacing w:after="0" w:line="279"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/s/ Justin Wender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13970</wp:posOffset>
            </wp:positionV>
            <wp:extent cx="1908175" cy="146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0">
                      <a:extLst>
                        <a:ext uri="{28A0092B-C50C-407E-A947-70E740481C1C}"/>
                      </a:extLst>
                    </a:blip>
                    <a:srcRect/>
                    <a:stretch>
                      <a:fillRect/>
                    </a:stretch>
                  </pic:blipFill>
                  <pic:spPr bwMode="auto">
                    <a:xfrm>
                      <a:off x="0" y="0"/>
                      <a:ext cx="1908175" cy="14605"/>
                    </a:xfrm>
                    <a:prstGeom prst="rect">
                      <a:avLst/>
                    </a:prstGeom>
                    <a:noFill/>
                  </pic:spPr>
                </pic:pic>
              </a:graphicData>
            </a:graphic>
          </wp:anchor>
        </w:drawing>
      </w:r>
    </w:p>
    <w:p>
      <w:pPr>
        <w:spacing w:after="0" w:line="44" w:lineRule="exact"/>
        <w:rPr>
          <w:sz w:val="20"/>
          <w:szCs w:val="20"/>
          <w:color w:val="auto"/>
        </w:rPr>
      </w:pPr>
    </w:p>
    <w:p>
      <w:pPr>
        <w:ind w:left="1420"/>
        <w:spacing w:after="0"/>
        <w:rPr>
          <w:sz w:val="20"/>
          <w:szCs w:val="20"/>
          <w:color w:val="auto"/>
        </w:rPr>
      </w:pPr>
      <w:r>
        <w:rPr>
          <w:rFonts w:ascii="Arial" w:cs="Arial" w:eastAsia="Arial" w:hAnsi="Arial"/>
          <w:sz w:val="15"/>
          <w:szCs w:val="15"/>
          <w:b w:val="1"/>
          <w:bCs w:val="1"/>
          <w:color w:val="auto"/>
        </w:rPr>
        <w:t>Justin Wender</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4520" w:type="dxa"/>
            <w:vAlign w:val="bottom"/>
            <w:tcBorders>
              <w:bottom w:val="single" w:sz="8" w:color="auto"/>
            </w:tcBorders>
          </w:tcPr>
          <w:p>
            <w:pPr>
              <w:ind w:left="2260"/>
              <w:spacing w:after="0"/>
              <w:rPr>
                <w:sz w:val="20"/>
                <w:szCs w:val="20"/>
                <w:color w:val="auto"/>
              </w:rPr>
            </w:pPr>
            <w:r>
              <w:rPr>
                <w:rFonts w:ascii="Arial" w:cs="Arial" w:eastAsia="Arial" w:hAnsi="Arial"/>
                <w:sz w:val="15"/>
                <w:szCs w:val="15"/>
                <w:b w:val="1"/>
                <w:bCs w:val="1"/>
                <w:color w:val="auto"/>
              </w:rPr>
              <w:t>Title</w:t>
            </w:r>
          </w:p>
        </w:tc>
        <w:tc>
          <w:tcPr>
            <w:tcW w:w="100" w:type="dxa"/>
            <w:vAlign w:val="bottom"/>
          </w:tcPr>
          <w:p>
            <w:pPr>
              <w:spacing w:after="0"/>
              <w:rPr>
                <w:sz w:val="17"/>
                <w:szCs w:val="17"/>
                <w:color w:val="auto"/>
              </w:rPr>
            </w:pPr>
          </w:p>
        </w:tc>
        <w:tc>
          <w:tcPr>
            <w:tcW w:w="1720" w:type="dxa"/>
            <w:vAlign w:val="bottom"/>
            <w:tcBorders>
              <w:bottom w:val="single" w:sz="8" w:color="auto"/>
            </w:tcBorders>
          </w:tcPr>
          <w:p>
            <w:pPr>
              <w:jc w:val="center"/>
              <w:ind w:left="184"/>
              <w:spacing w:after="0"/>
              <w:rPr>
                <w:sz w:val="20"/>
                <w:szCs w:val="20"/>
                <w:color w:val="auto"/>
              </w:rPr>
            </w:pPr>
            <w:r>
              <w:rPr>
                <w:rFonts w:ascii="Arial" w:cs="Arial" w:eastAsia="Arial" w:hAnsi="Arial"/>
                <w:sz w:val="15"/>
                <w:szCs w:val="15"/>
                <w:b w:val="1"/>
                <w:bCs w:val="1"/>
                <w:color w:val="auto"/>
                <w:w w:val="92"/>
              </w:rPr>
              <w:t>Date</w:t>
            </w:r>
          </w:p>
        </w:tc>
      </w:tr>
      <w:tr>
        <w:trPr>
          <w:trHeight w:val="368"/>
        </w:trPr>
        <w:tc>
          <w:tcPr>
            <w:tcW w:w="4620" w:type="dxa"/>
            <w:vAlign w:val="bottom"/>
            <w:gridSpan w:val="2"/>
          </w:tcPr>
          <w:p>
            <w:pPr>
              <w:ind w:left="300"/>
              <w:spacing w:after="0"/>
              <w:rPr>
                <w:sz w:val="20"/>
                <w:szCs w:val="20"/>
                <w:color w:val="auto"/>
              </w:rPr>
            </w:pPr>
            <w:r>
              <w:rPr>
                <w:rFonts w:ascii="Arial" w:cs="Arial" w:eastAsia="Arial" w:hAnsi="Arial"/>
                <w:sz w:val="15"/>
                <w:szCs w:val="15"/>
                <w:color w:val="auto"/>
              </w:rPr>
              <w:t>Chief Executive Officer, President and Chairman of the Board of</w:t>
            </w:r>
          </w:p>
        </w:tc>
        <w:tc>
          <w:tcPr>
            <w:tcW w:w="1720" w:type="dxa"/>
            <w:vAlign w:val="bottom"/>
          </w:tcPr>
          <w:p>
            <w:pPr>
              <w:jc w:val="center"/>
              <w:ind w:left="184"/>
              <w:spacing w:after="0"/>
              <w:rPr>
                <w:sz w:val="20"/>
                <w:szCs w:val="20"/>
                <w:color w:val="auto"/>
              </w:rPr>
            </w:pPr>
            <w:r>
              <w:rPr>
                <w:rFonts w:ascii="Arial" w:cs="Arial" w:eastAsia="Arial" w:hAnsi="Arial"/>
                <w:sz w:val="15"/>
                <w:szCs w:val="15"/>
                <w:color w:val="auto"/>
                <w:w w:val="93"/>
              </w:rPr>
              <w:t>March 7, 2022</w:t>
            </w:r>
          </w:p>
        </w:tc>
      </w:tr>
      <w:tr>
        <w:trPr>
          <w:trHeight w:val="194"/>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Directors (Principal Executive Officer)</w:t>
            </w:r>
          </w:p>
        </w:tc>
        <w:tc>
          <w:tcPr>
            <w:tcW w:w="1720" w:type="dxa"/>
            <w:vAlign w:val="bottom"/>
          </w:tcPr>
          <w:p>
            <w:pPr>
              <w:spacing w:after="0"/>
              <w:rPr>
                <w:sz w:val="16"/>
                <w:szCs w:val="16"/>
                <w:color w:val="auto"/>
              </w:rPr>
            </w:pPr>
          </w:p>
        </w:tc>
      </w:tr>
      <w:tr>
        <w:trPr>
          <w:trHeight w:val="494"/>
        </w:trPr>
        <w:tc>
          <w:tcPr>
            <w:tcW w:w="4620" w:type="dxa"/>
            <w:vAlign w:val="bottom"/>
            <w:gridSpan w:val="2"/>
          </w:tcPr>
          <w:p>
            <w:pPr>
              <w:ind w:left="300"/>
              <w:spacing w:after="0"/>
              <w:rPr>
                <w:sz w:val="20"/>
                <w:szCs w:val="20"/>
                <w:color w:val="auto"/>
              </w:rPr>
            </w:pPr>
            <w:r>
              <w:rPr>
                <w:rFonts w:ascii="Arial" w:cs="Arial" w:eastAsia="Arial" w:hAnsi="Arial"/>
                <w:sz w:val="15"/>
                <w:szCs w:val="15"/>
                <w:color w:val="auto"/>
              </w:rPr>
              <w:t>Chief Financial Officer (Principal Financial Officer and Principal</w:t>
            </w:r>
          </w:p>
        </w:tc>
        <w:tc>
          <w:tcPr>
            <w:tcW w:w="1720" w:type="dxa"/>
            <w:vAlign w:val="bottom"/>
          </w:tcPr>
          <w:p>
            <w:pPr>
              <w:jc w:val="center"/>
              <w:ind w:left="184"/>
              <w:spacing w:after="0"/>
              <w:rPr>
                <w:sz w:val="20"/>
                <w:szCs w:val="20"/>
                <w:color w:val="auto"/>
              </w:rPr>
            </w:pPr>
            <w:r>
              <w:rPr>
                <w:rFonts w:ascii="Arial" w:cs="Arial" w:eastAsia="Arial" w:hAnsi="Arial"/>
                <w:sz w:val="15"/>
                <w:szCs w:val="15"/>
                <w:color w:val="auto"/>
                <w:w w:val="93"/>
              </w:rPr>
              <w:t>March 7, 2022</w:t>
            </w:r>
          </w:p>
        </w:tc>
      </w:tr>
      <w:tr>
        <w:trPr>
          <w:trHeight w:val="194"/>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Accounting Officer)</w:t>
            </w:r>
          </w:p>
        </w:tc>
        <w:tc>
          <w:tcPr>
            <w:tcW w:w="1720" w:type="dxa"/>
            <w:vAlign w:val="bottom"/>
          </w:tcPr>
          <w:p>
            <w:pPr>
              <w:spacing w:after="0"/>
              <w:rPr>
                <w:sz w:val="16"/>
                <w:szCs w:val="16"/>
                <w:color w:val="auto"/>
              </w:rPr>
            </w:pPr>
          </w:p>
        </w:tc>
      </w:tr>
      <w:tr>
        <w:trPr>
          <w:trHeight w:val="539"/>
        </w:trPr>
        <w:tc>
          <w:tcPr>
            <w:tcW w:w="4620" w:type="dxa"/>
            <w:vAlign w:val="bottom"/>
            <w:gridSpan w:val="2"/>
          </w:tcPr>
          <w:p>
            <w:pPr>
              <w:ind w:left="300"/>
              <w:spacing w:after="0"/>
              <w:rPr>
                <w:sz w:val="20"/>
                <w:szCs w:val="20"/>
                <w:color w:val="auto"/>
              </w:rPr>
            </w:pPr>
            <w:r>
              <w:rPr>
                <w:rFonts w:ascii="Arial" w:cs="Arial" w:eastAsia="Arial" w:hAnsi="Arial"/>
                <w:sz w:val="15"/>
                <w:szCs w:val="15"/>
                <w:color w:val="auto"/>
              </w:rPr>
              <w:t>Director</w:t>
            </w:r>
          </w:p>
        </w:tc>
        <w:tc>
          <w:tcPr>
            <w:tcW w:w="1720" w:type="dxa"/>
            <w:vAlign w:val="bottom"/>
          </w:tcPr>
          <w:p>
            <w:pPr>
              <w:jc w:val="center"/>
              <w:ind w:left="184"/>
              <w:spacing w:after="0"/>
              <w:rPr>
                <w:sz w:val="20"/>
                <w:szCs w:val="20"/>
                <w:color w:val="auto"/>
              </w:rPr>
            </w:pPr>
            <w:r>
              <w:rPr>
                <w:rFonts w:ascii="Arial" w:cs="Arial" w:eastAsia="Arial" w:hAnsi="Arial"/>
                <w:sz w:val="15"/>
                <w:szCs w:val="15"/>
                <w:color w:val="auto"/>
                <w:w w:val="93"/>
              </w:rPr>
              <w:t>March 7, 2022</w:t>
            </w:r>
          </w:p>
        </w:tc>
      </w:tr>
      <w:tr>
        <w:trPr>
          <w:trHeight w:val="688"/>
        </w:trPr>
        <w:tc>
          <w:tcPr>
            <w:tcW w:w="4620" w:type="dxa"/>
            <w:vAlign w:val="bottom"/>
            <w:gridSpan w:val="2"/>
          </w:tcPr>
          <w:p>
            <w:pPr>
              <w:ind w:left="300"/>
              <w:spacing w:after="0"/>
              <w:rPr>
                <w:sz w:val="20"/>
                <w:szCs w:val="20"/>
                <w:color w:val="auto"/>
              </w:rPr>
            </w:pPr>
            <w:r>
              <w:rPr>
                <w:rFonts w:ascii="Arial" w:cs="Arial" w:eastAsia="Arial" w:hAnsi="Arial"/>
                <w:sz w:val="15"/>
                <w:szCs w:val="15"/>
                <w:color w:val="auto"/>
              </w:rPr>
              <w:t>Director</w:t>
            </w:r>
          </w:p>
        </w:tc>
        <w:tc>
          <w:tcPr>
            <w:tcW w:w="1720" w:type="dxa"/>
            <w:vAlign w:val="bottom"/>
          </w:tcPr>
          <w:p>
            <w:pPr>
              <w:jc w:val="center"/>
              <w:ind w:left="184"/>
              <w:spacing w:after="0"/>
              <w:rPr>
                <w:sz w:val="20"/>
                <w:szCs w:val="20"/>
                <w:color w:val="auto"/>
              </w:rPr>
            </w:pPr>
            <w:r>
              <w:rPr>
                <w:rFonts w:ascii="Arial" w:cs="Arial" w:eastAsia="Arial" w:hAnsi="Arial"/>
                <w:sz w:val="15"/>
                <w:szCs w:val="15"/>
                <w:color w:val="auto"/>
                <w:w w:val="93"/>
              </w:rPr>
              <w:t>March 7, 2022</w:t>
            </w:r>
          </w:p>
        </w:tc>
      </w:tr>
      <w:tr>
        <w:trPr>
          <w:trHeight w:val="688"/>
        </w:trPr>
        <w:tc>
          <w:tcPr>
            <w:tcW w:w="4620" w:type="dxa"/>
            <w:vAlign w:val="bottom"/>
            <w:gridSpan w:val="2"/>
          </w:tcPr>
          <w:p>
            <w:pPr>
              <w:ind w:left="300"/>
              <w:spacing w:after="0"/>
              <w:rPr>
                <w:sz w:val="20"/>
                <w:szCs w:val="20"/>
                <w:color w:val="auto"/>
              </w:rPr>
            </w:pPr>
            <w:r>
              <w:rPr>
                <w:rFonts w:ascii="Arial" w:cs="Arial" w:eastAsia="Arial" w:hAnsi="Arial"/>
                <w:sz w:val="15"/>
                <w:szCs w:val="15"/>
                <w:color w:val="auto"/>
              </w:rPr>
              <w:t>Director</w:t>
            </w:r>
          </w:p>
        </w:tc>
        <w:tc>
          <w:tcPr>
            <w:tcW w:w="1720" w:type="dxa"/>
            <w:vAlign w:val="bottom"/>
          </w:tcPr>
          <w:p>
            <w:pPr>
              <w:jc w:val="center"/>
              <w:ind w:left="184"/>
              <w:spacing w:after="0"/>
              <w:rPr>
                <w:sz w:val="20"/>
                <w:szCs w:val="20"/>
                <w:color w:val="auto"/>
              </w:rPr>
            </w:pPr>
            <w:r>
              <w:rPr>
                <w:rFonts w:ascii="Arial" w:cs="Arial" w:eastAsia="Arial" w:hAnsi="Arial"/>
                <w:sz w:val="15"/>
                <w:szCs w:val="15"/>
                <w:color w:val="auto"/>
                <w:w w:val="93"/>
              </w:rPr>
              <w:t>March 7, 2022</w:t>
            </w:r>
          </w:p>
        </w:tc>
      </w:tr>
      <w:tr>
        <w:trPr>
          <w:trHeight w:val="688"/>
        </w:trPr>
        <w:tc>
          <w:tcPr>
            <w:tcW w:w="4620" w:type="dxa"/>
            <w:vAlign w:val="bottom"/>
            <w:gridSpan w:val="2"/>
          </w:tcPr>
          <w:p>
            <w:pPr>
              <w:ind w:left="300"/>
              <w:spacing w:after="0"/>
              <w:rPr>
                <w:sz w:val="20"/>
                <w:szCs w:val="20"/>
                <w:color w:val="auto"/>
              </w:rPr>
            </w:pPr>
            <w:r>
              <w:rPr>
                <w:rFonts w:ascii="Arial" w:cs="Arial" w:eastAsia="Arial" w:hAnsi="Arial"/>
                <w:sz w:val="15"/>
                <w:szCs w:val="15"/>
                <w:color w:val="auto"/>
              </w:rPr>
              <w:t>Director</w:t>
            </w:r>
          </w:p>
        </w:tc>
        <w:tc>
          <w:tcPr>
            <w:tcW w:w="1720" w:type="dxa"/>
            <w:vAlign w:val="bottom"/>
          </w:tcPr>
          <w:p>
            <w:pPr>
              <w:jc w:val="center"/>
              <w:ind w:left="184"/>
              <w:spacing w:after="0"/>
              <w:rPr>
                <w:sz w:val="20"/>
                <w:szCs w:val="20"/>
                <w:color w:val="auto"/>
              </w:rPr>
            </w:pPr>
            <w:r>
              <w:rPr>
                <w:rFonts w:ascii="Arial" w:cs="Arial" w:eastAsia="Arial" w:hAnsi="Arial"/>
                <w:sz w:val="15"/>
                <w:szCs w:val="15"/>
                <w:color w:val="auto"/>
                <w:w w:val="93"/>
              </w:rPr>
              <w:t>March 7, 2022</w:t>
            </w:r>
          </w:p>
        </w:tc>
      </w:tr>
      <w:tr>
        <w:trPr>
          <w:trHeight w:val="688"/>
        </w:trPr>
        <w:tc>
          <w:tcPr>
            <w:tcW w:w="4620" w:type="dxa"/>
            <w:vAlign w:val="bottom"/>
            <w:gridSpan w:val="2"/>
          </w:tcPr>
          <w:p>
            <w:pPr>
              <w:ind w:left="300"/>
              <w:spacing w:after="0"/>
              <w:rPr>
                <w:sz w:val="20"/>
                <w:szCs w:val="20"/>
                <w:color w:val="auto"/>
              </w:rPr>
            </w:pPr>
            <w:r>
              <w:rPr>
                <w:rFonts w:ascii="Arial" w:cs="Arial" w:eastAsia="Arial" w:hAnsi="Arial"/>
                <w:sz w:val="15"/>
                <w:szCs w:val="15"/>
                <w:color w:val="auto"/>
              </w:rPr>
              <w:t>Lead Director</w:t>
            </w:r>
          </w:p>
        </w:tc>
        <w:tc>
          <w:tcPr>
            <w:tcW w:w="1720" w:type="dxa"/>
            <w:vAlign w:val="bottom"/>
          </w:tcPr>
          <w:p>
            <w:pPr>
              <w:jc w:val="center"/>
              <w:ind w:left="184"/>
              <w:spacing w:after="0"/>
              <w:rPr>
                <w:sz w:val="20"/>
                <w:szCs w:val="20"/>
                <w:color w:val="auto"/>
              </w:rPr>
            </w:pPr>
            <w:r>
              <w:rPr>
                <w:rFonts w:ascii="Arial" w:cs="Arial" w:eastAsia="Arial" w:hAnsi="Arial"/>
                <w:sz w:val="15"/>
                <w:szCs w:val="15"/>
                <w:color w:val="auto"/>
                <w:w w:val="93"/>
              </w:rPr>
              <w:t>March 7, 2022</w:t>
            </w:r>
          </w:p>
        </w:tc>
      </w:tr>
      <w:tr>
        <w:trPr>
          <w:trHeight w:val="688"/>
        </w:trPr>
        <w:tc>
          <w:tcPr>
            <w:tcW w:w="4620" w:type="dxa"/>
            <w:vAlign w:val="bottom"/>
            <w:gridSpan w:val="2"/>
          </w:tcPr>
          <w:p>
            <w:pPr>
              <w:ind w:left="300"/>
              <w:spacing w:after="0"/>
              <w:rPr>
                <w:sz w:val="20"/>
                <w:szCs w:val="20"/>
                <w:color w:val="auto"/>
              </w:rPr>
            </w:pPr>
            <w:r>
              <w:rPr>
                <w:rFonts w:ascii="Arial" w:cs="Arial" w:eastAsia="Arial" w:hAnsi="Arial"/>
                <w:sz w:val="15"/>
                <w:szCs w:val="15"/>
                <w:color w:val="auto"/>
              </w:rPr>
              <w:t>Director</w:t>
            </w:r>
          </w:p>
        </w:tc>
        <w:tc>
          <w:tcPr>
            <w:tcW w:w="1720" w:type="dxa"/>
            <w:vAlign w:val="bottom"/>
          </w:tcPr>
          <w:p>
            <w:pPr>
              <w:jc w:val="center"/>
              <w:ind w:left="184"/>
              <w:spacing w:after="0"/>
              <w:rPr>
                <w:sz w:val="20"/>
                <w:szCs w:val="20"/>
                <w:color w:val="auto"/>
              </w:rPr>
            </w:pPr>
            <w:r>
              <w:rPr>
                <w:rFonts w:ascii="Arial" w:cs="Arial" w:eastAsia="Arial" w:hAnsi="Arial"/>
                <w:sz w:val="15"/>
                <w:szCs w:val="15"/>
                <w:color w:val="auto"/>
                <w:w w:val="93"/>
              </w:rPr>
              <w:t>March 7, 2022</w:t>
            </w:r>
          </w:p>
        </w:tc>
      </w:tr>
      <w:tr>
        <w:trPr>
          <w:trHeight w:val="688"/>
        </w:trPr>
        <w:tc>
          <w:tcPr>
            <w:tcW w:w="4620" w:type="dxa"/>
            <w:vAlign w:val="bottom"/>
            <w:gridSpan w:val="2"/>
          </w:tcPr>
          <w:p>
            <w:pPr>
              <w:ind w:left="300"/>
              <w:spacing w:after="0"/>
              <w:rPr>
                <w:sz w:val="20"/>
                <w:szCs w:val="20"/>
                <w:color w:val="auto"/>
              </w:rPr>
            </w:pPr>
            <w:r>
              <w:rPr>
                <w:rFonts w:ascii="Arial" w:cs="Arial" w:eastAsia="Arial" w:hAnsi="Arial"/>
                <w:sz w:val="15"/>
                <w:szCs w:val="15"/>
                <w:color w:val="auto"/>
              </w:rPr>
              <w:t>Director</w:t>
            </w:r>
          </w:p>
        </w:tc>
        <w:tc>
          <w:tcPr>
            <w:tcW w:w="1720" w:type="dxa"/>
            <w:vAlign w:val="bottom"/>
          </w:tcPr>
          <w:p>
            <w:pPr>
              <w:jc w:val="center"/>
              <w:ind w:left="184"/>
              <w:spacing w:after="0"/>
              <w:rPr>
                <w:sz w:val="20"/>
                <w:szCs w:val="20"/>
                <w:color w:val="auto"/>
              </w:rPr>
            </w:pPr>
            <w:r>
              <w:rPr>
                <w:rFonts w:ascii="Arial" w:cs="Arial" w:eastAsia="Arial" w:hAnsi="Arial"/>
                <w:sz w:val="15"/>
                <w:szCs w:val="15"/>
                <w:color w:val="auto"/>
                <w:w w:val="93"/>
              </w:rPr>
              <w:t>March 7, 2022</w:t>
            </w:r>
          </w:p>
        </w:tc>
      </w:tr>
    </w:tbl>
    <w:p>
      <w:pPr>
        <w:spacing w:after="0" w:line="438" w:lineRule="exact"/>
        <w:rPr>
          <w:sz w:val="20"/>
          <w:szCs w:val="20"/>
          <w:color w:val="auto"/>
        </w:rPr>
      </w:pPr>
    </w:p>
    <w:p>
      <w:pPr>
        <w:sectPr>
          <w:pgSz w:w="11900" w:h="16838" w:orient="portrait"/>
          <w:cols w:equalWidth="0" w:num="2">
            <w:col w:w="2640" w:space="720"/>
            <w:col w:w="7900"/>
          </w:cols>
          <w:pgMar w:left="320" w:top="129"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260"/>
          </w:cols>
          <w:pgMar w:left="320" w:top="129" w:right="319" w:bottom="1440" w:gutter="0" w:footer="0" w:header="0"/>
          <w:type w:val="continuous"/>
        </w:sectPr>
      </w:pPr>
    </w:p>
    <w:bookmarkStart w:id="96" w:name="page97"/>
    <w:bookmarkEnd w:id="96"/>
    <w:p>
      <w:pPr>
        <w:ind w:left="10460"/>
        <w:spacing w:after="0"/>
        <w:rPr>
          <w:sz w:val="20"/>
          <w:szCs w:val="20"/>
          <w:color w:val="auto"/>
        </w:rPr>
      </w:pPr>
      <w:r>
        <w:rPr>
          <w:rFonts w:ascii="Arial" w:cs="Arial" w:eastAsia="Arial" w:hAnsi="Arial"/>
          <w:sz w:val="14"/>
          <w:szCs w:val="14"/>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7260" w:type="dxa"/>
            <w:vAlign w:val="bottom"/>
            <w:gridSpan w:val="4"/>
          </w:tcPr>
          <w:p>
            <w:pPr>
              <w:spacing w:after="0"/>
              <w:rPr>
                <w:sz w:val="20"/>
                <w:szCs w:val="20"/>
                <w:color w:val="auto"/>
              </w:rPr>
            </w:pPr>
            <w:r>
              <w:rPr>
                <w:rFonts w:ascii="Arial" w:cs="Arial" w:eastAsia="Arial" w:hAnsi="Arial"/>
                <w:sz w:val="15"/>
                <w:szCs w:val="15"/>
                <w:b w:val="1"/>
                <w:bCs w:val="1"/>
                <w:color w:val="auto"/>
              </w:rPr>
              <w:t>Subsidiaries of International Money Express, Inc.</w:t>
            </w:r>
          </w:p>
        </w:tc>
      </w:tr>
      <w:tr>
        <w:trPr>
          <w:trHeight w:val="393"/>
        </w:trPr>
        <w:tc>
          <w:tcPr>
            <w:tcW w:w="4000" w:type="dxa"/>
            <w:vAlign w:val="bottom"/>
            <w:gridSpan w:val="2"/>
          </w:tcPr>
          <w:p>
            <w:pPr>
              <w:spacing w:after="0"/>
              <w:rPr>
                <w:sz w:val="20"/>
                <w:szCs w:val="20"/>
                <w:color w:val="auto"/>
              </w:rPr>
            </w:pPr>
            <w:r>
              <w:rPr>
                <w:rFonts w:ascii="Arial" w:cs="Arial" w:eastAsia="Arial" w:hAnsi="Arial"/>
                <w:sz w:val="15"/>
                <w:szCs w:val="15"/>
                <w:color w:val="auto"/>
              </w:rPr>
              <w:t>Entity</w:t>
            </w:r>
          </w:p>
        </w:tc>
        <w:tc>
          <w:tcPr>
            <w:tcW w:w="3240" w:type="dxa"/>
            <w:vAlign w:val="bottom"/>
            <w:tcBorders>
              <w:top w:val="single" w:sz="8" w:color="auto"/>
            </w:tcBorders>
          </w:tcPr>
          <w:p>
            <w:pPr>
              <w:spacing w:after="0"/>
              <w:rPr>
                <w:sz w:val="24"/>
                <w:szCs w:val="24"/>
                <w:color w:val="auto"/>
              </w:rPr>
            </w:pPr>
          </w:p>
        </w:tc>
        <w:tc>
          <w:tcPr>
            <w:tcW w:w="4020" w:type="dxa"/>
            <w:vAlign w:val="bottom"/>
            <w:gridSpan w:val="3"/>
          </w:tcPr>
          <w:p>
            <w:pPr>
              <w:ind w:left="100"/>
              <w:spacing w:after="0"/>
              <w:rPr>
                <w:sz w:val="20"/>
                <w:szCs w:val="20"/>
                <w:color w:val="auto"/>
              </w:rPr>
            </w:pPr>
            <w:r>
              <w:rPr>
                <w:rFonts w:ascii="Arial" w:cs="Arial" w:eastAsia="Arial" w:hAnsi="Arial"/>
                <w:sz w:val="15"/>
                <w:szCs w:val="15"/>
                <w:color w:val="auto"/>
              </w:rPr>
              <w:t>State of Organization</w:t>
            </w:r>
          </w:p>
        </w:tc>
      </w:tr>
      <w:tr>
        <w:trPr>
          <w:trHeight w:val="27"/>
        </w:trPr>
        <w:tc>
          <w:tcPr>
            <w:tcW w:w="380" w:type="dxa"/>
            <w:vAlign w:val="bottom"/>
            <w:shd w:val="clear" w:color="auto" w:fill="000000"/>
          </w:tcPr>
          <w:p>
            <w:pPr>
              <w:spacing w:after="0"/>
              <w:rPr>
                <w:sz w:val="2"/>
                <w:szCs w:val="2"/>
                <w:color w:val="auto"/>
              </w:rPr>
            </w:pPr>
          </w:p>
        </w:tc>
        <w:tc>
          <w:tcPr>
            <w:tcW w:w="36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620" w:type="dxa"/>
            <w:vAlign w:val="bottom"/>
          </w:tcPr>
          <w:p>
            <w:pPr>
              <w:spacing w:after="0"/>
              <w:rPr>
                <w:sz w:val="2"/>
                <w:szCs w:val="2"/>
                <w:color w:val="auto"/>
              </w:rPr>
            </w:pPr>
          </w:p>
        </w:tc>
      </w:tr>
      <w:tr>
        <w:trPr>
          <w:trHeight w:val="202"/>
        </w:trPr>
        <w:tc>
          <w:tcPr>
            <w:tcW w:w="4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International Money Express Sub 2, LLC</w:t>
            </w:r>
          </w:p>
        </w:tc>
        <w:tc>
          <w:tcPr>
            <w:tcW w:w="3240" w:type="dxa"/>
            <w:vAlign w:val="bottom"/>
            <w:shd w:val="clear" w:color="auto" w:fill="CCEEFF"/>
          </w:tcPr>
          <w:p>
            <w:pPr>
              <w:spacing w:after="0"/>
              <w:rPr>
                <w:sz w:val="17"/>
                <w:szCs w:val="17"/>
                <w:color w:val="auto"/>
              </w:rPr>
            </w:pPr>
          </w:p>
        </w:tc>
        <w:tc>
          <w:tcPr>
            <w:tcW w:w="4020" w:type="dxa"/>
            <w:vAlign w:val="bottom"/>
            <w:gridSpan w:val="3"/>
            <w:shd w:val="clear" w:color="auto" w:fill="CCEEFF"/>
          </w:tcPr>
          <w:p>
            <w:pPr>
              <w:ind w:left="100"/>
              <w:spacing w:after="0"/>
              <w:rPr>
                <w:sz w:val="20"/>
                <w:szCs w:val="20"/>
                <w:color w:val="auto"/>
              </w:rPr>
            </w:pPr>
            <w:r>
              <w:rPr>
                <w:rFonts w:ascii="Arial" w:cs="Arial" w:eastAsia="Arial" w:hAnsi="Arial"/>
                <w:sz w:val="15"/>
                <w:szCs w:val="15"/>
                <w:color w:val="auto"/>
              </w:rPr>
              <w:t>Delaware</w:t>
            </w:r>
          </w:p>
        </w:tc>
      </w:tr>
      <w:tr>
        <w:trPr>
          <w:trHeight w:val="195"/>
        </w:trPr>
        <w:tc>
          <w:tcPr>
            <w:tcW w:w="4000" w:type="dxa"/>
            <w:vAlign w:val="bottom"/>
            <w:gridSpan w:val="2"/>
          </w:tcPr>
          <w:p>
            <w:pPr>
              <w:spacing w:after="0"/>
              <w:rPr>
                <w:sz w:val="20"/>
                <w:szCs w:val="20"/>
                <w:color w:val="auto"/>
              </w:rPr>
            </w:pPr>
            <w:r>
              <w:rPr>
                <w:rFonts w:ascii="Arial" w:cs="Arial" w:eastAsia="Arial" w:hAnsi="Arial"/>
                <w:sz w:val="15"/>
                <w:szCs w:val="15"/>
                <w:color w:val="auto"/>
              </w:rPr>
              <w:t>Intermex Holdings, Inc.</w:t>
            </w:r>
          </w:p>
        </w:tc>
        <w:tc>
          <w:tcPr>
            <w:tcW w:w="3240" w:type="dxa"/>
            <w:vAlign w:val="bottom"/>
          </w:tcPr>
          <w:p>
            <w:pPr>
              <w:spacing w:after="0"/>
              <w:rPr>
                <w:sz w:val="16"/>
                <w:szCs w:val="16"/>
                <w:color w:val="auto"/>
              </w:rPr>
            </w:pPr>
          </w:p>
        </w:tc>
        <w:tc>
          <w:tcPr>
            <w:tcW w:w="4020" w:type="dxa"/>
            <w:vAlign w:val="bottom"/>
            <w:gridSpan w:val="3"/>
          </w:tcPr>
          <w:p>
            <w:pPr>
              <w:ind w:left="100"/>
              <w:spacing w:after="0"/>
              <w:rPr>
                <w:sz w:val="20"/>
                <w:szCs w:val="20"/>
                <w:color w:val="auto"/>
              </w:rPr>
            </w:pPr>
            <w:r>
              <w:rPr>
                <w:rFonts w:ascii="Arial" w:cs="Arial" w:eastAsia="Arial" w:hAnsi="Arial"/>
                <w:sz w:val="15"/>
                <w:szCs w:val="15"/>
                <w:color w:val="auto"/>
              </w:rPr>
              <w:t>Delaware</w:t>
            </w:r>
          </w:p>
        </w:tc>
      </w:tr>
      <w:tr>
        <w:trPr>
          <w:trHeight w:val="195"/>
        </w:trPr>
        <w:tc>
          <w:tcPr>
            <w:tcW w:w="4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Intermex Wire Transfer, LLC</w:t>
            </w:r>
          </w:p>
        </w:tc>
        <w:tc>
          <w:tcPr>
            <w:tcW w:w="3240" w:type="dxa"/>
            <w:vAlign w:val="bottom"/>
            <w:shd w:val="clear" w:color="auto" w:fill="CCEEFF"/>
          </w:tcPr>
          <w:p>
            <w:pPr>
              <w:spacing w:after="0"/>
              <w:rPr>
                <w:sz w:val="16"/>
                <w:szCs w:val="16"/>
                <w:color w:val="auto"/>
              </w:rPr>
            </w:pPr>
          </w:p>
        </w:tc>
        <w:tc>
          <w:tcPr>
            <w:tcW w:w="4020" w:type="dxa"/>
            <w:vAlign w:val="bottom"/>
            <w:gridSpan w:val="3"/>
            <w:shd w:val="clear" w:color="auto" w:fill="CCEEFF"/>
          </w:tcPr>
          <w:p>
            <w:pPr>
              <w:ind w:left="100"/>
              <w:spacing w:after="0"/>
              <w:rPr>
                <w:sz w:val="20"/>
                <w:szCs w:val="20"/>
                <w:color w:val="auto"/>
              </w:rPr>
            </w:pPr>
            <w:r>
              <w:rPr>
                <w:rFonts w:ascii="Arial" w:cs="Arial" w:eastAsia="Arial" w:hAnsi="Arial"/>
                <w:sz w:val="15"/>
                <w:szCs w:val="15"/>
                <w:color w:val="auto"/>
              </w:rPr>
              <w:t>Florida</w:t>
            </w:r>
          </w:p>
        </w:tc>
      </w:tr>
      <w:tr>
        <w:trPr>
          <w:trHeight w:val="195"/>
        </w:trPr>
        <w:tc>
          <w:tcPr>
            <w:tcW w:w="4000" w:type="dxa"/>
            <w:vAlign w:val="bottom"/>
            <w:gridSpan w:val="2"/>
          </w:tcPr>
          <w:p>
            <w:pPr>
              <w:spacing w:after="0"/>
              <w:rPr>
                <w:sz w:val="20"/>
                <w:szCs w:val="20"/>
                <w:color w:val="auto"/>
              </w:rPr>
            </w:pPr>
            <w:r>
              <w:rPr>
                <w:rFonts w:ascii="Arial" w:cs="Arial" w:eastAsia="Arial" w:hAnsi="Arial"/>
                <w:sz w:val="15"/>
                <w:szCs w:val="15"/>
                <w:color w:val="auto"/>
              </w:rPr>
              <w:t>Intermex Wire Transfer Corp.</w:t>
            </w:r>
          </w:p>
        </w:tc>
        <w:tc>
          <w:tcPr>
            <w:tcW w:w="3240" w:type="dxa"/>
            <w:vAlign w:val="bottom"/>
          </w:tcPr>
          <w:p>
            <w:pPr>
              <w:spacing w:after="0"/>
              <w:rPr>
                <w:sz w:val="16"/>
                <w:szCs w:val="16"/>
                <w:color w:val="auto"/>
              </w:rPr>
            </w:pPr>
          </w:p>
        </w:tc>
        <w:tc>
          <w:tcPr>
            <w:tcW w:w="4020" w:type="dxa"/>
            <w:vAlign w:val="bottom"/>
            <w:gridSpan w:val="3"/>
          </w:tcPr>
          <w:p>
            <w:pPr>
              <w:ind w:left="100"/>
              <w:spacing w:after="0"/>
              <w:rPr>
                <w:sz w:val="20"/>
                <w:szCs w:val="20"/>
                <w:color w:val="auto"/>
              </w:rPr>
            </w:pPr>
            <w:r>
              <w:rPr>
                <w:rFonts w:ascii="Arial" w:cs="Arial" w:eastAsia="Arial" w:hAnsi="Arial"/>
                <w:sz w:val="15"/>
                <w:szCs w:val="15"/>
                <w:color w:val="auto"/>
              </w:rPr>
              <w:t>California</w:t>
            </w:r>
          </w:p>
        </w:tc>
      </w:tr>
      <w:tr>
        <w:trPr>
          <w:trHeight w:val="195"/>
        </w:trPr>
        <w:tc>
          <w:tcPr>
            <w:tcW w:w="4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Intermex Wire Transfer II, LLC</w:t>
            </w:r>
          </w:p>
        </w:tc>
        <w:tc>
          <w:tcPr>
            <w:tcW w:w="3240" w:type="dxa"/>
            <w:vAlign w:val="bottom"/>
            <w:shd w:val="clear" w:color="auto" w:fill="CCEEFF"/>
          </w:tcPr>
          <w:p>
            <w:pPr>
              <w:spacing w:after="0"/>
              <w:rPr>
                <w:sz w:val="16"/>
                <w:szCs w:val="16"/>
                <w:color w:val="auto"/>
              </w:rPr>
            </w:pPr>
          </w:p>
        </w:tc>
        <w:tc>
          <w:tcPr>
            <w:tcW w:w="4020" w:type="dxa"/>
            <w:vAlign w:val="bottom"/>
            <w:gridSpan w:val="3"/>
            <w:shd w:val="clear" w:color="auto" w:fill="CCEEFF"/>
          </w:tcPr>
          <w:p>
            <w:pPr>
              <w:ind w:left="100"/>
              <w:spacing w:after="0"/>
              <w:rPr>
                <w:sz w:val="20"/>
                <w:szCs w:val="20"/>
                <w:color w:val="auto"/>
              </w:rPr>
            </w:pPr>
            <w:r>
              <w:rPr>
                <w:rFonts w:ascii="Arial" w:cs="Arial" w:eastAsia="Arial" w:hAnsi="Arial"/>
                <w:sz w:val="15"/>
                <w:szCs w:val="15"/>
                <w:color w:val="auto"/>
              </w:rPr>
              <w:t>Delaware</w:t>
            </w:r>
          </w:p>
        </w:tc>
      </w:tr>
      <w:tr>
        <w:trPr>
          <w:trHeight w:val="195"/>
        </w:trPr>
        <w:tc>
          <w:tcPr>
            <w:tcW w:w="4000" w:type="dxa"/>
            <w:vAlign w:val="bottom"/>
            <w:gridSpan w:val="2"/>
          </w:tcPr>
          <w:p>
            <w:pPr>
              <w:spacing w:after="0"/>
              <w:rPr>
                <w:sz w:val="20"/>
                <w:szCs w:val="20"/>
                <w:color w:val="auto"/>
              </w:rPr>
            </w:pPr>
            <w:r>
              <w:rPr>
                <w:rFonts w:ascii="Arial" w:cs="Arial" w:eastAsia="Arial" w:hAnsi="Arial"/>
                <w:sz w:val="15"/>
                <w:szCs w:val="15"/>
                <w:color w:val="auto"/>
              </w:rPr>
              <w:t>Intermex Transfers de Mexico S.A. de C.V.</w:t>
            </w:r>
          </w:p>
        </w:tc>
        <w:tc>
          <w:tcPr>
            <w:tcW w:w="3240" w:type="dxa"/>
            <w:vAlign w:val="bottom"/>
          </w:tcPr>
          <w:p>
            <w:pPr>
              <w:spacing w:after="0"/>
              <w:rPr>
                <w:sz w:val="16"/>
                <w:szCs w:val="16"/>
                <w:color w:val="auto"/>
              </w:rPr>
            </w:pPr>
          </w:p>
        </w:tc>
        <w:tc>
          <w:tcPr>
            <w:tcW w:w="4020" w:type="dxa"/>
            <w:vAlign w:val="bottom"/>
            <w:gridSpan w:val="3"/>
          </w:tcPr>
          <w:p>
            <w:pPr>
              <w:ind w:left="100"/>
              <w:spacing w:after="0"/>
              <w:rPr>
                <w:sz w:val="20"/>
                <w:szCs w:val="20"/>
                <w:color w:val="auto"/>
              </w:rPr>
            </w:pPr>
            <w:r>
              <w:rPr>
                <w:rFonts w:ascii="Arial" w:cs="Arial" w:eastAsia="Arial" w:hAnsi="Arial"/>
                <w:sz w:val="15"/>
                <w:szCs w:val="15"/>
                <w:color w:val="auto"/>
              </w:rPr>
              <w:t>Mexico</w:t>
            </w:r>
          </w:p>
        </w:tc>
      </w:tr>
      <w:tr>
        <w:trPr>
          <w:trHeight w:val="195"/>
        </w:trPr>
        <w:tc>
          <w:tcPr>
            <w:tcW w:w="4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Intermex Wire Transfer de Mexico S.A. de C.V.</w:t>
            </w:r>
          </w:p>
        </w:tc>
        <w:tc>
          <w:tcPr>
            <w:tcW w:w="3240" w:type="dxa"/>
            <w:vAlign w:val="bottom"/>
            <w:shd w:val="clear" w:color="auto" w:fill="CCEEFF"/>
          </w:tcPr>
          <w:p>
            <w:pPr>
              <w:spacing w:after="0"/>
              <w:rPr>
                <w:sz w:val="16"/>
                <w:szCs w:val="16"/>
                <w:color w:val="auto"/>
              </w:rPr>
            </w:pPr>
          </w:p>
        </w:tc>
        <w:tc>
          <w:tcPr>
            <w:tcW w:w="4020" w:type="dxa"/>
            <w:vAlign w:val="bottom"/>
            <w:gridSpan w:val="3"/>
            <w:shd w:val="clear" w:color="auto" w:fill="CCEEFF"/>
          </w:tcPr>
          <w:p>
            <w:pPr>
              <w:ind w:left="100"/>
              <w:spacing w:after="0"/>
              <w:rPr>
                <w:sz w:val="20"/>
                <w:szCs w:val="20"/>
                <w:color w:val="auto"/>
              </w:rPr>
            </w:pPr>
            <w:r>
              <w:rPr>
                <w:rFonts w:ascii="Arial" w:cs="Arial" w:eastAsia="Arial" w:hAnsi="Arial"/>
                <w:sz w:val="15"/>
                <w:szCs w:val="15"/>
                <w:color w:val="auto"/>
              </w:rPr>
              <w:t>Mexico</w:t>
            </w:r>
          </w:p>
        </w:tc>
      </w:tr>
      <w:tr>
        <w:trPr>
          <w:trHeight w:val="195"/>
        </w:trPr>
        <w:tc>
          <w:tcPr>
            <w:tcW w:w="4000" w:type="dxa"/>
            <w:vAlign w:val="bottom"/>
            <w:gridSpan w:val="2"/>
          </w:tcPr>
          <w:p>
            <w:pPr>
              <w:spacing w:after="0"/>
              <w:rPr>
                <w:sz w:val="20"/>
                <w:szCs w:val="20"/>
                <w:color w:val="auto"/>
              </w:rPr>
            </w:pPr>
            <w:r>
              <w:rPr>
                <w:rFonts w:ascii="Arial" w:cs="Arial" w:eastAsia="Arial" w:hAnsi="Arial"/>
                <w:sz w:val="15"/>
                <w:szCs w:val="15"/>
                <w:color w:val="auto"/>
              </w:rPr>
              <w:t>Intermex Wire Transfers de Guatemala S.A.</w:t>
            </w:r>
          </w:p>
        </w:tc>
        <w:tc>
          <w:tcPr>
            <w:tcW w:w="3240" w:type="dxa"/>
            <w:vAlign w:val="bottom"/>
          </w:tcPr>
          <w:p>
            <w:pPr>
              <w:spacing w:after="0"/>
              <w:rPr>
                <w:sz w:val="16"/>
                <w:szCs w:val="16"/>
                <w:color w:val="auto"/>
              </w:rPr>
            </w:pPr>
          </w:p>
        </w:tc>
        <w:tc>
          <w:tcPr>
            <w:tcW w:w="4020" w:type="dxa"/>
            <w:vAlign w:val="bottom"/>
            <w:gridSpan w:val="3"/>
          </w:tcPr>
          <w:p>
            <w:pPr>
              <w:ind w:left="100"/>
              <w:spacing w:after="0"/>
              <w:rPr>
                <w:sz w:val="20"/>
                <w:szCs w:val="20"/>
                <w:color w:val="auto"/>
              </w:rPr>
            </w:pPr>
            <w:r>
              <w:rPr>
                <w:rFonts w:ascii="Arial" w:cs="Arial" w:eastAsia="Arial" w:hAnsi="Arial"/>
                <w:sz w:val="15"/>
                <w:szCs w:val="15"/>
                <w:color w:val="auto"/>
              </w:rPr>
              <w:t>Guatemala</w:t>
            </w:r>
          </w:p>
        </w:tc>
      </w:tr>
      <w:tr>
        <w:trPr>
          <w:trHeight w:val="195"/>
        </w:trPr>
        <w:tc>
          <w:tcPr>
            <w:tcW w:w="4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Intermex Servicios Integrales S. de R.L. de C.V.</w:t>
            </w:r>
          </w:p>
        </w:tc>
        <w:tc>
          <w:tcPr>
            <w:tcW w:w="3240" w:type="dxa"/>
            <w:vAlign w:val="bottom"/>
            <w:shd w:val="clear" w:color="auto" w:fill="CCEEFF"/>
          </w:tcPr>
          <w:p>
            <w:pPr>
              <w:spacing w:after="0"/>
              <w:rPr>
                <w:sz w:val="16"/>
                <w:szCs w:val="16"/>
                <w:color w:val="auto"/>
              </w:rPr>
            </w:pPr>
          </w:p>
        </w:tc>
        <w:tc>
          <w:tcPr>
            <w:tcW w:w="4020" w:type="dxa"/>
            <w:vAlign w:val="bottom"/>
            <w:gridSpan w:val="3"/>
            <w:shd w:val="clear" w:color="auto" w:fill="CCEEFF"/>
          </w:tcPr>
          <w:p>
            <w:pPr>
              <w:ind w:left="100"/>
              <w:spacing w:after="0"/>
              <w:rPr>
                <w:sz w:val="20"/>
                <w:szCs w:val="20"/>
                <w:color w:val="auto"/>
              </w:rPr>
            </w:pPr>
            <w:r>
              <w:rPr>
                <w:rFonts w:ascii="Arial" w:cs="Arial" w:eastAsia="Arial" w:hAnsi="Arial"/>
                <w:sz w:val="15"/>
                <w:szCs w:val="15"/>
                <w:color w:val="auto"/>
              </w:rPr>
              <w:t>Mexico</w:t>
            </w:r>
          </w:p>
        </w:tc>
      </w:tr>
      <w:tr>
        <w:trPr>
          <w:trHeight w:val="195"/>
        </w:trPr>
        <w:tc>
          <w:tcPr>
            <w:tcW w:w="4000" w:type="dxa"/>
            <w:vAlign w:val="bottom"/>
            <w:gridSpan w:val="2"/>
          </w:tcPr>
          <w:p>
            <w:pPr>
              <w:spacing w:after="0"/>
              <w:rPr>
                <w:sz w:val="20"/>
                <w:szCs w:val="20"/>
                <w:color w:val="auto"/>
              </w:rPr>
            </w:pPr>
            <w:r>
              <w:rPr>
                <w:rFonts w:ascii="Arial" w:cs="Arial" w:eastAsia="Arial" w:hAnsi="Arial"/>
                <w:sz w:val="15"/>
                <w:szCs w:val="15"/>
                <w:color w:val="auto"/>
              </w:rPr>
              <w:t>Intermex Central de Servicios S. de R.L. de C.V.</w:t>
            </w:r>
          </w:p>
        </w:tc>
        <w:tc>
          <w:tcPr>
            <w:tcW w:w="3240" w:type="dxa"/>
            <w:vAlign w:val="bottom"/>
          </w:tcPr>
          <w:p>
            <w:pPr>
              <w:spacing w:after="0"/>
              <w:rPr>
                <w:sz w:val="16"/>
                <w:szCs w:val="16"/>
                <w:color w:val="auto"/>
              </w:rPr>
            </w:pPr>
          </w:p>
        </w:tc>
        <w:tc>
          <w:tcPr>
            <w:tcW w:w="4020" w:type="dxa"/>
            <w:vAlign w:val="bottom"/>
            <w:gridSpan w:val="3"/>
          </w:tcPr>
          <w:p>
            <w:pPr>
              <w:ind w:left="100"/>
              <w:spacing w:after="0"/>
              <w:rPr>
                <w:sz w:val="20"/>
                <w:szCs w:val="20"/>
                <w:color w:val="auto"/>
              </w:rPr>
            </w:pPr>
            <w:r>
              <w:rPr>
                <w:rFonts w:ascii="Arial" w:cs="Arial" w:eastAsia="Arial" w:hAnsi="Arial"/>
                <w:sz w:val="15"/>
                <w:szCs w:val="15"/>
                <w:color w:val="auto"/>
              </w:rPr>
              <w:t>Mexico</w:t>
            </w:r>
          </w:p>
        </w:tc>
      </w:tr>
      <w:tr>
        <w:trPr>
          <w:trHeight w:val="195"/>
        </w:trPr>
        <w:tc>
          <w:tcPr>
            <w:tcW w:w="4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Canada International Transfers Corp.</w:t>
            </w:r>
          </w:p>
        </w:tc>
        <w:tc>
          <w:tcPr>
            <w:tcW w:w="3240" w:type="dxa"/>
            <w:vAlign w:val="bottom"/>
            <w:shd w:val="clear" w:color="auto" w:fill="CCEEFF"/>
          </w:tcPr>
          <w:p>
            <w:pPr>
              <w:spacing w:after="0"/>
              <w:rPr>
                <w:sz w:val="16"/>
                <w:szCs w:val="16"/>
                <w:color w:val="auto"/>
              </w:rPr>
            </w:pPr>
          </w:p>
        </w:tc>
        <w:tc>
          <w:tcPr>
            <w:tcW w:w="4020" w:type="dxa"/>
            <w:vAlign w:val="bottom"/>
            <w:gridSpan w:val="3"/>
            <w:shd w:val="clear" w:color="auto" w:fill="CCEEFF"/>
          </w:tcPr>
          <w:p>
            <w:pPr>
              <w:ind w:left="100"/>
              <w:spacing w:after="0"/>
              <w:rPr>
                <w:sz w:val="20"/>
                <w:szCs w:val="20"/>
                <w:color w:val="auto"/>
              </w:rPr>
            </w:pPr>
            <w:r>
              <w:rPr>
                <w:rFonts w:ascii="Arial" w:cs="Arial" w:eastAsia="Arial" w:hAnsi="Arial"/>
                <w:sz w:val="15"/>
                <w:szCs w:val="15"/>
                <w:color w:val="auto"/>
              </w:rPr>
              <w:t>British Columbia, Canada</w:t>
            </w:r>
          </w:p>
        </w:tc>
      </w:tr>
    </w:tbl>
    <w:p>
      <w:pPr>
        <w:sectPr>
          <w:pgSz w:w="11900" w:h="16838" w:orient="portrait"/>
          <w:cols w:equalWidth="0" w:num="1">
            <w:col w:w="11260"/>
          </w:cols>
          <w:pgMar w:left="320" w:top="159" w:right="319" w:bottom="1440" w:gutter="0" w:footer="0" w:header="0"/>
        </w:sectPr>
      </w:pPr>
    </w:p>
    <w:bookmarkStart w:id="97" w:name="page98"/>
    <w:bookmarkEnd w:id="97"/>
    <w:p>
      <w:pPr>
        <w:jc w:val="right"/>
        <w:spacing w:after="0"/>
        <w:rPr>
          <w:sz w:val="20"/>
          <w:szCs w:val="20"/>
          <w:color w:val="auto"/>
        </w:rPr>
      </w:pPr>
      <w:r>
        <w:rPr>
          <w:rFonts w:ascii="Arial" w:cs="Arial" w:eastAsia="Arial" w:hAnsi="Arial"/>
          <w:sz w:val="15"/>
          <w:szCs w:val="15"/>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Consent of Independent Registered Public Accounting Firm</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color w:val="auto"/>
        </w:rPr>
        <w:t>International Money Express, Inc.</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color w:val="auto"/>
        </w:rPr>
        <w:t>Miami, Florida</w:t>
      </w:r>
    </w:p>
    <w:p>
      <w:pPr>
        <w:spacing w:after="0" w:line="275" w:lineRule="exact"/>
        <w:rPr>
          <w:sz w:val="20"/>
          <w:szCs w:val="20"/>
          <w:color w:val="auto"/>
        </w:rPr>
      </w:pPr>
    </w:p>
    <w:p>
      <w:pPr>
        <w:ind w:right="20"/>
        <w:spacing w:after="0" w:line="408" w:lineRule="auto"/>
        <w:rPr>
          <w:sz w:val="20"/>
          <w:szCs w:val="20"/>
          <w:color w:val="auto"/>
        </w:rPr>
      </w:pPr>
      <w:r>
        <w:rPr>
          <w:rFonts w:ascii="Arial" w:cs="Arial" w:eastAsia="Arial" w:hAnsi="Arial"/>
          <w:sz w:val="14"/>
          <w:szCs w:val="14"/>
          <w:color w:val="auto"/>
        </w:rPr>
        <w:t>We hereby consent to the incorporation by reference in the Registration Statements on Form S-3 (Nos. 333-232888 and 333-248902) and Form S-8 (Nos. 333-233392 and 333-248563) of International Money Express, Inc. of our report dated March 7, 2022 relating to the consolidated financial statements, which appears in this Form 10-K.</w:t>
      </w:r>
    </w:p>
    <w:p>
      <w:pPr>
        <w:spacing w:after="0" w:line="34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 </w:t>
      </w:r>
      <w:r>
        <w:rPr>
          <w:rFonts w:ascii="Arial" w:cs="Arial" w:eastAsia="Arial" w:hAnsi="Arial"/>
          <w:sz w:val="15"/>
          <w:szCs w:val="15"/>
          <w:i w:val="1"/>
          <w:iCs w:val="1"/>
          <w:color w:val="auto"/>
        </w:rPr>
        <w:t>BDO USA, LLP</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color w:val="auto"/>
        </w:rPr>
        <w:t>Miami, Florida</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color w:val="auto"/>
        </w:rPr>
        <w:t>March 7, 2022</w:t>
      </w:r>
    </w:p>
    <w:p>
      <w:pPr>
        <w:sectPr>
          <w:pgSz w:w="11900" w:h="16838" w:orient="portrait"/>
          <w:cols w:equalWidth="0" w:num="1">
            <w:col w:w="11260"/>
          </w:cols>
          <w:pgMar w:left="320" w:top="136" w:right="319" w:bottom="1440" w:gutter="0" w:footer="0" w:header="0"/>
        </w:sectPr>
      </w:pPr>
    </w:p>
    <w:bookmarkStart w:id="98" w:name="page99"/>
    <w:bookmarkEnd w:id="98"/>
    <w:p>
      <w:pPr>
        <w:jc w:val="right"/>
        <w:spacing w:after="0"/>
        <w:rPr>
          <w:sz w:val="20"/>
          <w:szCs w:val="20"/>
          <w:color w:val="auto"/>
        </w:rPr>
      </w:pPr>
      <w:r>
        <w:rPr>
          <w:rFonts w:ascii="Arial" w:cs="Arial" w:eastAsia="Arial" w:hAnsi="Arial"/>
          <w:sz w:val="15"/>
          <w:szCs w:val="15"/>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CERTIFICATION OF THE CHIEF EXECUTIVE OFFICER</w:t>
      </w:r>
    </w:p>
    <w:p>
      <w:pPr>
        <w:spacing w:after="0" w:line="176" w:lineRule="exact"/>
        <w:rPr>
          <w:sz w:val="20"/>
          <w:szCs w:val="20"/>
          <w:color w:val="auto"/>
        </w:rPr>
      </w:pPr>
    </w:p>
    <w:p>
      <w:pPr>
        <w:ind w:left="8"/>
        <w:spacing w:after="0"/>
        <w:rPr>
          <w:sz w:val="20"/>
          <w:szCs w:val="20"/>
          <w:color w:val="auto"/>
        </w:rPr>
      </w:pPr>
      <w:r>
        <w:rPr>
          <w:rFonts w:ascii="Arial" w:cs="Arial" w:eastAsia="Arial" w:hAnsi="Arial"/>
          <w:sz w:val="15"/>
          <w:szCs w:val="15"/>
          <w:color w:val="auto"/>
        </w:rPr>
        <w:t>I, Robert Lisy, certify that:</w:t>
      </w:r>
    </w:p>
    <w:p>
      <w:pPr>
        <w:spacing w:after="0" w:line="172" w:lineRule="exact"/>
        <w:rPr>
          <w:sz w:val="20"/>
          <w:szCs w:val="20"/>
          <w:color w:val="auto"/>
        </w:rPr>
      </w:pPr>
    </w:p>
    <w:p>
      <w:pPr>
        <w:ind w:left="548" w:hanging="548"/>
        <w:spacing w:after="0"/>
        <w:tabs>
          <w:tab w:leader="none" w:pos="548" w:val="left"/>
        </w:tabs>
        <w:numPr>
          <w:ilvl w:val="0"/>
          <w:numId w:val="37"/>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International Money Express, Inc.;</w:t>
      </w:r>
    </w:p>
    <w:p>
      <w:pPr>
        <w:spacing w:after="0" w:line="171" w:lineRule="exact"/>
        <w:rPr>
          <w:rFonts w:ascii="Arial" w:cs="Arial" w:eastAsia="Arial" w:hAnsi="Arial"/>
          <w:sz w:val="15"/>
          <w:szCs w:val="15"/>
          <w:color w:val="auto"/>
        </w:rPr>
      </w:pPr>
    </w:p>
    <w:p>
      <w:pPr>
        <w:ind w:left="548" w:right="20" w:hanging="548"/>
        <w:spacing w:after="0" w:line="317" w:lineRule="auto"/>
        <w:tabs>
          <w:tab w:leader="none" w:pos="548" w:val="left"/>
        </w:tabs>
        <w:numPr>
          <w:ilvl w:val="0"/>
          <w:numId w:val="3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5"/>
          <w:szCs w:val="15"/>
          <w:color w:val="auto"/>
        </w:rPr>
      </w:pPr>
    </w:p>
    <w:p>
      <w:pPr>
        <w:ind w:left="548" w:right="20" w:hanging="548"/>
        <w:spacing w:after="0" w:line="317" w:lineRule="auto"/>
        <w:tabs>
          <w:tab w:leader="none" w:pos="548" w:val="left"/>
        </w:tabs>
        <w:numPr>
          <w:ilvl w:val="0"/>
          <w:numId w:val="37"/>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5"/>
          <w:szCs w:val="15"/>
          <w:color w:val="auto"/>
        </w:rPr>
      </w:pPr>
    </w:p>
    <w:p>
      <w:pPr>
        <w:ind w:left="548" w:right="20" w:hanging="548"/>
        <w:spacing w:after="0" w:line="357" w:lineRule="auto"/>
        <w:tabs>
          <w:tab w:leader="none" w:pos="548"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Arial" w:cs="Arial" w:eastAsia="Arial" w:hAnsi="Arial"/>
          <w:sz w:val="14"/>
          <w:szCs w:val="14"/>
          <w:color w:val="auto"/>
        </w:rPr>
      </w:pPr>
    </w:p>
    <w:p>
      <w:pPr>
        <w:jc w:val="both"/>
        <w:ind w:left="1108" w:right="20" w:hanging="558"/>
        <w:spacing w:after="0" w:line="302" w:lineRule="auto"/>
        <w:tabs>
          <w:tab w:leader="none" w:pos="1106" w:val="left"/>
        </w:tabs>
        <w:numPr>
          <w:ilvl w:val="1"/>
          <w:numId w:val="37"/>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5" w:lineRule="exact"/>
        <w:rPr>
          <w:rFonts w:ascii="Arial" w:cs="Arial" w:eastAsia="Arial" w:hAnsi="Arial"/>
          <w:sz w:val="15"/>
          <w:szCs w:val="15"/>
          <w:color w:val="auto"/>
        </w:rPr>
      </w:pPr>
    </w:p>
    <w:p>
      <w:pPr>
        <w:jc w:val="both"/>
        <w:ind w:left="1108" w:hanging="558"/>
        <w:spacing w:after="0" w:line="302" w:lineRule="auto"/>
        <w:tabs>
          <w:tab w:leader="none" w:pos="1103" w:val="left"/>
        </w:tabs>
        <w:numPr>
          <w:ilvl w:val="1"/>
          <w:numId w:val="37"/>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05" w:lineRule="exact"/>
        <w:rPr>
          <w:rFonts w:ascii="Arial" w:cs="Arial" w:eastAsia="Arial" w:hAnsi="Arial"/>
          <w:sz w:val="15"/>
          <w:szCs w:val="15"/>
          <w:color w:val="auto"/>
        </w:rPr>
      </w:pPr>
    </w:p>
    <w:p>
      <w:pPr>
        <w:ind w:left="1108" w:right="20" w:hanging="558"/>
        <w:spacing w:after="0" w:line="317" w:lineRule="auto"/>
        <w:tabs>
          <w:tab w:leader="none" w:pos="1106" w:val="left"/>
        </w:tabs>
        <w:numPr>
          <w:ilvl w:val="1"/>
          <w:numId w:val="3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5"/>
          <w:szCs w:val="15"/>
          <w:color w:val="auto"/>
        </w:rPr>
      </w:pPr>
    </w:p>
    <w:p>
      <w:pPr>
        <w:jc w:val="both"/>
        <w:ind w:left="1108" w:right="20" w:hanging="558"/>
        <w:spacing w:after="0" w:line="302" w:lineRule="auto"/>
        <w:tabs>
          <w:tab w:leader="none" w:pos="1103" w:val="left"/>
        </w:tabs>
        <w:numPr>
          <w:ilvl w:val="1"/>
          <w:numId w:val="37"/>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5" w:lineRule="exact"/>
        <w:rPr>
          <w:rFonts w:ascii="Arial" w:cs="Arial" w:eastAsia="Arial" w:hAnsi="Arial"/>
          <w:sz w:val="15"/>
          <w:szCs w:val="15"/>
          <w:color w:val="auto"/>
        </w:rPr>
      </w:pPr>
    </w:p>
    <w:p>
      <w:pPr>
        <w:ind w:left="548" w:hanging="548"/>
        <w:spacing w:after="0" w:line="317" w:lineRule="auto"/>
        <w:tabs>
          <w:tab w:leader="none" w:pos="548"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5"/>
          <w:szCs w:val="15"/>
          <w:color w:val="auto"/>
        </w:rPr>
      </w:pPr>
    </w:p>
    <w:p>
      <w:pPr>
        <w:ind w:left="1108" w:right="20" w:hanging="558"/>
        <w:spacing w:after="0" w:line="317" w:lineRule="auto"/>
        <w:tabs>
          <w:tab w:leader="none" w:pos="1106" w:val="left"/>
        </w:tabs>
        <w:numPr>
          <w:ilvl w:val="1"/>
          <w:numId w:val="37"/>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5"/>
          <w:szCs w:val="15"/>
          <w:color w:val="auto"/>
        </w:rPr>
      </w:pPr>
    </w:p>
    <w:p>
      <w:pPr>
        <w:ind w:left="1108" w:hanging="558"/>
        <w:spacing w:after="0" w:line="317" w:lineRule="auto"/>
        <w:tabs>
          <w:tab w:leader="none" w:pos="1103" w:val="left"/>
        </w:tabs>
        <w:numPr>
          <w:ilvl w:val="1"/>
          <w:numId w:val="37"/>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5" w:lineRule="exact"/>
        <w:rPr>
          <w:sz w:val="20"/>
          <w:szCs w:val="20"/>
          <w:color w:val="auto"/>
        </w:rPr>
      </w:pPr>
    </w:p>
    <w:p>
      <w:pPr>
        <w:ind w:left="8"/>
        <w:spacing w:after="0"/>
        <w:rPr>
          <w:sz w:val="20"/>
          <w:szCs w:val="20"/>
          <w:color w:val="auto"/>
        </w:rPr>
      </w:pPr>
      <w:r>
        <w:rPr>
          <w:rFonts w:ascii="Arial" w:cs="Arial" w:eastAsia="Arial" w:hAnsi="Arial"/>
          <w:sz w:val="15"/>
          <w:szCs w:val="15"/>
          <w:color w:val="auto"/>
        </w:rPr>
        <w:t>Date: March 7, 2022</w:t>
      </w:r>
    </w:p>
    <w:p>
      <w:pPr>
        <w:sectPr>
          <w:pgSz w:w="11900" w:h="16838" w:orient="portrait"/>
          <w:cols w:equalWidth="0" w:num="1">
            <w:col w:w="11268"/>
          </w:cols>
          <w:pgMar w:left="312" w:top="159" w:right="319" w:bottom="1440" w:gutter="0" w:footer="0" w:header="0"/>
        </w:sectPr>
      </w:pPr>
    </w:p>
    <w:bookmarkStart w:id="99" w:name="page100"/>
    <w:bookmarkEnd w:id="99"/>
    <w:p>
      <w:pPr>
        <w:jc w:val="right"/>
        <w:spacing w:after="0"/>
        <w:rPr>
          <w:sz w:val="20"/>
          <w:szCs w:val="20"/>
          <w:color w:val="auto"/>
        </w:rPr>
      </w:pPr>
      <w:r>
        <w:rPr>
          <w:rFonts w:ascii="Arial" w:cs="Arial" w:eastAsia="Arial" w:hAnsi="Arial"/>
          <w:sz w:val="15"/>
          <w:szCs w:val="15"/>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300"/>
        <w:spacing w:after="0"/>
        <w:tabs>
          <w:tab w:leader="none" w:pos="378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2408555</wp:posOffset>
            </wp:positionH>
            <wp:positionV relativeFrom="paragraph">
              <wp:posOffset>13970</wp:posOffset>
            </wp:positionV>
            <wp:extent cx="1529715" cy="146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1">
                      <a:extLst>
                        <a:ext uri="{28A0092B-C50C-407E-A947-70E740481C1C}"/>
                      </a:extLst>
                    </a:blip>
                    <a:srcRect/>
                    <a:stretch>
                      <a:fillRect/>
                    </a:stretch>
                  </pic:blipFill>
                  <pic:spPr bwMode="auto">
                    <a:xfrm>
                      <a:off x="0" y="0"/>
                      <a:ext cx="1529715" cy="14605"/>
                    </a:xfrm>
                    <a:prstGeom prst="rect">
                      <a:avLst/>
                    </a:prstGeom>
                    <a:noFill/>
                  </pic:spPr>
                </pic:pic>
              </a:graphicData>
            </a:graphic>
          </wp:anchor>
        </w:drawing>
      </w:r>
    </w:p>
    <w:p>
      <w:pPr>
        <w:spacing w:after="0" w:line="14"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Name:  Robert Lisy</w:t>
      </w:r>
    </w:p>
    <w:p>
      <w:pPr>
        <w:spacing w:after="0" w:line="34" w:lineRule="exact"/>
        <w:rPr>
          <w:sz w:val="20"/>
          <w:szCs w:val="20"/>
          <w:color w:val="auto"/>
        </w:rPr>
      </w:pPr>
    </w:p>
    <w:p>
      <w:pPr>
        <w:jc w:val="center"/>
        <w:ind w:right="700"/>
        <w:spacing w:after="0"/>
        <w:tabs>
          <w:tab w:leader="none" w:pos="160" w:val="left"/>
        </w:tabs>
        <w:rPr>
          <w:sz w:val="20"/>
          <w:szCs w:val="20"/>
          <w:color w:val="auto"/>
        </w:rPr>
      </w:pPr>
      <w:r>
        <w:rPr>
          <w:rFonts w:ascii="Arial" w:cs="Arial" w:eastAsia="Arial" w:hAnsi="Arial"/>
          <w:sz w:val="1"/>
          <w:szCs w:val="1"/>
          <w:color w:val="auto"/>
          <w:vertAlign w:val="superscript"/>
        </w:rPr>
        <w:t>Title:</w:t>
      </w:r>
      <w:r>
        <w:rPr>
          <w:sz w:val="20"/>
          <w:szCs w:val="20"/>
          <w:color w:val="auto"/>
        </w:rPr>
        <w:tab/>
      </w:r>
      <w:r>
        <w:rPr>
          <w:rFonts w:ascii="Arial" w:cs="Arial" w:eastAsia="Arial" w:hAnsi="Arial"/>
          <w:sz w:val="1"/>
          <w:szCs w:val="1"/>
          <w:color w:val="auto"/>
        </w:rPr>
        <w:t>Chief Executive Officer and President</w:t>
      </w:r>
    </w:p>
    <w:p>
      <w:pPr>
        <w:spacing w:after="0" w:line="299" w:lineRule="exact"/>
        <w:rPr>
          <w:sz w:val="20"/>
          <w:szCs w:val="20"/>
          <w:color w:val="auto"/>
        </w:rPr>
      </w:pPr>
    </w:p>
    <w:p>
      <w:pPr>
        <w:jc w:val="center"/>
        <w:ind w:right="740"/>
        <w:spacing w:after="0"/>
        <w:rPr>
          <w:sz w:val="20"/>
          <w:szCs w:val="20"/>
          <w:color w:val="auto"/>
        </w:rPr>
      </w:pPr>
      <w:r>
        <w:rPr>
          <w:rFonts w:ascii="Arial" w:cs="Arial" w:eastAsia="Arial" w:hAnsi="Arial"/>
          <w:sz w:val="15"/>
          <w:szCs w:val="15"/>
          <w:color w:val="auto"/>
        </w:rPr>
        <w:t>(Principal Executive Officer)</w:t>
      </w:r>
    </w:p>
    <w:p>
      <w:pPr>
        <w:sectPr>
          <w:pgSz w:w="11900" w:h="16838" w:orient="portrait"/>
          <w:cols w:equalWidth="0" w:num="1">
            <w:col w:w="10140"/>
          </w:cols>
          <w:pgMar w:left="1440" w:top="159" w:right="319" w:bottom="1440" w:gutter="0" w:footer="0" w:header="0"/>
        </w:sectPr>
      </w:pPr>
    </w:p>
    <w:bookmarkStart w:id="100" w:name="page101"/>
    <w:bookmarkEnd w:id="100"/>
    <w:p>
      <w:pPr>
        <w:jc w:val="right"/>
        <w:spacing w:after="0"/>
        <w:rPr>
          <w:sz w:val="20"/>
          <w:szCs w:val="20"/>
          <w:color w:val="auto"/>
        </w:rPr>
      </w:pPr>
      <w:r>
        <w:rPr>
          <w:rFonts w:ascii="Arial" w:cs="Arial" w:eastAsia="Arial" w:hAnsi="Arial"/>
          <w:sz w:val="15"/>
          <w:szCs w:val="15"/>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CERTIFICATION OF THE CHIEF FINANCIAL OFFICER</w:t>
      </w:r>
    </w:p>
    <w:p>
      <w:pPr>
        <w:spacing w:after="0" w:line="176" w:lineRule="exact"/>
        <w:rPr>
          <w:sz w:val="20"/>
          <w:szCs w:val="20"/>
          <w:color w:val="auto"/>
        </w:rPr>
      </w:pPr>
    </w:p>
    <w:p>
      <w:pPr>
        <w:ind w:left="8"/>
        <w:spacing w:after="0"/>
        <w:rPr>
          <w:sz w:val="20"/>
          <w:szCs w:val="20"/>
          <w:color w:val="auto"/>
        </w:rPr>
      </w:pPr>
      <w:r>
        <w:rPr>
          <w:rFonts w:ascii="Arial" w:cs="Arial" w:eastAsia="Arial" w:hAnsi="Arial"/>
          <w:sz w:val="15"/>
          <w:szCs w:val="15"/>
          <w:color w:val="auto"/>
        </w:rPr>
        <w:t>I, Andras Bende, certify that:</w:t>
      </w:r>
    </w:p>
    <w:p>
      <w:pPr>
        <w:spacing w:after="0" w:line="172" w:lineRule="exact"/>
        <w:rPr>
          <w:sz w:val="20"/>
          <w:szCs w:val="20"/>
          <w:color w:val="auto"/>
        </w:rPr>
      </w:pPr>
    </w:p>
    <w:p>
      <w:pPr>
        <w:ind w:left="548" w:hanging="548"/>
        <w:spacing w:after="0"/>
        <w:tabs>
          <w:tab w:leader="none" w:pos="548" w:val="left"/>
        </w:tabs>
        <w:numPr>
          <w:ilvl w:val="0"/>
          <w:numId w:val="38"/>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International Money Express, Inc.;</w:t>
      </w:r>
    </w:p>
    <w:p>
      <w:pPr>
        <w:spacing w:after="0" w:line="171" w:lineRule="exact"/>
        <w:rPr>
          <w:rFonts w:ascii="Arial" w:cs="Arial" w:eastAsia="Arial" w:hAnsi="Arial"/>
          <w:sz w:val="15"/>
          <w:szCs w:val="15"/>
          <w:color w:val="auto"/>
        </w:rPr>
      </w:pPr>
    </w:p>
    <w:p>
      <w:pPr>
        <w:ind w:left="548" w:right="20" w:hanging="548"/>
        <w:spacing w:after="0" w:line="317" w:lineRule="auto"/>
        <w:tabs>
          <w:tab w:leader="none" w:pos="548"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5"/>
          <w:szCs w:val="15"/>
          <w:color w:val="auto"/>
        </w:rPr>
      </w:pPr>
    </w:p>
    <w:p>
      <w:pPr>
        <w:ind w:left="548" w:right="20" w:hanging="548"/>
        <w:spacing w:after="0" w:line="317" w:lineRule="auto"/>
        <w:tabs>
          <w:tab w:leader="none" w:pos="548"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5"/>
          <w:szCs w:val="15"/>
          <w:color w:val="auto"/>
        </w:rPr>
      </w:pPr>
    </w:p>
    <w:p>
      <w:pPr>
        <w:ind w:left="548" w:right="20" w:hanging="548"/>
        <w:spacing w:after="0" w:line="357" w:lineRule="auto"/>
        <w:tabs>
          <w:tab w:leader="none" w:pos="548"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Arial" w:cs="Arial" w:eastAsia="Arial" w:hAnsi="Arial"/>
          <w:sz w:val="14"/>
          <w:szCs w:val="14"/>
          <w:color w:val="auto"/>
        </w:rPr>
      </w:pPr>
    </w:p>
    <w:p>
      <w:pPr>
        <w:jc w:val="both"/>
        <w:ind w:left="1108" w:right="20" w:hanging="558"/>
        <w:spacing w:after="0" w:line="302" w:lineRule="auto"/>
        <w:tabs>
          <w:tab w:leader="none" w:pos="1106" w:val="left"/>
        </w:tabs>
        <w:numPr>
          <w:ilvl w:val="1"/>
          <w:numId w:val="38"/>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5" w:lineRule="exact"/>
        <w:rPr>
          <w:rFonts w:ascii="Arial" w:cs="Arial" w:eastAsia="Arial" w:hAnsi="Arial"/>
          <w:sz w:val="15"/>
          <w:szCs w:val="15"/>
          <w:color w:val="auto"/>
        </w:rPr>
      </w:pPr>
    </w:p>
    <w:p>
      <w:pPr>
        <w:jc w:val="both"/>
        <w:ind w:left="1108" w:hanging="558"/>
        <w:spacing w:after="0" w:line="302" w:lineRule="auto"/>
        <w:tabs>
          <w:tab w:leader="none" w:pos="1103" w:val="left"/>
        </w:tabs>
        <w:numPr>
          <w:ilvl w:val="1"/>
          <w:numId w:val="38"/>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05" w:lineRule="exact"/>
        <w:rPr>
          <w:rFonts w:ascii="Arial" w:cs="Arial" w:eastAsia="Arial" w:hAnsi="Arial"/>
          <w:sz w:val="15"/>
          <w:szCs w:val="15"/>
          <w:color w:val="auto"/>
        </w:rPr>
      </w:pPr>
    </w:p>
    <w:p>
      <w:pPr>
        <w:ind w:left="1108" w:right="20" w:hanging="558"/>
        <w:spacing w:after="0" w:line="317" w:lineRule="auto"/>
        <w:tabs>
          <w:tab w:leader="none" w:pos="1106" w:val="left"/>
        </w:tabs>
        <w:numPr>
          <w:ilvl w:val="1"/>
          <w:numId w:val="3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5"/>
          <w:szCs w:val="15"/>
          <w:color w:val="auto"/>
        </w:rPr>
      </w:pPr>
    </w:p>
    <w:p>
      <w:pPr>
        <w:jc w:val="both"/>
        <w:ind w:left="1108" w:right="20" w:hanging="558"/>
        <w:spacing w:after="0" w:line="302" w:lineRule="auto"/>
        <w:tabs>
          <w:tab w:leader="none" w:pos="1103" w:val="left"/>
        </w:tabs>
        <w:numPr>
          <w:ilvl w:val="1"/>
          <w:numId w:val="38"/>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5" w:lineRule="exact"/>
        <w:rPr>
          <w:rFonts w:ascii="Arial" w:cs="Arial" w:eastAsia="Arial" w:hAnsi="Arial"/>
          <w:sz w:val="15"/>
          <w:szCs w:val="15"/>
          <w:color w:val="auto"/>
        </w:rPr>
      </w:pPr>
    </w:p>
    <w:p>
      <w:pPr>
        <w:ind w:left="548" w:hanging="548"/>
        <w:spacing w:after="0" w:line="317" w:lineRule="auto"/>
        <w:tabs>
          <w:tab w:leader="none" w:pos="548"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5"/>
          <w:szCs w:val="15"/>
          <w:color w:val="auto"/>
        </w:rPr>
      </w:pPr>
    </w:p>
    <w:p>
      <w:pPr>
        <w:ind w:left="1108" w:right="20" w:hanging="558"/>
        <w:spacing w:after="0" w:line="317" w:lineRule="auto"/>
        <w:tabs>
          <w:tab w:leader="none" w:pos="1106" w:val="left"/>
        </w:tabs>
        <w:numPr>
          <w:ilvl w:val="1"/>
          <w:numId w:val="38"/>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5"/>
          <w:szCs w:val="15"/>
          <w:color w:val="auto"/>
        </w:rPr>
      </w:pPr>
    </w:p>
    <w:p>
      <w:pPr>
        <w:ind w:left="1108" w:hanging="558"/>
        <w:spacing w:after="0" w:line="317" w:lineRule="auto"/>
        <w:tabs>
          <w:tab w:leader="none" w:pos="1103" w:val="left"/>
        </w:tabs>
        <w:numPr>
          <w:ilvl w:val="1"/>
          <w:numId w:val="38"/>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5" w:lineRule="exact"/>
        <w:rPr>
          <w:sz w:val="20"/>
          <w:szCs w:val="20"/>
          <w:color w:val="auto"/>
        </w:rPr>
      </w:pPr>
    </w:p>
    <w:p>
      <w:pPr>
        <w:ind w:left="8"/>
        <w:spacing w:after="0"/>
        <w:rPr>
          <w:sz w:val="20"/>
          <w:szCs w:val="20"/>
          <w:color w:val="auto"/>
        </w:rPr>
      </w:pPr>
      <w:r>
        <w:rPr>
          <w:rFonts w:ascii="Arial" w:cs="Arial" w:eastAsia="Arial" w:hAnsi="Arial"/>
          <w:sz w:val="15"/>
          <w:szCs w:val="15"/>
          <w:color w:val="auto"/>
        </w:rPr>
        <w:t>Date: March 7, 2022</w:t>
      </w:r>
    </w:p>
    <w:p>
      <w:pPr>
        <w:sectPr>
          <w:pgSz w:w="11900" w:h="16838" w:orient="portrait"/>
          <w:cols w:equalWidth="0" w:num="1">
            <w:col w:w="11268"/>
          </w:cols>
          <w:pgMar w:left="312" w:top="159" w:right="319" w:bottom="1440" w:gutter="0" w:footer="0" w:header="0"/>
        </w:sectPr>
      </w:pPr>
    </w:p>
    <w:bookmarkStart w:id="101" w:name="page102"/>
    <w:bookmarkEnd w:id="101"/>
    <w:p>
      <w:pPr>
        <w:jc w:val="right"/>
        <w:spacing w:after="0"/>
        <w:rPr>
          <w:sz w:val="20"/>
          <w:szCs w:val="20"/>
          <w:color w:val="auto"/>
        </w:rPr>
      </w:pPr>
      <w:r>
        <w:rPr>
          <w:rFonts w:ascii="Arial" w:cs="Arial" w:eastAsia="Arial" w:hAnsi="Arial"/>
          <w:sz w:val="15"/>
          <w:szCs w:val="15"/>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300"/>
        <w:spacing w:after="0"/>
        <w:tabs>
          <w:tab w:leader="none" w:pos="378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Andras Bende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2408555</wp:posOffset>
            </wp:positionH>
            <wp:positionV relativeFrom="paragraph">
              <wp:posOffset>13970</wp:posOffset>
            </wp:positionV>
            <wp:extent cx="1515110" cy="146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2">
                      <a:extLst>
                        <a:ext uri="{28A0092B-C50C-407E-A947-70E740481C1C}"/>
                      </a:extLst>
                    </a:blip>
                    <a:srcRect/>
                    <a:stretch>
                      <a:fillRect/>
                    </a:stretch>
                  </pic:blipFill>
                  <pic:spPr bwMode="auto">
                    <a:xfrm>
                      <a:off x="0" y="0"/>
                      <a:ext cx="1515110" cy="14605"/>
                    </a:xfrm>
                    <a:prstGeom prst="rect">
                      <a:avLst/>
                    </a:prstGeom>
                    <a:noFill/>
                  </pic:spPr>
                </pic:pic>
              </a:graphicData>
            </a:graphic>
          </wp:anchor>
        </w:drawing>
      </w:r>
    </w:p>
    <w:p>
      <w:pPr>
        <w:spacing w:after="0" w:line="14"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Name:  Andras Bende</w:t>
      </w:r>
    </w:p>
    <w:p>
      <w:pPr>
        <w:ind w:left="3300"/>
        <w:spacing w:after="0" w:line="183" w:lineRule="auto"/>
        <w:tabs>
          <w:tab w:leader="none" w:pos="3780" w:val="left"/>
        </w:tabs>
        <w:rPr>
          <w:sz w:val="20"/>
          <w:szCs w:val="20"/>
          <w:color w:val="auto"/>
        </w:rPr>
      </w:pPr>
      <w:r>
        <w:rPr>
          <w:rFonts w:ascii="Arial" w:cs="Arial" w:eastAsia="Arial" w:hAnsi="Arial"/>
          <w:sz w:val="26"/>
          <w:szCs w:val="26"/>
          <w:color w:val="auto"/>
          <w:vertAlign w:val="superscript"/>
        </w:rPr>
        <w:t>Title:</w:t>
      </w:r>
      <w:r>
        <w:rPr>
          <w:sz w:val="20"/>
          <w:szCs w:val="20"/>
          <w:color w:val="auto"/>
        </w:rPr>
        <w:tab/>
      </w:r>
      <w:r>
        <w:rPr>
          <w:rFonts w:ascii="Arial" w:cs="Arial" w:eastAsia="Arial" w:hAnsi="Arial"/>
          <w:sz w:val="14"/>
          <w:szCs w:val="14"/>
          <w:color w:val="auto"/>
        </w:rPr>
        <w:t>Chief Financial Officer</w:t>
      </w:r>
    </w:p>
    <w:p>
      <w:pPr>
        <w:spacing w:after="0" w:line="116" w:lineRule="exact"/>
        <w:rPr>
          <w:sz w:val="20"/>
          <w:szCs w:val="20"/>
          <w:color w:val="auto"/>
        </w:rPr>
      </w:pPr>
    </w:p>
    <w:p>
      <w:pPr>
        <w:ind w:left="3800"/>
        <w:spacing w:after="0"/>
        <w:rPr>
          <w:sz w:val="20"/>
          <w:szCs w:val="20"/>
          <w:color w:val="auto"/>
        </w:rPr>
      </w:pPr>
      <w:r>
        <w:rPr>
          <w:rFonts w:ascii="Arial" w:cs="Arial" w:eastAsia="Arial" w:hAnsi="Arial"/>
          <w:sz w:val="15"/>
          <w:szCs w:val="15"/>
          <w:color w:val="auto"/>
        </w:rPr>
        <w:t>(Principal Financial Officer)</w:t>
      </w:r>
    </w:p>
    <w:p>
      <w:pPr>
        <w:sectPr>
          <w:pgSz w:w="11900" w:h="16838" w:orient="portrait"/>
          <w:cols w:equalWidth="0" w:num="1">
            <w:col w:w="10140"/>
          </w:cols>
          <w:pgMar w:left="1440" w:top="159" w:right="3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5"/>
          <w:szCs w:val="15"/>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CERTIFICATION PURSUANT TO</w:t>
      </w:r>
    </w:p>
    <w:p>
      <w:pPr>
        <w:spacing w:after="0" w:line="34"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18 U.S.C. SECTION 1350</w:t>
      </w:r>
    </w:p>
    <w:p>
      <w:pPr>
        <w:spacing w:after="0" w:line="34"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AS ADOPTED PURSUANT TO</w:t>
      </w:r>
    </w:p>
    <w:p>
      <w:pPr>
        <w:spacing w:after="0" w:line="34"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222" w:lineRule="exact"/>
        <w:rPr>
          <w:sz w:val="20"/>
          <w:szCs w:val="20"/>
          <w:color w:val="auto"/>
        </w:rPr>
      </w:pPr>
    </w:p>
    <w:p>
      <w:pPr>
        <w:ind w:left="8" w:right="20"/>
        <w:spacing w:after="0" w:line="317" w:lineRule="auto"/>
        <w:rPr>
          <w:sz w:val="20"/>
          <w:szCs w:val="20"/>
          <w:color w:val="auto"/>
        </w:rPr>
      </w:pPr>
      <w:r>
        <w:rPr>
          <w:rFonts w:ascii="Arial" w:cs="Arial" w:eastAsia="Arial" w:hAnsi="Arial"/>
          <w:sz w:val="15"/>
          <w:szCs w:val="15"/>
          <w:color w:val="auto"/>
        </w:rPr>
        <w:t>I, Robert Lisy, Chief Executive Officer and President of International Money Express, Inc. (the “Company”), hereby certify, pursuant to 18 U.S.C. Section 1350, that, to my knowledge:</w:t>
      </w:r>
    </w:p>
    <w:p>
      <w:pPr>
        <w:spacing w:after="0" w:line="141" w:lineRule="exact"/>
        <w:rPr>
          <w:sz w:val="20"/>
          <w:szCs w:val="20"/>
          <w:color w:val="auto"/>
        </w:rPr>
      </w:pPr>
    </w:p>
    <w:p>
      <w:pPr>
        <w:ind w:left="548" w:right="120" w:hanging="548"/>
        <w:spacing w:after="0" w:line="317" w:lineRule="auto"/>
        <w:tabs>
          <w:tab w:leader="none" w:pos="548"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Annual Report on Form 10-K of the Company for the year ended December 31, 2021 (the “Report”) fully complies with the requirements of Section 13(a) or 15(d) of the Securities Exchange Act of 1934, as amended and</w:t>
      </w:r>
    </w:p>
    <w:p>
      <w:pPr>
        <w:spacing w:after="0" w:line="140" w:lineRule="exact"/>
        <w:rPr>
          <w:rFonts w:ascii="Arial" w:cs="Arial" w:eastAsia="Arial" w:hAnsi="Arial"/>
          <w:sz w:val="15"/>
          <w:szCs w:val="15"/>
          <w:color w:val="auto"/>
        </w:rPr>
      </w:pPr>
    </w:p>
    <w:p>
      <w:pPr>
        <w:ind w:left="548" w:hanging="548"/>
        <w:spacing w:after="0"/>
        <w:tabs>
          <w:tab w:leader="none" w:pos="548"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18" w:lineRule="exact"/>
        <w:rPr>
          <w:sz w:val="20"/>
          <w:szCs w:val="20"/>
          <w:color w:val="auto"/>
        </w:rPr>
      </w:pPr>
    </w:p>
    <w:p>
      <w:pPr>
        <w:ind w:left="8"/>
        <w:spacing w:after="0"/>
        <w:rPr>
          <w:sz w:val="20"/>
          <w:szCs w:val="20"/>
          <w:color w:val="auto"/>
        </w:rPr>
      </w:pPr>
      <w:r>
        <w:rPr>
          <w:rFonts w:ascii="Arial" w:cs="Arial" w:eastAsia="Arial" w:hAnsi="Arial"/>
          <w:sz w:val="15"/>
          <w:szCs w:val="15"/>
          <w:color w:val="auto"/>
        </w:rPr>
        <w:t>Date: March 7, 2022</w:t>
      </w:r>
    </w:p>
    <w:p>
      <w:pPr>
        <w:spacing w:after="0" w:line="240" w:lineRule="exact"/>
        <w:rPr>
          <w:sz w:val="20"/>
          <w:szCs w:val="20"/>
          <w:color w:val="auto"/>
        </w:rPr>
      </w:pPr>
    </w:p>
    <w:tbl>
      <w:tblPr>
        <w:tblLayout w:type="fixed"/>
        <w:tblInd w:w="3868" w:type="dxa"/>
        <w:tblCellMar>
          <w:top w:w="0" w:type="dxa"/>
          <w:left w:w="0" w:type="dxa"/>
          <w:bottom w:w="0" w:type="dxa"/>
          <w:right w:w="0" w:type="dxa"/>
        </w:tblCellMar>
      </w:tblPr>
      <w:tr>
        <w:trPr>
          <w:trHeight w:val="197"/>
        </w:trPr>
        <w:tc>
          <w:tcPr>
            <w:tcW w:w="600" w:type="dxa"/>
            <w:vAlign w:val="bottom"/>
          </w:tcPr>
          <w:p>
            <w:pPr>
              <w:spacing w:after="0"/>
              <w:rPr>
                <w:sz w:val="20"/>
                <w:szCs w:val="20"/>
                <w:color w:val="auto"/>
              </w:rPr>
            </w:pPr>
            <w:r>
              <w:rPr>
                <w:rFonts w:ascii="Arial" w:cs="Arial" w:eastAsia="Arial" w:hAnsi="Arial"/>
                <w:sz w:val="15"/>
                <w:szCs w:val="15"/>
                <w:color w:val="auto"/>
              </w:rPr>
              <w:t>By:</w:t>
            </w:r>
          </w:p>
        </w:tc>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Robert Lisy</w:t>
            </w:r>
          </w:p>
        </w:tc>
        <w:tc>
          <w:tcPr>
            <w:tcW w:w="0" w:type="dxa"/>
            <w:vAlign w:val="bottom"/>
          </w:tcPr>
          <w:p>
            <w:pPr>
              <w:spacing w:after="0"/>
              <w:rPr>
                <w:sz w:val="1"/>
                <w:szCs w:val="1"/>
                <w:color w:val="auto"/>
              </w:rPr>
            </w:pPr>
          </w:p>
        </w:tc>
      </w:tr>
      <w:tr>
        <w:trPr>
          <w:trHeight w:val="195"/>
        </w:trPr>
        <w:tc>
          <w:tcPr>
            <w:tcW w:w="600" w:type="dxa"/>
            <w:vAlign w:val="bottom"/>
          </w:tcPr>
          <w:p>
            <w:pPr>
              <w:spacing w:after="0"/>
              <w:rPr>
                <w:sz w:val="20"/>
                <w:szCs w:val="20"/>
                <w:color w:val="auto"/>
              </w:rPr>
            </w:pPr>
            <w:r>
              <w:rPr>
                <w:rFonts w:ascii="Arial" w:cs="Arial" w:eastAsia="Arial" w:hAnsi="Arial"/>
                <w:sz w:val="15"/>
                <w:szCs w:val="15"/>
                <w:color w:val="auto"/>
              </w:rPr>
              <w:t>Name:</w:t>
            </w:r>
          </w:p>
        </w:tc>
        <w:tc>
          <w:tcPr>
            <w:tcW w:w="2840" w:type="dxa"/>
            <w:vAlign w:val="bottom"/>
          </w:tcPr>
          <w:p>
            <w:pPr>
              <w:ind w:left="20"/>
              <w:spacing w:after="0"/>
              <w:rPr>
                <w:sz w:val="20"/>
                <w:szCs w:val="20"/>
                <w:color w:val="auto"/>
              </w:rPr>
            </w:pPr>
            <w:r>
              <w:rPr>
                <w:rFonts w:ascii="Arial" w:cs="Arial" w:eastAsia="Arial" w:hAnsi="Arial"/>
                <w:sz w:val="15"/>
                <w:szCs w:val="15"/>
                <w:color w:val="auto"/>
              </w:rPr>
              <w:t>Robert Lisy</w:t>
            </w:r>
          </w:p>
        </w:tc>
        <w:tc>
          <w:tcPr>
            <w:tcW w:w="0" w:type="dxa"/>
            <w:vAlign w:val="bottom"/>
          </w:tcPr>
          <w:p>
            <w:pPr>
              <w:spacing w:after="0"/>
              <w:rPr>
                <w:sz w:val="1"/>
                <w:szCs w:val="1"/>
                <w:color w:val="auto"/>
              </w:rPr>
            </w:pPr>
          </w:p>
        </w:tc>
      </w:tr>
      <w:tr>
        <w:trPr>
          <w:trHeight w:val="195"/>
        </w:trPr>
        <w:tc>
          <w:tcPr>
            <w:tcW w:w="600" w:type="dxa"/>
            <w:vAlign w:val="bottom"/>
          </w:tcPr>
          <w:p>
            <w:pPr>
              <w:spacing w:after="0"/>
              <w:rPr>
                <w:sz w:val="20"/>
                <w:szCs w:val="20"/>
                <w:color w:val="auto"/>
              </w:rPr>
            </w:pPr>
            <w:r>
              <w:rPr>
                <w:rFonts w:ascii="Arial" w:cs="Arial" w:eastAsia="Arial" w:hAnsi="Arial"/>
                <w:sz w:val="15"/>
                <w:szCs w:val="15"/>
                <w:color w:val="auto"/>
              </w:rPr>
              <w:t>Title:</w:t>
            </w:r>
          </w:p>
        </w:tc>
        <w:tc>
          <w:tcPr>
            <w:tcW w:w="2840" w:type="dxa"/>
            <w:vAlign w:val="bottom"/>
            <w:vMerge w:val="restart"/>
          </w:tcPr>
          <w:p>
            <w:pPr>
              <w:ind w:left="20"/>
              <w:spacing w:after="0"/>
              <w:rPr>
                <w:sz w:val="20"/>
                <w:szCs w:val="20"/>
                <w:color w:val="auto"/>
              </w:rPr>
            </w:pPr>
            <w:r>
              <w:rPr>
                <w:rFonts w:ascii="Arial" w:cs="Arial" w:eastAsia="Arial" w:hAnsi="Arial"/>
                <w:sz w:val="15"/>
                <w:szCs w:val="15"/>
                <w:color w:val="auto"/>
              </w:rPr>
              <w:t>Chief Executive Officer and President</w:t>
            </w:r>
          </w:p>
        </w:tc>
        <w:tc>
          <w:tcPr>
            <w:tcW w:w="0" w:type="dxa"/>
            <w:vAlign w:val="bottom"/>
          </w:tcPr>
          <w:p>
            <w:pPr>
              <w:spacing w:after="0"/>
              <w:rPr>
                <w:sz w:val="1"/>
                <w:szCs w:val="1"/>
                <w:color w:val="auto"/>
              </w:rPr>
            </w:pPr>
          </w:p>
        </w:tc>
      </w:tr>
      <w:tr>
        <w:trPr>
          <w:trHeight w:val="69"/>
        </w:trPr>
        <w:tc>
          <w:tcPr>
            <w:tcW w:w="600" w:type="dxa"/>
            <w:vAlign w:val="bottom"/>
          </w:tcPr>
          <w:p>
            <w:pPr>
              <w:spacing w:after="0"/>
              <w:rPr>
                <w:sz w:val="5"/>
                <w:szCs w:val="5"/>
                <w:color w:val="auto"/>
              </w:rPr>
            </w:pPr>
          </w:p>
        </w:tc>
        <w:tc>
          <w:tcPr>
            <w:tcW w:w="2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00" w:type="dxa"/>
            <w:vAlign w:val="bottom"/>
          </w:tcPr>
          <w:p>
            <w:pPr>
              <w:spacing w:after="0"/>
              <w:rPr>
                <w:sz w:val="19"/>
                <w:szCs w:val="19"/>
                <w:color w:val="auto"/>
              </w:rPr>
            </w:pPr>
          </w:p>
        </w:tc>
        <w:tc>
          <w:tcPr>
            <w:tcW w:w="2840" w:type="dxa"/>
            <w:vAlign w:val="bottom"/>
          </w:tcPr>
          <w:p>
            <w:pPr>
              <w:ind w:left="20"/>
              <w:spacing w:after="0"/>
              <w:rPr>
                <w:sz w:val="20"/>
                <w:szCs w:val="20"/>
                <w:color w:val="auto"/>
              </w:rPr>
            </w:pPr>
            <w:r>
              <w:rPr>
                <w:rFonts w:ascii="Arial" w:cs="Arial" w:eastAsia="Arial" w:hAnsi="Arial"/>
                <w:sz w:val="15"/>
                <w:szCs w:val="15"/>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68"/>
          </w:cols>
          <w:pgMar w:left="312" w:top="159" w:right="3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5"/>
          <w:szCs w:val="15"/>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CERTIFICATION PURSUANT TO</w:t>
      </w:r>
    </w:p>
    <w:p>
      <w:pPr>
        <w:spacing w:after="0" w:line="34"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18 U.S.C. SECTION 1350</w:t>
      </w:r>
    </w:p>
    <w:p>
      <w:pPr>
        <w:spacing w:after="0" w:line="34"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AS ADOPTED PURSUANT TO</w:t>
      </w:r>
    </w:p>
    <w:p>
      <w:pPr>
        <w:spacing w:after="0" w:line="34"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222" w:lineRule="exact"/>
        <w:rPr>
          <w:sz w:val="20"/>
          <w:szCs w:val="20"/>
          <w:color w:val="auto"/>
        </w:rPr>
      </w:pPr>
    </w:p>
    <w:p>
      <w:pPr>
        <w:ind w:left="8"/>
        <w:spacing w:after="0"/>
        <w:rPr>
          <w:sz w:val="20"/>
          <w:szCs w:val="20"/>
          <w:color w:val="auto"/>
        </w:rPr>
      </w:pPr>
      <w:r>
        <w:rPr>
          <w:rFonts w:ascii="Arial" w:cs="Arial" w:eastAsia="Arial" w:hAnsi="Arial"/>
          <w:sz w:val="15"/>
          <w:szCs w:val="15"/>
          <w:color w:val="auto"/>
        </w:rPr>
        <w:t>I, Andras Bende, Chief Financial Officer of International Money Express, Inc. (the “Company”), hereby certify, pursuant to 18 U.S.C. Section 1350, that, to my knowledge:</w:t>
      </w:r>
    </w:p>
    <w:p>
      <w:pPr>
        <w:spacing w:after="0" w:line="218" w:lineRule="exact"/>
        <w:rPr>
          <w:sz w:val="20"/>
          <w:szCs w:val="20"/>
          <w:color w:val="auto"/>
        </w:rPr>
      </w:pPr>
    </w:p>
    <w:p>
      <w:pPr>
        <w:ind w:left="548" w:right="120" w:hanging="548"/>
        <w:spacing w:after="0" w:line="317" w:lineRule="auto"/>
        <w:tabs>
          <w:tab w:leader="none" w:pos="548"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Annual Report on Form 10-K of the Company for the year ended December 31, 2021 (the “Report”) fully complies with the requirements of Section 13(a) or 15(d) of the Securities Exchange Act of 1934, as amended and</w:t>
      </w:r>
    </w:p>
    <w:p>
      <w:pPr>
        <w:spacing w:after="0" w:line="140" w:lineRule="exact"/>
        <w:rPr>
          <w:rFonts w:ascii="Arial" w:cs="Arial" w:eastAsia="Arial" w:hAnsi="Arial"/>
          <w:sz w:val="15"/>
          <w:szCs w:val="15"/>
          <w:color w:val="auto"/>
        </w:rPr>
      </w:pPr>
    </w:p>
    <w:p>
      <w:pPr>
        <w:ind w:left="548" w:hanging="548"/>
        <w:spacing w:after="0"/>
        <w:tabs>
          <w:tab w:leader="none" w:pos="548"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18" w:lineRule="exact"/>
        <w:rPr>
          <w:sz w:val="20"/>
          <w:szCs w:val="20"/>
          <w:color w:val="auto"/>
        </w:rPr>
      </w:pPr>
    </w:p>
    <w:p>
      <w:pPr>
        <w:ind w:left="8"/>
        <w:spacing w:after="0"/>
        <w:rPr>
          <w:sz w:val="20"/>
          <w:szCs w:val="20"/>
          <w:color w:val="auto"/>
        </w:rPr>
      </w:pPr>
      <w:r>
        <w:rPr>
          <w:rFonts w:ascii="Arial" w:cs="Arial" w:eastAsia="Arial" w:hAnsi="Arial"/>
          <w:sz w:val="15"/>
          <w:szCs w:val="15"/>
          <w:color w:val="auto"/>
        </w:rPr>
        <w:t>Date: March 7, 2022</w:t>
      </w:r>
    </w:p>
    <w:p>
      <w:pPr>
        <w:spacing w:after="0" w:line="240" w:lineRule="exact"/>
        <w:rPr>
          <w:sz w:val="20"/>
          <w:szCs w:val="20"/>
          <w:color w:val="auto"/>
        </w:rPr>
      </w:pPr>
    </w:p>
    <w:tbl>
      <w:tblPr>
        <w:tblLayout w:type="fixed"/>
        <w:tblInd w:w="3868" w:type="dxa"/>
        <w:tblCellMar>
          <w:top w:w="0" w:type="dxa"/>
          <w:left w:w="0" w:type="dxa"/>
          <w:bottom w:w="0" w:type="dxa"/>
          <w:right w:w="0" w:type="dxa"/>
        </w:tblCellMar>
      </w:tblPr>
      <w:tr>
        <w:trPr>
          <w:trHeight w:val="197"/>
        </w:trPr>
        <w:tc>
          <w:tcPr>
            <w:tcW w:w="600" w:type="dxa"/>
            <w:vAlign w:val="bottom"/>
          </w:tcPr>
          <w:p>
            <w:pPr>
              <w:spacing w:after="0"/>
              <w:rPr>
                <w:sz w:val="20"/>
                <w:szCs w:val="20"/>
                <w:color w:val="auto"/>
              </w:rPr>
            </w:pPr>
            <w:r>
              <w:rPr>
                <w:rFonts w:ascii="Arial" w:cs="Arial" w:eastAsia="Arial" w:hAnsi="Arial"/>
                <w:sz w:val="15"/>
                <w:szCs w:val="15"/>
                <w:color w:val="auto"/>
              </w:rPr>
              <w:t>By:</w:t>
            </w:r>
          </w:p>
        </w:tc>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Andras Bende</w:t>
            </w:r>
          </w:p>
        </w:tc>
        <w:tc>
          <w:tcPr>
            <w:tcW w:w="0" w:type="dxa"/>
            <w:vAlign w:val="bottom"/>
          </w:tcPr>
          <w:p>
            <w:pPr>
              <w:spacing w:after="0"/>
              <w:rPr>
                <w:sz w:val="1"/>
                <w:szCs w:val="1"/>
                <w:color w:val="auto"/>
              </w:rPr>
            </w:pPr>
          </w:p>
        </w:tc>
      </w:tr>
      <w:tr>
        <w:trPr>
          <w:trHeight w:val="195"/>
        </w:trPr>
        <w:tc>
          <w:tcPr>
            <w:tcW w:w="600" w:type="dxa"/>
            <w:vAlign w:val="bottom"/>
          </w:tcPr>
          <w:p>
            <w:pPr>
              <w:spacing w:after="0"/>
              <w:rPr>
                <w:sz w:val="20"/>
                <w:szCs w:val="20"/>
                <w:color w:val="auto"/>
              </w:rPr>
            </w:pPr>
            <w:r>
              <w:rPr>
                <w:rFonts w:ascii="Arial" w:cs="Arial" w:eastAsia="Arial" w:hAnsi="Arial"/>
                <w:sz w:val="15"/>
                <w:szCs w:val="15"/>
                <w:color w:val="auto"/>
              </w:rPr>
              <w:t>Name:</w:t>
            </w:r>
          </w:p>
        </w:tc>
        <w:tc>
          <w:tcPr>
            <w:tcW w:w="2840" w:type="dxa"/>
            <w:vAlign w:val="bottom"/>
          </w:tcPr>
          <w:p>
            <w:pPr>
              <w:ind w:left="20"/>
              <w:spacing w:after="0"/>
              <w:rPr>
                <w:sz w:val="20"/>
                <w:szCs w:val="20"/>
                <w:color w:val="auto"/>
              </w:rPr>
            </w:pPr>
            <w:r>
              <w:rPr>
                <w:rFonts w:ascii="Arial" w:cs="Arial" w:eastAsia="Arial" w:hAnsi="Arial"/>
                <w:sz w:val="15"/>
                <w:szCs w:val="15"/>
                <w:color w:val="auto"/>
              </w:rPr>
              <w:t>Andras Bende</w:t>
            </w:r>
          </w:p>
        </w:tc>
        <w:tc>
          <w:tcPr>
            <w:tcW w:w="0" w:type="dxa"/>
            <w:vAlign w:val="bottom"/>
          </w:tcPr>
          <w:p>
            <w:pPr>
              <w:spacing w:after="0"/>
              <w:rPr>
                <w:sz w:val="1"/>
                <w:szCs w:val="1"/>
                <w:color w:val="auto"/>
              </w:rPr>
            </w:pPr>
          </w:p>
        </w:tc>
      </w:tr>
      <w:tr>
        <w:trPr>
          <w:trHeight w:val="195"/>
        </w:trPr>
        <w:tc>
          <w:tcPr>
            <w:tcW w:w="600" w:type="dxa"/>
            <w:vAlign w:val="bottom"/>
          </w:tcPr>
          <w:p>
            <w:pPr>
              <w:spacing w:after="0"/>
              <w:rPr>
                <w:sz w:val="20"/>
                <w:szCs w:val="20"/>
                <w:color w:val="auto"/>
              </w:rPr>
            </w:pPr>
            <w:r>
              <w:rPr>
                <w:rFonts w:ascii="Arial" w:cs="Arial" w:eastAsia="Arial" w:hAnsi="Arial"/>
                <w:sz w:val="15"/>
                <w:szCs w:val="15"/>
                <w:color w:val="auto"/>
              </w:rPr>
              <w:t>Title:</w:t>
            </w:r>
          </w:p>
        </w:tc>
        <w:tc>
          <w:tcPr>
            <w:tcW w:w="2840" w:type="dxa"/>
            <w:vAlign w:val="bottom"/>
            <w:vMerge w:val="restart"/>
          </w:tcPr>
          <w:p>
            <w:pPr>
              <w:ind w:left="20"/>
              <w:spacing w:after="0"/>
              <w:rPr>
                <w:sz w:val="20"/>
                <w:szCs w:val="20"/>
                <w:color w:val="auto"/>
              </w:rPr>
            </w:pPr>
            <w:r>
              <w:rPr>
                <w:rFonts w:ascii="Arial" w:cs="Arial" w:eastAsia="Arial" w:hAnsi="Arial"/>
                <w:sz w:val="15"/>
                <w:szCs w:val="15"/>
                <w:color w:val="auto"/>
              </w:rPr>
              <w:t>Chief Financial Officer</w:t>
            </w:r>
          </w:p>
        </w:tc>
        <w:tc>
          <w:tcPr>
            <w:tcW w:w="0" w:type="dxa"/>
            <w:vAlign w:val="bottom"/>
          </w:tcPr>
          <w:p>
            <w:pPr>
              <w:spacing w:after="0"/>
              <w:rPr>
                <w:sz w:val="1"/>
                <w:szCs w:val="1"/>
                <w:color w:val="auto"/>
              </w:rPr>
            </w:pPr>
          </w:p>
        </w:tc>
      </w:tr>
      <w:tr>
        <w:trPr>
          <w:trHeight w:val="69"/>
        </w:trPr>
        <w:tc>
          <w:tcPr>
            <w:tcW w:w="600" w:type="dxa"/>
            <w:vAlign w:val="bottom"/>
          </w:tcPr>
          <w:p>
            <w:pPr>
              <w:spacing w:after="0"/>
              <w:rPr>
                <w:sz w:val="5"/>
                <w:szCs w:val="5"/>
                <w:color w:val="auto"/>
              </w:rPr>
            </w:pPr>
          </w:p>
        </w:tc>
        <w:tc>
          <w:tcPr>
            <w:tcW w:w="2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00" w:type="dxa"/>
            <w:vAlign w:val="bottom"/>
          </w:tcPr>
          <w:p>
            <w:pPr>
              <w:spacing w:after="0"/>
              <w:rPr>
                <w:sz w:val="19"/>
                <w:szCs w:val="19"/>
                <w:color w:val="auto"/>
              </w:rPr>
            </w:pPr>
          </w:p>
        </w:tc>
        <w:tc>
          <w:tcPr>
            <w:tcW w:w="2840" w:type="dxa"/>
            <w:vAlign w:val="bottom"/>
          </w:tcPr>
          <w:p>
            <w:pPr>
              <w:ind w:left="20"/>
              <w:spacing w:after="0"/>
              <w:rPr>
                <w:sz w:val="20"/>
                <w:szCs w:val="20"/>
                <w:color w:val="auto"/>
              </w:rPr>
            </w:pPr>
            <w:r>
              <w:rPr>
                <w:rFonts w:ascii="Arial" w:cs="Arial" w:eastAsia="Arial" w:hAnsi="Arial"/>
                <w:sz w:val="15"/>
                <w:szCs w:val="15"/>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68"/>
      </w:cols>
      <w:pgMar w:left="312" w:top="15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lvl w:ilvl="1">
      <w:lvlJc w:val="left"/>
      <w:lvlText w:val="☒"/>
      <w:numFmt w:val="bullet"/>
      <w:start w:val="1"/>
    </w:lvl>
  </w:abstractNum>
  <w:abstractNum w:abstractNumId="1">
    <w:nsid w:val="628C895D"/>
    <w:multiLevelType w:val="hybridMultilevel"/>
    <w:lvl w:ilvl="0">
      <w:lvlJc w:val="left"/>
      <w:lvlText w:val="•"/>
      <w:numFmt w:val="bullet"/>
      <w:start w:val="1"/>
    </w:lvl>
    <w:lvl w:ilvl="1">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1)"/>
      <w:numFmt w:val="lowerLetter"/>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1)"/>
      <w:numFmt w:val="lowerLetter"/>
      <w:start w:val="1"/>
    </w:lvl>
  </w:abstractNum>
  <w:abstractNum w:abstractNumId="20">
    <w:nsid w:val="1E7FF521"/>
    <w:multiLevelType w:val="hybridMultilevel"/>
    <w:lvl w:ilvl="0">
      <w:lvlJc w:val="left"/>
      <w:lvlText w:val="(%1)"/>
      <w:numFmt w:val="lowerLetter"/>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lowerRoman"/>
      <w:start w:val="4"/>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decimal"/>
      <w:start w:val="4"/>
    </w:lvl>
  </w:abstractNum>
  <w:abstractNum w:abstractNumId="33">
    <w:nsid w:val="77465F01"/>
    <w:multiLevelType w:val="hybridMultilevel"/>
    <w:lvl w:ilvl="0">
      <w:lvlJc w:val="left"/>
      <w:lvlText w:val="(%1)"/>
      <w:numFmt w:val="decimal"/>
      <w:start w:val="15"/>
    </w:lvl>
  </w:abstractNum>
  <w:abstractNum w:abstractNumId="34">
    <w:nsid w:val="7724C67E"/>
    <w:multiLevelType w:val="hybridMultilevel"/>
    <w:lvl w:ilvl="0">
      <w:lvlJc w:val="left"/>
      <w:lvlText w:val="(%1)"/>
      <w:numFmt w:val="lowerLetter"/>
      <w:start w:val="1"/>
    </w:lvl>
    <w:lvl w:ilvl="1">
      <w:lvlJc w:val="left"/>
      <w:lvlText w:val="%2."/>
      <w:numFmt w:val="decimal"/>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45"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67" Type="http://schemas.openxmlformats.org/officeDocument/2006/relationships/image" Target="media/image126.png"/><Relationship Id="rId168" Type="http://schemas.openxmlformats.org/officeDocument/2006/relationships/image" Target="media/image127.png"/><Relationship Id="rId169" Type="http://schemas.openxmlformats.org/officeDocument/2006/relationships/image" Target="media/image128.png"/><Relationship Id="rId170" Type="http://schemas.openxmlformats.org/officeDocument/2006/relationships/image" Target="media/image129.png"/><Relationship Id="rId171" Type="http://schemas.openxmlformats.org/officeDocument/2006/relationships/image" Target="media/image130.png"/><Relationship Id="rId172" Type="http://schemas.openxmlformats.org/officeDocument/2006/relationships/image" Target="media/image131.png"/><Relationship Id="rId173" Type="http://schemas.openxmlformats.org/officeDocument/2006/relationships/image" Target="media/image132.png"/><Relationship Id="rId174" Type="http://schemas.openxmlformats.org/officeDocument/2006/relationships/image" Target="media/image133.png"/><Relationship Id="rId175" Type="http://schemas.openxmlformats.org/officeDocument/2006/relationships/image" Target="media/image134.png"/><Relationship Id="rId176" Type="http://schemas.openxmlformats.org/officeDocument/2006/relationships/image" Target="media/image135.png"/><Relationship Id="rId177" Type="http://schemas.openxmlformats.org/officeDocument/2006/relationships/image" Target="media/image136.png"/><Relationship Id="rId178" Type="http://schemas.openxmlformats.org/officeDocument/2006/relationships/image" Target="media/image137.png"/><Relationship Id="rId179" Type="http://schemas.openxmlformats.org/officeDocument/2006/relationships/image" Target="media/image138.png"/><Relationship Id="rId180" Type="http://schemas.openxmlformats.org/officeDocument/2006/relationships/image" Target="media/image139.png"/><Relationship Id="rId181" Type="http://schemas.openxmlformats.org/officeDocument/2006/relationships/image" Target="media/image140.png"/><Relationship Id="rId182" Type="http://schemas.openxmlformats.org/officeDocument/2006/relationships/image" Target="media/image141.png"/><Relationship Id="rId127" Type="http://schemas.openxmlformats.org/officeDocument/2006/relationships/hyperlink" Target="http://www.sec.gov/Archives/edgar/data/1683695/000114036118039596/ex3_1.htm" TargetMode="External"/><Relationship Id="rId128" Type="http://schemas.openxmlformats.org/officeDocument/2006/relationships/hyperlink" Target="http://www.sec.gov/Archives/edgar/data/1683695/000114036118039596/ex3_2.htm" TargetMode="External"/><Relationship Id="rId129" Type="http://schemas.openxmlformats.org/officeDocument/2006/relationships/hyperlink" Target="http://www.sec.gov/Archives/edgar/data/1683695/000114036118039596/ex4_2.htm" TargetMode="External"/><Relationship Id="rId130" Type="http://schemas.openxmlformats.org/officeDocument/2006/relationships/hyperlink" Target="http://www.sec.gov/Archives/edgar/data/1683695/000114036119007957/ntp10000642x2_ex10-1.htm" TargetMode="External"/><Relationship Id="rId131" Type="http://schemas.openxmlformats.org/officeDocument/2006/relationships/hyperlink" Target="http://www.sec.gov/Archives/edgar/data/1683695/000114036118039596/ex4_3.htm" TargetMode="External"/><Relationship Id="rId132" Type="http://schemas.openxmlformats.org/officeDocument/2006/relationships/hyperlink" Target="http://www.sec.gov/Archives/edgar/data/1683695/000089534518000334/se8k-exh4_1.htm" TargetMode="External"/><Relationship Id="rId133" Type="http://schemas.openxmlformats.org/officeDocument/2006/relationships/hyperlink" Target="http://www.sec.gov/Archives/edgar/data/1683695/000114036119015545/nc10004250x1_ex10-1.htm" TargetMode="External"/><Relationship Id="rId134" Type="http://schemas.openxmlformats.org/officeDocument/2006/relationships/hyperlink" Target="http://www.sec.gov/Archives/edgar/data/1683695/000168369520000016/exhibit41imxi-stockhol.htm" TargetMode="External"/><Relationship Id="rId135" Type="http://schemas.openxmlformats.org/officeDocument/2006/relationships/hyperlink" Target="http://www.sec.gov/Archives/edgar/data/1683695/000162828020003396/exhibit46.htm" TargetMode="External"/><Relationship Id="rId136" Type="http://schemas.openxmlformats.org/officeDocument/2006/relationships/hyperlink" Target="http://www.sec.gov/Archives/edgar/data/1683695/000114036118042765/ex10_1.htm" TargetMode="External"/><Relationship Id="rId137" Type="http://schemas.openxmlformats.org/officeDocument/2006/relationships/hyperlink" Target="http://www.sec.gov/Archives/edgar/data/1683695/000114036118044840/ex10_1.htm" TargetMode="External"/><Relationship Id="rId138" Type="http://schemas.openxmlformats.org/officeDocument/2006/relationships/hyperlink" Target="http://www.sec.gov/Archives/edgar/data/1683695/000114036119007957/ntp10000642x2_ex10-2.htm" TargetMode="External"/><Relationship Id="rId139" Type="http://schemas.openxmlformats.org/officeDocument/2006/relationships/hyperlink" Target="http://www.sec.gov/Archives/edgar/data/1683695/000114036121017477/brhc10024655_10-1.htm" TargetMode="External"/><Relationship Id="rId140" Type="http://schemas.openxmlformats.org/officeDocument/2006/relationships/hyperlink" Target="http://www.sec.gov/Archives/edgar/data/1683695/000114036121022415/brhc10026271_ex10-1.htm" TargetMode="External"/><Relationship Id="rId141" Type="http://schemas.openxmlformats.org/officeDocument/2006/relationships/hyperlink" Target="http://www.sec.gov/Archives/edgar/data/1683695/000114036118039596/ex10_2.htm" TargetMode="External"/><Relationship Id="rId142" Type="http://schemas.openxmlformats.org/officeDocument/2006/relationships/hyperlink" Target="http://www.sec.gov/Archives/edgar/data/1683695/000114036119013682/ex10_1.htm" TargetMode="External"/><Relationship Id="rId143" Type="http://schemas.openxmlformats.org/officeDocument/2006/relationships/hyperlink" Target="http://www.sec.gov/Archives/edgar/data/1683695/000114036119015545/nc10004250x1_ex10-2.htm" TargetMode="External"/><Relationship Id="rId144" Type="http://schemas.openxmlformats.org/officeDocument/2006/relationships/hyperlink" Target="http://www.sec.gov/Archives/edgar/data/1683695/000114036120006235/ex10_1.htm" TargetMode="External"/><Relationship Id="rId146" Type="http://schemas.openxmlformats.org/officeDocument/2006/relationships/hyperlink" Target="http://www.sec.gov/Archives/edgar/data/1683695/000114036118039596/ex10_3a.htm" TargetMode="External"/><Relationship Id="rId147" Type="http://schemas.openxmlformats.org/officeDocument/2006/relationships/hyperlink" Target="http://www.sec.gov/Archives/edgar/data/1683695/000114036118039596/ex10_4f.htm" TargetMode="External"/><Relationship Id="rId148" Type="http://schemas.openxmlformats.org/officeDocument/2006/relationships/hyperlink" Target="http://www.sec.gov/Archives/edgar/data/1683695/000114036118039596/ex10_4b.htm" TargetMode="External"/><Relationship Id="rId149" Type="http://schemas.openxmlformats.org/officeDocument/2006/relationships/hyperlink" Target="http://www.sec.gov/Archives/edgar/data/1683695/000114036118039596/ex10_4a.htm" TargetMode="External"/><Relationship Id="rId150" Type="http://schemas.openxmlformats.org/officeDocument/2006/relationships/hyperlink" Target="http://www.sec.gov/Archives/edgar/data/1683695/000114036120011750/nc10011882x1_def14a.htm" TargetMode="External"/><Relationship Id="rId156" Type="http://schemas.openxmlformats.org/officeDocument/2006/relationships/hyperlink" Target="http://www.sec.gov/Archives/edgar/data/1683695/000168369520000013/exhibit103formofnqsoag.htm" TargetMode="External"/><Relationship Id="rId157" Type="http://schemas.openxmlformats.org/officeDocument/2006/relationships/hyperlink" Target="http://www.sec.gov/Archives/edgar/data/1683695/000168369520000013/exhibit104formofrsuagr.htm" TargetMode="External"/><Relationship Id="rId158" Type="http://schemas.openxmlformats.org/officeDocument/2006/relationships/hyperlink" Target="http://www.sec.gov/Archives/edgar/data/1683695/000168369521000005/exhibit1017-formofrsuagree.htm" TargetMode="External"/><Relationship Id="rId159" Type="http://schemas.openxmlformats.org/officeDocument/2006/relationships/hyperlink" Target="http://www.sec.gov/Archives/edgar/data/1683695/000168369521000005/exhibit1018-formofpsuagree.htm" TargetMode="External"/><Relationship Id="rId160" Type="http://schemas.openxmlformats.org/officeDocument/2006/relationships/hyperlink" Target="http://www.sec.gov/Archives/edgar/data/1683695/000168369521000005/exhibit1019-formofpsuagree.htm" TargetMode="External"/><Relationship Id="rId161" Type="http://schemas.openxmlformats.org/officeDocument/2006/relationships/hyperlink" Target="http://www.sec.gov/Archives/edgar/data/1683695/000168369521000005/exhibit10ormofrestrictedst.htm" TargetMode="External"/><Relationship Id="rId162" Type="http://schemas.openxmlformats.org/officeDocument/2006/relationships/hyperlink" Target="http://www.sec.gov/Archives/edgar/data/0001683695/000114036121038168/brhc10030921_ex10-1.htm" TargetMode="External"/><Relationship Id="rId163" Type="http://schemas.openxmlformats.org/officeDocument/2006/relationships/hyperlink" Target="http://www.sec.gov/Archives/edgar/data/1683695/000114036120027563/brhc10017690_ex10-1.htm" TargetMode="External"/><Relationship Id="rId164" Type="http://schemas.openxmlformats.org/officeDocument/2006/relationships/hyperlink" Target="http://www.sec.gov/Archives/edgar/data/1683695/000114036118039596/ex10_5e.htm" TargetMode="External"/><Relationship Id="rId165" Type="http://schemas.openxmlformats.org/officeDocument/2006/relationships/hyperlink" Target="http://www.sec.gov/Archives/edgar/data/1683695/000114036119017939/ex10_1.htm" TargetMode="External"/><Relationship Id="rId166" Type="http://schemas.openxmlformats.org/officeDocument/2006/relationships/hyperlink" Target="http://www.sec.gov/Archives/edgar/data/1683695/000114036118039596/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2022-03-07T16:12:13Z</dcterms:created>
  <dcterms:modified xsi:type="dcterms:W3CDTF">2022-03-07T16:12:13Z</dcterms:modified>
</cp:coreProperties>
</file>