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Commission File No. 001-37986</w:t>
            </w:r>
          </w:p>
        </w:tc>
        <w:tc>
          <w:tcPr>
            <w:tcW w:w="0" w:type="dxa"/>
            <w:vAlign w:val="bottom"/>
          </w:tcPr>
          <w:p>
            <w:pPr>
              <w:spacing w:after="0"/>
              <w:rPr>
                <w:sz w:val="1"/>
                <w:szCs w:val="1"/>
                <w:color w:val="auto"/>
              </w:rPr>
            </w:pPr>
          </w:p>
        </w:tc>
      </w:tr>
      <w:tr>
        <w:trPr>
          <w:trHeight w:val="398"/>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INTERNATIONAL MONEY EXPRESS, INC.</w:t>
            </w:r>
          </w:p>
        </w:tc>
        <w:tc>
          <w:tcPr>
            <w:tcW w:w="0" w:type="dxa"/>
            <w:vAlign w:val="bottom"/>
          </w:tcPr>
          <w:p>
            <w:pPr>
              <w:spacing w:after="0"/>
              <w:rPr>
                <w:sz w:val="1"/>
                <w:szCs w:val="1"/>
                <w:color w:val="auto"/>
              </w:rPr>
            </w:pPr>
          </w:p>
        </w:tc>
      </w:tr>
      <w:tr>
        <w:trPr>
          <w:trHeight w:val="41"/>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500"/>
        </w:trPr>
        <w:tc>
          <w:tcPr>
            <w:tcW w:w="338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57"/>
        </w:trPr>
        <w:tc>
          <w:tcPr>
            <w:tcW w:w="6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9100 South Dadeland Blvd. Suite 1100</w:t>
            </w:r>
          </w:p>
        </w:tc>
        <w:tc>
          <w:tcPr>
            <w:tcW w:w="4560" w:type="dxa"/>
            <w:vAlign w:val="bottom"/>
            <w:gridSpan w:val="3"/>
            <w:vMerge w:val="restart"/>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33156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6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7"/>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951" w:gutter="0" w:footer="0" w:header="0"/>
        </w:sectPr>
      </w:pPr>
    </w:p>
    <w:p>
      <w:pPr>
        <w:spacing w:after="0" w:line="216"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7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183" w:lineRule="exact"/>
        <w:rPr>
          <w:sz w:val="24"/>
          <w:szCs w:val="24"/>
          <w:color w:val="auto"/>
        </w:rPr>
      </w:pPr>
    </w:p>
    <w:p>
      <w:pPr>
        <w:sectPr>
          <w:pgSz w:w="11900" w:h="16838" w:orient="portrait"/>
          <w:cols w:equalWidth="0" w:num="2">
            <w:col w:w="5420" w:space="720"/>
            <w:col w:w="5100"/>
          </w:cols>
          <w:pgMar w:left="320" w:top="227" w:right="339" w:bottom="951" w:gutter="0" w:footer="0" w:header="0"/>
          <w:type w:val="continuous"/>
        </w:sectPr>
      </w:pPr>
    </w:p>
    <w:p>
      <w:pPr>
        <w:ind w:left="6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ectPr>
          <w:pgSz w:w="11900" w:h="16838" w:orient="portrait"/>
          <w:cols w:equalWidth="0" w:num="1">
            <w:col w:w="11240"/>
          </w:cols>
          <w:pgMar w:left="320" w:top="227" w:right="339" w:bottom="951"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November 4, 2024, there were 31,098,659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7" w:right="339" w:bottom="95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140" w:type="dxa"/>
            <w:vAlign w:val="bottom"/>
            <w:tcBorders>
              <w:top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Months Ended September 30, 2024 and 2023</w:t>
            </w: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640" w:type="dxa"/>
            <w:vAlign w:val="bottom"/>
            <w:tcBorders>
              <w:top w:val="single" w:sz="8" w:color="0000FF"/>
              <w:bottom w:val="single" w:sz="8" w:color="0000FF"/>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30, 2024 and 2023</w:t>
            </w:r>
          </w:p>
        </w:tc>
        <w:tc>
          <w:tcPr>
            <w:tcW w:w="13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0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0000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30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60" w:type="dxa"/>
            <w:vAlign w:val="bottom"/>
            <w:tcBorders>
              <w:top w:val="single" w:sz="8" w:color="0000FF"/>
            </w:tcBorders>
            <w:shd w:val="clear" w:color="auto" w:fill="CCEEFF"/>
          </w:tcPr>
          <w:p>
            <w:pPr>
              <w:spacing w:after="0"/>
              <w:rPr>
                <w:sz w:val="16"/>
                <w:szCs w:val="16"/>
                <w:color w:val="auto"/>
              </w:rPr>
            </w:pPr>
          </w:p>
        </w:tc>
        <w:tc>
          <w:tcPr>
            <w:tcW w:w="164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5980" w:type="dxa"/>
            <w:vAlign w:val="bottom"/>
            <w:tcBorders>
              <w:bottom w:val="single" w:sz="8" w:color="CCEEFF"/>
            </w:tcBorders>
            <w:gridSpan w:val="13"/>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7140" w:type="dxa"/>
            <w:vAlign w:val="bottom"/>
            <w:tcBorders>
              <w:bottom w:val="single" w:sz="8" w:color="CCEEFF"/>
            </w:tcBorders>
            <w:gridSpan w:val="18"/>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5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 Such forward-looking statements include all statements regarding the Board’s evaluation of strategic alternatives, including exploring options for a potential sale in a private transaction.</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8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 to the outcome and timing of the Board’s strategic alternative evaluation process, including the possibility that the Board may decide not to undertake a strategic alternative following the evaluation process; the Company’s inability to consummate any proposed strategic alternative resulting from the review due to, among other things, market, regulatory and other factors; the potential for disruption to our business resulting from the review process; and potential adverse effects on the Company’s stock price from the announcement, suspension or consummation of the evaluation process and the results thereof;</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volatility in market interest rates;</w:t>
      </w:r>
    </w:p>
    <w:p>
      <w:pPr>
        <w:ind w:left="980" w:right="62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including ongoing hostilities in Ukraine and the Middle East, political instability, tariffs, border taxes or restrictions on remittances or transfers from the outbound countries in which we operate or plan to operate;</w:t>
      </w:r>
    </w:p>
    <w:p>
      <w:pPr>
        <w:ind w:left="980" w:right="3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9" w:lineRule="exact"/>
        <w:rPr>
          <w:rFonts w:ascii="Times New Roman" w:cs="Times New Roman" w:eastAsia="Times New Roman" w:hAnsi="Times New Roman"/>
          <w:sz w:val="18"/>
          <w:szCs w:val="18"/>
          <w:color w:val="auto"/>
        </w:rPr>
      </w:pPr>
    </w:p>
    <w:p>
      <w:pPr>
        <w:ind w:left="980" w:right="46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introducing and expanding customer acceptance of new products, digital services and infrastructure;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sending agents;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devices apps;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119" w:lineRule="exact"/>
        <w:rPr>
          <w:sz w:val="20"/>
          <w:szCs w:val="20"/>
          <w:color w:val="auto"/>
        </w:rPr>
      </w:pPr>
    </w:p>
    <w:p>
      <w:pPr>
        <w:ind w:left="980" w:right="260" w:hanging="324"/>
        <w:spacing w:after="0" w:line="276" w:lineRule="auto"/>
        <w:tabs>
          <w:tab w:leader="none" w:pos="97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in which we operate;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as well as any additional factors that may be described in our other filings with the SEC from time to time.</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432,874</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223,373</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181,073</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158,188</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204,402</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16</w:t>
            </w: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40,135,921 and</w:t>
            </w: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39,673,271 shares issued and 31,546,388 and 33,823,237 shares outstanding as of</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30, 2024 and December 31, 2023, respectively, and Preferred stock $0.0001</w:t>
            </w: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 value; 5,000,000 shares authorized, none issued or outstanding</w:t>
            </w:r>
          </w:p>
        </w:tc>
        <w:tc>
          <w:tcPr>
            <w:tcW w:w="14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8,589,533 and 5,850,034 shares as of September 30, 2024 and</w:t>
            </w: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0"/>
                <w:szCs w:val="20"/>
                <w:color w:val="auto"/>
              </w:rPr>
            </w:pPr>
          </w:p>
        </w:tc>
        <w:tc>
          <w:tcPr>
            <w:tcW w:w="27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416,355</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w:t>
            </w:r>
          </w:p>
        </w:tc>
      </w:tr>
      <w:tr>
        <w:trPr>
          <w:trHeight w:val="236"/>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37"/>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172,437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493,890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486,952</w:t>
            </w: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319,983</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51,597</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36,883</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6"/>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37"/>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423,575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419,119</w:t>
            </w: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67,833</w:t>
            </w: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60,190</w:t>
            </w: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w:t>
            </w: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w:t>
            </w: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42,158</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7"/>
        </w:trPr>
        <w:tc>
          <w:tcPr>
            <w:tcW w:w="4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35,320,809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32,911,742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35,930,234</w:t>
            </w:r>
          </w:p>
        </w:tc>
      </w:tr>
      <w:tr>
        <w:trPr>
          <w:trHeight w:val="234"/>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32,732,465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36,082,163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33,335,363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36,767,680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gridSpan w:val="1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40,091,006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(7,496,161)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20" w:type="dxa"/>
            <w:vAlign w:val="bottom"/>
          </w:tcPr>
          <w:p>
            <w:pPr>
              <w:spacing w:after="0"/>
              <w:rPr>
                <w:sz w:val="15"/>
                <w:szCs w:val="15"/>
                <w:color w:val="auto"/>
              </w:rPr>
            </w:pPr>
          </w:p>
        </w:tc>
        <w:tc>
          <w:tcPr>
            <w:tcW w:w="10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(1,093,372)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cost</w:t>
            </w:r>
          </w:p>
        </w:tc>
        <w:tc>
          <w:tcPr>
            <w:tcW w:w="2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40,135,921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(8,589,533)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1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39,571,073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(4,054,847)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(89,815)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43,388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(501,900)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(10,106)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(10,106)</w:t>
            </w:r>
          </w:p>
        </w:tc>
        <w:tc>
          <w:tcPr>
            <w:tcW w:w="0" w:type="dxa"/>
            <w:vAlign w:val="bottom"/>
          </w:tcPr>
          <w:p>
            <w:pPr>
              <w:spacing w:after="0"/>
              <w:rPr>
                <w:sz w:val="1"/>
                <w:szCs w:val="1"/>
                <w:color w:val="auto"/>
              </w:rPr>
            </w:pPr>
          </w:p>
        </w:tc>
      </w:tr>
      <w:tr>
        <w:trPr>
          <w:trHeight w:val="249"/>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39,626,532</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(4,556,747)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(99,921)</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181,150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gridSpan w:val="18"/>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48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8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39,673,271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Exercise of stock options, net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of shares withheld for taxes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312,085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Fully vested shares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(2,739,499)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cost</w:t>
            </w:r>
          </w:p>
        </w:tc>
        <w:tc>
          <w:tcPr>
            <w:tcW w:w="2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40,135,921</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(8,589,533)</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(180,504)</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80,583</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242,085</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18"/>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1"/>
                <w:szCs w:val="11"/>
                <w:color w:val="auto"/>
              </w:rPr>
            </w:pPr>
          </w:p>
        </w:tc>
        <w:tc>
          <w:tcPr>
            <w:tcW w:w="1940" w:type="dxa"/>
            <w:vAlign w:val="bottom"/>
            <w:gridSpan w:val="8"/>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39,453,236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(2,822,266)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(59,300)</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78,500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92,368</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Acquisition of treasury</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(1,734,481)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(40,621)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(40,621)</w:t>
            </w: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39,626,532</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(4,556,747)</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(99,921)</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181,150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157,638</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(in thousands, unaudited)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6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42,016</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9"/>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3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49"/>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17"/>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w:t>
            </w:r>
          </w:p>
        </w:tc>
      </w:tr>
      <w:tr>
        <w:trPr>
          <w:trHeight w:val="229"/>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(36,190)</w:t>
            </w:r>
          </w:p>
        </w:tc>
      </w:tr>
      <w:tr>
        <w:trPr>
          <w:trHeight w:val="22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wires,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r>
      <w:tr>
        <w:trPr>
          <w:trHeight w:val="229"/>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30"/>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w:t>
            </w:r>
          </w:p>
        </w:tc>
      </w:tr>
      <w:tr>
        <w:trPr>
          <w:trHeight w:val="229"/>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37"/>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82,440</w:t>
            </w:r>
          </w:p>
        </w:tc>
      </w:tr>
      <w:tr>
        <w:trPr>
          <w:trHeight w:val="149"/>
        </w:trPr>
        <w:tc>
          <w:tcPr>
            <w:tcW w:w="6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used in business acquisition, net of cash and cash equivalents acquired</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50"/>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w:t>
            </w:r>
          </w:p>
        </w:tc>
      </w:tr>
      <w:tr>
        <w:trPr>
          <w:trHeight w:val="162"/>
        </w:trPr>
        <w:tc>
          <w:tcPr>
            <w:tcW w:w="6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62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320" w:type="dxa"/>
            <w:vAlign w:val="bottom"/>
            <w:shd w:val="clear" w:color="auto" w:fill="BFE4FF"/>
          </w:tcPr>
          <w:p>
            <w:pPr>
              <w:spacing w:after="0"/>
              <w:rPr>
                <w:sz w:val="19"/>
                <w:szCs w:val="19"/>
                <w:color w:val="auto"/>
              </w:rPr>
            </w:pPr>
          </w:p>
        </w:tc>
        <w:tc>
          <w:tcPr>
            <w:tcW w:w="1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(912,250)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origination costs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proceeds from exercise of stock options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stock-based awards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(40,621)</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148"/>
        </w:trPr>
        <w:tc>
          <w:tcPr>
            <w:tcW w:w="6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149"/>
        </w:trPr>
        <w:tc>
          <w:tcPr>
            <w:tcW w:w="6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72,954</w:t>
            </w:r>
          </w:p>
        </w:tc>
      </w:tr>
      <w:tr>
        <w:trPr>
          <w:trHeight w:val="162"/>
        </w:trPr>
        <w:tc>
          <w:tcPr>
            <w:tcW w:w="6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r>
      <w:tr>
        <w:trPr>
          <w:trHeight w:val="149"/>
        </w:trPr>
        <w:tc>
          <w:tcPr>
            <w:tcW w:w="6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222,447</w:t>
            </w:r>
          </w:p>
        </w:tc>
      </w:tr>
      <w:tr>
        <w:trPr>
          <w:trHeight w:val="21"/>
        </w:trPr>
        <w:tc>
          <w:tcPr>
            <w:tcW w:w="6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140" w:right="146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18,981</w:t>
            </w:r>
          </w:p>
        </w:tc>
      </w:tr>
      <w:tr>
        <w:trPr>
          <w:trHeight w:val="256"/>
        </w:trPr>
        <w:tc>
          <w:tcPr>
            <w:tcW w:w="6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2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receivable balance from LAN Holdings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57"/>
        </w:trPr>
        <w:tc>
          <w:tcPr>
            <w:tcW w:w="6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3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cashless exercise of options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ind w:left="5520" w:right="2680" w:hanging="283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ACCOUNTING POLICIES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Canada, Spain, Italy, the United Kingdom and Germany primarily to Mexico, Guatemala and other countries in Latin America, Africa and Asia through a network of authorized agents located in various unaffiliated retail establishments and 117 Company-operated stores throughout those jurisdictions.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include International Money Express, Inc. and other entities in which the Company has a controlling financial interest. All significant inter-company balances and transactions have been eliminated from the condensed consolidated financial statements. The condensed consolidated financial statements are prepared in accordance with accounting principles generally accepted in the United States (“GAAP”).</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and the United Kingdom and short-term investment accounts in Mexico, which may not be fully insured. During the three and nine months ended September 30, 2024, the Company has not incurred any losses on these uninsured foreign bank accounts.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substantial portion of our paying agents are concentrated in a few large banks and financial institutions and large retail chains in Latin American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guidance does not change how a public entity identifies its operating segments, aggregates them, or applies the quantitative thresholds to determine its reportable segments. Also, it clarifies that entities with a single reportable segment must apply this guidance in its entirety. The new standard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Based on Management's initial assessment of the guidance, the Company considers that it will be required to disclose its significant single reportable segment expenses and the amount and composition of other single reportable segment items.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FASB issued guidance, ASU 2023-09, Income Taxes (Topic 740): Improvements to Income Tax Disclosures, which focuses on the rate reconciliation and income taxes paid. This guidance requires a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the Company, the new standard is effective for annual periods beginning after December 15, 2024, with early adoption permitted. An entity may apply the amendments in this guidance prospectively by providing the revised disclosures for the period ending December 31, 2025 and continuing to provide the previously required disclosures for the prior periods, or may apply the amendments retrospectively by providing the revised disclosures for all period presented. The Company is currently evaluating the impact this guidance will have on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w:t>
      </w: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in order to concur with current financial presentation primarily as it relates to disclosure of restructuring costs as a separate item in the condensed consolidated statements of income and comprehensive income.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2024, the Company completed the acquisition of 100% of the issued and outstanding stock of a money services entity incorporated in the United Kingdom. This acquisition provides the Company the opportunity to enter into markets in which it did not have a presence previously, such as the ability to provide outbound remittance services from the United Kingdom.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consideration transferred by the Company in connection with the acquisition was approximately $1.4 million in cash, subject to customary purchase price adjustments. The acquisition was funded with cash on hand.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values of consideration transferred and identifiable net assets acquired in the acquisition on July 2, 2024, the measurement period adjustments through the period ended September 30, 2024 and the fair values of consideration transferred and identifiable net assets acquired as of September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7"/>
                <w:szCs w:val="17"/>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July 2, 2024</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20" w:type="dxa"/>
            <w:vAlign w:val="bottom"/>
          </w:tcPr>
          <w:p>
            <w:pPr>
              <w:spacing w:after="0"/>
              <w:rPr>
                <w:sz w:val="17"/>
                <w:szCs w:val="17"/>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243"/>
        </w:trPr>
        <w:tc>
          <w:tcPr>
            <w:tcW w:w="4660" w:type="dxa"/>
            <w:vAlign w:val="bottom"/>
            <w:vMerge w:val="continue"/>
          </w:tcPr>
          <w:p>
            <w:pPr>
              <w:spacing w:after="0"/>
              <w:rPr>
                <w:sz w:val="21"/>
                <w:szCs w:val="21"/>
                <w:color w:val="auto"/>
              </w:rPr>
            </w:pPr>
          </w:p>
        </w:tc>
        <w:tc>
          <w:tcPr>
            <w:tcW w:w="1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initially reported)</w:t>
            </w: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21"/>
                <w:szCs w:val="21"/>
                <w:color w:val="auto"/>
              </w:rPr>
            </w:pP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acquired:</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assumed:</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8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balance for this acquisition represents the estimated values of the Company’s assembled workforce and synergies expected to be achieved from the combined operations of the acquired entity and the Company. Goodwill resulting from this acquisition is not deductible for tax purposes.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acquired entity's results of operations have been included in the Company's results of operations from the date of its acquisition. The Company’s condensed consolidated statement of income and comprehensive income includes $95.0 thousand and $65.0 thousand of revenue and net loss for the three months ended September 30, 2024, respectively, from the acquired entity.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recorded restructuring costs primarily related to certain of its foreign operations and La Nacional. These restructuring costs are part of the Company's plan, for which the objectives are to reorganize the workforce, streamline operational processes, integrate technology functionality, as well as to develop efficiencies within the Company. For the three and nine months ended September 30, 2024, the Company incurred approximately $27.0 thousand and $2.5 million in expenses for a reduction of workforce in certain locations, closing of certain facilities, discontinuing technology and disposal of obsolete assets. These expenses</w:t>
      </w:r>
    </w:p>
    <w:p>
      <w:pPr>
        <w:spacing w:after="0" w:line="2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 approximately $1.7 million in severance payments and related benefits, out of which $27.0 thousand were incurred during the three months ended September 30, 2024, $0.4 million in software and software development costs write-offs and $0.4 million in legal and professional fees, which are included in restructuring costs in the condensed consolidated statement of income and comprehensive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liability balance related to restructuring costs for the three and nine months ended September 30, 2024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20" w:type="dxa"/>
            <w:vAlign w:val="bottom"/>
          </w:tcPr>
          <w:p>
            <w:pPr>
              <w:spacing w:after="0"/>
              <w:rPr>
                <w:sz w:val="19"/>
                <w:szCs w:val="19"/>
                <w:color w:val="auto"/>
              </w:rPr>
            </w:pPr>
          </w:p>
        </w:tc>
        <w:tc>
          <w:tcPr>
            <w:tcW w:w="3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 2024</w:t>
            </w:r>
          </w:p>
        </w:tc>
      </w:t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140" w:type="dxa"/>
            <w:vAlign w:val="bottom"/>
          </w:tcPr>
          <w:p>
            <w:pPr>
              <w:spacing w:after="0"/>
              <w:rPr>
                <w:sz w:val="20"/>
                <w:szCs w:val="20"/>
                <w:color w:val="auto"/>
              </w:rPr>
            </w:pP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40" w:type="dxa"/>
            <w:vAlign w:val="bottom"/>
          </w:tcPr>
          <w:p>
            <w:pPr>
              <w:spacing w:after="0"/>
              <w:rPr>
                <w:sz w:val="20"/>
                <w:szCs w:val="20"/>
                <w:color w:val="auto"/>
              </w:rPr>
            </w:pPr>
          </w:p>
        </w:tc>
        <w:tc>
          <w:tcPr>
            <w:tcW w:w="2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Legal and professional fees</w:t>
            </w:r>
          </w:p>
        </w:tc>
      </w:tr>
      <w:tr>
        <w:trPr>
          <w:trHeight w:val="22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REVENUES</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recognized revenues from contracts with customers, sending agents and others for the three and nine months ended September 30, 2024 and 2023,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9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418,416</w:t>
            </w:r>
          </w:p>
        </w:tc>
      </w:tr>
      <w:tr>
        <w:trPr>
          <w:trHeight w:val="23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Discounts and promotions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416,355</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w:t>
            </w: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172,437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493,890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486,952</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90-day period under the revised terms and conditions of the loyalty program, which are effective starting on September 26, 2024. Prior to the modification, points expired if an eligible wire transfer transaction was not initiated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entry is recorded as contra revenue. Revenue from this performance obligation is recognized upon customers redeeming points or upon expiration of any points outstanding.</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its sending agents and Company-operated stores,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Wire transfers and money order fees include money order fees of $0.6 million and $0.5 million for the three months ended September 30, 2024 and 2023, respectively, and $1.7 million for both the nine months ended September 30, 2024 and 2023, respectively.</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157,847</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5), and the net long-term portion is included in other assets in the condensed consolidated balance sheets. At September 30, 2024 and December 31, 2023, there were $5.0 million and $4.6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agent advances receivable at September 30,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2750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5070" cy="16256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2 years to 3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107"/>
        <w:spacing w:after="0"/>
        <w:rPr>
          <w:sz w:val="20"/>
          <w:szCs w:val="20"/>
          <w:color w:val="auto"/>
        </w:rPr>
      </w:pPr>
      <w:r>
        <w:rPr>
          <w:rFonts w:ascii="Times New Roman" w:cs="Times New Roman" w:eastAsia="Times New Roman" w:hAnsi="Times New Roman"/>
          <w:sz w:val="18"/>
          <w:szCs w:val="18"/>
          <w:color w:val="auto"/>
        </w:rPr>
        <w:t>Outstanding Balance</w:t>
      </w:r>
    </w:p>
    <w:p>
      <w:pPr>
        <w:spacing w:after="0" w:line="50" w:lineRule="exact"/>
        <w:rPr>
          <w:sz w:val="20"/>
          <w:szCs w:val="20"/>
          <w:color w:val="auto"/>
        </w:rPr>
      </w:pPr>
    </w:p>
    <w:p>
      <w:pPr>
        <w:ind w:left="1267" w:hanging="1267"/>
        <w:spacing w:after="0"/>
        <w:tabs>
          <w:tab w:leader="none" w:pos="12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2,543</w:t>
      </w:r>
    </w:p>
    <w:p>
      <w:pPr>
        <w:spacing w:after="0" w:line="38"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2,147</w:t>
      </w:r>
    </w:p>
    <w:p>
      <w:pPr>
        <w:spacing w:after="0" w:line="34" w:lineRule="exact"/>
        <w:rPr>
          <w:rFonts w:ascii="Times New Roman" w:cs="Times New Roman" w:eastAsia="Times New Roman" w:hAnsi="Times New Roman"/>
          <w:sz w:val="17"/>
          <w:szCs w:val="17"/>
          <w:color w:val="auto"/>
        </w:rPr>
      </w:pPr>
    </w:p>
    <w:p>
      <w:pPr>
        <w:ind w:left="13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280</w:t>
      </w:r>
    </w:p>
    <w:p>
      <w:pPr>
        <w:spacing w:after="0" w:line="45" w:lineRule="exact"/>
        <w:rPr>
          <w:sz w:val="20"/>
          <w:szCs w:val="20"/>
          <w:color w:val="auto"/>
        </w:rPr>
      </w:pPr>
    </w:p>
    <w:p>
      <w:pPr>
        <w:ind w:left="1267" w:hanging="1267"/>
        <w:spacing w:after="0"/>
        <w:tabs>
          <w:tab w:leader="none" w:pos="126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14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062" w:lineRule="exact"/>
        <w:rPr>
          <w:sz w:val="20"/>
          <w:szCs w:val="20"/>
          <w:color w:val="auto"/>
        </w:rPr>
      </w:pPr>
    </w:p>
    <w:p>
      <w:pPr>
        <w:sectPr>
          <w:pgSz w:w="11900" w:h="16838" w:orient="portrait"/>
          <w:cols w:equalWidth="0" w:num="2">
            <w:col w:w="7433" w:space="720"/>
            <w:col w:w="3087"/>
          </w:cols>
          <w:pgMar w:left="320" w:top="11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2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50"/>
        </w:trPr>
        <w:tc>
          <w:tcPr>
            <w:tcW w:w="49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ectPr>
          <w:pgSz w:w="11900" w:h="16838" w:orient="portrait"/>
          <w:cols w:equalWidth="0" w:num="1">
            <w:col w:w="11240"/>
          </w:cols>
          <w:pgMar w:left="320" w:top="119" w:right="339" w:bottom="1440" w:gutter="0" w:footer="0" w:header="0"/>
          <w:type w:val="continuous"/>
        </w:sectPr>
      </w:pP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400" w:type="dxa"/>
            <w:vAlign w:val="bottom"/>
            <w:tcBorders>
              <w:top w:val="single" w:sz="8" w:color="0000FF"/>
              <w:bottom w:val="single" w:sz="8" w:color="CCEEFF"/>
            </w:tcBorders>
          </w:tcPr>
          <w:p>
            <w:pPr>
              <w:spacing w:after="0"/>
              <w:rPr>
                <w:sz w:val="24"/>
                <w:szCs w:val="24"/>
                <w:color w:val="auto"/>
              </w:rPr>
            </w:pPr>
          </w:p>
        </w:tc>
        <w:tc>
          <w:tcPr>
            <w:tcW w:w="59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NOTE 5 – PREPAID EXPENSES AND OTHER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 allowance</w:t>
            </w:r>
          </w:p>
        </w:tc>
        <w:tc>
          <w:tcPr>
            <w:tcW w:w="1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3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origination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assets in process</w:t>
            </w:r>
          </w:p>
        </w:tc>
        <w:tc>
          <w:tcPr>
            <w:tcW w:w="14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fixed assets in process included approximately $6.1 million in capital expenditures related to leasehold improvements and other assets in connection with our new headquarters (see Note 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2022, local banking regulators in Mexico resolved to close and liquidate a local financial institution, citing a lack of compliance with minimum capital requirements. The Company has approximately $5.6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any of the Company's funds on deposit. The Company maintains a valuation allowance of approximately $4.0 million in connection with the balance of deposits held by the financial institution as a result of its 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w:t>
      </w:r>
    </w:p>
    <w:p>
      <w:pPr>
        <w:sectPr>
          <w:pgSz w:w="11900" w:h="16838" w:orient="portrait"/>
          <w:cols w:equalWidth="0" w:num="1">
            <w:col w:w="11240"/>
          </w:cols>
          <w:pgMar w:left="320" w:top="108" w:right="339" w:bottom="1440" w:gutter="0" w:footer="0" w:header="0"/>
        </w:sectPr>
      </w:pPr>
    </w:p>
    <w:p>
      <w:pPr>
        <w:spacing w:after="0" w:line="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concerning these risks and uncertainties, and no impairment charges were determined necessary to be recognized during the three and nine months ended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entities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55"/>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remainder of 2024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3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54"/>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new lease agreement provides for the Company to receive a tenant allowance amounting to approximately $3.8 million through the construction period, all of which has been disbursed through September 30, 2024. Also, the Company will commence making monthly lease payments on November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condensed consolidated balance sheets is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r>
      <w:tr>
        <w:trPr>
          <w:trHeight w:val="270"/>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22,670</w:t>
            </w:r>
          </w:p>
        </w:tc>
      </w:tr>
      <w:tr>
        <w:trPr>
          <w:trHeight w:val="24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8"/>
        <w:spacing w:after="0" w:line="280" w:lineRule="auto"/>
        <w:tabs>
          <w:tab w:leader="none" w:pos="25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right-of-use assets are recorded net of accumulated amortization of $14.1 million and $10.0 million as of September 30, 2024 and December 31,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the three and nine months ended September 30, 2024 and 2023, was as follows (in thousands):</w:t>
      </w: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4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93"/>
        </w:trPr>
        <w:tc>
          <w:tcPr>
            <w:tcW w:w="40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50"/>
        </w:trPr>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40" w:type="dxa"/>
            <w:vAlign w:val="bottom"/>
          </w:tcPr>
          <w:p>
            <w:pPr>
              <w:spacing w:after="0"/>
              <w:rPr>
                <w:sz w:val="21"/>
                <w:szCs w:val="21"/>
                <w:color w:val="auto"/>
              </w:rPr>
            </w:pPr>
          </w:p>
        </w:tc>
      </w:tr>
      <w:tr>
        <w:trPr>
          <w:trHeight w:val="236"/>
        </w:trPr>
        <w:tc>
          <w:tcPr>
            <w:tcW w:w="40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26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1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4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Company’s weighted-average remaining lease terms on its operating leases is 6.6 and 6.7 years, and the Company’s weighted-average discount rate is 6.23% and 6.06%, respectively, which is the Company’s incremental borrowing rate. The Company used its incremental borrowing rate for all leases, as none of the Company’s lease agreements provide a readily determinable implicit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(6,412)</w:t>
            </w: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8 – WIRE TRANSFERS AND MONEY ORDERS PAYABLE, NET</w:t>
            </w: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9 – ACCRUED AND OTHER LIABILITIES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9"/>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19,873</w:t>
            </w: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30"/>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professional fees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30"/>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loyalty program</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29"/>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6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54,661</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2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50"/>
        </w:trPr>
        <w:tc>
          <w:tcPr>
            <w:tcW w:w="49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4,771</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4,212</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deferred during the period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2,266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2,391</w:t>
            </w:r>
          </w:p>
        </w:tc>
      </w:tr>
      <w:tr>
        <w:trPr>
          <w:trHeight w:val="237"/>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(2,588)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8"/>
              </w:rPr>
              <w:t>(4,064)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(1,936)</w:t>
            </w:r>
          </w:p>
        </w:tc>
      </w:tr>
      <w:tr>
        <w:trPr>
          <w:trHeight w:val="25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2,973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4,667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recognized during the three and nine periods ended September 30, 2024 above of $2.6 million and $4.1 million, respectively, includes a $0.6 million adjustment as a result of the changes in the terms and conditions of points expiration as described in Note 3. Also, it includes a $1.3 million cumulative catch-up adjustment to remeasure the contract liability as a result of an update of the assumed expiration rate of the loyalty points outstanding as of September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NOTE 10 – DEBT</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primarily of the following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6"/>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75,469</w:t>
            </w:r>
          </w:p>
        </w:tc>
      </w:tr>
      <w:tr>
        <w:trPr>
          <w:trHeight w:val="223"/>
        </w:trPr>
        <w:tc>
          <w:tcPr>
            <w:tcW w:w="6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189,469</w:t>
            </w:r>
          </w:p>
        </w:tc>
      </w:tr>
      <w:tr>
        <w:trPr>
          <w:trHeight w:val="230"/>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long-term debt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origination costs</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30"/>
        </w:trPr>
        <w:tc>
          <w:tcPr>
            <w:tcW w:w="62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138,200</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181,073</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Current portion of long-term debt is net of debt origination costs of approximately $0.5 million as of December 31, 2023.</w:t>
      </w: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 The A&amp;R Credit Agreement provided for a $220.0 million revolving credit facility, an $87.5 million term loan facility and an uncommitted incremental facility, which may have been utilized for additional revolving or term loans, of up to $70.0 million. The A&amp;R Credit Agreement also provided for the issuance of letters of credit, which would reduce availability under the revolving credit facility. The proceeds of the term loan were used to refinance the existing term loan facility under the Company’s previous credit agreement, and the revolving credit facility was available for working capital, general corporate purposes and to pay fees and expenses in connection with entry into the A&amp;R Credit Agreement.</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election of the Company, interest on the term loan facility and revolving loans under the A&amp;R Credit Agreement were determined by reference to the secured overnight financing rate as administered by the Federal Reserve Bank of New York ("SOFR") plus an index adjustment of 0.10% and an applicable margin ranging between 2.50% and 3.00% based upon the Company’s consolidated leverage ratio, as calculated pursuant to the terms of the A&amp;R Credit Agreement. Loans (other than Term Loans, as defined in the A&amp;R Credit Agreement), were subject to interest at the base rate plus an applicable margin ranging between 1.50% and 2.00% based upon the Company’s consolidated leverage ratio, as so calculated. The Company was also required to pay a fee on the unused portion of the revolving credit facility equal to 0.35% per annum.</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unamortized portion of debt origination costs primarily related to the Second A&amp;R Credit Agreement totaled approximately $4.8 million and $2.9 million at September 30, 2024 and December 31, 2023, respectively. Amortization of debt origination costs is included as a component of interest expense in the condensed consolidated statements of income and comprehensive income and amounted to approximately $0.6 million and $0.3 million for the three months ended September 30, 2024 and 2023, and $1.2 million and $0.8 million for the nine months ended September 30, 2024 and 2023, respectively. Amortization of debt origination costs for the three and nine months ended September 30, 2024 include a loss on debt extinguishment of approximately $0.3 million related to the payoff of the term loan facility.</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up to 0.30% of the actual daily amount by which the maximum availability under the revolving credit facility exceeds the sum of the outstanding amount of revolving credit loans.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interest rates for the term loan facility and revolving credit facility were 9.02% and 2.48%, respectively, for the nine months ended September 30, 2024, and 8.21% and 1.90%, respectively, for the nine months ended September 30,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A&amp;R Credit Agreement also provides the Company with increased flexibility to make certain restricted payments, including the repurchase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September 30, 2024, we were in compliance with these covenants.</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FAIR VALUE MEASUREMENTS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(Level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and liabilities are carried at amortized cost.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and term loan facility (until August 29, 2024). The fair value of the term loan facility, which approximated book value, was estimated by discounting the future cash flows using a current market interest rate (Level 3). The estimated fair value of the revolving credit facility would approximate face value given the payment schedule and interest rate structure, which approximates current market interest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service providers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September 30, 2024, 1.5 million shares remained available for future awards under the 2020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$134.3 thousand for the three months ended September 30, 2023 (none in the three months ended September 30, 2024), and $86.8 thousand and $388.9 thousand for the nine months ended September 30, 2024 and 2023, respectively, which are included in salaries and benefits in the condensed consolidated statements of income and comprehensive income. As of September 30, 2024, there is no unrecognized compensation expense related to stock options.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during the nine months ended September 30,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Exercisable at September 30, 2024</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intrinsic value of stock options exercised during the nine months ended September 30, 2024 was approximately $3.8 million.</w:t>
      </w:r>
    </w:p>
    <w:p>
      <w:pPr>
        <w:spacing w:after="0" w:line="1" w:lineRule="exact"/>
        <w:rPr>
          <w:rFonts w:ascii="Times New Roman" w:cs="Times New Roman" w:eastAsia="Times New Roman" w:hAnsi="Times New Roman"/>
          <w:sz w:val="22"/>
          <w:szCs w:val="22"/>
          <w:color w:val="auto"/>
          <w:vertAlign w:val="superscript"/>
        </w:rPr>
      </w:pPr>
    </w:p>
    <w:p>
      <w:pPr>
        <w:ind w:firstLine="8"/>
        <w:spacing w:after="0" w:line="219" w:lineRule="auto"/>
        <w:tabs>
          <w:tab w:leader="none" w:pos="19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fair value of all vested/exercisable options outstanding as of September 30, 2024 was $0.7 million, which was determined based on the market value of our stock as of that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RSUs granted under the 2020 Plan to the Company’s employees or certain service providers generally vest in four equal annual installments beginning one year after the date of the grant, while RSUs issued to the Company’s independent directors generally vest on the one-year anniversary from the grant date. The Company recognized compensation expense for all RSUs of approximately $0.7 million and $0.8 million for the three months ended September 30, 2024 and 2023, respectively, and $2.6 million and $2.1 million for the nine months ended September 30, 2024 and 2023, respectively, which are included in salaries and benefits in the condensed consolidated statements of income and comprehensive income. As of September 30, 2024, unrecognized compensation expense related to RSUs of approximately $7.5 million is expected to be recognized over a weighted-average period of 2.0 years.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during the nine months ended September 30,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6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0"/>
        </w:trPr>
        <w:tc>
          <w:tcPr>
            <w:tcW w:w="6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3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433,781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right="1800" w:firstLine="8"/>
        <w:spacing w:after="0"/>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RSUs granted during the nine months ended September 30, 2024 was approximately $5.8 million. </w:t>
      </w:r>
      <w:r>
        <w:rPr>
          <w:rFonts w:ascii="Times New Roman" w:cs="Times New Roman" w:eastAsia="Times New Roman" w:hAnsi="Times New Roman"/>
          <w:sz w:val="16"/>
          <w:szCs w:val="16"/>
          <w:u w:val="single" w:color="auto"/>
          <w:color w:val="auto"/>
        </w:rPr>
        <w:t>Share Awards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911 fully vested shares were granted to the Lead Independent Director and Chairs of the Committees of the Board of Directors resulting in compensation expense of $20.1 thousand for the nine months ended September 30, 2024, which is recorded and included in salaries and benefits in the condensed consolidated statements of income and comprehensive income. Effective in the second quarter of 2024, the grant of share awards to certain of the Company's independent directors was replaced with the grant of RSAs as described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RSAs issued under the 2020 Plan to the Company’s employees generally vest in four equal annual installments beginning one year after the date of grant, while RSAs issued to certain of the Company’s independent directors vest at the end of the three-month calendar quarter in which the grant is made. The Company recognized compensation expense for RSAs granted of $0.6 million and $0.3 million for the three months ended September 30, 2024 and 2023, respectively, and $1.4 million and $0.9 million for the nine months ended September 30, 2024 and 2023, respectively, which is included in salaries and benefits in the condensed consolidated statements of income</w:t>
      </w:r>
    </w:p>
    <w:p>
      <w:pPr>
        <w:sectPr>
          <w:pgSz w:w="11900" w:h="16838" w:orient="portrait"/>
          <w:cols w:equalWidth="0" w:num="1">
            <w:col w:w="11240"/>
          </w:cols>
          <w:pgMar w:left="320" w:top="119" w:right="339" w:bottom="1440" w:gutter="0" w:footer="0" w:header="0"/>
        </w:sectPr>
      </w:pP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comprehensive income. As of September 30, 2024, there was $3.6 million of unrecognized compensation expense related to RSAs, which is expected to be recognized over a weighted-average period of 1.8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during the nine months ended September 30,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9"/>
        </w:trPr>
        <w:tc>
          <w:tcPr>
            <w:tcW w:w="6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right="1800" w:firstLine="8"/>
        <w:spacing w:after="0" w:line="532" w:lineRule="auto"/>
        <w:tabs>
          <w:tab w:leader="none" w:pos="16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RSAs granted during the nine months ended September 30, 2024 was approximately $2.3 million. </w:t>
      </w:r>
      <w:r>
        <w:rPr>
          <w:rFonts w:ascii="Times New Roman" w:cs="Times New Roman" w:eastAsia="Times New Roman" w:hAnsi="Times New Roman"/>
          <w:sz w:val="16"/>
          <w:szCs w:val="16"/>
          <w:u w:val="single" w:color="auto"/>
          <w:color w:val="auto"/>
        </w:rPr>
        <w:t>Performance Stock Units</w:t>
      </w:r>
    </w:p>
    <w:p>
      <w:pPr>
        <w:jc w:val="both"/>
        <w:spacing w:after="0" w:line="258" w:lineRule="auto"/>
        <w:rPr>
          <w:sz w:val="20"/>
          <w:szCs w:val="20"/>
          <w:color w:val="auto"/>
        </w:rPr>
      </w:pPr>
      <w:r>
        <w:rPr>
          <w:rFonts w:ascii="Times New Roman" w:cs="Times New Roman" w:eastAsia="Times New Roman" w:hAnsi="Times New Roman"/>
          <w:sz w:val="18"/>
          <w:szCs w:val="18"/>
          <w:color w:val="auto"/>
        </w:rPr>
        <w:t>PSUs granted under the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expense for PSUs of $1.0 million for both the three months ended September 30, 2024 and 2023, respectively, and $2.7 million and $2.8 million for the nine months ended September 30, 2024 and 2023, respectively, which is included in salaries and benefits in the condensed consolidated statements of income and comprehensive income. As of September 30, 2024, there was $4.6 million of unrecognized compensation expense related to PSUs, which is expected to be recognized over a weighted-average period of 1.8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during the nine months ended September 30, 2024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6"/>
                <w:szCs w:val="16"/>
                <w:color w:val="auto"/>
              </w:rPr>
            </w:pPr>
          </w:p>
        </w:tc>
        <w:tc>
          <w:tcPr>
            <w:tcW w:w="11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c>
          <w:tcPr>
            <w:tcW w:w="10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454,477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right="1800" w:firstLine="8"/>
        <w:spacing w:after="0" w:line="476"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PSUs granted during the nine months ended September 30, 2024 was approximately $4.2 million. NOTE 13 – EQUITY</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that authorizes the Company to purchase up to $40.0 million of outstanding shares of the Company’s common stock and which was increased on March 3, 2023 to an additional $100.0 million and on August 29, 2024 to an additional $60.7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2.25:1.00 or less, (ii) that do not exceed, in the aggregate during any fiscal year, the greater of (x) $30.3 million and (y) 25.00% of Consolidated EBITDA (as defined in the Second A&amp;R</w:t>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Credit Agreement) for the then most recently completed four fiscal quarters of the Company and (iii) to repurchase Company common stock from current or former employees in an aggregate amount of up to $15.0 million per calendar year.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Separately from the Repurchase Program, on March 11, 2024 the Company entered into an agreement with Robert W. Lisy, the Company’s Chief Executive Officer, President and Chairman of the Board of Directors, for the purchase of 175,000 shares of the Company's common stock for a total purchase price of $3.3 million, in a privately-negotiated transaction. During the three and nine months ended September 30, 2024, including the shares previously mentioned, the Company purchased 1,093,372 shares and 2,739,499 shares, respectively, for an aggregate purchase price of $20.3 million and $54.9 million, respectively. During the three and nine months ended September 30, 2023, the Company purchased 501,900 shares and 1,734,481 shares for an aggregate purchase price of $10.1 million and $40.6 million, respectively. As of September 30, 2024, there was $80.0 million available for future share repurchases under the Repurchase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Pr>
          <w:p>
            <w:pPr>
              <w:spacing w:after="0"/>
              <w:rPr>
                <w:sz w:val="20"/>
                <w:szCs w:val="20"/>
                <w:color w:val="auto"/>
              </w:rPr>
            </w:pPr>
          </w:p>
        </w:tc>
        <w:tc>
          <w:tcPr>
            <w:tcW w:w="2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9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4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42,016</w:t>
            </w:r>
          </w:p>
        </w:tc>
      </w:tr>
      <w:tr>
        <w:trPr>
          <w:trHeight w:val="257"/>
        </w:trPr>
        <w:tc>
          <w:tcPr>
            <w:tcW w:w="4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35,320,809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32,911,742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35,930,234</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114,702</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308,061</w:t>
            </w: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w:t>
            </w:r>
          </w:p>
        </w:tc>
      </w:tr>
      <w:tr>
        <w:trPr>
          <w:trHeight w:val="249"/>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1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36,082,163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33,335,363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36,767,680</w:t>
            </w:r>
          </w:p>
        </w:tc>
      </w:tr>
      <w:tr>
        <w:trPr>
          <w:trHeight w:val="257"/>
        </w:trPr>
        <w:tc>
          <w:tcPr>
            <w:tcW w:w="4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approximately 257.5 thousand RSUs and 113.0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2023, there were approximately 146.9 thousand PSUs, 131.8 thousand RSUs and 58.4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13, the Company repurchased 1,093,372 shares and 2,739,499 shares of its common stock in the three and nine months ended September 30, 2024, respectively. The effect of these repurchases on the Company’s weighted-average shares outstanding for the three and nine months ended September 30, 2024 was a reduction of 1,897,961 shares and 1,262,112 shares, respectively, due to the timing of the repurchases.</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7"/>
                <w:szCs w:val="17"/>
                <w:color w:val="auto"/>
              </w:rPr>
            </w:pPr>
          </w:p>
        </w:tc>
        <w:tc>
          <w:tcPr>
            <w:tcW w:w="29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50"/>
        </w:trPr>
        <w:tc>
          <w:tcPr>
            <w:tcW w:w="46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40" w:type="dxa"/>
            <w:vAlign w:val="bottom"/>
            <w:tcBorders>
              <w:bottom w:val="single" w:sz="8" w:color="auto"/>
            </w:tcBorders>
          </w:tcPr>
          <w:p>
            <w:pPr>
              <w:spacing w:after="0"/>
              <w:rPr>
                <w:sz w:val="21"/>
                <w:szCs w:val="21"/>
                <w:color w:val="auto"/>
              </w:rPr>
            </w:pPr>
          </w:p>
        </w:tc>
      </w:tr>
      <w:tr>
        <w:trPr>
          <w:trHeight w:val="237"/>
        </w:trPr>
        <w:tc>
          <w:tcPr>
            <w:tcW w:w="46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61,318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60,190</w:t>
            </w:r>
          </w:p>
        </w:tc>
      </w:tr>
      <w:tr>
        <w:trPr>
          <w:trHeight w:val="23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12,877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12,640</w:t>
            </w:r>
          </w:p>
        </w:tc>
      </w:tr>
      <w:tr>
        <w:trPr>
          <w:trHeight w:val="256"/>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4,654</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rates different from U.S. statutory rate</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w:t>
            </w: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17,882</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18,174</w:t>
            </w:r>
          </w:p>
        </w:tc>
      </w:tr>
      <w:tr>
        <w:trPr>
          <w:trHeight w:val="21"/>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certain exceptions, these net operating loss carryforwards will expire from 2030 through 2037 for federal losses, from 2029 through 2038 for state losses, and from 2039 through 2044 for foreign losses. After consideration of all evidence, both positive and negative, management has determined that no valuation allowance is required at September 30, 2024 on the Company’s U.S. federal or state deferred tax assets; however, a valuation allowance has been recorded at September 30, 2024 on deferred tax assets associated with Canadian, Spanish, Italian, German, Dutch and British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and nine months ended September 30, 2024 was lower than our effective state tax rate for the three and nine ended September 30, 2023. The decrease in our effective state tax rate is primarily a result of a decrease in the statutory rates for certain states in which we operate.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that the expected outcome of regulatory examinations will not have a material adverse effect on either the results of operations or financial condition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and foreign subsidiaries of the Company are required to maintain minimum tangible net worth and liquid assets (eligible securities) to cover the amount outstanding of wire transfers and money orders payable. As of September 30, 2024, the Company’s subsidiaries were in compliance with these two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SUBSEQUENT EVENTS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announced that, consistent with the Board of Directors’ fiduciary duties, it is initiating a process to assess strategic alternatives, which could include, among others, a potential sale in a private transaction. There is no set deadline or definitive timetable for the completion of the strategic alternative assessment, and there can be no assurance that the exploration of strategic alternatives will result in any transaction or other action or change in the Company’s business plans. Any potential transaction or other strategic alternative would be dependent on a number of factors that may be beyond the Company’s control. The Company does not intend to discuss or disclose further developments unless and until the Board of Directors approves a specific action or otherwise concludes the review of strategic alternatives.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2023.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omnichannel money remittance services company focused primarily on the United States of America (“United States” or “U.S.”) to Latin America and the Caribbean (“LAC”) corridor, which includes Mexico, Central and South America and the Caribbean. We also provide our remittances services to Africa and Asia from the United States and offer sending services from Canada to Latin America and Africa. Also, through recent acquisitions we now provide remittance services from Spain, Italy, the United Kingdom and Germany to Africa, Asia and Latin America. We utilize our proprietary technology to deliver convenient, reliable and value-added services to consumers through a broad network of sending and paying agents as well as our own Company-operated stores and paying entities. Our remittance services, which include a comprehensive suite of ancillary financial processing solutions and payment services, are available in all 50 states in the U.S., Washington D.C., Puerto Rico and 13 provinces in Canada, as well as in certain locations in Spain, Italy, Germany and the United Kingdom, where consumers can send money to beneficiaries in more than 60 countries in LAC, Africa and Asia. Our services are accessible in person through over 180,000 independent sending and paying agents and 117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primarily from fees paid by consumers (i.e., the senders of funds), which we share with our sending agents in the originating country and our paying agents in the destination country. Remittances paid in local currencies that are not pegged to the U.S. dollar, Canadian dollar or Euro can also generate revenue if we are successful in our daily management of currency exchange spreads.</w:t>
      </w:r>
    </w:p>
    <w:p>
      <w:pPr>
        <w:spacing w:after="0" w:line="21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Canada, Spain, Italy, Germany and the United Kingdom that are primarily operated by third-party businesses, as well as through our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online.i-transfer.es and via Internet-enabled mobile devices. For the nine months ended September 30, 2024, our agent network decreased by approximately 0.4% primarily as a result of a lower number of agents onboarded during the period relative to ordinary course agent terminations. For the nine months ended September 30, 2024, principal amount sent decreased slightly by approximately 0.2% to $18.3 billion, as compared to the same period in 2023, and total remittances processed were approximately 44.0 million, representing an increase of approximately 1.6%, as compared to the same period in 2023 primarily related to increased volume generated by our agent network, digital channels and European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July 2, 2024, the Company completed the acquisition of a money services entity incorporated in the United Kingdom. See Note 2 in Item 1 Financial Statements for additional information regarding the acquisition. This acquisition provides the Company the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opportunity to enter into markets in which it did not have a presence previously, such as the ability to provide outbound remittance services from the United Kingdom.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costs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b w:val="1"/>
          <w:bCs w:val="1"/>
          <w:color w:val="auto"/>
        </w:rPr>
        <w:t>se</w:t>
      </w:r>
      <w:r>
        <w:rPr>
          <w:rFonts w:ascii="Times New Roman" w:cs="Times New Roman" w:eastAsia="Times New Roman" w:hAnsi="Times New Roman"/>
          <w:sz w:val="18"/>
          <w:szCs w:val="18"/>
          <w:color w:val="auto"/>
        </w:rPr>
        <w:t>cond quarter of 2024, the Company recorded restructuring costs primarily related to certain of its foreign operations and La Nacional. These restructuring costs are part of the Company's plan, for which the objectives are to reorganize the workforce, streamline operational processes, integrate technology functionality, as well as to develop efficiencies within the Company. For the three and nine months ended September 30, 2024, the Company incurred approximately $27.0 thousand and $2.5 million in expenses for a reduction of workforce in certain locations, closing of certain facilities, discontinuing technology and disposal of obsolete assets. These expenses include approximately $1.7 million in severance payments and related benefits, $0.4 million in software and software development costs write-offs and $0.4 million in legal and professional fees, which are included in restructuring costs in the condensed consolidated statement of income and comprehensive income.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paid out $1.1 million of the above charges during the three and nine months ended September 30, 2024 and has a liability of $1.4 million recorded in accrued and other liabilities in the condensed consolidated balance sheet as of September 30,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implementing this strategy, the Company expects to reduce compensation expense and certain facilities related charges in an amount of approximately $2.0 million a year. The anticipated effect of this reduction in expenses will be primarily realized during 2025. In addition, the Company does not expect that the execution of this strategy will result in any material reduction of revenues or increase of its ongoing operating expenses.</w:t>
      </w:r>
    </w:p>
    <w:p>
      <w:pPr>
        <w:sectPr>
          <w:pgSz w:w="11900" w:h="16838" w:orient="portrait"/>
          <w:cols w:equalWidth="0" w:num="1">
            <w:col w:w="11240"/>
          </w:cols>
          <w:pgMar w:left="320" w:top="119" w:right="3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8, 2024, the Company announced that, consistent with the Board of Directors’ fiduciary duties, it is initiating a process to assess strategic alternatives, which could include, among others, a potential sale in a private transaction. There is no set deadline or definitive timetable for the completion of the strategic alternative assessment, and there can be no assurance that the exploration of strategic alternatives will result in any transaction or other action or change in the Company’s business plans. Any potential transaction or other strategic alternative would be dependent on a number of factors that may be beyond the Company’s control. The Company does not intend to discuss or disclose further developments unless and until the Board of Directors approves a specific action or otherwise concludes the review of strategic alternatives.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right="20" w:hanging="325"/>
        <w:spacing w:after="0" w:line="258"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 to the outcome and timing of our Board of Director’s strategic alternative evaluation process, including the possibility that the Board of Directors may decide not to undertake a strategic alternative following the evaluation process; the Company’s inability to consummate any proposed strategic alternative resulting from the review due to, among other things, market, regulatory and other factors; the potential for disruption to our business resulting from the review process; and potential adverse effects on the Company’s stock price from the announcement, suspension or consummation of the evaluation process and the results thereof;</w:t>
      </w:r>
    </w:p>
    <w:p>
      <w:pPr>
        <w:spacing w:after="0" w:line="21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11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volatility in market interest rates;</w:t>
      </w:r>
    </w:p>
    <w:p>
      <w:pPr>
        <w:spacing w:after="0" w:line="53"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including hostilities in Ukraine and the Middle East, political instability, tariffs, border taxes or restrictions on remittances or transfers from the outbound countries in which we operate or plan to operate;</w:t>
      </w:r>
    </w:p>
    <w:p>
      <w:pPr>
        <w:spacing w:after="0" w:line="53"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1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900" w:right="54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developing, introducing and expanding customer acceptance of new products, digital services and infrastructure;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11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or our sending agents;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 apps;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11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and the financial institutions with which we do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countries we operate;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brands and intellectual property rights;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 and</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3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Political, social and economic conditions in key Latin American markets continue to exhibit instability, as evidenced by higher interest rates, high unemployment rates, restricted lending activity, higher inflation, volatility in foreign currencies and low consumer confidence, among other economic, political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According to the latest information available from the World Bank Remittance Matrix, the United States to Mexico remittance corridor was one of the largest in the world in 2023. Furthermore, remittances volume to low and middle income countries grew approximately 3.8% during 2023 according to the latest Migrations and Development Brief report from the World Bank.</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compliance departments in the United States as well as in certain of our foreign subsidiaries, the responsibility of which is to monitor transactions, detect and report suspicious activity, maintain appropriate records and train our employees and agents.</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Independent third-parties periodically review our policies and procedures and perform independent testing to assess the effectiveness of our anti-money laundering and Bank Secrecy Act compliance programs. We also maintain a regulatory affairs and licensing department, under the direction of our Chief Compliance Officer.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 large number of small niche money remittance service providers that serve select regions and new digital platforms and applications.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increased consumer adoption.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and other service partners that utilize the Company’s technology in processing transactions paid by credit or debit card, check cashing services and maintenance fees, for which revenue is derived by a fee per transaction.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5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restricted stock units (“RSUs”), restricted stock awards (“RSAs”) and performance stock units (“PSUs”) of approximately $15.8 million is expected to be recognized over a weighted-average period of 1.9 years.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ectPr>
          <w:pgSz w:w="11900" w:h="16838" w:orient="portrait"/>
          <w:cols w:equalWidth="0" w:num="1">
            <w:col w:w="11240"/>
          </w:cols>
          <w:pgMar w:left="320" w:top="119" w:right="339" w:bottom="1440" w:gutter="0" w:footer="0" w:header="0"/>
        </w:sectPr>
      </w:pPr>
    </w:p>
    <w:p>
      <w:pPr>
        <w:spacing w:after="0" w:line="30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provision for credit losses, selling expenses, public company reporting requirements, regulatory compliance requirements and other similar types of operating expenses. Selling expenses include expenses such as advertising and promotion, shipping, supplies and other expenses associated with serving and increasing our customer base and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incurred costs associated with restructuring plans primarily related to our foreign operations and La Nacional. These costs included all internal and external costs directly related with the restructuring and consist primarily of severance payments, write-off of assets and certain legal and professional fees.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incurred transaction costs associated with completed and potential acquisitions. These costs included all internal and external costs directly related to the transaction, consisting primarily of legal, consulting, accounting and advisory fees and certain incentive bonuses.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term loan facility (until August 29, 2024) and a revolving credit facility. The effective interest rates for the nine months ended September 30, 2024 for the term loan facility and revolving credit facility were 9.02% and 2.48%, respectively.</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primarily between the United States and Canada to Mexico, Guatemala and other countries in Latin America, Africa, Asia and Europe through a network of authorized agents located in various unaffiliated retail establishments and 117 Company-operated stores throughout the United States, Canada, Spain, Italy, Germany and the United Kingdom. This is based on the objectives of the business and how our chief operating decision maker, the CEO and President, monitors operating performance and allocates resources.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Pr>
          <w:p>
            <w:pPr>
              <w:spacing w:after="0"/>
              <w:rPr>
                <w:sz w:val="20"/>
                <w:szCs w:val="20"/>
                <w:color w:val="auto"/>
              </w:rPr>
            </w:pPr>
          </w:p>
        </w:tc>
        <w:tc>
          <w:tcPr>
            <w:tcW w:w="29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417,358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416,355</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r>
      <w:tr>
        <w:trPr>
          <w:trHeight w:val="237"/>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29"/>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486,952</w:t>
            </w:r>
          </w:p>
        </w:tc>
      </w:tr>
      <w:tr>
        <w:trPr>
          <w:trHeight w:val="270"/>
        </w:trPr>
        <w:tc>
          <w:tcPr>
            <w:tcW w:w="4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319,983</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w:t>
            </w: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36,883</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7"/>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37"/>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423,575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419,119</w:t>
            </w:r>
          </w:p>
        </w:tc>
      </w:tr>
      <w:tr>
        <w:trPr>
          <w:trHeight w:val="257"/>
        </w:trPr>
        <w:tc>
          <w:tcPr>
            <w:tcW w:w="4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67,833</w:t>
            </w:r>
          </w:p>
        </w:tc>
      </w:tr>
      <w:tr>
        <w:trPr>
          <w:trHeight w:val="270"/>
        </w:trPr>
        <w:tc>
          <w:tcPr>
            <w:tcW w:w="4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56"/>
        </w:trPr>
        <w:tc>
          <w:tcPr>
            <w:tcW w:w="4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60,190</w:t>
            </w:r>
          </w:p>
        </w:tc>
      </w:tr>
      <w:tr>
        <w:trPr>
          <w:trHeight w:val="270"/>
        </w:trPr>
        <w:tc>
          <w:tcPr>
            <w:tcW w:w="4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w:t>
            </w:r>
          </w:p>
        </w:tc>
      </w:tr>
      <w:tr>
        <w:trPr>
          <w:trHeight w:val="257"/>
        </w:trPr>
        <w:tc>
          <w:tcPr>
            <w:tcW w:w="4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84 %</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171,947</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8"/>
          <w:szCs w:val="18"/>
          <w:color w:val="auto"/>
        </w:rPr>
        <w:t>Wire transfer and money order fees, net of $144.6 million for the three months ended September 30, 2024 decreased by $2.8 million, or 2%, from $147.4 million for the three months ended September 30, 2023. The decrease was primarily due to a decrease in transaction</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volume processed through our retail network of sending agents and Company-operated stores in the third quarter of 2024 compared to the third quarter of 2023 as a result of a slight contraction in the market. This decrease was partially offset by $1.9 million in revenue recognized as a result of the changes to the terms and conditions of our loyalty program effective in the third quarter of 2024.</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$24.0 million for the three months ended September 30, 2024 increased by $1.3 million, or 6%, from $22.7 million for the three months ended September 30, 2023. This increase was primarily due to a higher foreign exchange spread on money transfers sent to certain countries in LAC during the quarter ended September 30, 2024.</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of $3.4 million for the three months ended September 30, 2024 increased by $1.0 million, or 41.7%, from $2.4 million for the three months ended September 30, 2023 primarily due to the impact of the revenue generated from ancillary services provided to a particular segment of our consumer base through our Company-operated stores, an increase in fees related to a higher volume of transfers deemed abandoned property, and check cashing service fees, as well as an increase in income related to money transfer transactions paid with debit or credit cards.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2024</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111,348</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65 %</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144,122</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84 %</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$111.3 million for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$112.9 million for the three months ended September 30, 2023. The decrease of $1.6 million, or 1%, was primarily due to the decrease in transaction volume described above partially offset by an increase in fees related to money transfers processed online or by using mobile devices.</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$17.2 million for the three months ended September 30, 2024 decreased by $0.6 million, or 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$17.8 million for the three months ended September 30, 2023. The decrease is primarily due to cost savings related to the restructuring plans implemented in the past year.</w:t>
      </w:r>
    </w:p>
    <w:p>
      <w:pPr>
        <w:spacing w:after="0" w:line="20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$12.1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decreased by $0.8 million, or 6.2%, from $12.9 million for the three months ended September 30,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was primarily the result of:</w:t>
      </w:r>
    </w:p>
    <w:p>
      <w:pPr>
        <w:spacing w:after="0" w:line="252" w:lineRule="exact"/>
        <w:rPr>
          <w:sz w:val="20"/>
          <w:szCs w:val="20"/>
          <w:color w:val="auto"/>
        </w:rPr>
      </w:pPr>
    </w:p>
    <w:p>
      <w:pPr>
        <w:ind w:left="740" w:hanging="246"/>
        <w:spacing w:after="0" w:line="261" w:lineRule="auto"/>
        <w:tabs>
          <w:tab w:leader="none" w:pos="73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$0.3 million - decrease in facilities related expenses during the three months ended September 30, 2024 primarily related to facility closures as a result of the restructuring of La Nacional during the third quarter of 2023 and the move to our new U.S. headquarters; and</w:t>
      </w:r>
    </w:p>
    <w:p>
      <w:pPr>
        <w:jc w:val="both"/>
        <w:ind w:left="740" w:hanging="246"/>
        <w:spacing w:after="0" w:line="255"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 decrease in provision for credit losses primarily due to lower outstanding receivable balances from sending agents as of September 30, 2024 compared to September 30, 2023 as receivable balances tend to increase during weekends combined with a lower level of write-offs in the three months ended September 30, 2024.</w:t>
      </w:r>
    </w:p>
    <w:p>
      <w:pPr>
        <w:spacing w:after="0" w:line="211" w:lineRule="exact"/>
        <w:rPr>
          <w:sz w:val="20"/>
          <w:szCs w:val="20"/>
          <w:color w:val="auto"/>
        </w:rPr>
      </w:pPr>
    </w:p>
    <w:p>
      <w:pPr>
        <w:jc w:val="both"/>
        <w:ind w:lef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 Restructuring costs of $27.0 thousand for the three months ended September 30, 2024 consisted of severance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restructuring of La Nacional and our foreign operations. Restructuring costs of $1.1 million for the three months ended September 30, 2023 included $0.8 million in severance payments and related benefits, $0.3 million in computer equipment write-offs, $38.0 thousand for the early termination of a lease agreement and $31.0 thousand in legal fees related to the restructuring of La Nacional.</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$3.4 million for the three months ended September 30, 2024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2.9% from $3.5 million for the three months ended September 30, 2023. The decrease is the result of a</w:t>
      </w:r>
    </w:p>
    <w:p>
      <w:pPr>
        <w:spacing w:after="0" w:line="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 of approximately $0.2 million in amortization related to our trade names, developed technology and agent relationships during the three months ended September 30, 2024, as these intangibles are being amortized on an accelerated basis, which declines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$3.2 million for the three months ended September 30, 2024 increased by $0.4 million, or 14.3%, from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2023. The increase was primarily due to higher draws under our revolving credit facility to fund our working capital needs, as well as a loss on debt extinguishment of $0.3 million associated with the payoff of our term loan facility as a result of entering into the Second A&amp;R Credit Agreement on August 29, 2024.</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$7.3 million for the three months ended September 30, 2024, which represents an increase of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an income tax provision of $6.6 million for the three months ended September 30, 2023. The increase in income tax provision was mainly attributable to higher income before taxes as result of the variances described above, slightly offset by a decrease in our effective state tax rate for the three months ended September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$17.3 million for the three months ended September 30, 2024 compared to Net Income of $14.8 million for the three months ended September 30, 2023, which resulted in an increase of $2.5 million, or 16.9%, due to the same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Share - Basic for the three months ended September 30, 2024 was $0.53, representing an increase of $0.11, or 26.2%, compared to $0.42 for the three months ended September 30, 2023. The increase in Earnings per Share - Basic was primarily due to the increase in net income as well as a reduced share count as a result of the stock repurchases.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Earnings per Share - Diluted for the three months ended September 30, 2024 was $0.53, representing an increase of $0.12, or 29.3%, compared to $0.41 for the three months ended September 30, 2023. The increase in Earnings per Share - Diluted was primarily due to the increase in net income as well as a reduced share count as a result of the stock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740" w:right="20" w:hanging="246"/>
        <w:spacing w:after="0" w:line="28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88"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52"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88" w:lineRule="exact"/>
        <w:rPr>
          <w:rFonts w:ascii="Times New Roman" w:cs="Times New Roman" w:eastAsia="Times New Roman" w:hAnsi="Times New Roman"/>
          <w:sz w:val="18"/>
          <w:szCs w:val="18"/>
          <w:color w:val="auto"/>
        </w:rPr>
      </w:pPr>
    </w:p>
    <w:p>
      <w:pPr>
        <w:ind w:left="740" w:right="20" w:hanging="246"/>
        <w:spacing w:after="0" w:line="282" w:lineRule="auto"/>
        <w:tabs>
          <w:tab w:leader="none" w:pos="7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for the three months ended September 30, 2024 was $19.8 million, representing an increase of $1.4 million from Adjusted Net Income of $18.4 million for the three months ended September 30, 2023. The increase in Adjusted Net Income was primarily due to the increase in Net Income discussed above, offset by the lower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(f)</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70"/>
        </w:trPr>
        <w:tc>
          <w:tcPr>
            <w:tcW w:w="6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35,320,809</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36,082,163</w:t>
            </w:r>
          </w:p>
        </w:tc>
      </w:tr>
    </w:tbl>
    <w:p>
      <w:pPr>
        <w:spacing w:after="0" w:line="319" w:lineRule="exact"/>
        <w:rPr>
          <w:sz w:val="20"/>
          <w:szCs w:val="20"/>
          <w:color w:val="auto"/>
        </w:rPr>
      </w:pPr>
    </w:p>
    <w:p>
      <w:pPr>
        <w:ind w:left="420" w:hanging="331"/>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that resulted from business acquisition transactions.</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420" w:hanging="331"/>
        <w:spacing w:after="0" w:line="282" w:lineRule="auto"/>
        <w:tabs>
          <w:tab w:leader="none" w:pos="41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Earnings per Share - Basic for the three months ended September 30, 2024 was $0.61, representing an increase of $0.09, or 17.3%, compared to $0.52 for the three months ended September 30, 2023. The increase in Adjusted Earnings per Share - Basic was primarily due to the increase in net income as well as a lower weighted average common shares total for the period due to stock repurchases.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Earnings per Share - Diluted for the three months ended September 30, 2024 was $0.61, representing an increase of $0.10, or 19.6%, compared to $0.51 for the three months ended September 30, 2023. The increase in Adjusted Earnings per Share - Diluted was primarily due to the increase in net income as well as a lower weighted average common shares total for the period due to stock repurchases.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5"/>
              </w:rPr>
              <w:t>0.53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0.53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5"/>
              </w:rPr>
              <w:t>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5"/>
              </w:rPr>
              <w:t>0.61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0.61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2024 was $33.9 million, representing an increase of $2.2 million, or 6.9%, from $31.7 million for the three months ended September 30, 2023. The increase in Adjusted EBITDA was primarily due to the increase in Net Income discussed above.</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14,832</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27,724</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31,691</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417,358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493,890</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486,952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Wire transfer and money order fees, net of $417.4 million for the nine months ended September 30, 2024 increased by $1.0 million, or 0.2%, from $416.4 million for the nine months ended September 30, 2023. The increase was primarily due to a 1.6% increase in transaction volume in the nine months ended September 30, 2024 compared to the nine months ended September 30, 2023, largely due to the growth in transactions processed by our agent network and digital channels. In addition, during the nine months ended September 30, 2024, the Company recognized $1.9 million in revenue as a result of the changes to the terms and conditions of our loyalty program effective in the third quarter of 2024. These increases were partially offset primarily by a lower average price per transaction on money transfers.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$67.1 million for the nine months ended September 30, 2024 increased by $2.9 million, or 4.5%, from $64.2 million for the nine months ended September 30, 2023. This increase was primarily due to higher transaction volume combined with a higher foreign exchange spread on money transfers sent to certain countries in the LAC.</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of $9.4 million for the nine months ended September 30, 2024 increased by $3.0 million, or 46.9%, from $6.4 million for the nine months ended September 30, 2023 primarily due to the effect of higher revenue generated from other ancillary services provided by our Company-operated stores such as check-cashing fees, an increase in fees related to a higher volume of transfers deemed abandoned property, and higher fees related to advances to sending agents as well as an increase in income related to money transfer transactions paid with debit or credit cards.</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80" w:type="dxa"/>
            <w:vAlign w:val="bottom"/>
            <w:vMerge w:val="continue"/>
          </w:tcPr>
          <w:p>
            <w:pPr>
              <w:spacing w:after="0"/>
              <w:rPr>
                <w:sz w:val="20"/>
                <w:szCs w:val="20"/>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2024</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322,651</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65 %</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5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423,575</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86 %</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$322.7 million for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$320.0 million for the nine months ended September 30, 2023. The increase of $2.7 million, or 0.8%, was primarily due to the increase in transaction volume described above and an increase in fees related to money transfers processed online or by using mobile devices.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$52.2 million for the nine months ended September 30, 2024 increased by $0.6 million, or 1.2%,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$51.6 million for the nine months ended September 30, 2023. The increase is primarily attributable to $1.4 million related to our expanded workforce as a result of the LAN Holdings acquisition as it operates independently in the execution of certain operational functions, as well as an increase of $0.6 million in share-based compensation as a result of new awards granted throughout 2024, partially offset by cost savings of $1.1 million related to the restructuring plan of La Nacional, which was implemented in the third quarter of 2023.</w:t>
      </w:r>
    </w:p>
    <w:p>
      <w:pPr>
        <w:spacing w:after="0" w:line="21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$36.0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decreased by $0.9 million, or 2.4%, from $36.9 million for the nine months ended September 30,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was primarily the result of:</w:t>
      </w:r>
    </w:p>
    <w:p>
      <w:pPr>
        <w:spacing w:after="0" w:line="252" w:lineRule="exact"/>
        <w:rPr>
          <w:sz w:val="20"/>
          <w:szCs w:val="20"/>
          <w:color w:val="auto"/>
        </w:rPr>
      </w:pPr>
    </w:p>
    <w:p>
      <w:pPr>
        <w:ind w:left="740" w:hanging="246"/>
        <w:spacing w:after="0"/>
        <w:tabs>
          <w:tab w:leader="none" w:pos="7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$0.6 million - related to a gain on legal contingency settlement that was recorded in the second quarter of 2024 and collected in July 2024;</w:t>
      </w:r>
    </w:p>
    <w:p>
      <w:pPr>
        <w:spacing w:after="0" w:line="27" w:lineRule="exact"/>
        <w:rPr>
          <w:rFonts w:ascii="Times New Roman" w:cs="Times New Roman" w:eastAsia="Times New Roman" w:hAnsi="Times New Roman"/>
          <w:sz w:val="18"/>
          <w:szCs w:val="18"/>
          <w:i w:val="1"/>
          <w:iCs w:val="1"/>
          <w:color w:val="auto"/>
        </w:rPr>
      </w:pPr>
    </w:p>
    <w:p>
      <w:pPr>
        <w:ind w:left="740" w:hanging="246"/>
        <w:spacing w:after="0" w:line="250" w:lineRule="auto"/>
        <w:tabs>
          <w:tab w:leader="none" w:pos="73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$0.9 million - decrease in facilities related expenses during the nine months ended September 30, 2024 primarily related to facility closures as a result of the restructuring of La Nacional during the third quarter of 2023;</w:t>
      </w:r>
    </w:p>
    <w:p>
      <w:pPr>
        <w:ind w:left="740" w:hanging="246"/>
        <w:spacing w:after="0"/>
        <w:tabs>
          <w:tab w:leader="none" w:pos="7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$0.3 million - lower transaction costs due to the acquisition of LAN Holdings that closed in April 2023; and</w:t>
      </w:r>
    </w:p>
    <w:p>
      <w:pPr>
        <w:spacing w:after="0" w:line="9" w:lineRule="exact"/>
        <w:rPr>
          <w:rFonts w:ascii="Times New Roman" w:cs="Times New Roman" w:eastAsia="Times New Roman" w:hAnsi="Times New Roman"/>
          <w:sz w:val="18"/>
          <w:szCs w:val="18"/>
          <w:i w:val="1"/>
          <w:iCs w:val="1"/>
          <w:color w:val="auto"/>
        </w:rPr>
      </w:pPr>
    </w:p>
    <w:p>
      <w:pPr>
        <w:ind w:left="740" w:hanging="246"/>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 related to litigation settlements incurred in the nine months ended September 30, 2023.</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decrease was partially offset by:</w:t>
      </w:r>
    </w:p>
    <w:p>
      <w:pPr>
        <w:spacing w:after="0" w:line="252" w:lineRule="exact"/>
        <w:rPr>
          <w:sz w:val="20"/>
          <w:szCs w:val="20"/>
          <w:color w:val="auto"/>
        </w:rPr>
      </w:pPr>
    </w:p>
    <w:p>
      <w:pPr>
        <w:jc w:val="both"/>
        <w:ind w:left="740" w:hanging="246"/>
        <w:spacing w:after="0" w:line="266" w:lineRule="auto"/>
        <w:tabs>
          <w:tab w:leader="none" w:pos="73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$1.3 million - increase in provision for credit losses primarily due to a higher average balance outstanding of receivable balances from sending agents during the nine months ended September 30, 2024 compared to the same period in 2023, primarily as a result of sending agents that were not able to pay in accordance with the original terms and are, accordingly, subject to our normal collection procedures.</w:t>
      </w:r>
    </w:p>
    <w:p>
      <w:pPr>
        <w:spacing w:after="0" w:line="201"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 Restructuring costs of $2.7 million for the nine months ended September 30, 2024 included $1.9 million in severance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in fixed assets impairment, and $0.4 million in legal and professional fees primarily related to the restructuring of La Nacional and our foreign operations. Restructuring costs of $1.1 million for the nine months ended September 30, 2023 included $0.8 million in severance payments and related benefits, $0.3 million in computer equipment write-offs, $38.0 thousand for the early termination of a lease agreement and $31.0 thousand in legal fees related to the restructuring of La Nacional.</w:t>
      </w:r>
    </w:p>
    <w:p>
      <w:pPr>
        <w:spacing w:after="0" w:line="21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$10.0 million for the nine months ended September 30, 2024 increased by $0.5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$9.5 million or 5.3% for the nine months ended September 30, 2023. The increase is the result of higher depreciation associated with additional software developed and computer equipment acquired to support our growing business and sending agent network, as well as depreciation related to assets capitalized in connection with the Company’s new headquarters. These increases were partially offset by a decrease of approximately $0.6 million in amortization related to our trade names, developed technology and agent relationships during the nine months ended September 30, 2024, as these intangibles are being amortized on an accelerated basis, which declines over time.</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$9.0 million for the nine months ended September 30, 2024 increased by $1.4 million, or 18.4%, from $7.6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increase was primarily due to higher market interest rates during the first half of 2024, as well as higher and more frequent draws under our revolving credit facility to fund our working capital needs during the nine months ended September 30, 2024. Additionally, the Company recognized a loss on debt extinguishment of $0.3 million associated with the payoff of our term loan facility as a result of entering into the Second A&amp;R Credit Agreement on August 29, 2024.</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$17.9 million for the nine months ended September 30, 2024, which represents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 million from an income tax provision of $18.2 million for the nine months ended September 30, 2023. The decrease in income tax provision was mainly attributable to higher deductible share based compensation, as well as a decrease in our effective state tax rate for the nine months ended September 30, 2024, offset by an increase in income before taxes.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Net Income of $43.4 million for the nine months ended September 30, 2024 compared to Net Income of $42.0 million for the nine months ended September 30, 2023, which resulted in an increase of $1.4 million, or 3.3%, due to the same factors discussed above.</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Basic for the nine months ended September 30, 2024 was $1.32, representing an increase of $0.15, or 12.8%, compared to $1.17 for the nine months ended September 30, 2023.</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per Share - Diluted for the nine months ended September 30, 2024 was $1.30, representing an increase of $0.16, or 14.0%, compared to $1.14 for the nine months ended September 30, 2023.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both basic and diluted EPS largely reflect a reduced share count as a result of the stock repurchases combined with the increase in net income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Income (previously defined and used as described above) for the nine months ended September 30, 2024 was $52.6 million, representing an increase of $1.6 million, or 3.1%, from Adjusted Net Income of $51.0 million for the nine months ended September 30, 2023. The increase in Adjusted Net Income was primarily due to the increase in net income as discussed above as well as the higher net effect of the adjusting items detailed in the table below.</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42,016</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(f)</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7"/>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(g)</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51,015</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6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32,911,742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35,930,234</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33,335,363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36,767,680</w:t>
            </w:r>
          </w:p>
        </w:tc>
      </w:tr>
    </w:tbl>
    <w:p>
      <w:pPr>
        <w:spacing w:after="0" w:line="314" w:lineRule="exact"/>
        <w:rPr>
          <w:sz w:val="20"/>
          <w:szCs w:val="20"/>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intangible assets that resulted from business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line="260" w:lineRule="auto"/>
        <w:tabs>
          <w:tab w:leader="none" w:pos="4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Earnings per Share - Basic and Diluted (previously defined and used as described above) are as follows:</w:t>
      </w:r>
    </w:p>
    <w:p>
      <w:pPr>
        <w:spacing w:after="0" w:line="200" w:lineRule="exact"/>
        <w:rPr>
          <w:sz w:val="20"/>
          <w:szCs w:val="20"/>
          <w:color w:val="auto"/>
        </w:rPr>
      </w:pP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Adjusted Earnings per Share - Basic for the nine months ended September 30, 2024 was $1.60, representing an increase of $0.18, or 12.7%, compared to $1.42 for the nine months ended September 30, 2023. The increase in Adjusted Earnings per Share - Basic was primarily due to the increase in net income as well as a lower weighted average common shares total for the period due to stock repurchases.</w:t>
      </w:r>
    </w:p>
    <w:p>
      <w:pPr>
        <w:spacing w:after="0" w:line="203" w:lineRule="exact"/>
        <w:rPr>
          <w:sz w:val="20"/>
          <w:szCs w:val="20"/>
          <w:color w:val="auto"/>
        </w:rPr>
      </w:pPr>
    </w:p>
    <w:p>
      <w:pPr>
        <w:jc w:val="both"/>
        <w:ind w:right="20" w:firstLine="243"/>
        <w:spacing w:after="0" w:line="281" w:lineRule="auto"/>
        <w:rPr>
          <w:sz w:val="20"/>
          <w:szCs w:val="20"/>
          <w:color w:val="auto"/>
        </w:rPr>
      </w:pPr>
      <w:r>
        <w:rPr>
          <w:rFonts w:ascii="Times New Roman" w:cs="Times New Roman" w:eastAsia="Times New Roman" w:hAnsi="Times New Roman"/>
          <w:sz w:val="18"/>
          <w:szCs w:val="18"/>
          <w:color w:val="auto"/>
        </w:rPr>
        <w:t>Adjusted Earnings per Share - Diluted for the nine months ended September 30, 2024 was $1.58, representing an increase of $0.19, or 13.7%, compared to $1.39 for the nine months ended September 30, 2023. The increase in Adjusted Earnings per Share - Diluted was</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the increase in net income as well as a lower weighted average common shares total for the period due to stock repurchases.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Earnings per Share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5"/>
              </w:rPr>
              <w:t>1.32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5"/>
              </w:rPr>
              <w:t>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5"/>
              </w:rPr>
              <w:t>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320" w:type="dxa"/>
            <w:vAlign w:val="bottom"/>
          </w:tcPr>
          <w:p>
            <w:pPr>
              <w:spacing w:after="0"/>
              <w:rPr>
                <w:sz w:val="19"/>
                <w:szCs w:val="19"/>
                <w:color w:val="auto"/>
              </w:rPr>
            </w:pPr>
          </w:p>
        </w:tc>
        <w:tc>
          <w:tcPr>
            <w:tcW w:w="11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5"/>
              </w:rPr>
              <w:t>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6"/>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5"/>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Per share amounts are not meaningful.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(previously defined and used as described above) for the nine months ended September 30, 2024 was $90.3 million, representing an increase of $3.6 million, or 4.2%, from $86.7 million for the nine months ended September 30, 2023. The increase in Adjusted EBITDA was primarily due to the increase in net income as discussed above as well as the higher net effect of the adjusting items detailed in the table below.</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42,016</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77,344</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contingency settlement (d)</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 (e)</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86,673</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hanging="331"/>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write-off of assets and, legal and professional fees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business acquisition transactions.</w:t>
      </w:r>
    </w:p>
    <w:p>
      <w:pPr>
        <w:spacing w:after="0" w:line="9"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contingency related to a legal settlement.</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nine months ended September 30, 2024.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spacing w:after="0" w:line="2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$138.2 million of outstanding amounts drawn on the revolving credit facility. There were $386.8 million of additional borrowings available under this facility as of September 30, 2024.</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up to 0.30% of the actual daily amount by which the maximum availability under the revolving credit facility exceeds the sum of the outstanding amount of revolving credit loans.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effective interest rates for the nine months ended September 30, 2024 for the term loan facility and revolving credit facility were 9.02% and 2.48%, respectively.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Second A&amp;R Credit Agreement also provides the Company with increased flexibility to make certain restricted payments, including the repurchase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Second A&amp;R Credit Agreement also contains customary covenants that limit the ability of the Company and its subsidiaries to, among other things, grant liens, incur additional indebtedness, make acquisitions or investments, dispose of certain assets, issue dividends</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were in compliance with the covenants of the Second A&amp;R Credit Agreement that require the Company to maintain a quarterly minimum fixed charge coverage ratio of 3.00:1.00 and a quarterly maximum consolidated leverage ratio of 3.50:1.00.</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 Indebtedness—The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indebtedness may limit our operating flexibility and could adversely affect our business, financial condition and results of operations.” </w:t>
      </w:r>
      <w:r>
        <w:rPr>
          <w:rFonts w:ascii="Times New Roman" w:cs="Times New Roman" w:eastAsia="Times New Roman" w:hAnsi="Times New Roman"/>
          <w:sz w:val="18"/>
          <w:szCs w:val="18"/>
          <w:color w:val="auto"/>
        </w:rPr>
        <w:t>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the year ended December 31, 2023.</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29, 2024, the Board of Directors approved a second increase to the Repurchase Program that authorizes the Company to purchase an additional $60.7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During the nine months ended September 30, 2024, including the shares purchased in the privately-negotiated transaction described below, the Company purchased 2,739,499 shares for an aggregate purchase price of $54.9 million. During the nine months ended September 30, 2023, the Company purchased 1,734,481 shares for an aggregate purchase price of $40.6 million. As of September 30, 2024, there was $80.0 million available for future share repurchases under the Repurchase Program.</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Privately-Negotiated Share Repurchase Transaction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2024, the Company entered into an agreement with Robert W. Lisy, the Company's Chief Executive Officer, President and Chairman of the Board of Directors, for the purchase of 175,000 shares of the Company’s common stock for a total purchase price of $3.3 million, or a per share price of $19.11, in a privately-negotiated transaction.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party to operating leases for office space, warehouses and Company-operated store locations, which we use as part of our day-to-day operations. Operating lease expenses were $1.7 million and $5.3 million for the three and nine months ended September 30, 2024, respectively, which we expect to be consistent throughout the year. We have not entered into finance lease commitments. For additional information on operating lease obligations, refer to Note 7, Leases, to the Condensed Consolidated Financial Statements.</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7471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1" w:lineRule="exact"/>
        <w:rPr>
          <w:sz w:val="20"/>
          <w:szCs w:val="20"/>
          <w:color w:val="auto"/>
        </w:rPr>
      </w:pPr>
    </w:p>
    <w:p>
      <w:pPr>
        <w:ind w:left="20" w:right="1080"/>
        <w:spacing w:after="0" w:line="346" w:lineRule="auto"/>
        <w:rPr>
          <w:sz w:val="20"/>
          <w:szCs w:val="20"/>
          <w:color w:val="auto"/>
        </w:rPr>
      </w:pPr>
      <w:r>
        <w:rPr>
          <w:rFonts w:ascii="Times New Roman" w:cs="Times New Roman" w:eastAsia="Times New Roman" w:hAnsi="Times New Roman"/>
          <w:sz w:val="17"/>
          <w:szCs w:val="17"/>
          <w:color w:val="auto"/>
        </w:rPr>
        <w:t>Effect of exchange rate changes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97471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59" w:lineRule="exact"/>
        <w:rPr>
          <w:sz w:val="20"/>
          <w:szCs w:val="20"/>
          <w:color w:val="auto"/>
        </w:rPr>
      </w:pPr>
    </w:p>
    <w:p>
      <w:pPr>
        <w:ind w:left="20" w:right="2100"/>
        <w:spacing w:after="0" w:line="379" w:lineRule="auto"/>
        <w:rPr>
          <w:sz w:val="20"/>
          <w:szCs w:val="20"/>
          <w:color w:val="auto"/>
        </w:rPr>
      </w:pPr>
      <w:r>
        <w:rPr>
          <w:rFonts w:ascii="Times New Roman" w:cs="Times New Roman" w:eastAsia="Times New Roman" w:hAnsi="Times New Roman"/>
          <w:sz w:val="17"/>
          <w:szCs w:val="17"/>
          <w:color w:val="auto"/>
        </w:rPr>
        <w:t>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59747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44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82,440</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41"/>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4"/>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72,954</w:t>
            </w:r>
          </w:p>
        </w:tc>
      </w:tr>
      <w:tr>
        <w:trPr>
          <w:trHeight w:val="488"/>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239,203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149,493</w:t>
            </w:r>
          </w:p>
        </w:tc>
      </w:tr>
      <w:tr>
        <w:trPr>
          <w:trHeight w:val="229"/>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2" w:lineRule="exact"/>
        <w:rPr>
          <w:sz w:val="20"/>
          <w:szCs w:val="20"/>
          <w:color w:val="auto"/>
        </w:rPr>
      </w:pPr>
    </w:p>
    <w:p>
      <w:pPr>
        <w:sectPr>
          <w:pgSz w:w="11900" w:h="16838" w:orient="portrait"/>
          <w:cols w:equalWidth="0" w:num="2">
            <w:col w:w="5520" w:space="720"/>
            <w:col w:w="5000"/>
          </w:cols>
          <w:pgMar w:left="320" w:top="119" w:right="339" w:bottom="1440" w:gutter="0" w:footer="0" w:header="0"/>
          <w:type w:val="continuous"/>
        </w:sectPr>
      </w:pPr>
    </w:p>
    <w:p>
      <w:pPr>
        <w:spacing w:after="0" w:line="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$58.0 million for the nine months ended September 30, 2024, a decrease of $24.4 million from net cash provided in operating activities of $82.4 million for the nine months ended September 30, 2023. The decrease is primarily a result of a $27.7 million change in working capital, which varies due to timing of remittances of consumer funds by sending agents and transmittal orders and payments, as well as prefunding of payers primarily for weekends, and additional cash generated by our operating results for the nine months ended September 30, 2024, which reflected the further growth of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$27.9 million for the nine months ended September 30, 2024, representing an increase of $14.7 million from net cash used in investing activities of $13.2 million for the nine months ended September 30, 2023. This increase in cash used was primarily due to the capitalization of leasehold improvements, furniture and equipment related to the Company's move to the new U.S. headquarters in February 2024 of approximately $10.0 million, an investment in software and equipment to support our sending agent network and continued improvement of our proprietary software, as well as the acquisition of a money remittance company in the United Kingdom and an agent location in the United States during the nine months ended September 30, 2024 in comparison with the nine months ended September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$111.2 million for the nine months ended September 30, 2024, which primarily consisted of $24.2 million of net borrowings under the revolving credit facility, $75.5 million in regular quarterly pay-downs for the first half of the year and final payoff of the term loan facility, $54.9 million used for repurchases of common stock, $3.1 million in debt origination costs related to the Second A&amp;R Credit Agreement and $2.0 million of payments for stock-based awards for shares withheld for tax payments in connection with share-based compensation arrangements.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$2.8 million for the nine months ended September 30, 2023, which primarily consisted of $48.0 million of borrowings, net under the revolving credit facility, $3.8 million in scheduled quarterly payments due on the term loan facility, $40.6 million used for repurchases of common stock, $1.0 million of payments for stock-based awards for shares withheld for tax payments in connection with share-based compensation arrangements and $0.7 million of debt origination costs related to the A&amp;R Credit Agreement, partially offset by $1.0 million in proceeds from issuance of stock as a result of the exercise of stock options.</w:t>
      </w:r>
    </w:p>
    <w:p>
      <w:pPr>
        <w:spacing w:after="0" w:line="200" w:lineRule="exact"/>
        <w:rPr>
          <w:sz w:val="20"/>
          <w:szCs w:val="20"/>
          <w:color w:val="auto"/>
        </w:rPr>
      </w:pP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Policies and Estimates</w:t>
      </w:r>
      <w:r>
        <w:rPr>
          <w:rFonts w:ascii="Times New Roman" w:cs="Times New Roman" w:eastAsia="Times New Roman" w:hAnsi="Times New Roman"/>
          <w:sz w:val="18"/>
          <w:szCs w:val="18"/>
          <w:color w:val="auto"/>
        </w:rPr>
        <w:t>” in our Annual Report on Form 10-K for the year ended December 31, 2023, for which there were no material changes during the three and nine months ended September 30, 2024, included the following:</w:t>
      </w:r>
    </w:p>
    <w:p>
      <w:pPr>
        <w:spacing w:after="0" w:line="214" w:lineRule="exact"/>
        <w:rPr>
          <w:sz w:val="20"/>
          <w:szCs w:val="20"/>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Business and Accounting Policies</w:t>
      </w:r>
      <w:r>
        <w:rPr>
          <w:rFonts w:ascii="Times New Roman" w:cs="Times New Roman" w:eastAsia="Times New Roman" w:hAnsi="Times New Roman"/>
          <w:sz w:val="18"/>
          <w:szCs w:val="18"/>
          <w:color w:val="auto"/>
        </w:rPr>
        <w:t>, of the Condensed Consolidated Financial Statements for information on recent accounting pronouncements.</w:t>
      </w: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$30.1 million and $56.9 million at September 30, 2024 and December 31, 2023, respectively.</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condensed consolidated balance sheets as of September 30, 2024 and December 31, 2023, there are $16.3 million and $40.7 million, respectively, of wires payable denominated in foreign currencies, primarily Mexican pesos and Guatemalan quetzales.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condensed consolidated balance sheets as of September 30, 2024 and December 31, 2023, there are $19.8 million and $17.8 million, respectively, of prepaid wires denominated in foreign currencies, primarily Mexican pesos and Guatemalan quetzales.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3% of our consolidated revenues for the nine months ended September 30, 2024. Therefore, a 10% increase or decrease in these currency rates against the U.S. Dollar would result in a de minimis change to our overall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spot and average exchange rates for the currencies in which we operate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9"/>
                <w:szCs w:val="19"/>
                <w:color w:val="auto"/>
              </w:rPr>
            </w:pPr>
          </w:p>
        </w:tc>
      </w:tr>
      <w:tr>
        <w:trPr>
          <w:trHeight w:val="247"/>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5"/>
              </w:rPr>
              <w:t>Average</w:t>
            </w:r>
            <w:r>
              <w:rPr>
                <w:rFonts w:ascii="Times New Roman" w:cs="Times New Roman" w:eastAsia="Times New Roman" w:hAnsi="Times New Roman"/>
                <w:sz w:val="23"/>
                <w:szCs w:val="23"/>
                <w:b w:val="1"/>
                <w:bCs w:val="1"/>
                <w:color w:val="auto"/>
                <w:w w:val="95"/>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 Quetzal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dollar/Dominican Peso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dollar/Euro</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dollar/British Pound Sterling</w:t>
            </w:r>
            <w:r>
              <w:rPr>
                <w:rFonts w:ascii="Times New Roman" w:cs="Times New Roman" w:eastAsia="Times New Roman" w:hAnsi="Times New Roman"/>
                <w:sz w:val="23"/>
                <w:szCs w:val="23"/>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640" w:hanging="308"/>
        <w:spacing w:after="0" w:line="211"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Spot exchange rates are as of September 30, 2024 and December 31, 2023.</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exchange rates are for the nine months ended September 30, 2024 and 2023.</w:t>
      </w:r>
    </w:p>
    <w:p>
      <w:pPr>
        <w:spacing w:after="0" w:line="2" w:lineRule="exact"/>
        <w:rPr>
          <w:rFonts w:ascii="Times New Roman" w:cs="Times New Roman" w:eastAsia="Times New Roman" w:hAnsi="Times New Roman"/>
          <w:sz w:val="23"/>
          <w:szCs w:val="23"/>
          <w:color w:val="auto"/>
          <w:vertAlign w:val="superscript"/>
        </w:rPr>
      </w:pPr>
    </w:p>
    <w:p>
      <w:pPr>
        <w:ind w:left="660" w:right="120" w:hanging="328"/>
        <w:spacing w:after="0" w:line="21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commenced operations in the United Kingdom in connection with an acquisition in July 2024 and, therefore, no information is provided prior to 2024.</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revenues and profit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Federal Reserve lowered the fed funds rate from 5.50% to 5.00% to ease monetary policy and support economic stability. As a consequence, other benchmark interest rates such as SOFR started to decrease during August 2024. The Company expects that the Federal Reserve will continue to monitor inflation and other economic indicators to assess if additional interest rate decreases in 2024 are warranted. As of September 30, 2024, we had $138.2 million in outstanding borrowings under the revolving credit facility. A hypothetical 1% increase or decrease in the interest rate on our indebtedness as of September 30, 2024 would have increased or decreased cash interest expense on our revolving credit facility by approximately $1.4 million per annum, respectively.</w:t>
      </w:r>
    </w:p>
    <w:p>
      <w:pPr>
        <w:spacing w:after="0" w:line="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certain cash balances in various U.S. banks, which at times, may exceed federally insured limits. We have not incurred any losses on these accounts. In addition, we maintain cash in various bank accounts in Mexico, Guatemala, Canada, the Dominican Republic, Spain, the United Kingdom and Italy and short-term investment accounts in Mexico, which may not be fully insured. During the nine months ended September 30, 2024,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digital partners and other parties. We perform a credit review before each agent signing and conduct ongoing analyses of sending agents and certain other parties we transact with directly. As of September 30, 2024, we also had $5.0 million outstanding of agent advances receivable from sending agents. Most of the agent advances receivable are collateralized by personal guarantees from the sending agents and by assets from their businesses.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provision for credit losses was approximately $5.0 million for the nine months ended September 30, 2024 (1.0% of total revenues) and $3.8 million for the nine months ended September 30, 2023 (0.8% of total revenues). The increase in our provision for credit losses in the nine months ended September 30, 2024 is primarily due to higher outstanding balances of accounts receivable primarily related to the acquisition of La Nacional and LAN Holdings and higher volume growth processed by our sending agents.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September 30, 2024.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September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2023 (the “2023 Form 10-K”). Prospective investors are encouraged to consider the risks described in our 2023 Form 10-K, our Management’s Discussion and Analysis of Financial Condition and Results of Operations contained in this Quarterly Report on Form 10-Q and in our 2023 Form 10-K, and other information publicly disclosed or contained in documents we file with the Securities and Exchange Commission before purchasing our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7"/>
                <w:szCs w:val="17"/>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6"/>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39,381,693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250,648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95,719,567</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842,724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842,724</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80,044,833</w:t>
            </w:r>
          </w:p>
        </w:tc>
        <w:tc>
          <w:tcPr>
            <w:tcW w:w="0" w:type="dxa"/>
            <w:vAlign w:val="bottom"/>
          </w:tcPr>
          <w:p>
            <w:pPr>
              <w:spacing w:after="0"/>
              <w:rPr>
                <w:sz w:val="1"/>
                <w:szCs w:val="1"/>
                <w:color w:val="auto"/>
              </w:rPr>
            </w:pPr>
          </w:p>
        </w:tc>
      </w:tr>
      <w:tr>
        <w:trPr>
          <w:trHeight w:val="22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20" w:hanging="328"/>
        <w:spacing w:after="0" w:line="261"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2,365 and (ii) 78 and shares withheld for income tax purposes in July 2024 and August 2024, respectively (none in September 2024), in connection with shares issued under compensation and benefit programs.</w:t>
      </w:r>
    </w:p>
    <w:p>
      <w:pPr>
        <w:jc w:val="both"/>
        <w:ind w:left="660" w:hanging="328"/>
        <w:spacing w:after="0" w:line="253"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29, 2024 the Board of Directors approved an increase to the Repurchase Program that authorizes the Company to purchase an additional $60.7 million of its outstanding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ectPr>
          <w:pgSz w:w="11900" w:h="16838" w:orient="portrait"/>
          <w:cols w:equalWidth="0" w:num="1">
            <w:col w:w="11240"/>
          </w:cols>
          <w:pgMar w:left="320" w:top="119"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0139"/>
          </w:cols>
          <w:pgMar w:left="320" w:top="119" w:right="1440"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0" w:lineRule="exact"/>
        <w:rPr>
          <w:sz w:val="20"/>
          <w:szCs w:val="20"/>
          <w:color w:val="auto"/>
        </w:rPr>
      </w:pPr>
    </w:p>
    <w:p>
      <w:pPr>
        <w:spacing w:after="0" w:line="284" w:lineRule="exact"/>
        <w:rPr>
          <w:sz w:val="20"/>
          <w:szCs w:val="20"/>
          <w:color w:val="auto"/>
        </w:rPr>
      </w:pPr>
    </w:p>
    <w:p>
      <w:pPr>
        <w:ind w:left="2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19685</wp:posOffset>
            </wp:positionV>
            <wp:extent cx="6266180"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66180" cy="720090"/>
                    </a:xfrm>
                    <a:prstGeom prst="rect">
                      <a:avLst/>
                    </a:prstGeom>
                    <a:noFill/>
                  </pic:spPr>
                </pic:pic>
              </a:graphicData>
            </a:graphic>
          </wp:anchor>
        </w:drawing>
      </w:r>
    </w:p>
    <w:p>
      <w:pPr>
        <w:spacing w:after="0" w:line="11" w:lineRule="exact"/>
        <w:rPr>
          <w:sz w:val="20"/>
          <w:szCs w:val="20"/>
          <w:color w:val="auto"/>
        </w:rPr>
      </w:pPr>
    </w:p>
    <w:p>
      <w:pPr>
        <w:ind w:right="479"/>
        <w:spacing w:after="0" w:line="233" w:lineRule="auto"/>
        <w:rPr>
          <w:sz w:val="20"/>
          <w:szCs w:val="20"/>
          <w:color w:val="auto"/>
        </w:rPr>
      </w:pPr>
      <w:r>
        <w:rPr>
          <w:rFonts w:ascii="Times New Roman" w:cs="Times New Roman" w:eastAsia="Times New Roman" w:hAnsi="Times New Roman"/>
          <w:sz w:val="17"/>
          <w:szCs w:val="17"/>
          <w:color w:val="auto"/>
        </w:rPr>
        <w:t>Second Amended and Restated Credit Agreement, dated as of August 29, 2024, by and among International Money Express, Inc., as Holdings, Intermex Wire Transfer, LLC, as Borrower, Intermex Wire Transfer II, LLC, Intermex</w:t>
      </w:r>
    </w:p>
    <w:p>
      <w:pPr>
        <w:jc w:val="both"/>
        <w:ind w:right="579"/>
        <w:spacing w:after="0" w:line="220" w:lineRule="auto"/>
        <w:rPr>
          <w:sz w:val="20"/>
          <w:szCs w:val="20"/>
          <w:color w:val="auto"/>
        </w:rPr>
      </w:pPr>
      <w:r>
        <w:rPr>
          <w:rFonts w:ascii="Times New Roman" w:cs="Times New Roman" w:eastAsia="Times New Roman" w:hAnsi="Times New Roman"/>
          <w:sz w:val="17"/>
          <w:szCs w:val="17"/>
          <w:color w:val="auto"/>
        </w:rPr>
        <w:t>Wire Transfer Corp., and Envios de Valores La Nacional Corp, each a Guarantor (collectively the “Loan Parties”); and the Lenders, as defined in the Second A&amp;R Credit Agreement, from time to time party thereto, and KeyBank National Association, as Administrative Agent and L/C Issuer (incorporated by reference to Exhibit 10.1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Registrant's Current Report on Form 8-K filed on August 29, 2024).</w:t>
      </w:r>
    </w:p>
    <w:p>
      <w:pPr>
        <w:spacing w:after="0" w:line="200" w:lineRule="exact"/>
        <w:rPr>
          <w:sz w:val="20"/>
          <w:szCs w:val="20"/>
          <w:color w:val="auto"/>
        </w:rPr>
      </w:pPr>
    </w:p>
    <w:p>
      <w:pPr>
        <w:sectPr>
          <w:pgSz w:w="11900" w:h="16838" w:orient="portrait"/>
          <w:cols w:equalWidth="0" w:num="2">
            <w:col w:w="900" w:space="440"/>
            <w:col w:w="8799"/>
          </w:cols>
          <w:pgMar w:left="320" w:top="119" w:right="1440" w:bottom="1440" w:gutter="0" w:footer="0" w:header="0"/>
          <w:type w:val="continuous"/>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ind w:right="719"/>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-255905</wp:posOffset>
            </wp:positionV>
            <wp:extent cx="6266180" cy="266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66180" cy="26606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66180"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-127635</wp:posOffset>
            </wp:positionV>
            <wp:extent cx="626618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66180" cy="14605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188595</wp:posOffset>
            </wp:positionV>
            <wp:extent cx="626618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p>
      <w:pPr>
        <w:spacing w:after="0" w:line="286" w:lineRule="exact"/>
        <w:rPr>
          <w:sz w:val="20"/>
          <w:szCs w:val="20"/>
          <w:color w:val="auto"/>
        </w:rPr>
      </w:pPr>
    </w:p>
    <w:p>
      <w:pPr>
        <w:ind w:right="739"/>
        <w:spacing w:after="0" w:line="266" w:lineRule="auto"/>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formatted in Inline XBRL (included with the Exhibit 101 attachments).</w:t>
      </w:r>
    </w:p>
    <w:p>
      <w:pPr>
        <w:spacing w:after="0" w:line="200" w:lineRule="exact"/>
        <w:rPr>
          <w:sz w:val="20"/>
          <w:szCs w:val="20"/>
          <w:color w:val="auto"/>
        </w:rPr>
      </w:pPr>
    </w:p>
    <w:p>
      <w:pPr>
        <w:sectPr>
          <w:pgSz w:w="11900" w:h="16838" w:orient="portrait"/>
          <w:cols w:equalWidth="0" w:num="2">
            <w:col w:w="700" w:space="640"/>
            <w:col w:w="8799"/>
          </w:cols>
          <w:pgMar w:left="320" w:top="119" w:right="1440" w:bottom="1440" w:gutter="0" w:footer="0" w:header="0"/>
          <w:type w:val="continuous"/>
        </w:sectPr>
      </w:pPr>
    </w:p>
    <w:p>
      <w:pPr>
        <w:spacing w:after="0" w:line="340" w:lineRule="exact"/>
        <w:rPr>
          <w:sz w:val="20"/>
          <w:szCs w:val="20"/>
          <w:color w:val="auto"/>
        </w:rPr>
      </w:pPr>
    </w:p>
    <w:p>
      <w:pPr>
        <w:jc w:val="center"/>
        <w:ind w:left="80" w:right="8499" w:firstLine="9"/>
        <w:spacing w:after="0" w:line="261" w:lineRule="auto"/>
        <w:tabs>
          <w:tab w:leader="none" w:pos="3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04"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19" w:right="3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6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4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63" w:lineRule="exact"/>
        <w:rPr>
          <w:sz w:val="20"/>
          <w:szCs w:val="20"/>
          <w:color w:val="auto"/>
        </w:rPr>
      </w:pPr>
    </w:p>
    <w:p>
      <w:pPr>
        <w:ind w:left="660" w:hanging="652"/>
        <w:spacing w:after="0" w:line="51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66"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41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63" w:lineRule="exact"/>
        <w:rPr>
          <w:sz w:val="20"/>
          <w:szCs w:val="20"/>
          <w:color w:val="auto"/>
        </w:rPr>
      </w:pPr>
    </w:p>
    <w:p>
      <w:pPr>
        <w:ind w:left="660" w:hanging="652"/>
        <w:spacing w:after="0" w:line="51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2024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306"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6"/>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69" Type="http://schemas.openxmlformats.org/officeDocument/2006/relationships/hyperlink" Target="https://www.sec.gov/ix?doc=/Archives/edgar/data/1683695/000168369524000140/imxi-202408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2024-11-08T06:39:38Z</dcterms:created>
  <dcterms:modified xsi:type="dcterms:W3CDTF">2024-11-08T06:39:38Z</dcterms:modified>
</cp:coreProperties>
</file>