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113" w:lineRule="exact"/>
        <w:rPr>
          <w:sz w:val="24"/>
          <w:szCs w:val="24"/>
          <w:color w:val="auto"/>
        </w:rPr>
      </w:pPr>
    </w:p>
    <w:p>
      <w:pPr>
        <w:ind w:left="3900" w:right="1040" w:hanging="2859"/>
        <w:spacing w:after="0" w:line="375" w:lineRule="auto"/>
        <w:tabs>
          <w:tab w:leader="none" w:pos="1423"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17" w:lineRule="exact"/>
        <w:rPr>
          <w:rFonts w:ascii="MS PGothic" w:cs="MS PGothic" w:eastAsia="MS PGothic" w:hAnsi="MS PGothic"/>
          <w:sz w:val="18"/>
          <w:szCs w:val="18"/>
          <w:color w:val="auto"/>
        </w:rPr>
      </w:pPr>
    </w:p>
    <w:p>
      <w:pPr>
        <w:ind w:left="3780" w:right="840" w:hanging="2927"/>
        <w:spacing w:after="0" w:line="375" w:lineRule="auto"/>
        <w:tabs>
          <w:tab w:leader="none" w:pos="12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001-37986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INTERNATIONAL MONEY EXPRESS,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tcPr>
          <w:p>
            <w:pPr>
              <w:jc w:val="center"/>
              <w:ind w:left="175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jc w:val="right"/>
              <w:ind w:right="1993"/>
              <w:spacing w:after="0"/>
              <w:rPr>
                <w:sz w:val="20"/>
                <w:szCs w:val="20"/>
                <w:color w:val="auto"/>
              </w:rPr>
            </w:pPr>
            <w:r>
              <w:rPr>
                <w:rFonts w:ascii="Times New Roman" w:cs="Times New Roman" w:eastAsia="Times New Roman" w:hAnsi="Times New Roman"/>
                <w:sz w:val="18"/>
                <w:szCs w:val="18"/>
                <w:b w:val="1"/>
                <w:bCs w:val="1"/>
                <w:color w:val="auto"/>
              </w:rPr>
              <w:t>47-4219082</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180" w:type="dxa"/>
            <w:vAlign w:val="bottom"/>
            <w:gridSpan w:val="4"/>
          </w:tcPr>
          <w:p>
            <w:pPr>
              <w:jc w:val="center"/>
              <w:ind w:right="11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96"/>
        </w:trPr>
        <w:tc>
          <w:tcPr>
            <w:tcW w:w="220" w:type="dxa"/>
            <w:vAlign w:val="bottom"/>
          </w:tcPr>
          <w:p>
            <w:pPr>
              <w:spacing w:after="0"/>
              <w:rPr>
                <w:sz w:val="24"/>
                <w:szCs w:val="24"/>
                <w:color w:val="auto"/>
              </w:rPr>
            </w:pPr>
          </w:p>
        </w:tc>
        <w:tc>
          <w:tcPr>
            <w:tcW w:w="7120" w:type="dxa"/>
            <w:vAlign w:val="bottom"/>
            <w:gridSpan w:val="8"/>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9480 South Dixie Highway Miami, Florida</w:t>
            </w:r>
          </w:p>
        </w:tc>
        <w:tc>
          <w:tcPr>
            <w:tcW w:w="3700" w:type="dxa"/>
            <w:vAlign w:val="bottom"/>
          </w:tcPr>
          <w:p>
            <w:pPr>
              <w:jc w:val="right"/>
              <w:ind w:right="2193"/>
              <w:spacing w:after="0"/>
              <w:rPr>
                <w:sz w:val="20"/>
                <w:szCs w:val="20"/>
                <w:color w:val="auto"/>
              </w:rPr>
            </w:pPr>
            <w:r>
              <w:rPr>
                <w:rFonts w:ascii="Times New Roman" w:cs="Times New Roman" w:eastAsia="Times New Roman" w:hAnsi="Times New Roman"/>
                <w:sz w:val="18"/>
                <w:szCs w:val="18"/>
                <w:b w:val="1"/>
                <w:bCs w:val="1"/>
                <w:color w:val="auto"/>
              </w:rPr>
              <w:t>33156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Borders>
              <w:top w:val="single" w:sz="8" w:color="auto"/>
            </w:tcBorders>
          </w:tcPr>
          <w:p>
            <w:pPr>
              <w:spacing w:after="0"/>
              <w:rPr>
                <w:sz w:val="18"/>
                <w:szCs w:val="18"/>
                <w:color w:val="auto"/>
              </w:rPr>
            </w:pPr>
          </w:p>
        </w:tc>
        <w:tc>
          <w:tcPr>
            <w:tcW w:w="5180" w:type="dxa"/>
            <w:vAlign w:val="bottom"/>
            <w:tcBorders>
              <w:top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gridSpan w:val="2"/>
          </w:tcPr>
          <w:p>
            <w:pPr>
              <w:ind w:left="840"/>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350"/>
        </w:trPr>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(305) 671-8000</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20" w:type="dxa"/>
            <w:vAlign w:val="bottom"/>
            <w:gridSpan w:val="6"/>
          </w:tcPr>
          <w:p>
            <w:pPr>
              <w:jc w:val="center"/>
              <w:ind w:left="19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88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3140" w:type="dxa"/>
            <w:vAlign w:val="bottom"/>
          </w:tcPr>
          <w:p>
            <w:pPr>
              <w:jc w:val="center"/>
              <w:ind w:left="153"/>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0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34"/>
        </w:trPr>
        <w:tc>
          <w:tcPr>
            <w:tcW w:w="22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140" w:type="dxa"/>
            <w:vAlign w:val="bottom"/>
            <w:vMerge w:val="restart"/>
          </w:tcPr>
          <w:p>
            <w:pPr>
              <w:jc w:val="center"/>
              <w:ind w:left="153"/>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00" w:type="dxa"/>
            <w:vAlign w:val="bottom"/>
            <w:gridSpan w:val="5"/>
            <w:vMerge w:val="restart"/>
          </w:tcPr>
          <w:p>
            <w:pPr>
              <w:jc w:val="center"/>
              <w:ind w:right="760"/>
              <w:spacing w:after="0"/>
              <w:rPr>
                <w:sz w:val="20"/>
                <w:szCs w:val="20"/>
                <w:color w:val="auto"/>
              </w:rPr>
            </w:pPr>
            <w:r>
              <w:rPr>
                <w:rFonts w:ascii="Times New Roman" w:cs="Times New Roman" w:eastAsia="Times New Roman" w:hAnsi="Times New Roman"/>
                <w:sz w:val="18"/>
                <w:szCs w:val="18"/>
                <w:color w:val="auto"/>
              </w:rPr>
              <w:t>IMXI</w:t>
            </w:r>
          </w:p>
        </w:tc>
        <w:tc>
          <w:tcPr>
            <w:tcW w:w="39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Nasdaq Capital Market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1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00" w:type="dxa"/>
            <w:vAlign w:val="bottom"/>
            <w:gridSpan w:val="5"/>
            <w:vMerge w:val="continue"/>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1813560</wp:posOffset>
            </wp:positionH>
            <wp:positionV relativeFrom="paragraph">
              <wp:posOffset>34290</wp:posOffset>
            </wp:positionV>
            <wp:extent cx="35229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22980" cy="1714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9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4"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0" w:lineRule="exact"/>
        <w:rPr>
          <w:sz w:val="24"/>
          <w:szCs w:val="24"/>
          <w:color w:val="auto"/>
        </w:rPr>
      </w:pPr>
    </w:p>
    <w:p>
      <w:pPr>
        <w:ind w:right="24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4" w:lineRule="exact"/>
        <w:rPr>
          <w:sz w:val="24"/>
          <w:szCs w:val="24"/>
          <w:color w:val="auto"/>
        </w:rPr>
      </w:pPr>
    </w:p>
    <w:p>
      <w:pPr>
        <w:ind w:right="160"/>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tbl>
      <w:tblPr>
        <w:tblLayout w:type="fixed"/>
        <w:tblInd w:w="0" w:type="dxa"/>
        <w:tblCellMar>
          <w:top w:w="0" w:type="dxa"/>
          <w:left w:w="0" w:type="dxa"/>
          <w:bottom w:w="0" w:type="dxa"/>
          <w:right w:w="0" w:type="dxa"/>
        </w:tblCellMar>
      </w:tblPr>
      <w:tr>
        <w:trPr>
          <w:trHeight w:val="319"/>
        </w:trPr>
        <w:tc>
          <w:tcPr>
            <w:tcW w:w="3780" w:type="dxa"/>
            <w:vAlign w:val="bottom"/>
          </w:tcPr>
          <w:p>
            <w:pPr>
              <w:ind w:left="300"/>
              <w:spacing w:after="0" w:line="242" w:lineRule="exact"/>
              <w:rPr>
                <w:sz w:val="20"/>
                <w:szCs w:val="20"/>
                <w:color w:val="auto"/>
              </w:rPr>
            </w:pP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Large accelerated filer</w:t>
            </w:r>
          </w:p>
        </w:tc>
        <w:tc>
          <w:tcPr>
            <w:tcW w:w="3820" w:type="dxa"/>
            <w:vAlign w:val="bottom"/>
          </w:tcPr>
          <w:p>
            <w:pPr>
              <w:ind w:left="17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0" w:type="dxa"/>
            <w:vAlign w:val="bottom"/>
          </w:tcPr>
          <w:p>
            <w:pPr>
              <w:spacing w:after="0"/>
              <w:rPr>
                <w:sz w:val="1"/>
                <w:szCs w:val="1"/>
                <w:color w:val="auto"/>
              </w:rPr>
            </w:pPr>
          </w:p>
        </w:tc>
      </w:tr>
      <w:tr>
        <w:trPr>
          <w:trHeight w:val="243"/>
        </w:trPr>
        <w:tc>
          <w:tcPr>
            <w:tcW w:w="3780" w:type="dxa"/>
            <w:vAlign w:val="bottom"/>
          </w:tcPr>
          <w:p>
            <w:pPr>
              <w:ind w:left="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w:t>
            </w:r>
          </w:p>
        </w:tc>
        <w:tc>
          <w:tcPr>
            <w:tcW w:w="3820" w:type="dxa"/>
            <w:vAlign w:val="bottom"/>
          </w:tcPr>
          <w:p>
            <w:pPr>
              <w:ind w:left="17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w:t>
            </w:r>
          </w:p>
        </w:tc>
        <w:tc>
          <w:tcPr>
            <w:tcW w:w="0" w:type="dxa"/>
            <w:vAlign w:val="bottom"/>
          </w:tcPr>
          <w:p>
            <w:pPr>
              <w:spacing w:after="0"/>
              <w:rPr>
                <w:sz w:val="1"/>
                <w:szCs w:val="1"/>
                <w:color w:val="auto"/>
              </w:rPr>
            </w:pPr>
          </w:p>
        </w:tc>
      </w:tr>
      <w:tr>
        <w:trPr>
          <w:trHeight w:val="254"/>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w:t>
            </w:r>
          </w:p>
        </w:tc>
        <w:tc>
          <w:tcPr>
            <w:tcW w:w="3820" w:type="dxa"/>
            <w:vAlign w:val="bottom"/>
          </w:tcPr>
          <w:p>
            <w:pPr>
              <w:ind w:left="17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w:t>
            </w:r>
          </w:p>
        </w:tc>
        <w:tc>
          <w:tcPr>
            <w:tcW w:w="0" w:type="dxa"/>
            <w:vAlign w:val="bottom"/>
          </w:tcPr>
          <w:p>
            <w:pPr>
              <w:spacing w:after="0"/>
              <w:rPr>
                <w:sz w:val="1"/>
                <w:szCs w:val="1"/>
                <w:color w:val="auto"/>
              </w:rPr>
            </w:pPr>
          </w:p>
        </w:tc>
      </w:tr>
      <w:tr>
        <w:trPr>
          <w:trHeight w:val="90"/>
        </w:trPr>
        <w:tc>
          <w:tcPr>
            <w:tcW w:w="378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7" w:lineRule="exact"/>
        <w:rPr>
          <w:sz w:val="24"/>
          <w:szCs w:val="24"/>
          <w:color w:val="auto"/>
        </w:rPr>
      </w:pPr>
    </w:p>
    <w:p>
      <w:pPr>
        <w:ind w:right="2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04" w:lineRule="exact"/>
        <w:rPr>
          <w:sz w:val="24"/>
          <w:szCs w:val="24"/>
          <w:color w:val="auto"/>
        </w:rPr>
      </w:pPr>
    </w:p>
    <w:p>
      <w:pPr>
        <w:jc w:val="both"/>
        <w:ind w:right="300"/>
        <w:spacing w:after="0" w:line="20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(Per SEC guidance, this blank checkbox is included on this cover page but no disclosure with respect thereto shall be made until the adoption and effectiveness of related stock exchange listing standards.)</w:t>
      </w:r>
    </w:p>
    <w:p>
      <w:pPr>
        <w:spacing w:after="0" w:line="200" w:lineRule="exact"/>
        <w:rPr>
          <w:sz w:val="24"/>
          <w:szCs w:val="24"/>
          <w:color w:val="auto"/>
        </w:rPr>
      </w:pPr>
    </w:p>
    <w:p>
      <w:pPr>
        <w:spacing w:after="0" w:line="253" w:lineRule="exact"/>
        <w:rPr>
          <w:sz w:val="24"/>
          <w:szCs w:val="24"/>
          <w:color w:val="auto"/>
        </w:rPr>
      </w:pPr>
    </w:p>
    <w:p>
      <w:pPr>
        <w:ind w:right="12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(Per SEC guidance, this blank checkbox is included on this cover page but no disclosure with respect thereto shall be made until the adoption and effectiveness of related stock exchange listing standards.)</w:t>
      </w:r>
    </w:p>
    <w:p>
      <w:pPr>
        <w:spacing w:after="0" w:line="21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4" w:lineRule="exact"/>
        <w:rPr>
          <w:sz w:val="24"/>
          <w:szCs w:val="24"/>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As of June 30, 2022, the aggregate market value of the voting stock held by non-affiliates was $674,029,446 based on the closing sale price of $20.47 of the common stock as reported on the Nasdaq Capital Market.</w:t>
      </w:r>
    </w:p>
    <w:p>
      <w:pPr>
        <w:sectPr>
          <w:pgSz w:w="11900" w:h="16838" w:orient="portrait"/>
          <w:cols w:equalWidth="0" w:num="1">
            <w:col w:w="11240"/>
          </w:cols>
          <w:pgMar w:left="320" w:top="880" w:right="339" w:bottom="0" w:gutter="0" w:footer="0" w:header="0"/>
        </w:sectPr>
      </w:pPr>
    </w:p>
    <w:bookmarkStart w:id="1" w:name="page2"/>
    <w:bookmarkEnd w:id="1"/>
    <w:p>
      <w:pPr>
        <w:spacing w:after="0" w:line="307" w:lineRule="auto"/>
        <w:rPr>
          <w:sz w:val="20"/>
          <w:szCs w:val="20"/>
          <w:color w:val="auto"/>
        </w:rPr>
      </w:pPr>
      <w:r>
        <w:rPr>
          <w:rFonts w:ascii="Times New Roman" w:cs="Times New Roman" w:eastAsia="Times New Roman" w:hAnsi="Times New Roman"/>
          <w:sz w:val="16"/>
          <w:szCs w:val="16"/>
          <w:color w:val="auto"/>
        </w:rPr>
        <w:t>As of March 8, 2023, 36,443,840 shares of the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common stock, par value $0.0001 per share, were outstanding. The registrant has no other class of common stock outstanding.</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61"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definitive Proxy Statement to be delivered to shareholders in connection with the 2023 Annual Meeting of Shareholders is incorporated by reference into Part III of this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57"/>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102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0000FF"/>
              </w:rPr>
              <w:t>SPECIAL NOTE REGARDING FORWARD-LOOKING STATEMENTS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99"/>
              </w:rPr>
              <w:t>1</w:t>
            </w:r>
          </w:p>
        </w:tc>
      </w:tr>
      <w:tr>
        <w:trPr>
          <w:trHeight w:val="270"/>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6"/>
        </w:trPr>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10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Item 1.</w:t>
            </w:r>
          </w:p>
        </w:tc>
        <w:tc>
          <w:tcPr>
            <w:tcW w:w="926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0000FF"/>
              </w:rPr>
              <w:t>Business</w:t>
            </w: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2</w:t>
            </w: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bottom w:val="single" w:sz="8" w:color="0000FF"/>
            </w:tcBorders>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Risk Factors</w:t>
            </w:r>
          </w:p>
        </w:tc>
        <w:tc>
          <w:tcPr>
            <w:tcW w:w="8440" w:type="dxa"/>
            <w:vAlign w:val="bottom"/>
            <w:tcBorders>
              <w:bottom w:val="single" w:sz="8" w:color="CCEEFF"/>
            </w:tcBorders>
            <w:gridSpan w:val="18"/>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11</w:t>
            </w:r>
          </w:p>
        </w:tc>
      </w:tr>
      <w:tr>
        <w:trPr>
          <w:trHeight w:val="176"/>
        </w:trPr>
        <w:tc>
          <w:tcPr>
            <w:tcW w:w="20" w:type="dxa"/>
            <w:vAlign w:val="bottom"/>
          </w:tcPr>
          <w:p>
            <w:pPr>
              <w:spacing w:after="0"/>
              <w:rPr>
                <w:sz w:val="15"/>
                <w:szCs w:val="15"/>
                <w:color w:val="auto"/>
              </w:rPr>
            </w:pPr>
          </w:p>
        </w:tc>
        <w:tc>
          <w:tcPr>
            <w:tcW w:w="10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Item 1B.</w:t>
            </w:r>
          </w:p>
        </w:tc>
        <w:tc>
          <w:tcPr>
            <w:tcW w:w="926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0000FF"/>
              </w:rPr>
              <w:t>Unresolved Staff Comments</w:t>
            </w: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24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Item 2.</w:t>
            </w:r>
          </w:p>
        </w:tc>
        <w:tc>
          <w:tcPr>
            <w:tcW w:w="9260" w:type="dxa"/>
            <w:vAlign w:val="bottom"/>
            <w:gridSpan w:val="2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Properties</w:t>
            </w:r>
          </w:p>
        </w:tc>
        <w:tc>
          <w:tcPr>
            <w:tcW w:w="9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24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Item 3.</w:t>
            </w:r>
          </w:p>
        </w:tc>
        <w:tc>
          <w:tcPr>
            <w:tcW w:w="926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0000FF"/>
              </w:rPr>
              <w:t>Legal Proceedings</w:t>
            </w: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24</w:t>
            </w: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Item 4.</w:t>
            </w:r>
          </w:p>
        </w:tc>
        <w:tc>
          <w:tcPr>
            <w:tcW w:w="9260" w:type="dxa"/>
            <w:vAlign w:val="bottom"/>
            <w:gridSpan w:val="2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9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24</w:t>
            </w:r>
          </w:p>
        </w:tc>
      </w:tr>
      <w:tr>
        <w:trPr>
          <w:trHeight w:val="270"/>
        </w:trPr>
        <w:tc>
          <w:tcPr>
            <w:tcW w:w="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r>
      <w:tr>
        <w:trPr>
          <w:trHeight w:val="216"/>
        </w:trPr>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10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Item 5.</w:t>
            </w:r>
          </w:p>
        </w:tc>
        <w:tc>
          <w:tcPr>
            <w:tcW w:w="926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25</w:t>
            </w: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Item 6.</w:t>
            </w:r>
          </w:p>
        </w:tc>
        <w:tc>
          <w:tcPr>
            <w:tcW w:w="720" w:type="dxa"/>
            <w:vAlign w:val="bottom"/>
            <w:tcBorders>
              <w:bottom w:val="single" w:sz="8" w:color="0000FF"/>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[Reserved]</w:t>
            </w:r>
          </w:p>
        </w:tc>
        <w:tc>
          <w:tcPr>
            <w:tcW w:w="8540" w:type="dxa"/>
            <w:vAlign w:val="bottom"/>
            <w:tcBorders>
              <w:bottom w:val="single" w:sz="8" w:color="CCEEFF"/>
            </w:tcBorders>
            <w:gridSpan w:val="19"/>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26</w:t>
            </w:r>
          </w:p>
        </w:tc>
      </w:tr>
      <w:tr>
        <w:trPr>
          <w:trHeight w:val="175"/>
        </w:trPr>
        <w:tc>
          <w:tcPr>
            <w:tcW w:w="20" w:type="dxa"/>
            <w:vAlign w:val="bottom"/>
          </w:tcPr>
          <w:p>
            <w:pPr>
              <w:spacing w:after="0"/>
              <w:rPr>
                <w:sz w:val="15"/>
                <w:szCs w:val="15"/>
                <w:color w:val="auto"/>
              </w:rPr>
            </w:pPr>
          </w:p>
        </w:tc>
        <w:tc>
          <w:tcPr>
            <w:tcW w:w="10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Item 7.</w:t>
            </w:r>
          </w:p>
        </w:tc>
        <w:tc>
          <w:tcPr>
            <w:tcW w:w="926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27</w:t>
            </w: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Item 7A.</w:t>
            </w:r>
          </w:p>
        </w:tc>
        <w:tc>
          <w:tcPr>
            <w:tcW w:w="9260" w:type="dxa"/>
            <w:vAlign w:val="bottom"/>
            <w:gridSpan w:val="2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9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42</w:t>
            </w:r>
          </w:p>
        </w:tc>
      </w:tr>
      <w:tr>
        <w:trPr>
          <w:trHeight w:val="175"/>
        </w:trPr>
        <w:tc>
          <w:tcPr>
            <w:tcW w:w="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Item 8.</w:t>
            </w:r>
          </w:p>
        </w:tc>
        <w:tc>
          <w:tcPr>
            <w:tcW w:w="3920" w:type="dxa"/>
            <w:vAlign w:val="bottom"/>
            <w:tcBorders>
              <w:top w:val="single" w:sz="8" w:color="0000FF"/>
            </w:tcBorders>
            <w:gridSpan w:val="15"/>
          </w:tcPr>
          <w:p>
            <w:pPr>
              <w:spacing w:after="0" w:line="175" w:lineRule="exact"/>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5340" w:type="dxa"/>
            <w:vAlign w:val="bottom"/>
            <w:tcBorders>
              <w:top w:val="single" w:sz="8" w:color="CCEEFF"/>
            </w:tcBorders>
            <w:gridSpan w:val="7"/>
          </w:tcPr>
          <w:p>
            <w:pPr>
              <w:spacing w:after="0"/>
              <w:rPr>
                <w:sz w:val="15"/>
                <w:szCs w:val="15"/>
                <w:color w:val="auto"/>
              </w:rPr>
            </w:pPr>
          </w:p>
        </w:tc>
        <w:tc>
          <w:tcPr>
            <w:tcW w:w="96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1</w:t>
            </w: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Item 9.</w:t>
            </w:r>
          </w:p>
        </w:tc>
        <w:tc>
          <w:tcPr>
            <w:tcW w:w="5840" w:type="dxa"/>
            <w:vAlign w:val="bottom"/>
            <w:tcBorders>
              <w:bottom w:val="single" w:sz="8" w:color="0000FF"/>
            </w:tcBorders>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3420" w:type="dxa"/>
            <w:vAlign w:val="bottom"/>
            <w:tcBorders>
              <w:bottom w:val="single" w:sz="8" w:color="CCEEFF"/>
            </w:tcBorders>
            <w:gridSpan w:val="3"/>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74</w:t>
            </w:r>
          </w:p>
        </w:tc>
      </w:tr>
      <w:tr>
        <w:trPr>
          <w:trHeight w:val="175"/>
        </w:trPr>
        <w:tc>
          <w:tcPr>
            <w:tcW w:w="20" w:type="dxa"/>
            <w:vAlign w:val="bottom"/>
          </w:tcPr>
          <w:p>
            <w:pPr>
              <w:spacing w:after="0"/>
              <w:rPr>
                <w:sz w:val="15"/>
                <w:szCs w:val="15"/>
                <w:color w:val="auto"/>
              </w:rPr>
            </w:pPr>
          </w:p>
        </w:tc>
        <w:tc>
          <w:tcPr>
            <w:tcW w:w="10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Item 9A.</w:t>
            </w:r>
          </w:p>
        </w:tc>
        <w:tc>
          <w:tcPr>
            <w:tcW w:w="926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74</w:t>
            </w: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Item 9B.</w:t>
            </w:r>
          </w:p>
        </w:tc>
        <w:tc>
          <w:tcPr>
            <w:tcW w:w="9260" w:type="dxa"/>
            <w:vAlign w:val="bottom"/>
            <w:gridSpan w:val="2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Other Information</w:t>
            </w:r>
          </w:p>
        </w:tc>
        <w:tc>
          <w:tcPr>
            <w:tcW w:w="9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76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9C.</w:t>
            </w:r>
          </w:p>
        </w:tc>
        <w:tc>
          <w:tcPr>
            <w:tcW w:w="9260" w:type="dxa"/>
            <w:vAlign w:val="bottom"/>
            <w:gridSpan w:val="22"/>
          </w:tcPr>
          <w:p>
            <w:pPr>
              <w:spacing w:after="0" w:line="155"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9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77</w:t>
            </w:r>
          </w:p>
        </w:tc>
      </w:tr>
      <w:tr>
        <w:trPr>
          <w:trHeight w:val="3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14"/>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Item 10.</w:t>
            </w:r>
          </w:p>
        </w:tc>
        <w:tc>
          <w:tcPr>
            <w:tcW w:w="3700" w:type="dxa"/>
            <w:vAlign w:val="bottom"/>
            <w:tcBorders>
              <w:bottom w:val="single" w:sz="8" w:color="0000FF"/>
            </w:tcBorders>
            <w:gridSpan w:val="14"/>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5560" w:type="dxa"/>
            <w:vAlign w:val="bottom"/>
            <w:tcBorders>
              <w:bottom w:val="single" w:sz="8" w:color="CCEEFF"/>
            </w:tcBorders>
            <w:gridSpan w:val="8"/>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0000FF"/>
                <w:w w:val="99"/>
              </w:rPr>
              <w:t>78</w:t>
            </w:r>
          </w:p>
        </w:tc>
      </w:tr>
      <w:tr>
        <w:trPr>
          <w:trHeight w:val="175"/>
        </w:trPr>
        <w:tc>
          <w:tcPr>
            <w:tcW w:w="20" w:type="dxa"/>
            <w:vAlign w:val="bottom"/>
          </w:tcPr>
          <w:p>
            <w:pPr>
              <w:spacing w:after="0"/>
              <w:rPr>
                <w:sz w:val="15"/>
                <w:szCs w:val="15"/>
                <w:color w:val="auto"/>
              </w:rPr>
            </w:pPr>
          </w:p>
        </w:tc>
        <w:tc>
          <w:tcPr>
            <w:tcW w:w="10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Item 11.</w:t>
            </w:r>
          </w:p>
        </w:tc>
        <w:tc>
          <w:tcPr>
            <w:tcW w:w="926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0000FF"/>
              </w:rPr>
              <w:t>Executive Compensation</w:t>
            </w: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78</w:t>
            </w: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Item 12.</w:t>
            </w:r>
          </w:p>
        </w:tc>
        <w:tc>
          <w:tcPr>
            <w:tcW w:w="9260" w:type="dxa"/>
            <w:vAlign w:val="bottom"/>
            <w:gridSpan w:val="2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9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79</w:t>
            </w:r>
          </w:p>
        </w:tc>
      </w:tr>
      <w:tr>
        <w:trPr>
          <w:trHeight w:val="175"/>
        </w:trPr>
        <w:tc>
          <w:tcPr>
            <w:tcW w:w="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Item 13.</w:t>
            </w:r>
          </w:p>
        </w:tc>
        <w:tc>
          <w:tcPr>
            <w:tcW w:w="6560" w:type="dxa"/>
            <w:vAlign w:val="bottom"/>
            <w:tcBorders>
              <w:top w:val="single" w:sz="8" w:color="0000FF"/>
            </w:tcBorders>
            <w:gridSpan w:val="20"/>
          </w:tcPr>
          <w:p>
            <w:pPr>
              <w:spacing w:after="0" w:line="175"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2700" w:type="dxa"/>
            <w:vAlign w:val="bottom"/>
            <w:tcBorders>
              <w:top w:val="single" w:sz="8" w:color="CCEEFF"/>
            </w:tcBorders>
            <w:gridSpan w:val="2"/>
          </w:tcPr>
          <w:p>
            <w:pPr>
              <w:spacing w:after="0"/>
              <w:rPr>
                <w:sz w:val="15"/>
                <w:szCs w:val="15"/>
                <w:color w:val="auto"/>
              </w:rPr>
            </w:pPr>
          </w:p>
        </w:tc>
        <w:tc>
          <w:tcPr>
            <w:tcW w:w="96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80</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Item 14.</w:t>
            </w:r>
          </w:p>
        </w:tc>
        <w:tc>
          <w:tcPr>
            <w:tcW w:w="9260" w:type="dxa"/>
            <w:vAlign w:val="bottom"/>
            <w:gridSpan w:val="2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Principal Accounting Fees and Services</w:t>
            </w:r>
          </w:p>
        </w:tc>
        <w:tc>
          <w:tcPr>
            <w:tcW w:w="9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81</w:t>
            </w:r>
          </w:p>
        </w:tc>
      </w:tr>
      <w:tr>
        <w:trPr>
          <w:trHeight w:val="270"/>
        </w:trPr>
        <w:tc>
          <w:tcPr>
            <w:tcW w:w="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74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r>
      <w:tr>
        <w:trPr>
          <w:trHeight w:val="216"/>
        </w:trPr>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10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Item 15.</w:t>
            </w:r>
          </w:p>
        </w:tc>
        <w:tc>
          <w:tcPr>
            <w:tcW w:w="926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0000FF"/>
              </w:rPr>
              <w:t>Exhibits, Financial Statement Schedules</w:t>
            </w: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83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Item 16.</w:t>
            </w:r>
          </w:p>
        </w:tc>
        <w:tc>
          <w:tcPr>
            <w:tcW w:w="9260" w:type="dxa"/>
            <w:vAlign w:val="bottom"/>
            <w:gridSpan w:val="2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Form 10–K Summary</w:t>
            </w:r>
          </w:p>
        </w:tc>
        <w:tc>
          <w:tcPr>
            <w:tcW w:w="9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84</w:t>
            </w:r>
          </w:p>
        </w:tc>
      </w:tr>
      <w:tr>
        <w:trPr>
          <w:trHeight w:val="270"/>
        </w:trPr>
        <w:tc>
          <w:tcPr>
            <w:tcW w:w="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r>
      <w:tr>
        <w:trPr>
          <w:trHeight w:val="196"/>
        </w:trPr>
        <w:tc>
          <w:tcPr>
            <w:tcW w:w="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Signatures</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85</w:t>
            </w:r>
          </w:p>
        </w:tc>
      </w:tr>
      <w:tr>
        <w:trPr>
          <w:trHeight w:val="1208"/>
        </w:trPr>
        <w:tc>
          <w:tcPr>
            <w:tcW w:w="2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1980" w:type="dxa"/>
            <w:vAlign w:val="bottom"/>
            <w:tcBorders>
              <w:top w:val="single" w:sz="8" w:color="CCEEFF"/>
              <w:bottom w:val="single" w:sz="8" w:color="9A9A9A"/>
            </w:tcBorders>
          </w:tcPr>
          <w:p>
            <w:pPr>
              <w:spacing w:after="0"/>
              <w:rPr>
                <w:sz w:val="24"/>
                <w:szCs w:val="24"/>
                <w:color w:val="auto"/>
              </w:rPr>
            </w:pPr>
          </w:p>
        </w:tc>
        <w:tc>
          <w:tcPr>
            <w:tcW w:w="96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Annual Report on Form 10-K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for the Company.</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statements may include and be identified by words or phrase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expressed or implied by such forward-looking statements and could materially adversely affect our business, financial condition, results of operations, cash flows and liquidity. Factors that could cause or contribute to such differences include, but are not limited to, those described in Item 1A, “Risk Factors” in this Annual Report on Form 10-K and the following:</w:t>
      </w:r>
    </w:p>
    <w:p>
      <w:pPr>
        <w:spacing w:after="0" w:line="21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w:t>
      </w:r>
    </w:p>
    <w:p>
      <w:pPr>
        <w:spacing w:after="0" w:line="9" w:lineRule="exact"/>
        <w:rPr>
          <w:rFonts w:ascii="Times New Roman" w:cs="Times New Roman" w:eastAsia="Times New Roman" w:hAnsi="Times New Roman"/>
          <w:sz w:val="18"/>
          <w:szCs w:val="18"/>
          <w:color w:val="auto"/>
        </w:rPr>
      </w:pPr>
    </w:p>
    <w:p>
      <w:pPr>
        <w:ind w:left="980" w:right="160" w:hanging="324"/>
        <w:spacing w:after="0" w:line="250" w:lineRule="auto"/>
        <w:tabs>
          <w:tab w:leader="none" w:pos="97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manage, integrate and obtain the anticipated financial benefits of key acquisitions and mergers, including the completed acquisition of Envios de Valores La Nacional Corp. (“La Nacional”) and the pending acquisition of LAN Holdings, Corp. (“LAN Holdings”);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such as inflation, the level of economic activity, recession risks and labor market conditions, as well as rising interest rates;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conditions, responses thereto and the economic and market effects thereof;</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in which we operate;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9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exchange rates that could affect the volume of consumer remittance activity and/or affect our foreign exchange related gains and losses;</w:t>
      </w: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favorable agent relationships;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from our agents and the financial institutions with which we do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sustained financial illiquidity, or financial institution illiquidity;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or competitors, such as digital platforms;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or disruptions to our information technology, computer network systems, data centers and mobile devices apps;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debt obligations and remain in compliance with our credit facility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developing and introducing new products, services and infrastructure;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our brands and in consumer money transfers generally;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regulatory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political factors, political stability, tariffs, border taxes or restrictions on remittances or transfers;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restrictions and volatility in countries in which we operate or plan to operate;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fraud and other risks relating to the authenticity of customers’ orders;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and their enforcement;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rights;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business and/or competitive factors, risks and uncertainties,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sections of this Annual Report on Form 10-K, as well as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risk factors that may be described herein in our other filings with the SEC from time to time.</w:t>
      </w:r>
    </w:p>
    <w:p>
      <w:pPr>
        <w:spacing w:after="0" w:line="18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Accordingly, there is no assurance that our expectations will, in fact, occur or that our estimates or assumptions will be correct, and we caution investors and all others not to place undue reliance on such forward-looking statements. The forward-looking statements included herein are only made as of the date of this Annual Report on Form 10-K. We undertake no obligation to update or revise any forward-looking statements, whether as a result of new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information, future events or otherwise.</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90"/>
        </w:trPr>
        <w:tc>
          <w:tcPr>
            <w:tcW w:w="42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International Money Express, Inc. (the “Company” or “Intermex”) is a leading omnichannel money remittance services company focused primarily on the United States of America (“United States” or “U.S.”) to Latin America and the Caribbean (“LAC”) corridor, which includes Mexico, Central and South America and the Caribbean. In recent years, we expanded our services to allow remittances to Africa and Asia from the United States and also began offering sending services from Canada to Latin America and Africa.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consumers can send money to beneficiaries in 16 LAC countries, eight countries in Africa and two countries in Asia. Our services are accessible in person through over 100,000 independent sending and paying agents and 117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 In March 2022, we entered into an agreement to acquire La Nacional and LAN Holdings, money remittance companies serving more than 70 countries. In November 2022, we completed the acquisition of La Nacional and we expect to complete the acquisition of LAN Holdings in the second quarter of 2023 subject to the satisfaction of customary closing conditions, including pending regulatory approvals. The acquisition of La Nacional strengthens the Company’s presence in the Dominican Republic and other key markets in Latin America.</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Money remittance services to LAC countries, mainly Mexico and Guatemala,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 also generate revenue if we are successful in our daily management of currency exchange spreads.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money remittance services enable consumers to send funds through our broad network of locations in the United States and Canada that are primarily operated by third-party businesses, as well as through our Company-operated stores located in the United States.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Since January 1, 2022 through December 31, 2022, we have grown our agent network by approximately 27.3% and increased our principal amount sent by more than 21.2% to $21.0 billion. In 2022, we processed approximately 47.8 million remittances, representing over 19.2% growth in transactions as compared to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7" w:lineRule="exact"/>
        <w:rPr>
          <w:sz w:val="20"/>
          <w:szCs w:val="20"/>
          <w:color w:val="auto"/>
        </w:rPr>
      </w:pPr>
    </w:p>
    <w:p>
      <w:pPr>
        <w:jc w:val="both"/>
        <w:ind w:left="340" w:hanging="332"/>
        <w:spacing w:after="0" w:line="26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Primary focus on the LAC corridor. </w:t>
      </w:r>
      <w:r>
        <w:rPr>
          <w:rFonts w:ascii="Times New Roman" w:cs="Times New Roman" w:eastAsia="Times New Roman" w:hAnsi="Times New Roman"/>
          <w:sz w:val="18"/>
          <w:szCs w:val="18"/>
          <w:color w:val="auto"/>
        </w:rPr>
        <w:t>Unlike many of our competitors, who we believe prioritize global reach over growth and profitability,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focused on a few geographical regions in which there is a concentration of a significant portion of the world’s money remittance volume. We believe the LAC corridor provides an attractive operating environment with significant opportunity for future growth. According to the latest available data published by the World Bank, the LAC corridor continues to be the most rapidly growing remittance corridor in the world.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Highly scalable, proprietary software platform. </w:t>
      </w:r>
      <w:r>
        <w:rPr>
          <w:rFonts w:ascii="Times New Roman" w:cs="Times New Roman" w:eastAsia="Times New Roman" w:hAnsi="Times New Roman"/>
          <w:sz w:val="18"/>
          <w:szCs w:val="18"/>
          <w:color w:val="auto"/>
        </w:rPr>
        <w:t>We provide our money remittance services utilizing our internally developed proprietary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which we believe enhance the productivity of our network of sending agents, enabling them to quickly, reliably and cost-effectively process remittance transactions. Our proprietary software systems were designed to incorporate real-time compliance functionality, which improves our regulatory compliance and helps to minimize fraud. We have developed a platform that has the capacity to handle traffic well in excess of the number of transactions we currently process. Our money remittance platform has proven reliable, with our 2022 downtime being less than 0.05%.</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Highly selective sending agent recruitment process designed to identify productive long-term partners. </w:t>
      </w:r>
      <w:r>
        <w:rPr>
          <w:rFonts w:ascii="Times New Roman" w:cs="Times New Roman" w:eastAsia="Times New Roman" w:hAnsi="Times New Roman"/>
          <w:sz w:val="18"/>
          <w:szCs w:val="18"/>
          <w:color w:val="auto"/>
        </w:rPr>
        <w:t>We strategically target sending agents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only after a metric-based analysis of potential productivity and a thorough vetting process. In our sending agent selection process, we focus on geographic locations that we believe are likely to have high customer volume and demand for our services. By closely monitoring individual sending agent performance and money remittance trends, we can offer our sending agents real-time technical support and marketing assistance to help increase their productivity and remittance volume.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3" w:lineRule="exact"/>
        <w:rPr>
          <w:sz w:val="20"/>
          <w:szCs w:val="20"/>
          <w:color w:val="auto"/>
        </w:rPr>
      </w:pPr>
    </w:p>
    <w:p>
      <w:pPr>
        <w:jc w:val="both"/>
        <w:ind w:left="340" w:hanging="332"/>
        <w:spacing w:after="0" w:line="25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Strong relationships with major banks and financial institutions. </w:t>
      </w:r>
      <w:r>
        <w:rPr>
          <w:rFonts w:ascii="Times New Roman" w:cs="Times New Roman" w:eastAsia="Times New Roman" w:hAnsi="Times New Roman"/>
          <w:sz w:val="18"/>
          <w:szCs w:val="18"/>
          <w:color w:val="auto"/>
        </w:rPr>
        <w:t>Our relationships with clearing, check processing, trading and exchange rate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banks are critical to an efficient and reliable remittance network. We benefit from our strong and long-term relationships with a number of large banks and financial institutions. We maintain strong relationships with a number of other national and regional banking and financial institutions in the United States, Canada and Latin America. For example, we have maintained a long-term relationship with Wells Fargo, Bank of America and US Bank, among others. Due to increasing regulatory scrutiny of banks and financial institutions, we believe that new banking relationships may be difficult to develop for new, start-up competitors in the industry, hence creating a barrier to entry to new competition and making our existing relationships a competitive advantage.</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75" w:lineRule="auto"/>
        <w:tabs>
          <w:tab w:leader="none" w:pos="3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Powerful brand with strong consumer awareness and loyalty in the LAC corridor. </w:t>
      </w:r>
      <w:r>
        <w:rPr>
          <w:rFonts w:ascii="Times New Roman" w:cs="Times New Roman" w:eastAsia="Times New Roman" w:hAnsi="Times New Roman"/>
          <w:sz w:val="17"/>
          <w:szCs w:val="17"/>
          <w:color w:val="auto"/>
        </w:rPr>
        <w:t>We believe we are a leading money remittance provider from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United States to the LAC corridor, processing 21.0% of the aggregate volume of remittances to Mexico according to the latest available data published by the Central Bank of Mexico in 2022 and 29.3% of the aggregate volume of remittances to Guatemala according to the latest available data published by the Central Bank of Guatemala in 2022. We believe that consumers associate the Intermex brand with reliability, strong customer service and the ability to safely and efficiently remit their funds. The information contained in this paragraph is based on “Revenues by Workers’ Remittances” published in the Central Bank of Mexico’s website and “Income from family remittance” published in the Central Bank of Guatemala’s website.</w:t>
      </w:r>
    </w:p>
    <w:p>
      <w:pPr>
        <w:spacing w:after="0" w:line="168" w:lineRule="exact"/>
        <w:rPr>
          <w:rFonts w:ascii="Times New Roman" w:cs="Times New Roman" w:eastAsia="Times New Roman" w:hAnsi="Times New Roman"/>
          <w:sz w:val="17"/>
          <w:szCs w:val="17"/>
          <w:color w:val="auto"/>
        </w:rPr>
      </w:pPr>
    </w:p>
    <w:p>
      <w:pPr>
        <w:jc w:val="both"/>
        <w:ind w:left="340" w:hanging="332"/>
        <w:spacing w:after="0" w:line="258"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Strong compliance processes and procedures. </w:t>
      </w:r>
      <w:r>
        <w:rPr>
          <w:rFonts w:ascii="Times New Roman" w:cs="Times New Roman" w:eastAsia="Times New Roman" w:hAnsi="Times New Roman"/>
          <w:sz w:val="18"/>
          <w:szCs w:val="18"/>
          <w:color w:val="auto"/>
        </w:rPr>
        <w:t>We operate in a highly-regulated environment and are reviewed by regulators and external auditors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We maintain a comprehensive and rigorous compliance process with policies, procedures and internal controls designed to exceed current regulatory requirements. Our software also includes embedded compliance systems that provide real-time transaction alerts and Office of Foreign Assets Control (“OFAC”) screening. Our risk and compliance management tools include programs by Equifax, Experian, LexisNexis and TransUnion, among others.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Experienced and proven management team. </w:t>
      </w:r>
      <w:r>
        <w:rPr>
          <w:rFonts w:ascii="Times New Roman" w:cs="Times New Roman" w:eastAsia="Times New Roman" w:hAnsi="Times New Roman"/>
          <w:sz w:val="18"/>
          <w:szCs w:val="18"/>
          <w:color w:val="auto"/>
        </w:rPr>
        <w:t>Our management team consists of financial services industry veterans with a track record of achieving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profitable growth. Our team is led by our Chief Executive Officer (“CEO”) and President, Robert Lisy, with a successful 30-plus year track record in the retail financial services and electronic payment processing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are well positioned to drive continued growth by executing on the following core strategies either organically or through acquisitions of other entities:</w:t>
      </w:r>
    </w:p>
    <w:p>
      <w:pPr>
        <w:spacing w:after="0" w:line="160" w:lineRule="exact"/>
        <w:rPr>
          <w:sz w:val="20"/>
          <w:szCs w:val="20"/>
          <w:color w:val="auto"/>
        </w:rPr>
      </w:pPr>
    </w:p>
    <w:p>
      <w:pPr>
        <w:jc w:val="both"/>
        <w:ind w:left="340" w:hanging="332"/>
        <w:spacing w:after="0" w:line="25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our market share in our largest corridors</w:t>
      </w:r>
      <w:r>
        <w:rPr>
          <w:rFonts w:ascii="Times New Roman" w:cs="Times New Roman" w:eastAsia="Times New Roman" w:hAnsi="Times New Roman"/>
          <w:sz w:val="18"/>
          <w:szCs w:val="18"/>
          <w:color w:val="auto"/>
        </w:rPr>
        <w:t>. The two largest remittance corridors we serve are the United States to Mexico and United States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Guatemala. According to the latest available data in the World Bank Remittance Matrix, the United States to Mexico remittance continues to be one of the largest in the world. We aim to continue to expand our market share in those states where we are currently well-established and poised for continued profitable growth within those markets via targeted regional penetration. We believe that we can leverage our current customer data to increase repeat customer usage, track and effectively recapture one-time users of our service and improve sending agent productivity to drive growth in these states. We also execute a targeted marketing effort to realize significantly increased market share growth in large states where we are underrepresented.</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services into new corridors and emerging markets. </w:t>
      </w:r>
      <w:r>
        <w:rPr>
          <w:rFonts w:ascii="Times New Roman" w:cs="Times New Roman" w:eastAsia="Times New Roman" w:hAnsi="Times New Roman"/>
          <w:sz w:val="18"/>
          <w:szCs w:val="18"/>
          <w:color w:val="auto"/>
        </w:rPr>
        <w:t>We believe that there is significant room to grow our business in underserved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 regions in the LAC corridor where there is demand from customers and agents for our value-added approach to money remittances. Specifically, we are targeting future growth opportunities via new corridors from the United States to other non-Spanish speaking regions, including the Caribbean and other continents. In recent years, we expanded our services to allow remittances to Africa and Asia from the United States and also began offering sending services from Canada to Latin America and Africa. Our acquisition of La Nacional further strengthens our presence in Latin America.</w:t>
      </w:r>
    </w:p>
    <w:p>
      <w:pPr>
        <w:spacing w:after="0" w:line="209"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grow online and mobile remittance channels. </w:t>
      </w:r>
      <w:r>
        <w:rPr>
          <w:rFonts w:ascii="Times New Roman" w:cs="Times New Roman" w:eastAsia="Times New Roman" w:hAnsi="Times New Roman"/>
          <w:sz w:val="18"/>
          <w:szCs w:val="18"/>
          <w:color w:val="auto"/>
        </w:rPr>
        <w:t>Our money remittance platform currently enables consumers to send funds from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to the LAC corridor and Africa through the Internet via Intermexonline.com and on their Internet-enabled mobile devices. We have and continue to make significant investments in enhancing our digital mobile money remittance applications to provide consumers with safe, easy-to-use features for remitting funds. We believe these channels not only expand our potential customer base as digital transaction capabilities become more relevant to LAC corridor consumers but also benefit from secular and demographic trends as consumers continue to migrate to conducting financial transactions online.</w:t>
      </w:r>
    </w:p>
    <w:p>
      <w:pPr>
        <w:spacing w:after="0" w:line="182" w:lineRule="exact"/>
        <w:rPr>
          <w:rFonts w:ascii="Times New Roman" w:cs="Times New Roman" w:eastAsia="Times New Roman" w:hAnsi="Times New Roman"/>
          <w:sz w:val="18"/>
          <w:szCs w:val="18"/>
          <w:color w:val="auto"/>
        </w:rPr>
      </w:pPr>
    </w:p>
    <w:p>
      <w:pPr>
        <w:ind w:left="340" w:hanging="332"/>
        <w:spacing w:after="0" w:line="284"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Leverage our technology in the business-to-business market. </w:t>
      </w:r>
      <w:r>
        <w:rPr>
          <w:rFonts w:ascii="Times New Roman" w:cs="Times New Roman" w:eastAsia="Times New Roman" w:hAnsi="Times New Roman"/>
          <w:sz w:val="18"/>
          <w:szCs w:val="18"/>
          <w:color w:val="auto"/>
        </w:rPr>
        <w:t>We believe that our money remittance platform has significant excess capacity.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we can leverage this capacity to sell business-to-business solutions to third parties, such as banks and major retailers.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organized around one reportable segment that provides money remittance services primarily between the U.S. and Canada to Mexico, Guatemala and other countries in Latin America, Africa and Asia through a network of authorized agents located in various unaffiliated retail establishments and 117 Company-operated stores throughout the U.S. and Canada. This is based on the objectives of the business and how our chief operating decision maker, the CEO and President, monitors operating performance and allocates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Services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Money remittance services to LAC countries, primarily Mexico and Guatemala,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also earn revenue through our daily management of currency exchange spreads.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majority of our money remittance transactions are generated through our agent network of retail locations and Company-operated stores where the transaction is processed and payment is collected by our sending agent. Those funds become available for pickup by the beneficiary at the designated receiving destination, usually within minutes, at any Intermex payer location. In select countries, the designated recipient may also receive the remitted funds via a deposit directly to the recipient’s bank account, mobile device account or prepaid card. Our locations in the United States and Canada, also referred to as our sending agents, tend to be individual establishments, such as multi-service stores, grocery stores, convenience stores, bodegas and other retail locations. Our payers in LAC countries are referred to as paying agents, and generally consist of large banks and financial institutions or large retail chains. Grupo Elektra, S.A.B. de C.V. (“Elektra”) is our largest paying agent and processes a significant portion of remittances in the LAC corridor. Each of our sending agents and our paying agents are primarily operated by third-party businesses where our money remittance services are offered. Additionally, we operate a number of retail locations in the United States, which we refer to as Company-operated stores and where our money remittance services are available. We also operate subsidiary payer networks in Mexico under the Pago Express brand and in Guatemala under the Intermex brand. These networks contribute payer locations that reach some of the most remote areas in those countries, providing increased convenience to consumers in the United States, Canada, Mexico and Guatemala.</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sending agent locations, consumers may initiate a transaction directly with an agent, or through a direct-dialed telephone conversation from the agent location to our call centers. Many of our sending agents operate in locations that are open outside of traditional banking hours, including nights and weekends. Our sending agents understand the markets that they serve and coordinate with our sales and marketing teams to develop business plans for those markets. We hold promotional events for our sending agents to help familiarize them with the Intermex brand and to incent the agents to promote our services to consumers.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money remittance services are also available on the Internet via Intermexonline.com, enabling consumers to send money twenty-four hours a day conveniently from their computer or Internet-enabled mobile device. Those funds can be sent to any of our paying agent locations or to a recipient’s bank account, funding the transaction using debit card, credit card, or through electronic funds transfer processed through the automated clearing house (“ACH”) payment system. Although our internet-based money transmission services have grown significantly in 2022, they still do not constitute a material percentage of the Company’s overall business.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Also, our enhanced digital mobile money remittance application provides consumers with safe, easy-to-use features for remitting funds with a debit or credit card, or ACH transfer. Consumers are able to select a variety of sending methods, including cash pickup at thousands of locations, direct deposit into bank accounts, debit cards, mobile wallets, and home delivery in selected markets.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maintain call centers in Mexico and Guatemala, providing call center services 365 days per year and customer service in English, French and Spanish, as well as the possibility of service in many of the regional dialects that our customers speak. Our call centers are able to provide customer service for inbound customer calls and have technology available for direct calls from customers at our agent locations in processing remittance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Management Bank Relationships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buy and sell a number of global currencies and maintain a network of settlement accounts to facilitate the timely funding of money remittances and foreign exchange trades. Our relationships with clearing, check processing, trading and exchange rate and cash management banks are critical to an efficient and reliable remittance network. We benefit from our strong and long-term relationships with a number of large banks and financial institutions. We maintain strong relationships with a number of other national and regional banking</w:t>
      </w:r>
    </w:p>
    <w:p>
      <w:pPr>
        <w:sectPr>
          <w:pgSz w:w="11900" w:h="16838" w:orient="portrait"/>
          <w:cols w:equalWidth="0" w:num="1">
            <w:col w:w="11240"/>
          </w:cols>
          <w:pgMar w:left="320" w:top="121" w:right="3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financial institutions in the United States, Canada and Latin America. In addition, we have benefited from our long relationship with US Bank, which manages our main operating account, and from strong relationships with PNC Global Transfer, Wells Fargo, Bank of America and KeyBank as our primary banks for exchange rate management with respect to the foreign currencies.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Currently, all of our money processing software is proprietary and has been developed primarily by our internal software development team. Our money processing software acts as a point of sale for our money remittance transactions and incorporates real-time compliance functionality, which improves our regulatory compliance and helps to minimize fraud. Our money processing software is critical to our operations while our back-office software is critical for settling our transactions.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Also, our money remittance platform enables consumers to send funds through the Internet via Intermexonline.com and on their Internet-enabled mobile devices and our enhanced digital mobile money remittance application provides consumers with safe, easy-to-use features for remitting funds.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money remittance software, digital platform and mobile application, we continue to develop programs and defenses against cyber-attacks. We are fully aligned with the National Institute of Standards and Technology cybersecurity framework, which is a voluntary framework that most companies in the financial services industry follow. We utilize a number of third-party vendors that monitor our systems and inform us of any attempted attacks. Our Chief Information Officer and Chief Information Security Officer report periodically to our board of directors regarding our cybersecurity policies and practices.</w:t>
      </w:r>
    </w:p>
    <w:p>
      <w:pPr>
        <w:spacing w:after="0" w:line="21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our proprietary and internally developed software systems, we have analytical data that enable us to analyze market trends, performance of market territories, agent performance and consumer habits in real time.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continually invest in our technology platform that has the capacity to handle traffic well in excess of the number of transactions we currently process. A load balancing configuration between tier-1 datacenters, in addition to failover redundancy, provides uptime performance. Our technology platform has experienced limited downtime, with our 2022 downtime being less than 0.05%.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Transaction Processing Engine (“TPE”) allows us to process money remittances reliably and quickly by leveraging a proprietary rules engine to apply granular-level product feature customization. The TPE also leverages real-time risk management algorithms to improve our regulatory compliance and helps to minimize fraud.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internally developed and proprietary payer Application Programming Interface platform securely and efficiently integrates our TPE directly with the platforms of our paying agents, so that we can deliver money remittances quickly to our paying agents while optimizing the efficiency/speed of adding new payers to our network and integrating payers’ software and systems with our software and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Intermex brand is critical to our business. In the markets in which we compete, we derive benefit from our brand, as we believe the Intermex brand is recognized for its speed, cost effectiveness and reliability for money remittances throughout the United States, the LAC corridor, Canada and Africa. We use various trademarks and service marks in our business, including, but not limited, to Intermex, International Money Express, IntermexDirect, CheckDirect, La Nacional and Pago Express, some of which are registered in the United States and other countries. In addition, we rely on trade secret protection to protect certain proprietary rights in our information technology. See the section entitled “</w:t>
      </w:r>
      <w:r>
        <w:rPr>
          <w:rFonts w:ascii="Times New Roman" w:cs="Times New Roman" w:eastAsia="Times New Roman" w:hAnsi="Times New Roman"/>
          <w:sz w:val="18"/>
          <w:szCs w:val="18"/>
          <w:i w:val="1"/>
          <w:iCs w:val="1"/>
          <w:color w:val="auto"/>
        </w:rPr>
        <w:t>Information Technology</w:t>
      </w:r>
      <w:r>
        <w:rPr>
          <w:rFonts w:ascii="Times New Roman" w:cs="Times New Roman" w:eastAsia="Times New Roman" w:hAnsi="Times New Roman"/>
          <w:sz w:val="18"/>
          <w:szCs w:val="18"/>
          <w:color w:val="auto"/>
        </w:rPr>
        <w:t>” for more information.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rely on a combination of patent, trademark and copyright laws and trade secret protection and invention assignment, confidentiality or license agreements to protect our intellectual property rights in products, services, expertise, and information. We believe the intellectual property rights in processing equipment, computer systems, software and business processes held by us and our subsidiaries provide us with a competitive advantage. We take appropriate measures to protect our intellectual property to the extent such intellectual property can be protected.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majority of our money remittance transactions are generated through our agent network of retail locations and Company-operated stores where the transaction is processed and payment is collected by our sending agent or store. Sending agent locations include multi-service stores, grocery stores, convenience stores, bodegas and other retail locations. The vast majority of our sending agents are provided access to our proprietary money remittance software systems, while others have access to our combination telephone and fax/tablet set up, which we call telewire, enabling direct access to our call centers for money remittance services. In all of our independent sending agent locations the agent provides the physical infrastructure and staff required to complete the remittances, while we provide the central operating functions, such as transaction processing, settlement, marketing support, compliance training and support, and customer</w:t>
      </w:r>
    </w:p>
    <w:p>
      <w:pPr>
        <w:sectPr>
          <w:pgSz w:w="11900" w:h="16838" w:orient="portrait"/>
          <w:cols w:equalWidth="0" w:num="1">
            <w:col w:w="11240"/>
          </w:cols>
          <w:pgMar w:left="320" w:top="121" w:right="339" w:bottom="1440" w:gutter="0" w:footer="0" w:header="0"/>
        </w:sect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relationship management. We also maintain 117 Company-operated stores in the United States. We retain customer data, which enables us to increase repeat customer usage, track and effectively recapture one-time users of our service and improve sending agent productivity.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market our services to consumers in a number of ways, directly and indirectly through our sending agents and paying agents, promotional activities, traditional media and digital advertising, and our loyalty program, which we call “Interpuntos”. This loyalty program offers consumers faster service at our sending agent locations and the ability to earn points with each transaction that are redeemable for rewards, such as reduced transaction fees or more favorable foreign exchange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rapidly growing and leading money remittance service company primarily focused on the United States to the LAC corridor. We utilize our proprietary technology to deliver convenient, reliable and value-added services to consumers through a broad network of sending and paying agents. The two largest remittance corridors we serve are United States to Mexico and United States to Guatemala. According to the latest information available from the World Bank Remittance Matrix, the United States to Mexico remittance corridor was the largest in the world in 2021.</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Trends in the cross-border money remittance business tend to correlate to immigration trends, global economic opportunity and related employment levels in certain industries such as construction, information technology, manufacturing, agriculture and hospitality, as well as other service industries.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Worldwide political and economic conditions continue to exhibit instability, as evidenced by high unemployment rates in key Latin American markets, restricted lending activity, higher inflation, volatility in foreign currencies and low consumer confidence, some of which reflect residual effects of the COVID-19 pandemic and supply chain disruptions, among other economic and market factors. Specifically, continued political and economic unrest in Mexico, Guatemala and some countries in South America contributed to volatility.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Another significant trend impacting the money remittance industry is increasing regulation on banks, making it difficult for money remittance companies to have strong banking relationships. Regulations in the United States and elsewhere focus, in part, on cybersecurity and consumer protection. Regulations require money remittance providers, banks and other financial institutions to develop systems to prevent, detect, monitor and report certain transactions. In coming periods, we expect these and future regulatory requirements will continue to result in changes to certain of our business and administrative practices and may result in increased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non-bank financial institution in the United States, we are regulated by the Department of Treasury, the Internal Revenue Service, the U.S. Department of the Treasury’s Financial Crimes Enforcement Network (“FinCEN”), the Consumer Financial Protection Bureau (“CFPB”), the Department of Banking and Finance of the State of Florida and the equivalent regulatory authorities in all of the other states, the District of Columbia and the Commonwealth of Puerto Rico, in which we hold an operating money transmission license. We are duly registered as a Money Services Business (“MSB”) with FinCEN, the financial intelligence unit of the U.S. Department of the Treasury. We are also subject to a wide range of regulations in the United States and other countries, including: minimum capital or capital adequacy requirements; anti-money laundering laws and regulations; financial services regulations; currency control regulations; anti-bribery laws; money transfer and payment instrument licensing laws; escheatment laws; privacy, data protection and information security laws, such as the Gramm-Leach-Bliley Act (“GLBA”); and consumer disclosure and consumer protection laws, such as the California Consumer Privacy Act (“CCPA”).</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Regulators worldwide are exercising heightened supervision of money remittance providers and requiring increased efforts to ensure compliance. Failure to comply with any applicable laws and regulations could result in restrictions on our ability to provide our products and services, as well as the potential imposition of civil fines and possibly criminal penalties, including suspension or cancellation of an affected license. We continually monitor and enhance our compliance programs to stay current and compliant with legal and regulatory changes.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Anti-Money Laundering, Counter-Terrorism Financing and Sanctions Compliance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money remittance services are subject to anti-money laundering laws and regulations of the United States, including the Bank Secrecy Act (“BSA”), as amended by the USA PATRIOT Act of 2001, as well as state laws and regulations and the anti-money laundering laws and regulations in many of the countries in which we operate. The countries in which we operate may require one or more of the following:</w:t>
      </w:r>
    </w:p>
    <w:p>
      <w:pPr>
        <w:spacing w:after="0" w:line="176"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large cash transactions and suspicious activity;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screening against government watch-lists, including the sanctions list maintained by OFAC;</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transactions in, to or from certain countries, governments, individuals and entities;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amounts that may be transferred by a consumer or from a jurisdiction at any one time or over specified periods of time, which require aggregation over multiple transactions;</w:t>
      </w:r>
    </w:p>
    <w:p>
      <w:pPr>
        <w:spacing w:after="0" w:line="16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information gathering and reporting requirements;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disclosure requirements, including language requirements and foreign currency restrictions;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requirements as to the identity of contracting agents, governmental approval of contracting agents or requirements and limitations on contract terms with our agents;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or licensing of us or our agents with a state or federal agency in the United States or with the central bank or other proper authority in a foreign country.</w:t>
      </w:r>
    </w:p>
    <w:p>
      <w:pPr>
        <w:spacing w:after="0" w:line="16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Anti-money laundering regulations are constantly evolving and vary from country to country. </w:t>
      </w:r>
      <w:r>
        <w:rPr>
          <w:rFonts w:ascii="Times New Roman" w:cs="Times New Roman" w:eastAsia="Times New Roman" w:hAnsi="Times New Roman"/>
          <w:sz w:val="18"/>
          <w:szCs w:val="18"/>
          <w:color w:val="auto"/>
        </w:rPr>
        <w:t>We continuously monitor our compliance with anti-money laundering regulations and implement policies and procedures to stay current with legal requirements. Our money remittance services are primarily offered through third-party agents under contract with us, but we do not directly control these agents. As a MSB, we and our agents are required to establish anti-money laundering compliance programs that include internal policies and controls; a designated compliance officer; employee training and an independent review function. We have developed an anti-money laundering training manual and a program to assist with the education of our agents and employees on the applicable rules and regulations. We also offer in-person and online training as part of our agent compliance training program, engage in various activities to enable agent oversight and have adopted compliance policies that outline key principles of our compliance program to our agents. We have developed a regulatory compliance department, under the direction of our Chief Compliance Officer, whose foremost responsibility is to monitor transactions, detect suspicious activity, maintain financial records and train our employees and agents. An independent third-party consulting firm periodically reviews our policies and procedures to ensure the efficacy of our anti-money laundering and regulatory compliance programs. Key milestones in the compliance processes include: (1) mandatory fields and identification requirements at the time the sending agents initiate a transaction; (2) the sender and receiver are screened against government-required lists (for OFAC and other purposes); (3) before the transaction is sent to the paying agent, it is screened and any flagged exceptions are sent to the compliance unit for investigation and release or rejection; and (4) the transaction is screened for limit restrictions, velocity levels, structuring and identification requirements.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and when required by regulatory requirements, we make information available to certain U.S. federal and state, as well as certain foreign, government agencies to assist in the prevention of money laundering, terrorism financing and other illegal activities and pursuant to legal obligations and authorizations. In certain circumstances, we may be required by government agencies to deny transactions that may be related to persons suspected of money laundering, terrorism financing or other illegal activities, and it is possible that we may inadvertently deny transactions from consumers who are making legal money transfers.</w:t>
      </w:r>
    </w:p>
    <w:p>
      <w:pPr>
        <w:spacing w:after="0" w:line="1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Licensing</w:t>
      </w:r>
      <w:r>
        <w:rPr>
          <w:rFonts w:ascii="Times New Roman" w:cs="Times New Roman" w:eastAsia="Times New Roman" w:hAnsi="Times New Roman"/>
          <w:sz w:val="18"/>
          <w:szCs w:val="18"/>
          <w:color w:val="auto"/>
        </w:rPr>
        <w:t>. In most countries, either we or our agents are required to obtain licenses or to register with a government authority in order to offer money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services. Almost all states in the United States, the District of Columbia and Puerto Rico, as well as certain provinces in Canada, require us to be licensed to conduct business within their jurisdictions. Licensing requirements may include requirements related to net worth, providing surety bonds and letters of credit, operational procedures, agent oversight and maintenance of reserves to cover outstanding payment obligations. Acceptable forms of such reserves will vary based on jurisdiction and the applicable regulator, but generally include cash and cash equivalents, U.S. government securities and other highly rated debt instruments. Many regulators require us to file reports on a quarterly or more frequent basis to verify our compliance with their requirements. We are also subject to periodic examinations by the governmental agencies with regulatory authority over our business.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Escheatment</w:t>
      </w:r>
      <w:r>
        <w:rPr>
          <w:rFonts w:ascii="Times New Roman" w:cs="Times New Roman" w:eastAsia="Times New Roman" w:hAnsi="Times New Roman"/>
          <w:sz w:val="18"/>
          <w:szCs w:val="18"/>
          <w:color w:val="auto"/>
        </w:rPr>
        <w:t>. Unclaimed property laws of each state in the United States in which we operate, the District of Columbia, and Puerto Rico require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 We have an ongoing program designed to comply with escheatment laws as they apply to our business.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Data Privacy and Cybersecurity</w:t>
      </w:r>
      <w:r>
        <w:rPr>
          <w:rFonts w:ascii="Times New Roman" w:cs="Times New Roman" w:eastAsia="Times New Roman" w:hAnsi="Times New Roman"/>
          <w:sz w:val="18"/>
          <w:szCs w:val="18"/>
          <w:color w:val="auto"/>
        </w:rPr>
        <w:t>. We are subject to federal, state and international laws and regulations relating to the collection, use,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transfer, storage and disposal of personally identifiable information of our customers, agents and employees. In the United States, we are subject to various federal privacy laws, including the Gramm-Leach-Bliley Act, which requires that financial institutions provide consumers with privacy notices and have in place policies and procedures regarding the safeguarding of personal information. We are also subject to privacy and data breach laws of various states.</w:t>
      </w:r>
    </w:p>
    <w:p>
      <w:pPr>
        <w:sectPr>
          <w:pgSz w:w="11900" w:h="16838" w:orient="portrait"/>
          <w:cols w:equalWidth="0" w:num="1">
            <w:col w:w="11240"/>
          </w:cols>
          <w:pgMar w:left="320" w:top="121" w:right="3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Consumer Protection</w:t>
      </w:r>
      <w:r>
        <w:rPr>
          <w:rFonts w:ascii="Times New Roman" w:cs="Times New Roman" w:eastAsia="Times New Roman" w:hAnsi="Times New Roman"/>
          <w:sz w:val="18"/>
          <w:szCs w:val="18"/>
          <w:color w:val="auto"/>
        </w:rPr>
        <w:t>. The Dodd-Frank Wall Street Reform and Consumer Protection Act (the “Dodd-Frank Act”) imposes additional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and creates additional regulatory oversight over us. The Dodd-Frank Act created the CFPB which issues and enforces consumer protection initiatives governing financial products and services, including money remittance services, in the United States through the CFPB’s Remittance Transfer Rule. Its requirements include: a disclosure requirement to provide consumers sending funds internationally from the United States enhanced pre-transaction written disclosures, an obligation to resolve certain errors, including errors that may be outside our control, and an obligation to cancel transactions that have not been completed at a consumer’s request. As a “larger participant” in the market for international money transfers, we are subject to direct examination and supervision by the CFPB. We have modified our systems and consumer disclosures in light of the requirements of the Remittance Transfer Rule.</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under the Dodd-Frank Act, it is unlawful for any provider of consumer financial products or services to engage in unfair, deceptive, or abusive acts or practices. The CFPB has substantial rule making and enforcement authority to prevent unfair, deceptive, or abusive acts or practices in connection with any transaction with a consumer for a financial product or service. In addition, each state of the United States from time to time, may enact new laws and regulations, such as the CCPA, which creates new consumer rights relating to the access to, deletion of, and sharing of personal information that is collected by businesses. We have taken the necessary steps to review, modify and implement, as needed, policies and procedures designed to comply with the CFPB’s Remittance Transfer Rule. The Company’s communications, advertising and sales practices and that of its agent network are subject to regulation by, among other things, state and federal consumer protection laws including the Telephone Consumer Protection Act (“TCPA”). The FTC and the Federal Communications Commission have issued regulations under the TCPA that place restrictions on, among other things, unsolicited automated telephone calls or text messages to residential and wireless telephone subscribers by means of automatic telephone dialing systems and the use of prerecorded or artificial voice messages. The Company has taken steps to insulate itself from any such wrongful conduct, including conduct engaged in by its agents, by, among other things, requiring its agents to comply with the TCPA and such regulations.</w:t>
      </w:r>
    </w:p>
    <w:p>
      <w:pPr>
        <w:spacing w:after="0" w:line="19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Anti-Bribery Regulation</w:t>
      </w:r>
      <w:r>
        <w:rPr>
          <w:rFonts w:ascii="Times New Roman" w:cs="Times New Roman" w:eastAsia="Times New Roman" w:hAnsi="Times New Roman"/>
          <w:sz w:val="18"/>
          <w:szCs w:val="18"/>
          <w:color w:val="auto"/>
        </w:rPr>
        <w:t>. We are subject to regulations imposed by the Foreign Corrupt Practices Act (the “FCPA”) in the United States and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anti-bribery laws in other jurisdictions. These laws may impose recordkeeping and other requirements on us. We maintain a compliance program designed to comply with anti-bribery laws and regulations applicable to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times, we are exposed to credit risk related to receivable balances from sending agents in the money remittance process if agents do not timely make payments to us.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our online and electronic platforms, we also are exposed to credit risk directly from transactions that are originated through means other than cash, such as credit, debit cards and “ACH” transfers, and therefore are subject to “chargebacks” for insufficient funds or other collection impediments, such as fraud.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Given the nature of our business, we are also subject to liquidity risk as the timing of the funds to be remitted by our sending agents may extend in comparison with the timing when we make the funds available to the money transfer beneficiary in the destination country. Our current liquidity sources as well as our ability to generate free cash are mitigating factors in our liquidity management strategy.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indebtedness bears interest at variable rates, which exposes us to interest rate risk as a result of fluctuations on market interest rate benchmarks.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continually monitor fraud risk, perform credit reviews before adding agents to our network and conduct periodic credit risk analyses of agents and certain other parties that we transact with directly. For the fiscal year ended December 31, 2022, our provision for credit losses was equal to 0.5% of our total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experience meaningful seasonality in our business. We may experience, however, increased transaction volume around certain holidays, such as Mother’s Day and the December holidays.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market for money remittance services is very competitive. Our competitors include a small number of large money remittance providers, financial institutions and banks as well as a large number of small niche money remittance service providers that serve select regions. We compete with larger companies, such as The Western Union Company (“Western Union”), MoneyGram International, Inc. (“MoneyGram”), Remitly Global, Inc. (“Remitly”) and Euronet Worldwide Inc. (“Euronet”), and a number of other smaller competitors. We generally compete for money remittance agents on the basis of value, service, quality, technical and operational differences, commission, and marketing efforts. As a philosophy, we sell credible solutions to agents, not discounts or higher commissions as is typical for the industry. We compete for money remittance customers on the basis of trust, convenience, service, efficiency of outlets, value,</w:t>
      </w:r>
    </w:p>
    <w:p>
      <w:pPr>
        <w:sectPr>
          <w:pgSz w:w="11900" w:h="16838" w:orient="portrait"/>
          <w:cols w:equalWidth="0" w:num="1">
            <w:col w:w="11240"/>
          </w:cols>
          <w:pgMar w:left="320" w:top="121" w:right="339" w:bottom="1440" w:gutter="0" w:footer="0" w:header="0"/>
        </w:sect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technology and brand recognition. We believe that our ongoing investments in new products and services will help us to remain competitive in our evolving business environment, given the increasing competition from digital platform providers.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to encounter increasing competition as new technologies emerge that enable customers to send and receive money through a variety of channels, but we do not expect adoption rates to be as significant in the near 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in preparation for consumer adoption.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in our workforce by offering a competitive total rewards package that in addition to a salary, includes performance incentives and comprehensive benefits that are intended to be competitive in the market and focused on the needs of our employees in order to attract and retain highly qualified talent. Our incentives are primarily measurable and performance-based, and are designed to align compensation to our business strategy and goals. We have enhanced our onboarding process and plan to further enhance learning and development programs to drive quicker integration, development and higher productivity of new employees, as well as the ongoing development of team members to ensure robust recruitment and retention.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value diversity and inclusion and strive to create a work environment where everyone feels valued and devoted to their work. As of December 31, 2022, 98.5% of our U.S. team members identified themselves as racially or ethnically diverse. Also, 63.9% of our U.S. team identified themselves as female. In 2023, we intend to continue to promote greater community involvement through philanthropic and volunteer efforts, with a focus on diversity, community improvement, and STEM programs.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Since 2020, the well-being and health of our employees has remained one of our top priorities, especially in light of the COVID-19 pandemic. We adjusted standard operating procedures within our business operations to ensure continued worker safety.</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had 571 employees in the United States, all of whom are full-time. We also have 611 employees in Mexico, of whom 262 are full-time, and 60 employees in Guatemala, all of whom are full-time. As of December 31, 2022, 523 of our employees in Mexico were represented by a labor union.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Annual Report on Form 10-K, quarterly reports on Form 10-Q, current reports on Form 8-K, and amendments to those reports are available free of charge through the “Investor Relations” section of the Company’s website, www.intermexonline.com, as soon as reasonably practical after they are filed with the Securities and Exchange Commission (“SEC”). The SEC maintains a website, www.sec.gov, which contains reports, proxy and information statements, and other information filed electronically with the SEC by the Company. In addition, you may automatically receive email alerts and other information when you enroll your email address by visiting the “Investor Relations” section of our website. We use our website as a channel of distribution for important Company information, including press releases, investor presentations and financial information, which may be accessed by clicking on the Investors Relations section. We may also use our website to expedite public access to time-critical information regarding our Company in advance of or in lieu of distributing a press release or a filing with the SEC disclosing the same information. Therefore, investors should look to the Investor Relations section of our website for important and time-critical information. The content of any website referred to in this document is not incorporated by reference into this document.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certain information regarding the Company’s current executive officers as of March 6, 2023:</w:t>
      </w:r>
    </w:p>
    <w:p>
      <w:pPr>
        <w:spacing w:after="0" w:line="26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r>
      <w:tr>
        <w:trPr>
          <w:trHeight w:val="230"/>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Lisy</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tcBorders>
              <w:bottom w:val="single" w:sz="8" w:color="CCEEFF"/>
            </w:tcBorders>
            <w:shd w:val="clear" w:color="auto" w:fill="CCEEFF"/>
          </w:tcPr>
          <w:p>
            <w:pPr>
              <w:spacing w:after="0"/>
              <w:rPr>
                <w:sz w:val="20"/>
                <w:szCs w:val="20"/>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President and Chairman of the Board of Directors</w:t>
            </w:r>
          </w:p>
        </w:tc>
      </w:tr>
      <w:tr>
        <w:trPr>
          <w:trHeight w:val="23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Andras Bende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36"/>
        </w:trPr>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Aguilar</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tcBorders>
              <w:bottom w:val="single" w:sz="8" w:color="CCEEFF"/>
            </w:tcBorders>
            <w:shd w:val="clear" w:color="auto" w:fill="CCEEFF"/>
          </w:tcPr>
          <w:p>
            <w:pPr>
              <w:spacing w:after="0"/>
              <w:rPr>
                <w:sz w:val="20"/>
                <w:szCs w:val="20"/>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General Manager - Latin America</w:t>
            </w:r>
          </w:p>
        </w:tc>
      </w:tr>
      <w:tr>
        <w:trPr>
          <w:trHeight w:val="23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Randall Nilsen</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2"/>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36"/>
        </w:trPr>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Ernesto Luciano</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Borders>
              <w:bottom w:val="single" w:sz="8" w:color="CCEEFF"/>
            </w:tcBorders>
            <w:shd w:val="clear" w:color="auto" w:fill="CCEEFF"/>
          </w:tcPr>
          <w:p>
            <w:pPr>
              <w:spacing w:after="0"/>
              <w:rPr>
                <w:sz w:val="20"/>
                <w:szCs w:val="20"/>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and Chief Legal Officer</w:t>
            </w:r>
          </w:p>
        </w:tc>
      </w:tr>
      <w:tr>
        <w:trPr>
          <w:trHeight w:val="23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Hunt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Acting Chief Operating Officer</w:t>
            </w:r>
          </w:p>
        </w:tc>
      </w:tr>
    </w:tbl>
    <w:p>
      <w:pPr>
        <w:spacing w:after="0" w:line="33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Robert Lisy </w:t>
      </w:r>
      <w:r>
        <w:rPr>
          <w:rFonts w:ascii="Times New Roman" w:cs="Times New Roman" w:eastAsia="Times New Roman" w:hAnsi="Times New Roman"/>
          <w:sz w:val="18"/>
          <w:szCs w:val="18"/>
          <w:color w:val="auto"/>
        </w:rPr>
        <w:t>has served as a director of International Money Express, Inc. since 2018. Mr. Lisy served as a director of International Money Express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 2, LLC’s predecessor entities from 2009 to 2018. Mr. Lisy is the Chief Executive Officer, President, and Chairman of the Board of Directors of International Money Express, Inc. and its predecessors, which he joined in 2009. Mr. Lisy has more than 30 years</w:t>
      </w:r>
    </w:p>
    <w:p>
      <w:pPr>
        <w:sectPr>
          <w:pgSz w:w="11900" w:h="16838" w:orient="portrait"/>
          <w:cols w:equalWidth="0" w:num="1">
            <w:col w:w="11240"/>
          </w:cols>
          <w:pgMar w:left="320" w:top="121" w:right="339" w:bottom="1440" w:gutter="0" w:footer="0" w:header="0"/>
        </w:sectPr>
      </w:pP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experience in the retail financial services and electronic payment processing industry in various positions, including three years as the Chief Marketing and Sales Officer of Vigo Remittance Corp., a money transfer and bill payments service in the United States and internationally, and over seven years at Western Union in various sales, marketing and operational positions of increasing responsibility. Mr. Lisy was a founding partner of Direct Express/Paystation America, which offered, among other things, prepaid debit cards to federal benefit recipients, where he served as Chief Operating Officer and on the board of directors. He was an integral part in the efforts to successfully sell Direct Express in 2000 to American Payment Systems. Mr. Lisy holds a bachelor’s degree in Finance from Cleveland State University.</w:t>
      </w:r>
    </w:p>
    <w:p>
      <w:pPr>
        <w:spacing w:after="0" w:line="21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Andras Bende </w:t>
      </w:r>
      <w:r>
        <w:rPr>
          <w:rFonts w:ascii="Times New Roman" w:cs="Times New Roman" w:eastAsia="Times New Roman" w:hAnsi="Times New Roman"/>
          <w:sz w:val="18"/>
          <w:szCs w:val="18"/>
          <w:color w:val="auto"/>
        </w:rPr>
        <w:t>joined International Money Express, Inc. as Chief Financial Officer in December 2020. Prior to joining the Company, Mr. Bende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the Chief Financial Officer of Computer Services, Inc., a financial technology company, from 2018 to 2019, where he helped guide the company during a period of significant growth and share price appreciation. Prior to his time at Computer Services, Inc., Mr. Bende held several international Chief Financial Officer and Controller roles at GE Capital from 2005 to 2017. Mr. Bende is a graduate of GE’s Financial Management Program and the GE Corporate Audit Staff and holds a bachelor’s degree in financial management from Clemson University.</w:t>
      </w:r>
    </w:p>
    <w:p>
      <w:pPr>
        <w:spacing w:after="0" w:line="2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Randall Nilsen </w:t>
      </w:r>
      <w:r>
        <w:rPr>
          <w:rFonts w:ascii="Times New Roman" w:cs="Times New Roman" w:eastAsia="Times New Roman" w:hAnsi="Times New Roman"/>
          <w:sz w:val="18"/>
          <w:szCs w:val="18"/>
          <w:color w:val="auto"/>
        </w:rPr>
        <w:t>has served as the Chief Revenue Officer of International Money Express, Inc. since 2018. Mr. Nilsen was Intermex’s Chief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from 2015 to 2018. Prior to joining the Company, Mr. Nilsen served as Chief Revenue Officer at Sigue Money Transfer Services (“Sigue”), a global remittance provider from 2011 to 2015 where he was responsible for revenue generation through acquisition and retention of both agents and consumers within North America. Prior to his employment with Sigue, Mr. Nilsen was the Chief Franchise Sales and Operations Officer at Jackson Hewitt from 2008 to 2011. Prior to Jackson Hewitt, Mr. Nilsen was with Western Union from 1987 to 2008 where he held roles with increasing responsibility in sales, marketing and sales planning and was responsible for business units in the U.S., Canada and the U.K. Mr. Nilsen is a graduate of the Executive Management program at the University of California Los Angeles’s Anderson School of Management and holds a bachelor’s degree in Business Finance from Brigham Young University.</w:t>
      </w:r>
    </w:p>
    <w:p>
      <w:pPr>
        <w:spacing w:after="0" w:line="21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Joseph Aguilar </w:t>
      </w:r>
      <w:r>
        <w:rPr>
          <w:rFonts w:ascii="Times New Roman" w:cs="Times New Roman" w:eastAsia="Times New Roman" w:hAnsi="Times New Roman"/>
          <w:sz w:val="18"/>
          <w:szCs w:val="18"/>
          <w:color w:val="auto"/>
        </w:rPr>
        <w:t>joined International Money Express, Inc. in September 2019 as Chief Operating Officer. Effective January 2023, Mr. Aguilar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President and General Manager - Latin America. Prior to joining Intermex, Mr. Aguilar was a senior executive at Sigue Corporation, a money transfer company; starting in 2005 as the Chief Auditor, where he established the Internal Audit function for its U.S. and Mexico Operations. Following several successful audit cycles, he was promoted to Chief Operating Officer, responsible for all operations and technology functions of the global organization. In 2014, Mr. Aguilar was promoted to President of SGS, Ltd. UK, the International Division of Sigue Corporation, with responsibility for all aspects of the business in the EU, Eastern Europe, Africa, Asia and South Asia. Prior to his roles at Sigue Corporation, Mr. Aguilar held senior roles at BBVA Bancomer, California Commerce Bank and Dai-Ichi Kangyo Bank of California. Mr. Aguilar holds a bachelor’s degree in English from University of California at Santa Barbara.</w:t>
      </w:r>
    </w:p>
    <w:p>
      <w:pPr>
        <w:spacing w:after="0" w:line="21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Ernesto Luciano </w:t>
      </w:r>
      <w:r>
        <w:rPr>
          <w:rFonts w:ascii="Times New Roman" w:cs="Times New Roman" w:eastAsia="Times New Roman" w:hAnsi="Times New Roman"/>
          <w:sz w:val="18"/>
          <w:szCs w:val="18"/>
          <w:color w:val="auto"/>
        </w:rPr>
        <w:t>joined International Money Express, Inc. in November 2020 as General Counsel and Chief Compliance Officer and subsequently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General Counsel and Chief Regulatory Affairs Officer from May 1, 2021 until January 24th, 2022. Effective January 25, 2022, Mr. Luciano was appointed Corporate Secretary, General Counsel and Chief Legal Officer. Prior to joining the Company, Mr. Luciano was the vice president &amp; associate general counsel of Kaplan Higher Education, LLC, an educational program provider, (“Kaplan”) from 2016 to 2020. Prior to his role at Kaplan, Mr. Luciano was general counsel for Verizon Media’s U.S. Hispanic and Latin American division (k/n/a Yahoo!) from 2007 to 2016 and also held senior legal positions with Home Box Office, Inc. (HBO), Gilat Satellite Networks Ltd., and Turner Broadcasting Systems (TBS), among others. Mr. Luciano holds a bachelor’s degree from the State University of New York at Albany and a Juris Doctor (J.D.) from the New England School of Law in Boston, Massachusetts.</w:t>
      </w:r>
    </w:p>
    <w:p>
      <w:pPr>
        <w:spacing w:after="0" w:line="21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Christopher Hunt </w:t>
      </w:r>
      <w:r>
        <w:rPr>
          <w:rFonts w:ascii="Times New Roman" w:cs="Times New Roman" w:eastAsia="Times New Roman" w:hAnsi="Times New Roman"/>
          <w:sz w:val="18"/>
          <w:szCs w:val="18"/>
          <w:color w:val="auto"/>
        </w:rPr>
        <w:t>joined International Money Express, Inc. in March 2021 as Chief Information Officer. Effective January 2023, Mr. Hunt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Acting Chief Operating Officer. Prior to joining the Company, Mr. Hunt was the Chief Technology Officer of Bankers Healthcare Group, a financial services company (“Bankers”), from 2013 to 2021. Prior to his role at Bankers, Mr. Hunt worked at several companies where he held a variety of IT positions with increasing responsibility for all aspects of overall IT strategy, product development, compliance and cybersecurity. Mr. Hunt earned a bachelor’s degree in Business Administration with a major in Decision Information Sciences from the University of Florida in Gainesville, Florida.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certain risks. The risks and uncertainties described below are not the only risks that may have a material and adverse effect on the Company, and the risks described herein are not listed in order of the potential occurrence or severity. There is no assurance that we have identified, assessed and appropriately addressed all risks affecting our business operations. Additional risks and uncertainties could adversely affect our business and our results. If any of the following risks actually occur, our business, consolidated financial condition or results of operations could be negatively affected, and the market price for our shares could decline. Further, to the extent that any of the information contained in this Annual Report on Form 10-K constitutes forward-looking statements, the risk factors set forth below are cautionary statements, identifying important factors that could cause the Company’s actual results to differ materially from those expressed in or implied by any forward-looking statements made by or on behalf of the Company. There can also be no assurance that the actual future results, performance, benefits or achievements that we expect from our strategies, systems, initiatives or products will occur.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results of operations, business and cash flow may be negatively affected by a public health crises, such as the coronavirus (COVID-19) pandemic.</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face risks related to health epidemics and pandemics or other outbreaks of communicable diseases such as the global COVID-19 pandemic. The COVID-19 pandemic has had and continues to have a significant effect on economic conditions in the United States of America (“United States” or “U.S.”), and to a certain degree continues to cause, significant uncertainties in the U.S. and global economies. Public health officials and medical professionals have warned that COVID-19 resurgences may continue to occur due to a variety of factors, including the extent of economic activity, social interaction, vaccination rates and the emergence of potent variants. It is unclear if and when resurgences will occur or how long any resurgence will last, how severe it will be, and what safety measures governments and businesses will impose in response.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public health epidemic or pandemic, such as the COVID-19 pandemic, can have a material adverse effect on the demand for our money remittance services to the extent it impacts the markets in which we operate, and poses the risk that we or our employees, network of agents and consumers and their beneficiaries may be prevented from conducting business activities for an indefinite period of time, including due to shutdowns requested or mandated by governmental authorities, or that such epidemic may otherwise interrupt or impair business activities. We continue to prioritize taking appropriate actions to protect the health and safety of our employees. We have adjusted standard operating procedures within our business operations to ensure continued worker safety, and are continually monitoring evolving health guidelines and responding to changes as appropriate.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certain measures that restrict the normal course of operations of businesses and consumers were still in place for the year ended December 31, 2022, such measures did not have a material adverse effect on the Company’s financial condition, results of operations and cash flows for the year ended December 31, 2022. Although the Company’s operations continued effectively despite social distancing and other measures taken in response to the pandemic, our financial condition, results of operations and cash flows remain subject to future developments, including the persistence of the pandemic’s effects on economic conditions, particularly the level of unemployment of our customers, inflation (including changes in wages) and governmental efforts to restrain inflation, interest rate levels and foreign exchange volatility, as well as the possibility of resurgences of the pandemic and the severity of any such resurgence, all of which remain uncertain and cannot be predicted at this time along with any potential material adverse effect on our financial condition, results of operations and cash flows.</w:t>
      </w:r>
    </w:p>
    <w:p>
      <w:pPr>
        <w:spacing w:after="0" w:line="200" w:lineRule="exact"/>
        <w:rPr>
          <w:sz w:val="20"/>
          <w:szCs w:val="20"/>
          <w:color w:val="auto"/>
        </w:rPr>
      </w:pPr>
    </w:p>
    <w:p>
      <w:pPr>
        <w:spacing w:after="0" w:line="2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sending agents, our business with key sending agents is reduced or we are unable to maintain our sending agent network under terms consistent with those currently in place, our business, financial condition and results of operations could be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Most of our revenue is earned through our sending agent network. Sending agents are the persons who interact with consumers and provide them with our money remittance services. If sending agents decide to leave our network, our revenue and profits could be adversely affected. The loss of sending agents may occur for a number of reasons, including competition from other money remittance providers, a sending agent’s dissatisfaction with its relationship with us or the revenue earned from the relationship, or a sending agent’s unwillingness or inability to comply with our standards or legal requirements, including those related to compliance with anti-money laundering regulations, anti-fraud measures or agent monitoring. Sending agents also may generate fewer transactions or reduce locations for reasons unrelated to our relationship with them, including increased competition in their business, general economic conditions, regulatory costs or other reasons. In addition, larger sending agents may demand additional financial concessions, which could increase competitive pressure.</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are unable to continue to compete effectively, our business, financial condition and results of operations could be adversely affected.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markets in which we operate are highly competitive, and we face a variety of competitors across our businesses, some of which have larger and more established customer bases and substantially greater financial, marketing and other resources than we have. We compete in a concentrated industry, with a small number of large competitors and a large number of small, niche competitors, including consumer money remittance companies, banks, card associations, web-based services, payment processors, informal remittance systems and others. We also face competition from new digital and nontraditional remittance service providers within the financial technology industry. We believe our services are differentiated by features and functionalities, including trust, convenience, service, efficiency of outlets, value, technology and brand recognition. Distribution channels and digital platforms such as online, account based and mobile solutions continue to evolve and impact the competitive environment for money remittances.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future growth depends on our ability to compete effectively. For example, if our services do not offer competitive features and functionalities, we may lose customers to our competitors, which could adversely affect our business, financial condition and results of operations. In addition, if we fail to price our services appropriately relative to our competitors, consumers may not use our services, which could adversely affect our business and financial results. For example, transaction volume where we face intense competition could be adversely affected by increasing pricing pressures between our money remittance services and those of some of our competitors, which could reduce margins and adversely affect our financial results. We have historically implemented and may continue implementing price adjustments from time to time in response to competition and other factors. If we reduce prices in order to mitigate the actions of competitors, such reductions could adversely affect our financial results in the short term and may also adversely affect our financial results in the long term if transaction volumes do not increase sufficiently or we do not implement other pricing strategies.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Weakness in economic conditions, in both the U.S. and international markets, could adversely affect our business, financial condition and results of operations. We are subject to business cycles and other outside factors, including geopolitical events, natural disasters and other factors, that may negatively affect our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money remittance business relies in part on the overall strength of economic conditions. Consumer money remittance transactions are affected by, among other things, employment opportunities and overall economic conditions, such as recession, rising inflation and higher market interest rates. Additionally, consumers tend to be employed in industries such as construction, information technology, manufacturing, agriculture, hospitality and certain service industries that tend to be cyclical and are more significantly affected by weak economic conditions than other industries. This may result in reduced job opportunities for consumers in the United States or other countries that are important to our business, which could adversely affect our business, financial condition and results of operations. In addition, increases in employment opportunities may lag other elements of any economic recovery.</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general market and economic conditions in the United States or other countries important to our business were to deteriorate, our business, financial condition and results of operations could be adversely impacted. Our agents may have reduced sales or business as a result of weak economic conditions. As a result, our agents may reduce their number of locations, hours of operation, or cease doing business altogether. If consumer transactions decline due to deteriorating economic conditions, we may be unable to timely and effectively reduce our operating costs or take other actions in response, which could adversely affect our business, financial condition and results of operations. Our employees, agents and consumers in a particular country or region in the world may be negatively affected as a result of a variety of diversions, including: geopolitical events, such as war, the threat of war, or terrorist activity; natural disasters or the effects of climate change (such as drought, flooding, wildfires, increased storm severity, and sea level rise); power shortages or outages; major public health issues, including pandemics (such as COVID-19); and significant local, national or global events capturing the attention of a large part of the population. If any of these, or any other factors, disrupt a country or region where we have a significant workforce, customers or agents, our business could be materially adversely affected. Additionally, economic or political instability, wars, civil unrest, terrorism and natural disasters may make money transfers to, from or within a particular country more difficult. The inability to timely complete money transfers could adversely affect our business.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consumer confidence in our business or in consumer money remittance providers generally deteriorates, our business, financial condition and results of operations could be adversely affected.</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built on consumer confidence in our brands and our ability to provide convenient, reliable and value-added money remittance services. Erosion in consumer confidence in our business, or in consumer money remittance service providers as a means to transfer money more generally, could adversely impact transaction volumes which would in turn adversely impact our business, financial condition and results of operations.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could adversely affect consumer confidence in our business, or in consumer money remittance providers more generally, many of which are beyond our control, and could have an adverse impact on our business, financial condition and results of operations. These factors include:</w:t>
      </w:r>
    </w:p>
    <w:p>
      <w:pPr>
        <w:spacing w:after="0" w:line="162" w:lineRule="exact"/>
        <w:rPr>
          <w:sz w:val="20"/>
          <w:szCs w:val="20"/>
          <w:color w:val="auto"/>
        </w:rPr>
      </w:pPr>
    </w:p>
    <w:p>
      <w:pPr>
        <w:ind w:left="5540" w:right="1860" w:hanging="5208"/>
        <w:spacing w:after="0" w:line="595" w:lineRule="auto"/>
        <w:tabs>
          <w:tab w:leader="none" w:pos="5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services and our customer experience, and our ability to meet evolving consumer needs and preferences;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agents to deliver services in accordance with our requirements;</w:t>
      </w:r>
    </w:p>
    <w:p>
      <w:pPr>
        <w:spacing w:after="0" w:line="225"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concerns resulting from actual or perceived events, including those related to fraud, consumer protection, money laundering, corruption or other matters;</w:t>
      </w:r>
    </w:p>
    <w:p>
      <w:pPr>
        <w:spacing w:after="0" w:line="161"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regulator or judicial interpretation thereof, that have the effect of making it more difficult or less desirable to transfer money using consumer money remittance service providers, including additional customer due diligence, identification, reporting, and recordkeeping requirements;</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federal, state or foreign regulators that interfere with our ability to remit consumers’ money reliably; for example, attempts to seize money remittance funds, imposition of tariffs or limits on our ability to, or that prohibit us from, remitting money in the corridors in which we operate;</w:t>
      </w:r>
    </w:p>
    <w:p>
      <w:pPr>
        <w:spacing w:after="0" w:line="175"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or foreign legal requirements, including those that require us to provide consumer or transaction data, and other requirements or to a greater extent than is currently required;</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interruption or downtime in our systems, including those caused by fire, natural disaster, power loss, telecommunications failure, terrorism, vendor failure, unauthorized entry and computer viruses or disruptions in our workforce; and</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attack or breach of our computer systems or other data storage facilities resulting in a compromise of personal data.</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significant portion of consumers that use our services are migrants. Consumer advocacy groups or governmental agencies could consider migrants to be disadvantaged and entitled to protection, enhanced consumer disclosure, or other different treatment. If consumer advocacy groups are able to generate widespread support for actions that are detrimental to our business, then our business, financial condition and results of operations could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profit margins may be adversely affected by expansion into new geographic or product markets, which we may enter by acquisition or otherwise, that do not have the same profitability as our core markets.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expansion of our business into new geographic or product markets may increase our aggregate revenues, such new geographic or product markets may be more expensive to operate in and may require us to receive lower payment per wire or remittance than that which we currently experience in our core geographic markets of Mexico and Guatemala or other more established product markets due to, among other things:</w:t>
      </w:r>
    </w:p>
    <w:p>
      <w:pPr>
        <w:spacing w:after="0" w:line="176" w:lineRule="exact"/>
        <w:rPr>
          <w:sz w:val="20"/>
          <w:szCs w:val="20"/>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compliance and regulatory costs requiring us to dedicate more expense, time and resources to comply with such regulatory requirements;</w:t>
      </w:r>
    </w:p>
    <w:p>
      <w:pPr>
        <w:spacing w:after="0" w:line="225"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higher operational expenses, such as higher agent fees, taxes, fees, technology costs, support costs or other charges and expenses associated with engaging in the money transfer business in different jurisdictions or as a result of new product offerings;</w:t>
      </w:r>
    </w:p>
    <w:p>
      <w:pPr>
        <w:spacing w:after="0" w:line="161" w:lineRule="exact"/>
        <w:rPr>
          <w:rFonts w:ascii="Times New Roman" w:cs="Times New Roman" w:eastAsia="Times New Roman" w:hAnsi="Times New Roman"/>
          <w:sz w:val="18"/>
          <w:szCs w:val="18"/>
          <w:color w:val="auto"/>
        </w:rPr>
      </w:pPr>
    </w:p>
    <w:p>
      <w:pPr>
        <w:ind w:left="580" w:right="20" w:hanging="248"/>
        <w:spacing w:after="0" w:line="282" w:lineRule="auto"/>
        <w:tabs>
          <w:tab w:leader="none" w:pos="5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pricing models due to more intense competition with entities that may have more experience and resources as well as more established relationships with relevant customers, regulators and industry participants;</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demand for remittance services; and</w:t>
      </w:r>
    </w:p>
    <w:p>
      <w:pPr>
        <w:spacing w:after="0" w:line="225"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building and maintaining a network of sending and paying agents in a particular geographic area or with respect to a particular product offering.</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process remittances to Latin America, Africa and Asia from the United States and from Canada to Latin America and Africa. Additionally, we have expanded our product and service portfolio to include online payment options, pre-paid debit cards and direct deposit payroll cards, which may present different cost, demand, regulatory and risk profiles relative to our core remittance business. If we are unable to capitalize on these markets, or if we spend significant time and resources on expansion plans that fail or are delayed, our business will be adversely affected. Even if we are successful, we will be exposed to additional risks in these markets that we do not face in the United States or in our core remittance business, which could have an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and integration of new businesses create risks and may affect operating results. Failure to successfully complete or manage strategic transactions can adversely affect our business.</w:t>
      </w:r>
    </w:p>
    <w:p>
      <w:pPr>
        <w:spacing w:after="0" w:line="15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 regularly review our businesses strategy and evaluate potential acquisitions, joint ventures, divestitures, and other strategic transactions. We have acquired and may acquire businesses both inside and outside the United States, such as the acquisition of La</w:t>
      </w:r>
    </w:p>
    <w:p>
      <w:pPr>
        <w:sectPr>
          <w:pgSz w:w="11900" w:h="16838" w:orient="portrait"/>
          <w:cols w:equalWidth="0" w:num="1">
            <w:col w:w="11240"/>
          </w:cols>
          <w:pgMar w:left="320" w:top="121"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Nacional on November 1, 2022, and the pending acquisition of LAN Holdings expected in 2023. The success of these transactions is dependent upon, among other things, our ability to realize the full extent of the expected returns, benefits, cost savings or synergies as a result of a transaction within the anticipated time frame, or at all, and receipt of necessary consents, clearances and approvals. Acquisitions often involve additional or increased risks including, for example:</w:t>
      </w:r>
    </w:p>
    <w:p>
      <w:pPr>
        <w:spacing w:after="0" w:line="207" w:lineRule="exact"/>
        <w:rPr>
          <w:sz w:val="20"/>
          <w:szCs w:val="20"/>
          <w:color w:val="auto"/>
        </w:rPr>
      </w:pPr>
    </w:p>
    <w:p>
      <w:pPr>
        <w:ind w:left="580" w:right="20" w:hanging="248"/>
        <w:spacing w:after="0" w:line="282" w:lineRule="auto"/>
        <w:tabs>
          <w:tab w:leader="none" w:pos="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complex process of integrating the acquired company’s employees, products and services, technology and other assets in an effort to realize the projected value of the acquired company and the projected synergies of the acquisition;</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realizing the anticipated financial benefits from these acquisitions and where necessary, improving controls of these acquired businesses (including internal control over financial reporting and disclosure controls and procedures);</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good relations with agents of acquired companies;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geographically separated organizations, systems and facilities;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multi-jurisdictional operating, tax and financing structures or any inefficiencies;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with diverse business backgrounds and organizational cultures;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acquired systems and technologies into our Company;</w:t>
      </w:r>
    </w:p>
    <w:p>
      <w:pPr>
        <w:spacing w:after="0" w:line="225"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regulatory requirements, including those particular to the industry and jurisdiction of the acquired business, and the need to improve regulatory compliance systems and controls;</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enforcing intellectual property rights in some foreign countries;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new markets with the services of the acquired businesses; and</w:t>
      </w:r>
    </w:p>
    <w:p>
      <w:pPr>
        <w:spacing w:after="0" w:line="225"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including legal and other barriers to cross-border investment in general, or by United States companies in particular.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Integrating operations could also cause an interruption of, or divert resources from, one or more of our businesses and could result in the loss of key personnel. The diversion of management’s attention and any delays or difficulties encountered in connection with an acquisition and the integration of the acquired company’s operations could have an adverse effect on our business, financial condition, results of operations, and cash flows. Strategic transactions that are not successfully completed or managed effectively, or our failure to effectively manage the risks associated with such transactions, could result in adverse effects on our business, financial condition and results of operations.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data privacy and cybersecurity laws and regulations could adversely affect our business, financial condition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requirements relating to data privacy and cybersecurity under U.S. federal, state and foreign laws. For example, in the U.S. the FTC routinely investigates the privacy practices of companies and has commenced enforcement actions against many, resulting in multi-million dollar settlements and multi-year agreements governing the settling companies’ privacy practices. If we are unable to meet such requirements, we may be subject to significant fines or penalties. Furthermore, certain industry groups require us to adhere to privacy requirements in addition to federal, state and foreign laws, and certain of our business relationships depend upon our compliance with these requirements.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the number of jurisdictions enacting privacy and related laws increases and the scope of these laws and enforcement efforts expands, we will increasingly become subject to new and varying requirements. For example, the CCPA requires covered companies to provide California consumers with new disclosures and expands the rights afforded to consumers regarding their data. The costs of compliance with, and other burdens imposed by, the CCPA and similar laws may limit the use and adoption of our products and services and/or require us to incur substantial compliance costs, which could have an adverse impact on our business. In addition, it is anticipated that the California Privacy Rights Act of 2020 (CPRA), effective January 1, 2023, will expand the CCPA. For example, the CPRA establishes a new California Privacy Protection Agency to implement and enforce the CPRA, which could increase the risk of an enforcement action. Other states have also enacted data privacy laws. For example, Virginia passed the Consumer Data Protection Act, Colorado passed the Colorado Privacy Act, and Utah passed the Consumer Privacy Act, all of which become effective in 2023. Additionally, several states and localities have enacted measures related to the use of artificial intelligence and machine learning in products and services. In addition, data privacy and security laws have been proposed at the federal, state, and local levels in recent years,</w:t>
      </w:r>
    </w:p>
    <w:p>
      <w:pPr>
        <w:sectPr>
          <w:pgSz w:w="11900" w:h="16838" w:orient="portrait"/>
          <w:cols w:equalWidth="0" w:num="1">
            <w:col w:w="11240"/>
          </w:cols>
          <w:pgMar w:left="320" w:top="121" w:right="339" w:bottom="1440" w:gutter="0" w:footer="0" w:header="0"/>
        </w:sectPr>
      </w:pP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which could further complicate compliance efforts. Failure to comply with existing or future data privacy and cybersecurity laws, regulations and requirements, including by reason of inadvertent disclosure of personal information, could result in significant adverse consequences, including reputational harm, civil litigation, regulatory enforcement, costs of remediation, increased expenses for security systems and personnel, harm to our consumers and harm to our agents.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in connection with regulatory requirements to assist in the prevention of money laundering and terrorist financing and pursuant to legal obligations and authorizations, we make information available to certain U.S. federal and state, as well as certain foreign, government agencies. Periodically, we receive data sharing requests by these agencies, particularly in connection with efforts to prevent terrorist financing, human traffic or reduce the risk of identity theft. During the same period, there has also been increased public attention to the corporate use and disclosure of personal information, accompanied by legislation and regulations intended to strengthen data protection, information security and consumer privacy. These regulatory goals may conflict, and the law in these areas is not consistent or settled. While we believe that we are compliant with our regulatory responsibilities, the legal, political and business environments in these areas are rapidly changing, and subsequent legislation, regulation, litigation, court rulings or other events could expose us to increased program costs, liability and reputational damage that could have a material and adverse effect on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risk management and compliance systems may not be able to exhaustively assess or mitigate all risks to which we are exposed from a transaction monitoring perspective.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engaged in ongoing efforts to enhance our risk management and compliance policies, procedures and systems to assure compliance with anti-money laundering laws and economic sanctions regulations. We have implemented, and are continuing to implement, policies, procedures and systems designed to address these laws and regulations, including monitoring on an automated and manual basis, the transactions processed through our systems and restricting business involving certain countries or individuals. However, the implementation of such policies, procedures and systems may be subject to human error. Further, we may be exposed to fraud or other misconduct committed by our employees, or other third parties, including but not limited to consumers and agents, or other events that are out of our control. Additionally, our risk management policies, procedures and systems are based upon our experience in the industry, and may not be adequate or effective in managing our future risk exposures or protecting us against unidentified or unanticipated risks, which could be significantly greater than those indicated by our past experience. As a result, we can offer no assurances that these policies, procedures and systems will be adequate to detect or prevent money laundering activity or OFAC violations. If any of these policies, procedures or systems do not operate properly, or are disabled, or are subject to intentional manipulation or inadvertent human error, we could suffer financial loss, a disruption of our business, regulatory intervention or reputational damage.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services might be used for illegal or improper purposes, such as consumer fraud or money laundering, which could expose us to additional liability.</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services remain susceptible to potentially illegal or improper uses as criminals are using increasingly sophisticated methods to engage in illegal activities involving internet services and payment services, such as identity theft, fraud and paper instrument counterfeiting. As we make more of our services available online and via Internet-enabled mobile devices, we subject ourselves to new types of consumer fraud risk because requirements relating to consumer authentication are more complex with internet services and such other technologies. Additionally, it is possible that our agents could engage in fraud against consumers. We use a variety of tools to protect against fraud; however, these tools may not always be successful. Allegations of fraud may result in fines, settlements, litigation expenses and reputational damage.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illegal or improper uses of our services may include money laundering, terrorist financing, drug trafficking, human trafficking, illegal online gaming, romance and other online scams, illegal sexually-oriented services, prohibited sales of pharmaceuticals, fraudulent sale of goods or services, piracy of software, movies, music and other copyrighted or trademarked goods, unauthorized uses of credit and debit cards or bank accounts and similar misconduct. Users of our services also may encourage, promote, facilitate or instruct others to engage in illegal activities. If the measures we have taken are too restrictive and inadvertently screen proper transactions, this could diminish our customer experience which could harm our business. There is no assurance that the measures we have taken to detect and reduce the risk of this kind of conduct will stop all illegal or improper uses of our services. Our business could be harmed if consumers use our system for illegal or improper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breach of security in the systems on which we rely could adversely affect our reputation, business, financial condition and results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on a variety of technologies to provide security for our systems. Advances in computer capabilities, new discoveries in the field of cryptography or other events or developments, including improper acts by third parties, may result in a compromise or breach of the security measures we use to protect our systems. We obtain, transmit and store confidential consumer, employer and agent information in connection with some of our services. These activities are subject to laws and regulations in the United States and other jurisdictions. The requirements imposed by these laws and regulations, which often differ materially among the many jurisdictions, are designed to protect the privacy of personal information and to prevent that information from being inappropriately disclosed. Any security breaches in</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computer networks, databases or facilities could lead to the inappropriate use or disclosure of personal information, which could harm our business, adversely affect consumers’ confidence in our or our agents’ business, result in inquiries and fines or penalties from regulatory or governmental authorities, cause a loss of consumers, damage our reputation and subject us to lawsuits and to potential financial losses. In addition, we may be required to expend significant capital and other resources to protect against these security breaches or to alleviate problems caused by these breaches. Our agents and third-party independent contractors may also experience security breaches involving the storage and transmission of our data as well as the ability to initiate unauthorized transactions. If users gain improper access to our, our agents’ or our third-party independent contractors’ computer networks or databases, they may be able to steal, publish, delete or modify confidential customer information or generate unauthorized money remittances. Such a breach could expose us to monetary liability, losses and legal proceedings, lead to reputational harm, cause a disruption in our operations, or make consumers and agents less confident in our services.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particularly dependent on the efficient and uninterrupted operation of our information technology, computer network systems and data centers. Disruptions to these systems and data centers could adversely affect our business, financial condition and results of operations.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provide reliable services largely depends on the efficient and uninterrupted operation of our computer network systems and data centers. Our business involves the physical and electronic movement of large sums of money and the management of data necessary to do so. The success of our business particularly depends upon the efficient and error-free handling of transactions and data. We rely on the ability of our employees and our internal systems and procedures to process these transactions in an efficient, uninterrupted and error-free manner.</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event of a breakdown, catastrophic event (such as fire, natural disaster, power loss, telecommunications failure or physical break-in), security breach, computer virus, improper operation, improper action by our employees, agents, consumers, financial institutions or third-party vendors or any other event impacting our systems or processes or our agents’ or vendors’ systems or processes, we could suffer financial loss, loss of consumers, regulatory sanctions, lawsuits and damage to our reputation or consumers’ confidence in our business. The measures we have enacted, such as the implementation of business continuity and disaster recovery plans and redundant computer systems, may not be successful. We may also experience problems other than system failures, including software defects, development delays and installation difficulties, which would harm our business and reputation and expose us to potential liability and increased operating expenses. In addition, any work stoppages or other labor actions by employees who support our systems or perform any of our major functions could adversely affect our business.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our ability to continue to provide our services to a growing number of agents and consumers in a growing number of countries, as well as to enhance our existing services and offer new services across new distribution platforms, is dependent on our information technology systems. If we are unable to effectively manage the technology associated with our business, we could experience increased costs, reductions in system availability and loss of agents or consumers.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develop and timely introduce new and enhanced services or if we make substantial investments in an unsuccessful new service or infrastructure change, our business, financial condition and results of operations could be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future growth will depend, in part, on our ability to continue to develop and successfully introduce new and enhanced methods of providing money remittance services that keep pace with competitive introductions, technological changes, and the demands and preferences of our agents, consumers and the financial institutions with which we conduct our business. Distribution channels such as online, account based, and mobile solutions continue to evolve and impact the competitive environment for money remittances. If alternative payment mechanisms become widely accepted as substitutes for our current services, and we do not develop and offer similar alternative payment mechanisms successfully and on a timely basis, our business, financial condition and results of operations could be adversely affected. We may make future acquisitions and investments or enter into strategic alliances to develop new technologies and services or to implement infrastructure changes to further our strategic objectives, strengthen our existing businesses and remain competitive. Such acquisitions, investments and strategic alliances, however, are inherently risky, and we cannot guarantee that such investments or strategic alliances will be successful.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percentage of our banking relationships are concentrated in a few banks.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substantial portion of the transactions that we conduct with and through banks are concentrated in a few banks, notably Wells Fargo, Bank of America and US Bank. Because of the current concentration of our major banking relationships, if we lose such a banking relationship, which could be the result of many factors including, but not limited to, changes in regulation, our business, financial condition and results of operations could be adversely affected.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paying agents are concentrated in a few large banks and financial institutions or large retail chains.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substantial portion of our paying agents are concentrated in a few large banks and financial institutions and large retail chains. Because of the current concentration, if we lose an institution as a paying agent, which could be the result of many factors including, but not limited to, changes in regulation, our business, financial condition and results of operations could be adversely affected. Elektra, our largest paying agent by volume, accounted for approximately 24% of Intermex’s total remittance volume in fiscal year 2022. The loss of Elektra as one of our paying agents could have a material adverse impact on our business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Major bank failure or sustained financial market illiquidity, or illiquidity at our clearing, cash management and custodial financial institutions, could adversely affect our business, financial condition and results of operations.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face certain risks in the event of a sustained deterioration of domestic or international financial market liquidity, as well as in the event of sustained deterioration in the liquidity, or failure, of our clearing, cash management and custodial financial institutions. In particular:</w:t>
      </w:r>
    </w:p>
    <w:p>
      <w:pPr>
        <w:spacing w:after="0" w:line="162" w:lineRule="exact"/>
        <w:rPr>
          <w:sz w:val="20"/>
          <w:szCs w:val="20"/>
          <w:color w:val="auto"/>
        </w:rPr>
      </w:pPr>
    </w:p>
    <w:p>
      <w:pPr>
        <w:jc w:val="both"/>
        <w:ind w:left="580" w:hanging="248"/>
        <w:spacing w:after="0" w:line="261" w:lineRule="auto"/>
        <w:tabs>
          <w:tab w:leader="none" w:pos="5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access funds in our deposit accounts and clearing accounts on a timely basis to pay money remittances and make related settlements to agents. Any resulting need to access other sources of liquidity or short-term borrowings would increase our costs. Any delay or inability to pay money remittances or make related settlements with our agents could adversely impact our business, financial condition and results of operations.</w:t>
      </w:r>
    </w:p>
    <w:p>
      <w:pPr>
        <w:spacing w:after="0" w:line="179" w:lineRule="exact"/>
        <w:rPr>
          <w:rFonts w:ascii="Times New Roman" w:cs="Times New Roman" w:eastAsia="Times New Roman" w:hAnsi="Times New Roman"/>
          <w:sz w:val="18"/>
          <w:szCs w:val="18"/>
          <w:color w:val="auto"/>
        </w:rPr>
      </w:pPr>
    </w:p>
    <w:p>
      <w:pPr>
        <w:jc w:val="both"/>
        <w:ind w:left="580" w:hanging="248"/>
        <w:spacing w:after="0" w:line="261" w:lineRule="auto"/>
        <w:tabs>
          <w:tab w:leader="none" w:pos="5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major bank failure, we could face major risks to the recovery of our bank deposits used for the purpose of settling with our agents. A substantial portion of our cash and cash equivalents held at U.S. banks are not subject to federal deposit insurance protection against loss as they exceed the federal deposit insurance limit. Similarly, we hold cash and cash equivalents at foreign banks, which may not enjoy benefits such as the United States’ federal deposit insurance protection.</w:t>
      </w:r>
    </w:p>
    <w:p>
      <w:pPr>
        <w:spacing w:after="0" w:line="179" w:lineRule="exact"/>
        <w:rPr>
          <w:rFonts w:ascii="Times New Roman" w:cs="Times New Roman" w:eastAsia="Times New Roman" w:hAnsi="Times New Roman"/>
          <w:sz w:val="18"/>
          <w:szCs w:val="18"/>
          <w:color w:val="auto"/>
        </w:rPr>
      </w:pPr>
    </w:p>
    <w:p>
      <w:pPr>
        <w:ind w:left="580" w:right="20" w:hanging="248"/>
        <w:spacing w:after="0" w:line="282" w:lineRule="auto"/>
        <w:tabs>
          <w:tab w:leader="none" w:pos="5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borrow from financial institutions or institutional investors on favorable terms, or at all, which could adversely impact our ability to pursue our growth strategy and fund key strategic initiatives.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financial liquidity deteriorates, there can be no assurance we will not experience an adverse effect, which may be material, on our ability to access capital or contingent liquidity sources.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banking industry regulation and practice could make it more difficult for us and our sending agents to maintain depository accounts with banks, which would harm our business.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banking industry, in light of increased regulatory oversight, is continually examining its business relationships with companies that offer money remittance services and with retail agents that collect and remit cash collected from end consumers. Certain major national and international banks have withdrawn from providing service to money remittance services businesses. Should our existing relationship banks decide to not offer depository services to companies engaged in processing money remittance transactions, or to retail agents that collect and remit cash from end consumers, our ability to complete money remittances, and to administer and collect fees from money remittance transactions, could be adversely affected.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regulatory status and the regulatory status of our agents as MSBs could affect our ability to offer our services. We also rely on bank accounts to provide our payment services. We and some of our agents may in the future have difficulty establishing or maintaining banking relationships due to the banks’ policies, including policies with respect to anti-money laundering. If we or a significant number of our agents are unable to maintain existing or establish new banking relationships, or if we or these agents face higher fees and other costs to maintain or establish new bank accounts, our ability and the ability of our agents to continue to offer our services may be adversely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credit risks from our sending agents and financial institutions with which we do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majority of our business is conducted through independent sending agents that provide our services to consumers at their business locations. Our sending agents receive the proceeds from the sale of our money remittances, and we must then collect these funds from the sending agents. If a sending agent becomes insolvent, files for bankruptcy, commits fraud or otherwise fails to remit money remittance proceeds to us, we must nonetheless complete the money remittance on behalf of the consumer.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monitor the creditworthiness of our sending agents and the financial institutions with which we do business on an ongoing basis. There can be no assurance that the models and approaches we use to assess and monitor the creditworthiness of our sending agents and these financial institutions will be sufficiently predictive, and we may be unable to detect and take steps to timely mitigate an increased credit risk.</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a sending agent bankruptcy, we would generally be in the position of creditor, possibly with limited security or financial guarantees of performance, and we would therefore be at risk of a reduced recovery. We are not insured against credit losses, except in circumstances of agent theft or fraud. Significant credit losses could have a material and adverse effect on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Retaining our chief executive officer and other key executives and recruiting and retaining qualified personnel is important to our continued success, and any inability to attract and retain such personnel could harm our operations.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ability to successfully operate our business will depend upon the efforts of certain key personnel. The development and implementation of our strategy has depended in large part on our Chief Executive Officer, President and Chairman of the Board of Directors, Robert Lisy. The retention of Mr. Lisy is important to our continued success, and we expect him to remain with the Company for the foreseeable future.</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Mr. Lisy, we have a number of key executives who have a significant impact on our business. The unexpected loss of key personnel may adversely affect the operations and profitability of the Company. Our success also depends to a large extent upon our ability to attract and retain key employees. Qualified individuals with experience in our industry are in high demand. Our IT personnel have designed and implemented key portions of our proprietary software and are crucial to the success of our business. In addition, legal or enforcement actions against compliance and other personnel in the money remittance industry may affect our ability to attract and retain key employees and directors. The lack of management continuity or the loss of one or more members of our executive management team could harm our business and future development. A failure to recruit and retain key personnel including operating, marketing, financial and technical personnel, could also have a material and adverse impact on our business, financial condition and results of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agents are subject to numerous U.S. and international laws and regulations. Failure to comply with these laws and regulations could result in material settlements, fines or penalties and reputational harm, and changes in these laws or regulations could result in increased operating costs or reduced demand for our services, all of which may adversely affect our business, financial condition and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operate in a highly regulated environment, and our business is subject to a wide range of laws and regulations that vary from jurisdiction to jurisdiction. We are also subject to oversight by various governmental agencies, both in the United States and abroad and, in any given year, we are subject to examinations by relevant federal and state agencies. Lawmakers and regulators in the United States in particular have increased their focus on the regulation of the financial services industry. New or modified regulations and increased oversight may have unforeseen or unintended adverse effects on the financial services industry, which could affect our business, financial condition and results of operations.</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money transfer business is subject to a variety of regulations aimed at preventing money laundering, human trafficking and terrorism. We are subject to U.S. federal anti-money laundering laws, including the BSA and the requirements of the U.S. Treasury Department’s OFAC, which prohibit us from transmitting money to specified countries or to or from prohibited individuals. Additionally, we are subject to anti-money laundering laws in the other countries in which we operate. We are also subject to financial services regulations, money transfer licensing regulations, consumer protection laws, currency control regulations, escheat laws, privacy and data protection laws and anti-bribery laws. Many of these laws are constantly evolving, unclear and inconsistent across various jurisdictions, making compliance challenging. Subsequent legislation, regulation, litigation, court rulings or other events could expose us to increased program costs, liability and reputational damage.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MSB, we are subject to reporting, recordkeeping and anti-money laundering provisions in the United States as well as many other jurisdictions. In the past few years there have been significant regulatory reviews and actions taken by U.S. and other regulators and law enforcement agencies against banks, MSBs and other financial institutions related to money laundering, and the trend appears to be greater scrutiny by regulators of potential money laundering activity through financial institutions. We are also subject to regulatory oversight and enforcement by FinCEN. Any determination that we have violated the anti-money-laundering laws could have an adverse effect on our business, financial condition and results of operations.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Dodd-Frank Act increases the regulation and oversight of the financial services industry. The Dodd-Frank Act requires enforcement by various governmental agencies, including the CFPB. We could be subject to fines or other penalties if we are found to have violated the Dodd-Frank Act’s prohibition against unfair, deceptive or abusive acts or practices. The CFPB’s authority to change regulations adopted in the past by other regulators could increase our compliance costs and litigation exposure. Our litigation exposure may also be increased by the CFPB’s authority to limit or ban pre-dispute arbitration clauses. We may also be liable for failure of our agents to comply with the Dodd-Frank Act. The legislation and implementation of regulations associated with the Dodd-Frank Act have increased our costs of compliance and required changes in the way we and our agents conduct business. In addition, we are subject to periodic examination by the CFPB. These examinations may require us to change the way we conduct business or increase the costs of compliance.</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are subject to escheatment laws in the United States. We are subject to the laws of various states in the United States which from time to time take inconsistent or conflicting positions regarding the requirements to escheat property to a particular state, making compliance challenging. In some instances, we escheat items to states pursuant to statutory requirements and then subsequently pay those items to consumers. For such amounts, we must file claims for reimbursement from the states.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violation by us of the laws and regulations set forth above could lead to significant settlements, fines or penalties and could limit our ability to conduct business in some jurisdictions. Our systems, employees and processes may not be sufficient to detect and prevent violations of the laws and regulations set forth above by our agents, which could also lead to us being subject to significant settlements, fines or penalties. In addition to these fines and penalties, a failure by us or our agents to comply with applicable laws and regulations also could seriously damage our reputation, result in diminished revenue and profit and increase our operating costs and could result in, among other things, revocation of required licenses or registrations, loss of approved status, termination of contracts with banks or retail representatives, administrative enforcement actions and fines, class action lawsuits, cease and desist or consent orders and civil and criminal liability. The occurrence of one or more of these events could have a material and adverse effect on our business, financial condition and results of operations.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certain cases, regulations may provide administrative discretion regarding enforcement. As a result, regulations may be applied inconsistently across the industry, which could result in additional costs for us that may not be required to be incurred by our competitors. If we were required to maintain a price higher than most of our competitors to reflect our regulatory costs, this could harm our ability to compete effectively, which could adversely affect our business, financial condition and results of operations. In addition, changes in laws, regulations or other industry practices and standards, or interpretations of legal or regulatory requirements, may reduce the market for or value of our services or render our services less profitable or obsolete. Changes in the laws affecting the kinds of entities that are permitted to act as money remittance agents (such as changes in requirements for capitalization or ownership) could adversely affect our ability to distribute our services and the cost of providing such services. Many of our sending agents are in the check cashing industry. Any regulatory action that negatively impacts check cashers could also cause this portion of our agent base to decline. If onerous regulatory requirements were imposed on our agents, the requirements could lead to a loss of agents, which, in turn, could adversely affect our business, financial condition or results of operations.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Regulators around the world compare approaches to the regulation of the payments and other industries. Consequently, a development in any one country, state or region may influence regulatory approaches in other jurisdictions. Similarly, new laws and regulations in a country, state or region involving one service may cause lawmakers there to extend the regulations to another service. As a result, the risks created by any new laws or regulations are magnified by the potential that they may be replicated, affecting our business in another market or involving another service. Conversely, if widely varying regulations come into existence worldwide, we may have difficulty adjusting our services, fees, foreign exchange spreads and other important aspects of our business, with the same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investigations involving us or our agents could result in material settlements, fines or penalties.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been, and in the future may be, subject to allegations and complaints that individuals or entities have used our money remittance services for fraud-induced money transfers, as well as certain money laundering activities, which may result in fines, penalties, judgments, settlements and litigation expenses. We also are the subject from time to time of litigation related to our business.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Regulatory and judicial proceedings and potential adverse developments in connection with ongoing litigation may adversely affect our business, financial condition and results of operations. There also may be adverse publicity associated with lawsuits and investigations that could decrease agent and consumer acceptance of our services. Additionally, our business has been in the past, and may be in the future, the subject of class action lawsuits, regulatory actions and investigations and other general litigation. The outcome of class action lawsuits, regulatory actions and investigations and other litigation is difficult to assess or quantify but may include substantial fines and expenses, as well as the revocation of required licenses or registrations or the loss of approved status, which could have a material and adverse effect on our business, financial position and results of operations or consumers’ confidence in our business. Plaintiffs or regulatory agencies in these lawsuits, actions or investigations may seek recovery of very large or indeterminate amounts, and the magnitude of these actions may remain unknown for substantial periods of time. The cost to defend or settle future lawsuits or investigations may be significant. In addition, improper activities, lawsuits or investigations involving our agents may adversely impact our business, financial condition and results of operations or reputation even if we are not directly involved.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or other similar anti-corruption laws.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operations around the world, particularly in LAC countries and Africa, are subject to anti-corruption laws and regulations, including restrictions imposed by the U.S. FCPA. The FCPA and similar anti-corruption laws in other jurisdictions generally prohibit companies and their intermediaries from making improper payments to government officials or employees of commercial enterprises for the purpose of obtaining or retaining business, a business advantage or a governmental approval. We operate in parts of the world that are perceived as having higher incidence of corruption and, in certain circumstances, strict compliance with anti-corruption laws may conflict with local customs and practices. Because of the scope and nature of our operations, we experience a higher risk associated with compliance with the FCPA and similar anti-corruption laws than many other companies.</w:t>
      </w:r>
    </w:p>
    <w:p>
      <w:pPr>
        <w:sectPr>
          <w:pgSz w:w="11900" w:h="16838" w:orient="portrait"/>
          <w:cols w:equalWidth="0" w:num="1">
            <w:col w:w="11240"/>
          </w:cols>
          <w:pgMar w:left="320" w:top="121" w:right="33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employees and agents interact with government officials on our behalf, including as necessary to obtain licenses and other regulatory approvals necessary to operate our business, employ expatriates and resolve tax disputes. We also have a number of contracts with third-party paying agents that are owned or controlled by non-U.S. governments. These interactions and contracts create a risk of payments or offers of payments by one of our employees or agents that could be in violation of the FCPA or other similar anti-corruption laws. Under the FCPA and other similar anti-corruption laws, we may be held liable for actions taken by our employees or agents.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recent years, there have been significant regulatory reviews and actions taken by the United States and other governments related to anti-corruption laws, and the trend appears to be greater scrutiny on payments to, and relationships with, foreign entities and individuals.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can be no assurance that all of our employees and agents will abide by the policies and procedures we have implemented to promote compliance with local laws and regulations as well as U.S. laws and regulations, including FCPA and similar anti-corruption laws. If we are found to be liable for violations of the FCPA or similar anti-corruption laws in other jurisdictions, either due to our own or others’ acts or inadvertence, we could suffer, among other consequences, substantial civil and criminal penalties, including fines, incarceration, prohibitions or limitations on the conduct of our business, the loss of our financing facilities and significant reputational damage, any of which could have a material and adverse effect on our results of business, financial condition or results of operations.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Government or regulatory investigations into potential violations of the FCPA or other similar anti-corruption laws by U.S. agencies or other governments could also have a material and adverse effect on our results of business, financial condition and results of operations. Furthermore, detecting, investigating and resolving actual or alleged violations of the FCPA and other similar anti-corruption laws is expensive and can consume significant time and attention of our senior management.</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money remittance transactions through agents in regions that are politically volatile or, in a limited number of cases, may be subject to certain OFAC restrictions.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 money remittance transactions through agents in regions that are politically volatile or, in a limited number of cases, may be subject to certain OFAC restrictions. It is possible that our money remittance services or other services could be used in contravention of applicable law or regulations. Such circumstances could result in increased compliance costs, regulatory inquiries, suspension or revocation of required licenses or registrations, seizure or forfeiture of assets and the imposition of civil and criminal fines and penalties. In addition to monetary fines or penalties that we could incur, we could be subject to reputational harm that could have an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business initiatives, such as modifications to our current product offerings or the introduction of new products, may modify our risk profile from a regulatory perspective.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number of our recent and planned business initiatives and expansions of existing businesses may bring us into contact, directly or indirectly, with information, individuals and entities that are not within our traditional customer and agent network and that could expose us to new or enhanced regulatory scrutiny. For example, our offering of services across newer distribution platforms could expose us to increased anti-money laundering, anti-terrorist financing and consumer protection regulations and compliance requirements. Any change in our risk profile stemming from this or any of our other business initiatives could result in increased compliance costs and litigation exposure, which could adversely impact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tax laws could adversely affect our 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Changes in tax legislation by U.S. federal, state and local governments could impact our effective tax rates. If statutory tax rates are increased, our results of operations and cash flows could be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may be adversely affected by foreign political, economic and social instability risks, foreign currency restrictions and devaluation, and various local laws associated with doing business primarily in LAC countries.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derive a substantial portion of our revenue from our money remittance transactions from the United States to the LAC corridor, particularly Mexico and Guatemala, and we are exposed to certain political, economic and other uncertainties not encountered in U.S. operations. Consequently, actions or events in LAC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and adverse impact on our business, financial condition and results of operations. In addition, we are exposed to new political, economic and other uncertainties as a result of the geographic expansion to Africa and Asia, any of which could adversely impact our business, financial condition and results of operations.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countries in which we operate may impose or tighten foreign currency exchange control restrictions, taxes or limitations with regard to repatriation of earnings and investments from these countries. If exchange control restrictions, taxes or limitations are imposed or</w:t>
      </w:r>
    </w:p>
    <w:p>
      <w:pPr>
        <w:sectPr>
          <w:pgSz w:w="11900" w:h="16838" w:orient="portrait"/>
          <w:cols w:equalWidth="0" w:num="1">
            <w:col w:w="11240"/>
          </w:cols>
          <w:pgMar w:left="320" w:top="121"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tightened, our ability to receive dividends or other payments from affected jurisdictions could be reduced, which could have an adverse effect on our business, financial condition and results of operations.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ability to grow in international markets and our future results could be adversely affected by a number of factors, including:</w:t>
      </w:r>
    </w:p>
    <w:p>
      <w:pPr>
        <w:spacing w:after="0" w:line="225" w:lineRule="exact"/>
        <w:rPr>
          <w:sz w:val="20"/>
          <w:szCs w:val="20"/>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geopolitical and economic conditions and potential instability in certain regions;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money transfers to, from and between certain countries;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 retain paying agents and consumers for new corridors;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controls, new currency adoptions and repatriation issues;</w:t>
      </w:r>
    </w:p>
    <w:p>
      <w:pPr>
        <w:spacing w:after="0" w:line="225"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in foreign policy, including the adoption of domestic or foreign laws, regulations and interpretations detrimental to our business;</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increased costs and additional regulatory burdens imposed on our business;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U.S. sanctions, resulting in bank closures in certain countries and the ultimate freezing of our assets;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wide variety of laws and regulations;</w:t>
      </w:r>
    </w:p>
    <w:p>
      <w:pPr>
        <w:spacing w:after="0" w:line="225"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fraud or theft losses, and lack of compliance by international representatives in foreign legal jurisdictions where collection and legal enforcement may be difficult or costly;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or improve our software and technology systems;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our intellectual property rights;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tax rules or trade barriers;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train or monitor international agents.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brands and the intellectual property rights related to our existing and any new or enhanced services, or if we infringe on the rights of others, our business, financial condition and results of operations could be adversely affected.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Intermex brand as well as other brands we operate under are critical to our business. We utilize trademark registrations and other tools to protect our brands. We have not applied for trademark registrations for our name and logo in all geographic markets where we provide services. In those markets where we have applied for trademark registrations, failure to secure those registrations could adversely affect our ability to enforce and defend our trademark rights. Our business would be harmed if we were unable to adequately protect our brands and the value of our brands was to decrease as a result.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on a combination of patent, trademark and copyright laws and trade secret protection and invention assignment, confidentiality or license agreements to protect the intellectual property rights related to our services, all of which only offer limited protection. We may be subject to third-party claims alleging that we infringe their intellectual property rights or have misappropriated other proprietary rights. We may be required to spend resources to defend such claims or to protect and police our own rights. Some of our legal rights in information or technology that we deem proprietary may not be protected by intellectual property laws, particularly in foreign jurisdictions. The loss of our intellectual property protection, the inability to secure or enforce intellectual property protection or to successfully defend against claims of intellectual property infringement or misappropriation could have an adverse effect on our business, financial condition and results of operation.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processes and systems we employ may be subject to patent protection by other parties, and any claims could adversely affect our business and results of operations.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certain countries, including the United States, patent laws permit the protection of processes and systems. We employ processes and systems in various markets that have been used in the industry by other parties for many years. We or other companies that use these processes and systems consider many of them to be in the public domain.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also may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indebtedness may limit our operating flexibility and could adversely affect our business, financial condition and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had approximately $156.9 million of indebtedness as of December 31, 2022, consisting of $80.9 million in outstanding borrowings under the term loan facility and $76.0 million in outstanding borrowings under our revolving credit facility. Our indebtedness, which bears interest at variable rates, could have important consequences to our investors, including, but not limited to:</w:t>
      </w:r>
    </w:p>
    <w:p>
      <w:pPr>
        <w:spacing w:after="0" w:line="176" w:lineRule="exact"/>
        <w:rPr>
          <w:sz w:val="20"/>
          <w:szCs w:val="20"/>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and reducing our flexibility to respond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servicing debt, including from increased interest rates;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competitive environment;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and increasing the cost of any such borrowing.</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are subject to capital requirements imposed by various regulatory bodies in the jurisdictions in which we operate. We may need access to external capital to support these regulatory requirements in order to maintain our licenses and our ability to earn revenue in these jurisdictions. An interruption of our access to capital could impair our ability to conduct business if our regulatory capital falls below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Amended and Restated Credit Agreement contains covenants that may impair our ability to conduct business.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Credit Agreement (the "A&amp;R Credit Agreement") contains operating covenants and financial covenants that may in each case limit management’s discretion with respect to certain business matters. Among other things, these covenants restrict our and our subsidiaries’ ability to, among other things, grant liens, incur additional indebtedness, make acquisitions or investments, dispose of certain assets, change the nature of their businesses, enter into certain transactions with affiliates, amend the terms of material indebtedness or make certain restricted payments, including the repurchase of shares of our common stock above certain limits. We are required to comply with a minimum fixed charge coverage ratio and a maximum consolidated leverage ratio. As a result of these covenants, we may be limited in how we conduct our business. Failure to comply with such covenants may lead to default and acceleration under our A&amp;R Credit Agreement and may impair our ability to conduct business. We may not be able to maintain compliance with these covenants in the future and, if we fail to do so, that we will be able to obtain waivers from the lenders and/or amend the covenants, which may result in foreclosure of our assets. See the section entitled “Management’s Discussion and Analysis of Financial Condition and Results of Operations of Intermex—Liquidity and Capital Resources” for more information.</w:t>
      </w:r>
    </w:p>
    <w:p>
      <w:pPr>
        <w:spacing w:after="0" w:line="2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our A&amp;R Credit Agreement, upon the occurrence of an event of default, we will be unable to continue to borrow funds under the A&amp;R Credit Agreement for so long as an event of default is not remedied or waived. In addition, the lenders will be able to elect to declare all amounts outstanding under the A&amp;R Credit Agreement to be immediately due and payable and terminate all commitments to lend additional funds. If we are unable to repay those amounts, the lenders under the A&amp;R Credit Agreement could proceed to foreclose against our collateral that secures that indebtedness. We have granted the lenders a security interest in substantially all of our assets, including the assets of certain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Securities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no current plans to pay any cash dividends for the foreseeable future. The declaration, amount, and payment of any future dividends on shares of common stock will be at the sole discretion of our board of directors. Our board of directors may take into account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common stock.</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If no or few securities or industry analysts cover the Company, our stock price would likely be less than that which we would obtain if we had such coverage and the liquidity, or trading volume of our common stock may be limited, making it more difficult for a stockholder to sell shares at an acceptable price or amount. If any analysts do cover the Company, their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Delaware law may inhibit a takeover of us, which could limit the price investors might be willing to pay in the future for our common stock and could entrench management.</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charter contains provisions that opt out of Section 203 of the Delaware General Corporation Law (the “DGCL”). These provisions include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spacing w:after="0" w:line="176" w:lineRule="exact"/>
        <w:rPr>
          <w:sz w:val="20"/>
          <w:szCs w:val="20"/>
          <w:color w:val="auto"/>
        </w:rPr>
      </w:pPr>
    </w:p>
    <w:p>
      <w:pPr>
        <w:ind w:left="580" w:hanging="248"/>
        <w:spacing w:after="0" w:line="282" w:lineRule="auto"/>
        <w:tabs>
          <w:tab w:leader="none" w:pos="5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that resulted in the stockholder becoming an interested stockholder;</w:t>
      </w:r>
    </w:p>
    <w:p>
      <w:pPr>
        <w:spacing w:after="0" w:line="107"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7" w:lineRule="exact"/>
        <w:rPr>
          <w:rFonts w:ascii="Times New Roman" w:cs="Times New Roman" w:eastAsia="Times New Roman" w:hAnsi="Times New Roman"/>
          <w:sz w:val="18"/>
          <w:szCs w:val="18"/>
          <w:color w:val="auto"/>
        </w:rPr>
      </w:pPr>
    </w:p>
    <w:p>
      <w:pPr>
        <w:ind w:left="580" w:right="20" w:hanging="248"/>
        <w:spacing w:after="0" w:line="282" w:lineRule="auto"/>
        <w:tabs>
          <w:tab w:leader="none" w:pos="5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1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us. These provisions could also discourage proxy contests and make it more difficult for you and other stockholders to elect directors of your choosing and cause us to take corporate actions other than those you desire.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designates the Court of Chancery of the State of Delaware as the exclusive forum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charter provides that the Court of Chancery of the State of Delaware will be the sole and exclusive forum for (i) any derivative action or proceeding brought on our behalf, (ii) any action asserting a claim of breach of a fiduciary duty owed to us or our stockholders by any of our directors, officers, employees or agents, (iii) any action asserting a claim against us arising under the DGCL or (iv) any action asserting a claim against us that is governed by the internal affairs doctrine. The exclusive forum provision of our bylaws does not establish exclusive jurisdiction in the Court of Chancery of the State of Delaware for claims that arise under the Securities Act, the Exchange Act or other federal securities laws if there is exclusive or concurrent jurisdiction in the federal courts. By becoming our stockholder, you will be deemed to have notice of and have consented to the provisions of our charter related to choice of forum. The choice of forum provision in our charter may limit our stockholders’ ability to obtain a favorable judicial forum for disputes with us.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have relationships with Stella Point Capital (“Stella Point”), an entity affiliated with SPC Intermex LP which is a beneficial owner of shares of our outstanding common stock as of December 31, 2022, which may cause conflicts of interest with respect to our business.</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the filing date of this Annual Report on Form 10-K, two of our eight directors are affiliated with Stella Point. Stella Point affiliated directors have fiduciary duties to us and, in addition, have duties to their respective funds. As a result, these directors may face</w:t>
      </w:r>
    </w:p>
    <w:p>
      <w:pPr>
        <w:sectPr>
          <w:pgSz w:w="11900" w:h="16838" w:orient="portrait"/>
          <w:cols w:equalWidth="0" w:num="1">
            <w:col w:w="11240"/>
          </w:cols>
          <w:pgMar w:left="320" w:top="121"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or apparent conflicts of interest with respect to matters affecting both us and their funds, whose interests may be adverse to ours in some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management’s attention.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and adverse effect on our business, financial condition and results of operations. Any adverse determination in litigation could also subject us to significant liabilities.</w:t>
      </w: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leased corporate offices are located in Miami, Florida. We lease five other facilities in Miami, Florida, Denver, Colorado and New York, New York. In addition, as of December 31, 2022, we lease 116 Company-operated stores throughout the United States. Substantially all our facilities are leased. We have two international customer service centers located in Guatemala City, Guatemala and Puebla, Mexico where our employees answer operational questions from agents and customers. Our facilities are used for operational, sales and administrative purposes in support of our business, and are all currently being utilized as intended.</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properties are sufficient to meet our current and projected business needs. We periodically review our facility requirements and may acquire new facilities, or modify, update, consolidate, dispose of or sublet existing facilities, based on evolving business needs. In December 2022, we entered into a lease agreement, which expires in 2033, for our new headquarters to accommodate our growing workforce. We expect to complete the move to the new headquarters in the second half of 2023 following the completion of leasehold improvements.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Reference is made to Note 18 – Commitments and Contingencies in the Consolidated Financial Statements of International Money Express, Inc. contained elsewhere in this Annual Report on Form 10–K for information regarding certain legal proceedings to which we are a party, which information is incorporated by reference herein.</w:t>
      </w:r>
    </w:p>
    <w:p>
      <w:pPr>
        <w:spacing w:after="0" w:line="1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900" w:right="180" w:hanging="1295"/>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the Company’s Common Stock</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trades on the Nasdaq Capital Market under the symbol “IMXI”.</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8, 2023, there were 64 holders of record of our common stock.</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not declared or paid, and do not anticipate declaring or paying in the foreseeable future, any cash dividends on our common stock. In addition, the terms of our credit facility include restrictions on our ability to pay dividends to our common stockholders. Any payment of future dividends will be at the discretion of the Company’s Board of Directors and will depend upon, among other factors, the Company’s earnings, financial condition, current and anticipated capital requirements, plans for expansion, level of indebtedness and contractual restrictions. The payment of future cash dividends, if any, would be made only from assets legally available.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with respect to securities authorized for issuance under equity compensation plans is incorporated herein by reference to Part III, Item 12 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peer group (“Peer Group”) consists of publicly-traded companies that are in the money remittance and payment industries and is composed of the following: MoneyGram, Euronet, Remitly and Western Union. For the year ended December 31, 2022, the Company revised its Peer Group to include other public companies that have increased their participation in the digital money remittance industry segment.</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graph shows a comparison of cumulative total shareholder return, calculated on a dividend-reinvested basis, for (1) the Company’s common stock, (2) the NASDAQ US Benchmark TR Index and (3) our Peer Group, for the period from July 27, 2018 (the first day our common stock was separately traded) through December 31, 2022. The graph assumes the value of the investment in our common stock and each index was $100 on July 27, 2018 and that all dividends were reinvested. The graph plots the value of the initial $100 investment at quarterly intervals for the fiscal years shown. We have not paid any cash dividends and, therefore, the cumulative total return calculation for us is based solely upon stock price appreciation and not upon reinvestment of cash dividends. Historic stock price performance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 INTERNATIONAL MONEY EXPRESS,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INDEX AND PEER GROUP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297180</wp:posOffset>
            </wp:positionV>
            <wp:extent cx="6172200" cy="2905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 Index Data: Copyright NASDAQ OMX, Inc. Used with permission. All rights reserved.</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 Corporate Performance Graph with peer group uses peer group only performance (excludes only Intermex)</w:t>
      </w:r>
    </w:p>
    <w:p>
      <w:pPr>
        <w:sectPr>
          <w:pgSz w:w="11900" w:h="16838" w:orient="portrait"/>
          <w:cols w:equalWidth="0" w:num="1">
            <w:col w:w="11240"/>
          </w:cols>
          <w:pgMar w:left="320" w:top="119" w:right="339" w:bottom="231" w:gutter="0" w:footer="0" w:header="0"/>
        </w:sectPr>
      </w:pPr>
    </w:p>
    <w:bookmarkStart w:id="28" w:name="page29"/>
    <w:bookmarkEnd w:id="2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graph is furnished and shall not be deemed “filed” with the SEC or subject to Section 18 of the Securities Exchange Act of 1934, as amended (the “Exchange Act”), and is not to be incorporated by reference into any filing of the Company, whether made before or after the date hereof, regardless of any general incorporation language in such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 of the Issuer</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repurchases of our common stock during the quarter ended December 31,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7"/>
                <w:szCs w:val="17"/>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89"/>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237"/>
        </w:trPr>
        <w:tc>
          <w:tcPr>
            <w:tcW w:w="3020" w:type="dxa"/>
            <w:vAlign w:val="bottom"/>
            <w:gridSpan w:val="2"/>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 (b)</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29"/>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through October 31</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18,253,402</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through November 30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178,559</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174,585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14,620,077</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through December 31</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290,544</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290,544</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8,253,419</w:t>
            </w:r>
          </w:p>
        </w:tc>
        <w:tc>
          <w:tcPr>
            <w:tcW w:w="0" w:type="dxa"/>
            <w:vAlign w:val="bottom"/>
          </w:tcPr>
          <w:p>
            <w:pPr>
              <w:spacing w:after="0"/>
              <w:rPr>
                <w:sz w:val="1"/>
                <w:szCs w:val="1"/>
                <w:color w:val="auto"/>
              </w:rPr>
            </w:pPr>
          </w:p>
        </w:tc>
      </w:tr>
      <w:tr>
        <w:trPr>
          <w:trHeight w:val="229"/>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660" w:hanging="328"/>
        <w:spacing w:after="0" w:line="257"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174,585 and 290,544 shares purchased in November and December 2022, respectively, under the Repurchase Program (as defined below) and 441 and 3,974 shares withheld for income tax purposes in October and November 2022, respectively, in connection with shares issued under compensation and benefit programs.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18, 2021, the Company’s Board of Directors approved a stock repurchase program (the “Repurchase Program”) that authorizes the Company to purchase up to $40.0 million of its outstanding shares. The Repurchase Program does not have an expiration date.</w:t>
      </w:r>
    </w:p>
    <w:p>
      <w:pPr>
        <w:ind w:left="660" w:hanging="328"/>
        <w:spacing w:after="0" w:line="260"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 2023 the Board of Directors approved an increase to the Repurchase Program that authorizes the Company to purchase an additional $100.0 million of its outstanding shares.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objectives of our Management’s Discussion and Analysis of Financial Condition and Results of Operations are to provide users of our consolidated financial statements with a narrative explanation from the perspective of management of our financial condition, results of operations, cash flows, liquidity and certain other factors that may affect future results. This Management’s Discussion and Analysis of Financial Condition and Results of Operations should be read in conjunction with our Consolidated Financial Statements and related Notes included elsewhere in this Annual Report on Form 10-K. This Annual Report on Form 10-K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Annual Report on Form 10-K. See “Special Note Regarding Forward-Looking Statements” for additional factors relating to such statements and see “Risk Factors” included in Item 1A of this Annual Report on Form 10-K. Our past operating results are not necessarily indicative of operating results in any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leading omnichannel money remittance services company focused primarily on the United States of America (“United States” or “U.S.”) to Latin America and the Caribbean (“LAC”) corridor, which includes Mexico, Central and South America and the Caribbean. In recent years, we expanded our services to allow remittances to Africa and Asia from the United States and also began offering sending services from Canada to Latin America and Africa.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consumers can send money to beneficiaries in 16 LAC countries, eight countries in Africa and two countries in Asia. Our services are accessible in person through over 100,000 independent sending and paying agents and 117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 In March 2022, we entered into an agreement to acquire La Nacional and LAN Holdings, money remittance companies serving more than 70 countries. In November 2022, we completed the acquisition of La Nacional and we expect to complete the acquisition of LAN Holdings in the second quarter of 2023 subject to the satisfaction of customary closing conditions, including pending regulatory approvals. The acquisition of La Nacional strengthens the Company’s presence in the Dominican Republic and other key markets to Latin America.</w:t>
      </w:r>
    </w:p>
    <w:p>
      <w:pPr>
        <w:spacing w:after="0" w:line="2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Money remittance services to LAC countries, mainly Mexico and Guatemala,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 also generate revenue if we are successful in our daily management of currency exchange spreads.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money remittance services enable consumers to send funds through our broad network of locations in the United States and Canada that are primarily operated by third-party businesses, as well as through our Company-operated stores located in the United States.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Since January 1, 2022 through December 31, 2022, we have grown our agent network by approximately 27.3% and increased our principal amount sent by more than 21.2% to $21.0 billion. In 2022, we processed approximately 47.8 million remittances, representing over 19.2% growth in transactions as compared to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coronavirus (“COVID-19”) pandemic that started in 2020 has had and continues to have a significant effect on economic conditions in the United States of America (“United States” or “U.S.”), and to a certain degree continues to cause, significant uncertainties in the U.S. and global economy. Public health officials and medical professionals have warned that COVID-19 resurgences may continue to occur due to a variety of factors, including the extent of economic activity, social interaction, vaccination rates and the emergence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 variants. It is unclear if and when resurgences will occur or how long any resurgence will last, how severe it will be, and what safety measures governments and businesses will impose in response.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 to prioritize taking appropriate actions to protect the health and safety of our employees. We have adjusted standard operating procedures within our business operations to ensure continued worker safety, and are continually monitoring evolving health guidelines and responding to changes as appropriate.</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certain measures that restrict the normal course of operations of businesses and consumers were still in place for the year ended December 31, 2022, such measures did not have a material adverse effect on the Company’s financial condition, results of operations and cash flows for the year ended December 31, 2022. Although the Company’s operations continued effectively despite social distancing and other measures taken in response to the pandemic, our financial condition, results of operations and cash flows remain subject to future developments, including the persistence of the pandemic’s effects on economic conditions, particularly the level of unemployment of our customers, inflation (including changes in wages) and governmental efforts to restrain inflation, interest rate levels and foreign exchange volatility, as well as the possibility of resurgences of the pandemic and the severity of any such resurgence, all of which remain uncertain and cannot be predicted at this time.</w:t>
      </w:r>
    </w:p>
    <w:p>
      <w:pPr>
        <w:spacing w:after="0" w:line="21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Further quantification and discussion of these pandemic related effects, to the extent relevant and material, are included in the discussion of results of operations below.</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Acquisition of La Nacional and LAN Holdings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16, 2022, the Company entered into a definitive purchase agreement to acquire La Nacional and LAN Holdings, which either directly or indirectly operate as money remittance companies in the United States, Canada and certain countries in Europe. On November 1, 2022, we completed the acquisition of La Nacional and we expect to complete the acquisition of LAN Holdings in the second quarter of 2023 subject to the satisfaction of customary closing conditions, including pending regulatory approvals. See Part II, Item 8, Financial Statements and Supplementary Data, Note 3, “Acquisitions” for additional information regarding the completed acquisition of La Nacional and pending acquisition of LAN Holdings.</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expects the integration of La Nacional and LAN Holdings to be completed in the four quarters following the closing of the respective transactions. Once La Nacional and LAN Holdings are fully integrated, the Company expects the combined entities to continue to contribute approximately $80.0 million to $90.0 million a year in revenues with an Adjusted EBITDA margin in the range of 9% to 11%. A quantitative reconciliation of projected Adjusted EBITDA margin to the most comparable GAAP measure is not available without unreasonable efforts because of the inherent difficulty in forecasting and quantifying the amounts necessary under GAAP guidance for operating or other adjusted items including, without limitation, integration costs and expenses, amortization of intangible assets and depreciation, which may be significant and difficult to project with a reasonable degree of accuracy, as well as, tax effects of certain adjustments and other items related to the acquisitions.</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section below includes the impact of La Nacional for the period of November 2, 2022 through December 31, 2022. See Part II, Item 8, Financial Statements and Supplementary Data, Note 3, “Acquisitions” for additional financial information regarding La Nacional.</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discussion of changes in our results of operations and cash flows from fiscal 2021 to fiscal 2020 has been omitted from this Annual Report on Form 10-K, but may be found in “Item 7. Management’s Discussion and Analysis of Financial Condition and Results of Operations” of our Annual Report on Form 10-K for the fiscal year ended December 31, 2021, filed with the SEC on March 7, 2022, which is available free of charge on the SEC’s website at www.sec.gov and at www.intermexonline.com, by clicking “Investors” located at the bottom of the page.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Business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Various trends and other factors have affected and may continue to affect our business, financial condition and operating results, including, but not limited to:</w:t>
      </w:r>
    </w:p>
    <w:p>
      <w:pPr>
        <w:spacing w:after="0" w:line="189" w:lineRule="exact"/>
        <w:rPr>
          <w:sz w:val="20"/>
          <w:szCs w:val="20"/>
          <w:color w:val="auto"/>
        </w:rPr>
      </w:pPr>
    </w:p>
    <w:p>
      <w:pPr>
        <w:ind w:left="900" w:right="120" w:hanging="325"/>
        <w:spacing w:after="0" w:line="282"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execute, manage, integrate and obtain the anticipated financial benefits of key acquisitions and mergers, including the completed acquisition of La Nacional and pending acquisition of LAN Holdings;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such as inflation, the level of economic activity, recession risks and labor market conditions, as well as rising interest rates;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conditions, including the COVID-19 pandemic, responses thereto and the economic and market effects thereof;</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in which we operate;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7" w:lineRule="exact"/>
        <w:rPr>
          <w:sz w:val="20"/>
          <w:szCs w:val="20"/>
          <w:color w:val="auto"/>
        </w:rPr>
      </w:pPr>
    </w:p>
    <w:p>
      <w:pPr>
        <w:ind w:left="900" w:hanging="325"/>
        <w:spacing w:after="0" w:line="282"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exchange rates that could affect the volume of consumer remittance activity and/or affect our foreign exchange related gains and losses;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favorable banking and agent relationships necessary to conduct our business;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from our agents and the financial institutions with which we do business;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sustained financial illiquidity, or illiquidity at our clearing, cash management or custodial financial institutions;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or competitors that disrupt the current ecosystem, including the introduction of new digital platforms;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or disruptions to our information technology, computer network systems, data centers and phone apps;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debt obligations and remain in compliance with our credit facility requirements;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developing and introducing new products, services and infrastructure;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our brand and in consumer money transfers generally;</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regulatory requirements;</w:t>
      </w:r>
    </w:p>
    <w:p>
      <w:pPr>
        <w:spacing w:after="0" w:line="117" w:lineRule="exact"/>
        <w:rPr>
          <w:rFonts w:ascii="Times New Roman" w:cs="Times New Roman" w:eastAsia="Times New Roman" w:hAnsi="Times New Roman"/>
          <w:sz w:val="18"/>
          <w:szCs w:val="18"/>
          <w:color w:val="auto"/>
        </w:rPr>
      </w:pPr>
    </w:p>
    <w:p>
      <w:pPr>
        <w:ind w:left="900" w:hanging="325"/>
        <w:spacing w:after="0" w:line="282"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political factors, political stability, tariffs, border taxes or restrictions on remittances or transfers out of the United States and Canada;</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restrictions and volatility in countries in which we operate or plan to operate;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fraud and other risks relating to the authenticity of customers’ orders;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and their enforcement;</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brands and intellectual property rights;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U.S. or international economic conditions;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w:t>
      </w:r>
    </w:p>
    <w:p>
      <w:pPr>
        <w:spacing w:after="0" w:line="3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Worldwide political and economic conditions continue to exhibit instability, as evidenced by high unemployment rates in key Latin American markets, restricted lending activity, higher inflation, volatility in foreign currencies and low consumer confidence, some of which reflect the residual effects of the COVID-19 pandemic, supply chain disruptions, among other economic and market factors. Specifically, continued political and economic unrest in Mexico, Guatemala and some countries in South America contributed to volatility.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Act and similar regulations outside the United States. In coming periods, we expect these and future regulatory requirements will continue to result in changes to certain of our business and administrative practices and may result in increased costs.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a compliance department, the responsibility of which is to monitor transactions, detect and report suspicious activity, maintain appropriate records and train our employees and agents. An independent third-party periodically reviews our policies and procedures and performs independent testing to assess the effectiveness of our anti-money laundering and Bank Secrecy Act compliance program. We also maintain a regulatory affairs and licensing department, under the direction of our Chief Compliance Officer.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Remitly and Euronet, and a number of other smaller money services business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enhanced technology and brand recognition.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encountered and continue to expect to encounter increasing competition as new electronic platforms emerge that enable consumers to send and receive money through a variety of channels, but we do not expect adoption rates to be as significant in the near</w:t>
      </w:r>
    </w:p>
    <w:p>
      <w:pPr>
        <w:sectPr>
          <w:pgSz w:w="11900" w:h="16838" w:orient="portrait"/>
          <w:cols w:equalWidth="0" w:num="1">
            <w:col w:w="11240"/>
          </w:cols>
          <w:pgMar w:left="320" w:top="119"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consumer adoption.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Effective December 31, 2022, we are no longer considered an emerging growth company, as we reached the fifth anniversary of becoming a publicly-traded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 Charges from Agents and Banks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Service charges primarily consist of agent commissions and bank fees. Service charges vary based on agent commission percentages and the amount of fees charged by the banks. Sending agents earn a commission on each transaction they process of approximately 50% of the transaction fee.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and Canada, is focused on supporting and growing our sending agent network. Share-based compensation is primarily recognized as an expense on a straight-line basis over the requisite service period; unrecognized compensation expense related to stock options, restricted stock units (“RSUs”), restricted stock awards (“RSAs”) and performance stock units (“PSUs”) of approximately $10.2 million is expected to be recognized over a weighted-average period of 1.66 years.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Selling, General and Administrative</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primarily consist of fixed overhead expenses associated with our operations, such as information technology, telecommunications, rent, insurance, professional services, non-income or indirect taxes, facilities maintenance, provision for credit losses and other similar types of operating expenses. A portion of these expenses relate to our Company-operated stores; however, the majority relate to the overall business and compliance requirements of a regulated publicly traded financial services company. Selling expenses include expenses such as advertising and promotion, shipping, supplies and other expenses associated with serving and increasing our network of agents.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incurred transaction costs associated with the acquisitions of La Nacional and LAN Holdings. These costs included all internal and external costs directly related to the transaction, consisting primarily of legal, consulting, accounting and advisory fees and certain incentive bonuses. Due to their significance, they are presented separately in our consolidated statements of income and comprehensive income. See Note 3 to the consolidated financial statements.</w:t>
      </w:r>
    </w:p>
    <w:p>
      <w:pPr>
        <w:sectPr>
          <w:pgSz w:w="11900" w:h="16838" w:orient="portrait"/>
          <w:cols w:equalWidth="0" w:num="1">
            <w:col w:w="11240"/>
          </w:cols>
          <w:pgMar w:left="320" w:top="119" w:right="339" w:bottom="1440" w:gutter="0" w:footer="0" w:header="0"/>
        </w:sect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largely consists of depreciation of computer equipment and amortization of software that supports our technology platform. In addition, it includes amortization of intangible assets primarily related to our agent relationships, trade names and developed technology.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consists primarily of interest associated with our debt, which consists of a term loan facility and a revolving credit facility. The effective average interest rates for the year ended December 31, 2022 for the term loan facility and revolving credit facility, which related to the Company’s previous credit agreement and Credit Agreement (as defined herein), were 4.87% and 1.04%, respectively.</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income tax provision includes the expected benefit of all deferred tax assets, including our net operating loss carryforwards. With few exceptions, our net operating loss carryforwards will expire from 2029 through 2042. After consideration of all evidence, both positive and negative, management has determined that no valuation allowance is required at December 31, 2022 on the Company’s U.S. federal or state deferred tax assets; however, a valuation allowance has been recorded as of December 31, 2022 on deferred tax assets associated with Canadian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is determined by subtracting operating and non-operating expenses from revenues.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 average number of common shares outstanding calculation.</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organized around one reportable segment that provides money transmittal services between the United States and Canada to Mexico, Guatemala and other countries in Latin America, Africa and Asia through a network of authorized agents located in various unaffiliated retail establishments and 117 Company-operated stores throughout the United States and Canada. This is based on the objectives of the business and how our chief operating decision maker, the CEO and President, monitors operating performance and allocates resources.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periods indicated:</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5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37"/>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share data)</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469,162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393,241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307,909</w:t>
            </w: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46,763</w:t>
            </w:r>
          </w:p>
        </w:tc>
      </w:tr>
      <w:tr>
        <w:trPr>
          <w:trHeight w:val="236"/>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w:t>
            </w:r>
          </w:p>
        </w:tc>
      </w:tr>
      <w:tr>
        <w:trPr>
          <w:trHeight w:val="230"/>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357,209</w:t>
            </w:r>
          </w:p>
        </w:tc>
      </w:tr>
      <w:tr>
        <w:trPr>
          <w:trHeight w:val="270"/>
        </w:trPr>
        <w:tc>
          <w:tcPr>
            <w:tcW w:w="5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238,597</w:t>
            </w: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32,831</w:t>
            </w: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22,086</w:t>
            </w: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10,828</w:t>
            </w:r>
          </w:p>
        </w:tc>
      </w:tr>
      <w:tr>
        <w:trPr>
          <w:trHeight w:val="230"/>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304,342</w:t>
            </w:r>
          </w:p>
        </w:tc>
      </w:tr>
      <w:tr>
        <w:trPr>
          <w:trHeight w:val="270"/>
        </w:trPr>
        <w:tc>
          <w:tcPr>
            <w:tcW w:w="5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52,867</w:t>
            </w:r>
          </w:p>
        </w:tc>
      </w:tr>
      <w:tr>
        <w:trPr>
          <w:trHeight w:val="270"/>
        </w:trPr>
        <w:tc>
          <w:tcPr>
            <w:tcW w:w="5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r>
      <w:tr>
        <w:trPr>
          <w:trHeight w:val="256"/>
        </w:trPr>
        <w:tc>
          <w:tcPr>
            <w:tcW w:w="5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46,301</w:t>
            </w:r>
          </w:p>
        </w:tc>
      </w:tr>
      <w:tr>
        <w:trPr>
          <w:trHeight w:val="270"/>
        </w:trPr>
        <w:tc>
          <w:tcPr>
            <w:tcW w:w="5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6"/>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w:t>
            </w:r>
          </w:p>
        </w:tc>
      </w:tr>
      <w:tr>
        <w:trPr>
          <w:trHeight w:val="257"/>
        </w:trPr>
        <w:tc>
          <w:tcPr>
            <w:tcW w:w="5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5"/>
        </w:trPr>
        <w:tc>
          <w:tcPr>
            <w:tcW w:w="5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33,784</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30"/>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the Year Ended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for the above periods are presented below:</w:t>
      </w:r>
    </w:p>
    <w:p>
      <w:pPr>
        <w:spacing w:after="0" w:line="26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Year Ended December 31,</w:t>
      </w:r>
    </w:p>
    <w:p>
      <w:pPr>
        <w:sectPr>
          <w:pgSz w:w="11900" w:h="16838" w:orient="portrait"/>
          <w:cols w:equalWidth="0" w:num="1">
            <w:col w:w="11240"/>
          </w:cols>
          <w:pgMar w:left="320" w:top="119" w:right="339" w:bottom="1440" w:gutter="0" w:footer="0" w:header="0"/>
        </w:sectPr>
      </w:pP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Revenues:</w:t>
      </w:r>
    </w:p>
    <w:p>
      <w:pPr>
        <w:spacing w:after="0" w:line="23" w:lineRule="exact"/>
        <w:rPr>
          <w:sz w:val="20"/>
          <w:szCs w:val="20"/>
          <w:color w:val="auto"/>
        </w:rPr>
      </w:pPr>
    </w:p>
    <w:p>
      <w:pPr>
        <w:ind w:left="480" w:right="780"/>
        <w:spacing w:after="0" w:line="271" w:lineRule="auto"/>
        <w:rPr>
          <w:sz w:val="20"/>
          <w:szCs w:val="20"/>
          <w:color w:val="auto"/>
        </w:rPr>
      </w:pPr>
      <w:r>
        <w:rPr>
          <w:rFonts w:ascii="Times New Roman" w:cs="Times New Roman" w:eastAsia="Times New Roman" w:hAnsi="Times New Roman"/>
          <w:sz w:val="18"/>
          <w:szCs w:val="18"/>
          <w:color w:val="auto"/>
        </w:rPr>
        <w:t>Wire transfer and money order fees, net Foreign exchange gain, net</w:t>
      </w:r>
    </w:p>
    <w:p>
      <w:pPr>
        <w:ind w:left="480"/>
        <w:spacing w:after="0"/>
        <w:rPr>
          <w:sz w:val="20"/>
          <w:szCs w:val="20"/>
          <w:color w:val="auto"/>
        </w:rPr>
      </w:pPr>
      <w:r>
        <w:rPr>
          <w:rFonts w:ascii="Times New Roman" w:cs="Times New Roman" w:eastAsia="Times New Roman" w:hAnsi="Times New Roman"/>
          <w:sz w:val="18"/>
          <w:szCs w:val="18"/>
          <w:color w:val="auto"/>
        </w:rPr>
        <w:t>Other income</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revenues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tcBorders>
              <w:top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rPr>
              <w:t>% of</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tcBorders>
              <w:top w:val="single" w:sz="8" w:color="auto"/>
            </w:tcBorders>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6"/>
        </w:trPr>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441"/>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469,162</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393,241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72,920</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13 %</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1"/>
        </w:trPr>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546,805</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-779145</wp:posOffset>
            </wp:positionV>
            <wp:extent cx="597471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-487680</wp:posOffset>
            </wp:positionV>
            <wp:extent cx="597471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74715" cy="14541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-187960</wp:posOffset>
            </wp:positionV>
            <wp:extent cx="597471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420"/>
          </w:cols>
          <w:pgMar w:left="320" w:top="119" w:right="339" w:bottom="1440" w:gutter="0" w:footer="0" w:header="0"/>
          <w:type w:val="continuous"/>
        </w:sectPr>
      </w:pPr>
    </w:p>
    <w:p>
      <w:pPr>
        <w:spacing w:after="0" w:line="79"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8"/>
          <w:szCs w:val="18"/>
          <w:color w:val="auto"/>
        </w:rPr>
        <w:t>Wire transfer and money order fees, net of $469.2 million, for the year ended December 31, 2022 increased by $76.0 million, or 19.3%, from $393.2 million for the year ended December 31, 2021. This increase was primarily due to a 19.2% increase in transaction</w:t>
      </w:r>
    </w:p>
    <w:p>
      <w:pPr>
        <w:sectPr>
          <w:pgSz w:w="11900" w:h="16838" w:orient="portrait"/>
          <w:cols w:equalWidth="0" w:num="1">
            <w:col w:w="11240"/>
          </w:cols>
          <w:pgMar w:left="320" w:top="119" w:right="339" w:bottom="1440" w:gutter="0" w:footer="0" w:header="0"/>
          <w:type w:val="continuous"/>
        </w:sectPr>
      </w:pP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volume compared to the year ended December 31, 2021, largely due to the continued growth in our agent network, which increased by 6.0% from December 2021 to December 2022, excluding the agents added as part of La Nacional acquisition.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Revenues from foreign exchange gain, net of $72.9 million for the year ended December 31, 2022, increased by $10.1 million, or 16.1%, from $62.8 million for the year ended December 31, 2021. This increase was primarily due to higher transaction volume achieved by growth in our agent network and a higher average amount sent by consumers, as well as, increased foreign exchange volatility in the Mexican peso during the year.</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of $4.7 million for the year ended December 31, 2022 increased by $1.6 million or 50.8% from $3.1 million for the year ended December 31, 2021, primarily due to higher volume of checks processed by our sending agents as well as higher maintenance fees on money transfers pending to be refunded to consumers.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expenses for the above periods are presented below:</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Year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 of</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364,804</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307,458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52,224</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34,394</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30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4"/>
        </w:trPr>
        <w:tc>
          <w:tcPr>
            <w:tcW w:w="4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463,897</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85 %</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391,354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Amounts rounds to less than 1%.</w:t>
      </w:r>
    </w:p>
    <w:p>
      <w:pPr>
        <w:spacing w:after="0" w:line="2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Service charges from agents and banks</w:t>
      </w:r>
      <w:r>
        <w:rPr>
          <w:rFonts w:ascii="Times New Roman" w:cs="Times New Roman" w:eastAsia="Times New Roman" w:hAnsi="Times New Roman"/>
          <w:sz w:val="18"/>
          <w:szCs w:val="18"/>
          <w:color w:val="auto"/>
        </w:rPr>
        <w:t>— Service charges from agents and banks were $364.8 million for the year ended December 31, 2022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$307.5 million for the year ended December 31, 2021. The increase of $57.3 million, or 18.7%, was primarily due to the increase in transaction volume described above.</w:t>
      </w:r>
    </w:p>
    <w:p>
      <w:pPr>
        <w:spacing w:after="0" w:line="20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Salaries and benefits</w:t>
      </w:r>
      <w:r>
        <w:rPr>
          <w:rFonts w:ascii="Times New Roman" w:cs="Times New Roman" w:eastAsia="Times New Roman" w:hAnsi="Times New Roman"/>
          <w:sz w:val="18"/>
          <w:szCs w:val="18"/>
          <w:color w:val="auto"/>
        </w:rPr>
        <w:t>— Salaries and benefits were $52.2 million for the year ended December 31, 2022, an increase of $9.1 million, or 21.3%,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$43.1 million for the year ended December 31, 2021. The increase was primarily due to $4.7 million spent in talent acquisition and retention to support the continued growth of our business, increased wages and bonuses to recognize performance, $2.4 million and $0.2 million in wages and commissions expense, respectively, attributed to the La Nacional workforce, and a $2.5 million increase in share-based compensation as a result of new awards granted in 2022 and updated probability of vesting of PSUs, offset by a $0.7 million decrease in commission expense for our sales representatives, other than those added with the acquisition of La Nacional.</w:t>
      </w:r>
    </w:p>
    <w:p>
      <w:pPr>
        <w:spacing w:after="0" w:line="20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Other selling, general and administrative expenses</w:t>
      </w:r>
      <w:r>
        <w:rPr>
          <w:rFonts w:ascii="Times New Roman" w:cs="Times New Roman" w:eastAsia="Times New Roman" w:hAnsi="Times New Roman"/>
          <w:sz w:val="18"/>
          <w:szCs w:val="18"/>
          <w:color w:val="auto"/>
        </w:rPr>
        <w:t>— Other selling, general and administrative expenses of $34.4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increased by $4.1 million, or 13.4%, from $30.3 million for the year ended December 31, 2021.</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was primarily the result of:</w:t>
      </w:r>
    </w:p>
    <w:p>
      <w:pPr>
        <w:spacing w:after="0" w:line="252" w:lineRule="exact"/>
        <w:rPr>
          <w:sz w:val="20"/>
          <w:szCs w:val="20"/>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 higher IT related expenses incurred to sustain our business expansion and to improve our technology environment;</w:t>
      </w:r>
    </w:p>
    <w:p>
      <w:pPr>
        <w:spacing w:after="0" w:line="27" w:lineRule="exact"/>
        <w:rPr>
          <w:rFonts w:ascii="Times New Roman" w:cs="Times New Roman" w:eastAsia="Times New Roman" w:hAnsi="Times New Roman"/>
          <w:sz w:val="18"/>
          <w:szCs w:val="18"/>
          <w:color w:val="auto"/>
        </w:rPr>
      </w:pPr>
    </w:p>
    <w:p>
      <w:pPr>
        <w:ind w:left="740" w:hanging="246"/>
        <w:spacing w:after="0" w:line="250" w:lineRule="auto"/>
        <w:tabs>
          <w:tab w:leader="none" w:pos="7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 higher facilities and rent expenses for scheduled maintenance and contracted lease rate increases to support our business growth as well as related operating expenses in connection with the 80 corporate stores acquired through La Nacional;</w:t>
      </w:r>
    </w:p>
    <w:p>
      <w:pPr>
        <w:jc w:val="both"/>
        <w:ind w:left="740" w:hanging="246"/>
        <w:spacing w:after="0" w:line="250" w:lineRule="auto"/>
        <w:tabs>
          <w:tab w:leader="none" w:pos="7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 increase in provision for credit losses due to higher net write-offs of accounts receivable during the year ended December 31, 2022 compared to the same period in 2021, primarily as a result of sending agents that were not able to pay in accordance with the original terms and are, accordingly, subject to our normal collection procedures;</w:t>
      </w:r>
    </w:p>
    <w:p>
      <w:pPr>
        <w:spacing w:after="0" w:line="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 higher travel costs, primarily of our sales force, to support or business growth and expansion;</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 higher audit related and professional fees to support our internal audit and compliance functions;</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 higher shipping costs due to deployment of equipment for new and existing agents.</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52" w:lineRule="exact"/>
        <w:rPr>
          <w:sz w:val="20"/>
          <w:szCs w:val="20"/>
          <w:color w:val="auto"/>
        </w:rPr>
      </w:pPr>
    </w:p>
    <w:p>
      <w:pPr>
        <w:ind w:left="740" w:hanging="246"/>
        <w:spacing w:after="0" w:line="281" w:lineRule="auto"/>
        <w:tabs>
          <w:tab w:leader="none" w:pos="7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 in lower advertising and promotion expenses, primarily as a result of higher co-branding investment by some of our paying agents during 2022;</w:t>
      </w:r>
    </w:p>
    <w:p>
      <w:pPr>
        <w:sectPr>
          <w:pgSz w:w="11900" w:h="16838" w:orient="portrait"/>
          <w:cols w:equalWidth="0" w:num="1">
            <w:col w:w="11240"/>
          </w:cols>
          <w:pgMar w:left="320" w:top="119"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7" w:lineRule="exact"/>
        <w:rPr>
          <w:sz w:val="20"/>
          <w:szCs w:val="20"/>
          <w:color w:val="auto"/>
        </w:rPr>
      </w:pPr>
    </w:p>
    <w:p>
      <w:pPr>
        <w:ind w:left="740" w:hanging="246"/>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 refund of state business and occupancy tax from the state of Washington;</w:t>
      </w:r>
    </w:p>
    <w:p>
      <w:pPr>
        <w:spacing w:after="0" w:line="27" w:lineRule="exact"/>
        <w:rPr>
          <w:rFonts w:ascii="Times New Roman" w:cs="Times New Roman" w:eastAsia="Times New Roman" w:hAnsi="Times New Roman"/>
          <w:sz w:val="18"/>
          <w:szCs w:val="18"/>
          <w:color w:val="auto"/>
        </w:rPr>
      </w:pPr>
    </w:p>
    <w:p>
      <w:pPr>
        <w:ind w:left="740" w:right="20" w:hanging="246"/>
        <w:spacing w:after="0" w:line="250" w:lineRule="auto"/>
        <w:tabs>
          <w:tab w:leader="none" w:pos="7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 lower loss on disposal of assets, as the year ended December 31, 2021 included a $1.0 million impairment charge that did not reoccur in the year ended December 31, 2022; and</w:t>
      </w:r>
    </w:p>
    <w:p>
      <w:pPr>
        <w:ind w:left="740" w:hanging="246"/>
        <w:spacing w:after="0" w:line="260" w:lineRule="auto"/>
        <w:tabs>
          <w:tab w:leader="none" w:pos="73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$0.4 million - related to a lower provision recorded on deposits frozen at certain closed financial institutions in Mexico in 2022 compared to fiscal year 2021. The provision amounted to $1.6 million and $2.0 million for the years ended December 31, 2022 and 2021, respectively.</w:t>
      </w:r>
    </w:p>
    <w:p>
      <w:pPr>
        <w:spacing w:after="0" w:line="2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Transaction Costs</w:t>
      </w:r>
      <w:r>
        <w:rPr>
          <w:rFonts w:ascii="Times New Roman" w:cs="Times New Roman" w:eastAsia="Times New Roman" w:hAnsi="Times New Roman"/>
          <w:sz w:val="18"/>
          <w:szCs w:val="18"/>
          <w:color w:val="auto"/>
        </w:rPr>
        <w:t>— Transaction Costs of $3.0 million and $1.0 million for the years ended December 31, 2022 and 2021, respectively,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financial advisory fees as well as other professional fees and legal fees incurred in connection with acquisitions. Transaction costs for the year ended December 31, 2022 related to the La Nacional and LAN Holdings acquisitions, while transaction costs for the year ended December 31, 2021 relate to costs incurred in connection with potential acquisitions during that period, including La Nacional and LAN Holdings.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of $9.5 million for the year ended December 31, 2022 remained consistent with $9.5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2021. This is mainly due to $0.9 million less amortization related to trade names, developed technology and agent relationships during the year ended December 31, 2022 as these intangibles are being amortized on an accelerated basis, which declines over time, offset by an increase in depreciation of $0.9 million associated primarily with additional computer equipment to support our growing business and agent network.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$5.6 million for the year ended December 31, 2022, an increase of $1.1 million, or 24.1%, from $4.5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2021. The increase was primarily due to higher market interest rates paid under our A&amp;R Credit Agreement (as described below), as well as higher drawings under our revolving credit facility primarily during the fourth quarter of 2022.</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Income tax provision was $19.9 million for the year ended December 31, 2022, an increase of $3.4 million, or 21.1%,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provision of $16.5 million for the year ended December 31, 2021. The increase in the income tax provision was mainly attributable to higher taxable income resulting from our growth described above, partially offset by a tax benefit from deductible stock-compensation as a result of stock option exercises.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reported net income of $57.3 million for the year ended December 31, 2022 compared to net income of $46.8 million for the year ended December 31, 2021, which resulted in an increase of $10.5 million due to the same factors discussed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per Share - Basic for the year ended December 31, 2022 was $1.52, representing an increase of $0.30, or 24.6%, compared to $1.22 for the year ended December 31, 2021.</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per Share - Diluted for the year ended December 31, 2022 was $1.48, representing an increase of $0.28, or 23.3%, compared to $1.20 for the year ended December 31, 2021.</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in both basic and diluted EPS largely reflect the increased net income discussed above and the effect of a reduced share count.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business acquisition activities, which varies from period to period.</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measure of liquidity. Non-GAAP financial measures are not necessarily calculated the same way by different companies and should not be considered a substitute for or superior to GAAP measures.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particular, Adjusted EBITDA is subject to certain limitations, including the following:</w:t>
      </w:r>
    </w:p>
    <w:p>
      <w:pPr>
        <w:spacing w:after="0" w:line="252" w:lineRule="exact"/>
        <w:rPr>
          <w:sz w:val="20"/>
          <w:szCs w:val="20"/>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amounts necessary to service interest or principal payments on our debt;</w:t>
      </w:r>
    </w:p>
    <w:p>
      <w:pPr>
        <w:spacing w:after="0" w:line="252"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88"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8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noncash component of share-based compensation;</w:t>
      </w:r>
    </w:p>
    <w:p>
      <w:pPr>
        <w:spacing w:after="0" w:line="252"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of earnings or charges resulting from matters we consider not to be reflective, on a recurring basis, of our ongoing operations; and</w:t>
      </w:r>
    </w:p>
    <w:p>
      <w:pPr>
        <w:spacing w:after="0" w:line="188"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or similarly titled measures differently than we do, limiting its usefulness as a comparative measure.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adjust for these limitations by relying primarily on our GAAP results and using Adjusted EBITDA, as well as our other non-GAAP financial measures, only as supplemental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Net Income and Adjusted Earnings per Share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Net Income is defined as net income adjusted to add back certain charges and expenses, such as non-cash amortization of intangible assets resulting from business acquisition transactions, which will recur in future periods until these assets have been fully amortized, non-cash compensation costs, litigation settlements and other items set forth in the table below, as these charges and expenses are not considered a part of our core business operations and are not an indicator of ongoing, future company performance.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Earnings per Share - Basic and Diluted is calculated by dividing Adjusted Net Income by GAAP weighted-average common shares outstanding (basic and diluted).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Net Income for the year ended December 31, 2022 was $69.9 million, representing an increase of $12.4 million, or 21.6%, from Adjusted Net Income of $57.5 million for the year ended December 31, 2021. The increase in Adjusted Net Income was primarily due to the increase in net income discussed above and the impact of certain adjusting items detailed in the table below.</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Net Income: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70"/>
        </w:trPr>
        <w:tc>
          <w:tcPr>
            <w:tcW w:w="400" w:type="dxa"/>
            <w:vAlign w:val="bottom"/>
            <w:tcBorders>
              <w:top w:val="single" w:sz="8" w:color="0000FF"/>
            </w:tcBorders>
          </w:tcPr>
          <w:p>
            <w:pPr>
              <w:spacing w:after="0"/>
              <w:rPr>
                <w:sz w:val="24"/>
                <w:szCs w:val="24"/>
                <w:color w:val="auto"/>
              </w:rPr>
            </w:pPr>
          </w:p>
        </w:tc>
        <w:tc>
          <w:tcPr>
            <w:tcW w:w="6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37"/>
        </w:trPr>
        <w:tc>
          <w:tcPr>
            <w:tcW w:w="40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share data)</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43"/>
        </w:trPr>
        <w:tc>
          <w:tcPr>
            <w:tcW w:w="4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40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46,843</w:t>
            </w:r>
          </w:p>
        </w:tc>
      </w:tr>
      <w:tr>
        <w:trPr>
          <w:trHeight w:val="256"/>
        </w:trPr>
        <w:tc>
          <w:tcPr>
            <w:tcW w:w="400" w:type="dxa"/>
            <w:vAlign w:val="bottom"/>
          </w:tcPr>
          <w:p>
            <w:pPr>
              <w:spacing w:after="0"/>
              <w:rPr>
                <w:sz w:val="22"/>
                <w:szCs w:val="22"/>
                <w:color w:val="auto"/>
              </w:rPr>
            </w:pPr>
          </w:p>
        </w:tc>
        <w:tc>
          <w:tcPr>
            <w:tcW w:w="6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40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40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r>
      <w:tr>
        <w:trPr>
          <w:trHeight w:val="229"/>
        </w:trPr>
        <w:tc>
          <w:tcPr>
            <w:tcW w:w="40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on bank closure (b)</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40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 costs (c)</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29"/>
        </w:trPr>
        <w:tc>
          <w:tcPr>
            <w:tcW w:w="40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charges and expenses (d)</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30"/>
        </w:trPr>
        <w:tc>
          <w:tcPr>
            <w:tcW w:w="40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intangibles (e)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r>
      <w:tr>
        <w:trPr>
          <w:trHeight w:val="236"/>
        </w:trPr>
        <w:tc>
          <w:tcPr>
            <w:tcW w:w="400" w:type="dxa"/>
            <w:vAlign w:val="bottom"/>
            <w:tcBorders>
              <w:right w:val="single" w:sz="8" w:color="CCEEFF"/>
            </w:tcBorders>
          </w:tcPr>
          <w:p>
            <w:pPr>
              <w:spacing w:after="0"/>
              <w:rPr>
                <w:sz w:val="20"/>
                <w:szCs w:val="20"/>
                <w:color w:val="auto"/>
              </w:rPr>
            </w:pPr>
          </w:p>
        </w:tc>
        <w:tc>
          <w:tcPr>
            <w:tcW w:w="6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 benefit related to adjustments (f)</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r>
      <w:tr>
        <w:trPr>
          <w:trHeight w:val="230"/>
        </w:trPr>
        <w:tc>
          <w:tcPr>
            <w:tcW w:w="40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57,469</w:t>
            </w:r>
          </w:p>
        </w:tc>
      </w:tr>
      <w:tr>
        <w:trPr>
          <w:trHeight w:val="20"/>
        </w:trPr>
        <w:tc>
          <w:tcPr>
            <w:tcW w:w="400" w:type="dxa"/>
            <w:vAlign w:val="bottom"/>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40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40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40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57"/>
        </w:trPr>
        <w:tc>
          <w:tcPr>
            <w:tcW w:w="400" w:type="dxa"/>
            <w:vAlign w:val="bottom"/>
            <w:tcBorders>
              <w:right w:val="single" w:sz="8" w:color="CCEEFF"/>
            </w:tcBorders>
          </w:tcPr>
          <w:p>
            <w:pPr>
              <w:spacing w:after="0"/>
              <w:rPr>
                <w:sz w:val="22"/>
                <w:szCs w:val="22"/>
                <w:color w:val="auto"/>
              </w:rPr>
            </w:pPr>
          </w:p>
        </w:tc>
        <w:tc>
          <w:tcPr>
            <w:tcW w:w="65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9"/>
        </w:trPr>
        <w:tc>
          <w:tcPr>
            <w:tcW w:w="40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38,474,040</w:t>
            </w:r>
          </w:p>
        </w:tc>
      </w:tr>
      <w:tr>
        <w:trPr>
          <w:trHeight w:val="234"/>
        </w:trPr>
        <w:tc>
          <w:tcPr>
            <w:tcW w:w="400" w:type="dxa"/>
            <w:vAlign w:val="bottom"/>
          </w:tcPr>
          <w:p>
            <w:pPr>
              <w:spacing w:after="0"/>
              <w:rPr>
                <w:sz w:val="20"/>
                <w:szCs w:val="20"/>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38,625,390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39,103,450</w:t>
            </w:r>
          </w:p>
        </w:tc>
      </w:tr>
    </w:tbl>
    <w:p>
      <w:pPr>
        <w:spacing w:after="0" w:line="314" w:lineRule="exact"/>
        <w:rPr>
          <w:sz w:val="20"/>
          <w:szCs w:val="20"/>
          <w:color w:val="auto"/>
        </w:rPr>
      </w:pPr>
    </w:p>
    <w:p>
      <w:pPr>
        <w:ind w:left="580" w:hanging="248"/>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losses related to the closure of a financial institution in Mexico during 2021.</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financial advisory fees and other professional fees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580" w:right="20" w:hanging="248"/>
        <w:spacing w:after="0" w:line="250" w:lineRule="auto"/>
        <w:tabs>
          <w:tab w:leader="none" w:pos="5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 including a write-off of software development expenditures in an amount of $1.0 million during the year ended December 31, 2021 (none in 2022) and foreign currency (gains) losses.</w:t>
      </w:r>
    </w:p>
    <w:p>
      <w:pPr>
        <w:ind w:left="580" w:hanging="248"/>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amortization of intangible assets resulting from business acquisition transactions.</w:t>
      </w:r>
    </w:p>
    <w:p>
      <w:pPr>
        <w:spacing w:after="0" w:line="9" w:lineRule="exact"/>
        <w:rPr>
          <w:rFonts w:ascii="Times New Roman" w:cs="Times New Roman" w:eastAsia="Times New Roman" w:hAnsi="Times New Roman"/>
          <w:sz w:val="18"/>
          <w:szCs w:val="18"/>
          <w:color w:val="auto"/>
        </w:rPr>
      </w:pPr>
    </w:p>
    <w:p>
      <w:pPr>
        <w:ind w:left="580" w:hanging="248"/>
        <w:spacing w:after="0" w:line="260" w:lineRule="auto"/>
        <w:tabs>
          <w:tab w:leader="none" w:pos="5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Adjusted Earnings per Share - Basic (previously defined and used as described above) for the year ended December 31, 2022 was $1.85, representing an increase of $0.36, or 24.2%, compared to $1.49 for the year ended December 31, 2021.</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Adjusted Earnings per Share - Diluted (previously defined and used as described above) for the year ended December 31, 2022 was $1.81, representing an increase of $0.34, or 23.1%, compared to $1.47 for the year ended December 31, 2021.</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620" w:type="dxa"/>
        <w:tblCellMar>
          <w:top w:w="0" w:type="dxa"/>
          <w:left w:w="0" w:type="dxa"/>
          <w:bottom w:w="0" w:type="dxa"/>
          <w:right w:w="0" w:type="dxa"/>
        </w:tblCellMar>
      </w:tblPr>
      <w:tr>
        <w:trPr>
          <w:trHeight w:val="241"/>
        </w:trPr>
        <w:tc>
          <w:tcPr>
            <w:tcW w:w="3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35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30"/>
        </w:trPr>
        <w:tc>
          <w:tcPr>
            <w:tcW w:w="3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shd w:val="clear" w:color="auto" w:fill="CCEEFF"/>
          </w:tcPr>
          <w:p>
            <w:pPr>
              <w:spacing w:after="0"/>
              <w:rPr>
                <w:sz w:val="19"/>
                <w:szCs w:val="19"/>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Earnings per Share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1.52</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1.48</w:t>
            </w:r>
          </w:p>
        </w:tc>
        <w:tc>
          <w:tcPr>
            <w:tcW w:w="80" w:type="dxa"/>
            <w:vAlign w:val="bottom"/>
          </w:tcPr>
          <w:p>
            <w:pPr>
              <w:spacing w:after="0"/>
              <w:rPr>
                <w:sz w:val="19"/>
                <w:szCs w:val="19"/>
                <w:color w:val="auto"/>
              </w:rPr>
            </w:pPr>
          </w:p>
        </w:tc>
        <w:tc>
          <w:tcPr>
            <w:tcW w:w="108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1.22</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5"/>
              </w:rPr>
              <w:t>1.20</w:t>
            </w:r>
          </w:p>
        </w:tc>
        <w:tc>
          <w:tcPr>
            <w:tcW w:w="100" w:type="dxa"/>
            <w:vAlign w:val="bottom"/>
          </w:tcPr>
          <w:p>
            <w:pPr>
              <w:spacing w:after="0"/>
              <w:rPr>
                <w:sz w:val="19"/>
                <w:szCs w:val="19"/>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9"/>
                <w:szCs w:val="19"/>
                <w:color w:val="auto"/>
              </w:rPr>
            </w:pPr>
          </w:p>
        </w:tc>
        <w:tc>
          <w:tcPr>
            <w:tcW w:w="10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5"/>
              </w:rPr>
              <w:t>0.12</w:t>
            </w:r>
          </w:p>
        </w:tc>
        <w:tc>
          <w:tcPr>
            <w:tcW w:w="100" w:type="dxa"/>
            <w:vAlign w:val="bottom"/>
          </w:tcPr>
          <w:p>
            <w:pPr>
              <w:spacing w:after="0"/>
              <w:rPr>
                <w:sz w:val="19"/>
                <w:szCs w:val="19"/>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bank closure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5"/>
              </w:rPr>
              <w:t>0.05</w:t>
            </w:r>
          </w:p>
        </w:tc>
        <w:tc>
          <w:tcPr>
            <w:tcW w:w="100" w:type="dxa"/>
            <w:vAlign w:val="bottom"/>
            <w:shd w:val="clear" w:color="auto" w:fill="CCEEFF"/>
          </w:tcPr>
          <w:p>
            <w:pPr>
              <w:spacing w:after="0"/>
              <w:rPr>
                <w:sz w:val="19"/>
                <w:szCs w:val="19"/>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9"/>
                <w:szCs w:val="19"/>
                <w:color w:val="auto"/>
              </w:rPr>
            </w:pPr>
          </w:p>
        </w:tc>
        <w:tc>
          <w:tcPr>
            <w:tcW w:w="10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5"/>
              </w:rPr>
              <w:t>0.03</w:t>
            </w:r>
          </w:p>
        </w:tc>
        <w:tc>
          <w:tcPr>
            <w:tcW w:w="100" w:type="dxa"/>
            <w:vAlign w:val="bottom"/>
          </w:tcPr>
          <w:p>
            <w:pPr>
              <w:spacing w:after="0"/>
              <w:rPr>
                <w:sz w:val="19"/>
                <w:szCs w:val="19"/>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5"/>
              </w:rPr>
              <w:t>0.04</w:t>
            </w:r>
          </w:p>
        </w:tc>
        <w:tc>
          <w:tcPr>
            <w:tcW w:w="100" w:type="dxa"/>
            <w:vAlign w:val="bottom"/>
            <w:shd w:val="clear" w:color="auto" w:fill="CCEEFF"/>
          </w:tcPr>
          <w:p>
            <w:pPr>
              <w:spacing w:after="0"/>
              <w:rPr>
                <w:sz w:val="19"/>
                <w:szCs w:val="19"/>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9"/>
                <w:szCs w:val="19"/>
                <w:color w:val="auto"/>
              </w:rPr>
            </w:pPr>
          </w:p>
        </w:tc>
        <w:tc>
          <w:tcPr>
            <w:tcW w:w="10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5"/>
              </w:rPr>
              <w:t>0.13</w:t>
            </w:r>
          </w:p>
        </w:tc>
        <w:tc>
          <w:tcPr>
            <w:tcW w:w="100" w:type="dxa"/>
            <w:vAlign w:val="bottom"/>
          </w:tcPr>
          <w:p>
            <w:pPr>
              <w:spacing w:after="0"/>
              <w:rPr>
                <w:sz w:val="19"/>
                <w:szCs w:val="19"/>
                <w:color w:val="auto"/>
              </w:rPr>
            </w:pPr>
          </w:p>
        </w:tc>
      </w:tr>
      <w:tr>
        <w:trPr>
          <w:trHeight w:val="236"/>
        </w:trPr>
        <w:tc>
          <w:tcPr>
            <w:tcW w:w="3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(0.11)</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(0.10)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1.85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1.81</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1.49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5"/>
              </w:rPr>
              <w:t>1.47</w:t>
            </w:r>
          </w:p>
        </w:tc>
        <w:tc>
          <w:tcPr>
            <w:tcW w:w="10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above may contain slight summation differences due to rounding.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defined as net income before depreciation and amortization, interest expense, income taxes, and also adjusted to add back certain charges and expenses, such as non-cash compensation costs and other items set forth in the table below, as these charges and expenses are not considered a part of our core business operations and may not be indicative of ongoing, future company performance.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for the year ended December 31, 2022 was $105.2 million, representing an increase of $18.5 million, or 21.4%, from $86.7 million for the year ended December 31, 2021. The increase in Adjusted EBITDA was primarily due to the increase in net income discussed above and the impact of certain adjusting items detailed in the table below.</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EBITDA:</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70"/>
        </w:trPr>
        <w:tc>
          <w:tcPr>
            <w:tcW w:w="400" w:type="dxa"/>
            <w:vAlign w:val="bottom"/>
            <w:tcBorders>
              <w:top w:val="single" w:sz="8" w:color="0000FF"/>
            </w:tcBorders>
          </w:tcPr>
          <w:p>
            <w:pPr>
              <w:spacing w:after="0"/>
              <w:rPr>
                <w:sz w:val="24"/>
                <w:szCs w:val="24"/>
                <w:color w:val="auto"/>
              </w:rPr>
            </w:pPr>
          </w:p>
        </w:tc>
        <w:tc>
          <w:tcPr>
            <w:tcW w:w="6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37"/>
        </w:trPr>
        <w:tc>
          <w:tcPr>
            <w:tcW w:w="40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43"/>
        </w:trPr>
        <w:tc>
          <w:tcPr>
            <w:tcW w:w="4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0"/>
        </w:trPr>
        <w:tc>
          <w:tcPr>
            <w:tcW w:w="40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46,843</w:t>
            </w:r>
          </w:p>
        </w:tc>
      </w:tr>
      <w:tr>
        <w:trPr>
          <w:trHeight w:val="256"/>
        </w:trPr>
        <w:tc>
          <w:tcPr>
            <w:tcW w:w="400" w:type="dxa"/>
            <w:vAlign w:val="bottom"/>
          </w:tcPr>
          <w:p>
            <w:pPr>
              <w:spacing w:after="0"/>
              <w:rPr>
                <w:sz w:val="22"/>
                <w:szCs w:val="22"/>
                <w:color w:val="auto"/>
              </w:rPr>
            </w:pPr>
          </w:p>
        </w:tc>
        <w:tc>
          <w:tcPr>
            <w:tcW w:w="6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40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0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r>
      <w:tr>
        <w:trPr>
          <w:trHeight w:val="230"/>
        </w:trPr>
        <w:tc>
          <w:tcPr>
            <w:tcW w:w="40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r>
      <w:tr>
        <w:trPr>
          <w:trHeight w:val="236"/>
        </w:trPr>
        <w:tc>
          <w:tcPr>
            <w:tcW w:w="400" w:type="dxa"/>
            <w:vAlign w:val="bottom"/>
          </w:tcPr>
          <w:p>
            <w:pPr>
              <w:spacing w:after="0"/>
              <w:rPr>
                <w:sz w:val="20"/>
                <w:szCs w:val="20"/>
                <w:color w:val="auto"/>
              </w:rPr>
            </w:pPr>
          </w:p>
        </w:tc>
        <w:tc>
          <w:tcPr>
            <w:tcW w:w="6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9,491</w:t>
            </w:r>
          </w:p>
        </w:tc>
      </w:tr>
      <w:tr>
        <w:trPr>
          <w:trHeight w:val="230"/>
        </w:trPr>
        <w:tc>
          <w:tcPr>
            <w:tcW w:w="40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77,343</w:t>
            </w:r>
          </w:p>
        </w:tc>
      </w:tr>
      <w:tr>
        <w:trPr>
          <w:trHeight w:val="229"/>
        </w:trPr>
        <w:tc>
          <w:tcPr>
            <w:tcW w:w="40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r>
      <w:tr>
        <w:trPr>
          <w:trHeight w:val="229"/>
        </w:trPr>
        <w:tc>
          <w:tcPr>
            <w:tcW w:w="400" w:type="dxa"/>
            <w:vAlign w:val="bottom"/>
            <w:tcBorders>
              <w:right w:val="single" w:sz="8" w:color="CCEEFF"/>
            </w:tcBorders>
          </w:tcPr>
          <w:p>
            <w:pPr>
              <w:spacing w:after="0"/>
              <w:rPr>
                <w:sz w:val="19"/>
                <w:szCs w:val="19"/>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on bank closure (b)</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40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 costs (c)</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37"/>
        </w:trPr>
        <w:tc>
          <w:tcPr>
            <w:tcW w:w="400" w:type="dxa"/>
            <w:vAlign w:val="bottom"/>
            <w:tcBorders>
              <w:right w:val="single" w:sz="8" w:color="CCEEFF"/>
            </w:tcBorders>
          </w:tcPr>
          <w:p>
            <w:pPr>
              <w:spacing w:after="0"/>
              <w:rPr>
                <w:sz w:val="20"/>
                <w:szCs w:val="20"/>
                <w:color w:val="auto"/>
              </w:rPr>
            </w:pPr>
          </w:p>
        </w:tc>
        <w:tc>
          <w:tcPr>
            <w:tcW w:w="6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charges and expenses (d)</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29"/>
        </w:trPr>
        <w:tc>
          <w:tcPr>
            <w:tcW w:w="40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105,225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86,655</w:t>
            </w:r>
          </w:p>
        </w:tc>
      </w:tr>
      <w:tr>
        <w:trPr>
          <w:trHeight w:val="21"/>
        </w:trPr>
        <w:tc>
          <w:tcPr>
            <w:tcW w:w="4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losses related to the closure of a financial institution in Mexico during 2021.</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financial advisory fees and other professional fees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580" w:right="20" w:hanging="248"/>
        <w:spacing w:after="0" w:line="260" w:lineRule="auto"/>
        <w:tabs>
          <w:tab w:leader="none" w:pos="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 including a write-off of software development expenditures in an amount of $1.0 million during the year ended December 31, 2021 (none in 2022) and foreign currency (gains) losses.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liquidity in terms of cash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funded and still expect to continue funding our liquidity requirements through internally generated funds, supplemented in the ordinary course, with borrowings under our revolving credit facility. We maintain a strong cash balance position and have access to committed funding sources, which we have used only on a limited and ordinary course basis during the year ended December 31, 2022. Therefore, we believe that our projected cash flows generated from operations, together with borrowings under our revolving credit facility are sufficient to fund our principal debt payments, interest expense, our working capital needs and our expected capital expenditures for at least the next twelve months.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an Amended and Restated Credit Agreement (as amended as described below, the “Credit Agreement”) with a group of banking institutions. The Credit Agreement provides for a $150.0 million revolving credit facility, an $87.5 million term loan facility and an uncommitted incremental facility, which may be utilized for additional revolving or term loans, of up to $70.0 million. The Credit Agreement also provides for the issuance of letters of credit, which would reduce availability under the revolving credit facility. The proceeds of the term loan were used to refinance the existing term loan under the Company’s previous credit agreement, and the revolving credit facility is available for working capital, general corporate purposes and to pay fees and expenses in connection with this transaction. The maturity date of the Credit Agreement is June 24, 2026. Included in the lender group under the Credit Agreement is Silicon Valley Bank (“SVB”), which holds 13% of the revolving credit facility commitments. Due to recent events regarding SVB and its control by federal banking authorities, it is unclear whether SVB would be in a position to continue to fund its pro rata portion of draws under the revolving credit facility. Pending a resolution of SVB's participation in the Credit Agreement, which resolution may include seeking a replacement lender and/or a request to utilize the uncommitted incremental facility, the Company believes that the availability of the remaining revolving credit facility commitments should be sufficient to allow the Company to meet its foreseeable working capital needs in the event SVB does not fund its portion of any draw request.</w:t>
      </w:r>
    </w:p>
    <w:p>
      <w:pPr>
        <w:spacing w:after="0" w:line="217"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In November 2022, the Credit Agreement was amended to replace the London Inter-bank Offered Rate (“LIBOR”) as a benchmark interest rate for loans with the secured overnight financing rate as administered by the Federal Reserve Bank of New York (“SOFR”).</w:t>
      </w:r>
    </w:p>
    <w:p>
      <w:pPr>
        <w:sectPr>
          <w:pgSz w:w="11900" w:h="16838" w:orient="portrait"/>
          <w:cols w:equalWidth="0" w:num="1">
            <w:col w:w="11240"/>
          </w:cols>
          <w:pgMar w:left="320" w:top="108"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had $80.9 million of borrowings under the term loan facility excluding debt origination costs of $1.7 million. As of December 31, 2022 there were $76.0 million of outstanding amounts drawn on the revolving credit facility. There were $144.0 million of additional borrowings available under these facilities as of December 31, 2022.</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election of the Company, interest on the term loan facility and revolving loans under the Credit Agreement may be determined by reference to SOFR plus an index adjustment of 0.10% and an applicable margin ranging between 2.50% and 3.00% based upon the Company’s consolidated leverage ratio, as calculated pursuant to the terms of the Credit Agreement. Loans (other than Term Loans, as defined in the Credit Agreement), may also bear interest at the base rate plus an applicable margin ranging between 1.50% and 2.00% based upon the Company’s consolidated leverage ratio, as so calculated. The Company is also required to pay a fee on the unused portion of the revolving credit facility equal to 0.35% per annum.</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interest rates for the year ended December 31, 2022 for the term loan facility and revolving credit facility were 4.87% and 1.04%, respectively. Interest is payable (x)(i) generally on the last day of each interest period selected for SOFR loans, but in any event, not less frequently than every three months, and (ii) on the last business day of each quarter for base rate loans and (y) at final maturity.</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principal amount of the term loan facility under the Credit Agreement must be repaid in consecutive quarterly installments of 5.0% in years 1 and 2, 7.5% in year 3, and 10.0% in years 4 and 5, in each case on the last day of each quarter, commencing in September 2021 with a final balloon payment at maturity. The term loans under the Credit Agreement may be prepaid at any time without premium or penalty. Revolving loans may be borrowed, repaid and reborrowed from time to time in accordance with the terms and conditions of the Credit Agreement. The Company is also required to repay the loans upon receipt of net proceeds from certain casualty events, upon the disposition of certain property and upon incurrence of indebtedness not permitted by the Credit Agreement. In addition, the Company is required to make mandatory prepayments annually from excess cash flow if the Company’s consolidated leverage ratio (as calculated under the Credit Agreement) is greater than or equal to 3.0, and the remainder of any such excess cash flow is contributed to the available amount which may be used for a variety of purposes, including investments and distributions.</w:t>
      </w:r>
    </w:p>
    <w:p>
      <w:pPr>
        <w:spacing w:after="0" w:line="2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Credit Agreement contains financial covenants that require the Company to maintain a quarterly minimum fixed charge coverage ratio of 1.25:1.00 and a quarterly maximum consolidated leverage ratio of 3.25:1.00. As of December 31, 2022, we were in compliance with the covenants of the Credit Agreement. The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 The Credit Agreement generally restricts the ability of the Company to make certain restricted payments, including the repurchase of shares of its common stock, provided that the Company may make restricted payments, among others, (i) without limitation so long as the Consolidated Leverage Ratio (as defined in the Credit Agreement), as of the then most recently completed four fiscal quarters of the Company, after giving pro forma effect to such restricted payments, is 2.25 to 1.00 or less, (ii) that do not exceed, in the aggregate during any fiscal year, the greater of (x) $23.8 million and (y) 25.0% of Consolidated EBITDA (as defined in the Credit Agreement) for the then most recently completed four fiscal quarters of the Company, and (iii) to repurchase Company common stock from current or former employees in an aggregate amount of up to $10.0 million per calendar year.</w:t>
      </w: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Times New Roman" w:cs="Times New Roman" w:eastAsia="Times New Roman" w:hAnsi="Times New Roman"/>
          <w:sz w:val="18"/>
          <w:szCs w:val="18"/>
          <w:i w:val="1"/>
          <w:iCs w:val="1"/>
          <w:color w:val="auto"/>
        </w:rPr>
        <w:t>Risk Factors—Risks Relating to Our Indebtedness—The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 may limit our operating flexibility and could adversely affect our business, financial condition and results of operations.”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Repurchase Program</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August 2021, the Company’s Board of Directors approved a stock repurchase program (the “Repurchase Program”) that authorizes the Company to purchase up to $40.0 million of its outstanding shares of the Company’s common stock.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Under the terms of the Credit Agreement, the Company has restrictions that limit the maximum amount of repurchases as described in the “Credit Agreement” section above.</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purchased 1,308,259 shares under the Repurchase Program for an aggregate purchase price totaling $26.2 million. As of December 31, 2022, there were $8.3 million remaining amount available for future share repurchases under the Repurchase Program. During the first quarter of 2023 to date, the Company repurchased 317 thousand shares for $7.6 million, resulting in $0.7 million available for future share repurchases under the Repurchase Program.</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3, 2023 the Board of Directors approved an increase to the Repurchase Program that authorizes the Company to purchase an additional $100.0 million of its outstanding shares.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Privately-Negotiated Share Repurchase Transaction</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9, 2022, the Company entered into an agreement with SPC Intermex, LP for the purchase of 1,172,485 shares of the Company’s common stock for a total purchase price of $27.6 million, or a per share price of $23.50, in a privately-negotiated transaction.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party to operating leases for office space, warehouses and Company-operated store locations, which we use as part of our day-to-day operations. Operating lease expenses were $3.1 million for the year ended December 31, 2022. We have not entered into finance lease commitments. For additional information on operating lease obligations, refer to Part II, Item 8, Financial Statements and Supplementary Data,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2022, we entered into a lease agreement, which expires in 2033, for our new headquarters to accommodate our growing workforce. We expect to complete the move to the new office space in the second half of 2023 following the completion of leasehold improvements. The new lease agreement provides for the Company to receive a tenant allowance amounting to approximately $3.8 million through the third quarter of 2023 and the Company will commence making monthly lease payments on November 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to our cash flows for the periods presented:</w:t>
      </w: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5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36"/>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 of Cash Flows Data: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(11,210)</w:t>
            </w:r>
          </w:p>
        </w:tc>
      </w:tr>
      <w:tr>
        <w:trPr>
          <w:trHeight w:val="236"/>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the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86,117</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the year</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149,493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74,907</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$15.2 million for the year ended December 31, 2022, a decrease of $62.9 million from net cash provided by operating activities of $78.1 million for the year ended December 31, 2021. The decrease of $62.9 million is primarily a result of $78.3 million related to changes in working capital, which varies due to timing of money transmissions and payments, offset by additional cash generated by our improved operating results for the year ended December 31, 2022, which reflected the further growth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$12.5 million for the year ended December 31, 2022, an increase of $1.8 million from $10.8 million for the year ended December 31, 2021. This increase in cash used was due to the acquisition of La Nacional through a cash transaction which resulted in $0.1 million of cash used, net of cash acquired. In addition, the Company invested funds in higher purchases of property and equipment as a result of our continued growth of sending agents, as well as, upgrading equipment of existing agents during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$14.1 million for the year ended December 31, 2022, which primarily consisted of $4.4 million in scheduled quarterly payments due on the term loan facility, $53.7 million of repurchases of common stock and $5.4 million of payments for stock-based awards for shares withheld in connection with stock-based compensation arrangements and related payments to taxing authorities, offset by $76.0 million of borrowings, net under the revolving credit facility and $1.7 million in proceeds from issuance of stock as a result of the exercise of options.</w:t>
      </w:r>
    </w:p>
    <w:p>
      <w:pPr>
        <w:sectPr>
          <w:pgSz w:w="11900" w:h="16838" w:orient="portrait"/>
          <w:cols w:equalWidth="0" w:num="1">
            <w:col w:w="11240"/>
          </w:cols>
          <w:pgMar w:left="320" w:top="119" w:right="33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was $9.6 million for the year ended December 31, 2021, which primarily consisted of a $44.2 million debt repayment, including $4.1.million in scheduled quarterly payments due on the term loan facility, and $2.9 million of debt origination costs in connection with the refinancing of the existing debt under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previous credit agreement, $5.6 million of repurchases of common stock and $0.8 million of payments for stock-based awards for shares withheld in connection with stock-based compensation arrangements and related payments to taxing authorities, offset by $40.2 million borrowings in connection with the refinancing of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previous credit agreement and $3.8 million in proceeds from issuance of stock as a result of the exercise of options.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accordance with accounting principles generally accepted in the United States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 Our significant accounting policies are discussed in Part II, Item 8, </w:t>
      </w:r>
      <w:r>
        <w:rPr>
          <w:rFonts w:ascii="Times New Roman" w:cs="Times New Roman" w:eastAsia="Times New Roman" w:hAnsi="Times New Roman"/>
          <w:sz w:val="18"/>
          <w:szCs w:val="18"/>
          <w:i w:val="1"/>
          <w:iCs w:val="1"/>
          <w:color w:val="auto"/>
        </w:rPr>
        <w:t>Financial Statements and Supplementary Data, Note 2, “Summary of Significant Accounting Policies.”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and agent advances receivable are recorded at their net realizable value, which is net of an allowance for credit losses. Accounts receivable are recorded upon initiation of the wire transfer and are typically due to the Company within five days. The Company maintains an allowance for credit losses for estimated losses resulting from the inability of its sending agents to make required payments.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adopted ASU 2016-13, Financial Instruments - Credit Losses, on December 31, 2022, which was retroactively applied as of the first day of fiscal year 2022.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 Accounts receivable that are more than 90 days past due are charged off against the allowance for credit losses.</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not party to any off-balance sheet arrangements that would require an allowance for credit losses in accordance with this accounting standard.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Goodwill and intangible assets result primarily from business combination acquisitions. Intangible assets include agent relationships, trade names, developed technology and other intangibles, all with finite lives. Our agent relationships, trade names and developed technology are currently amortized utilizing an accelerated method over their estimated useful lives. Other intangible assets are amortized straight-line over a useful life of 10 years. Upon the acquisition, the purchase price is first allocated to identifiable assets and liabilities, including the trade name and other intangibles, with any remaining purchase price recorded as goodwill.</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Goodwill is not amortized; however, it is assessed for impairment at least annually, at the beginning of the fourth quarter, or more frequently if triggering events occur. For purposes of the annual impairment test, management initially performs a qualitative assessment, which includes consideration of the economic, industry and market conditions in addition to our overall financial performance and the performance of these assets. If our qualitative assessment does not conclude that it is more likely than not that the estimated fair value of the reporting unit is greater than the carrying value, we perform a quantitative analysis. In a quantitative test, the fair value of a reporting unit is determined based on a discounted cash flow analysis. A discounted cash flow analysis requires us to make various assumptions, including assumptions about future cash flows, growth rates and discount rates. The assumptions about future cash flows and growth rates are based on our long-term projections. Assumptions used in our impairment testing are consistent with our internal forecasts and operating plans. If the fair value of the reporting unit exceeds its carrying amount, there is no impairment. If not, we recognize an impairment equal to the difference between the carrying amount of the reporting unit and its fair value, not to exceed the carrying amount of goodwill.</w:t>
      </w:r>
    </w:p>
    <w:p>
      <w:pPr>
        <w:spacing w:after="0" w:line="215"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The Company continuously monitors for events and circumstances that could negatively impact the key assumptions in determining fair value. While the Company believes the judgments and assumptions used in the goodwill impairment tests are reasonable, different</w:t>
      </w:r>
    </w:p>
    <w:p>
      <w:pPr>
        <w:sectPr>
          <w:pgSz w:w="11900" w:h="16838" w:orient="portrait"/>
          <w:cols w:equalWidth="0" w:num="1">
            <w:col w:w="11240"/>
          </w:cols>
          <w:pgMar w:left="320" w:top="119"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assumptions or changes in general industry, market and macro-economic conditions, including the effect of health crises, could change the estimated fair values and, therefore, future impairment charges could be required, which could be material to the consolidated financial statements.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evaluates amortizable intangible assets for impairment whenever events or changes in circumstances indicate that the carrying amount of an asset may not be recoverable. Upon such an occurrence, recoverability of assets to be held and used is measured by comparing the carrying amount of an asset to forecasted undiscounted future net cash flows expected to be generated by the asset. If the carrying amount of the asset exceeds its estimated future cash flows, an impairment charge is recognized for the amount by which the carrying amount of the asset exceeds the fair value of the asset. Fair value is determined based on discounted cash flows, appraised values or management’s estimates, depending upon the nature of the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federal jurisdiction and various state jurisdictions and our foreign subsidiaries are subject to taxes by local tax authorities. As required by the uncertain tax position guidance, we recognize the financial statement benefit of a position only after determining that the relevant tax authority would more likely than not sustain the positions following an audit. Tax regulations within each jurisdiction are subject to the interpretation of the related tax laws and regulations and require significant judgment to apply. We apply the uncertain tax position guidance to all tax positions for which the statute of limitations remains open. Resolution of these uncertainties in a manner inconsistent with management’s expectations could have a material impact on the Company’s financial condition and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Refer to Part II, Item 8, </w:t>
      </w:r>
      <w:r>
        <w:rPr>
          <w:rFonts w:ascii="Times New Roman" w:cs="Times New Roman" w:eastAsia="Times New Roman" w:hAnsi="Times New Roman"/>
          <w:sz w:val="18"/>
          <w:szCs w:val="18"/>
          <w:i w:val="1"/>
          <w:iCs w:val="1"/>
          <w:color w:val="auto"/>
        </w:rPr>
        <w:t>Financial Statements and Supplementary Data, Note 2, “Summary of Significant Accounting Policies”</w:t>
      </w:r>
      <w:r>
        <w:rPr>
          <w:rFonts w:ascii="Times New Roman" w:cs="Times New Roman" w:eastAsia="Times New Roman" w:hAnsi="Times New Roman"/>
          <w:sz w:val="18"/>
          <w:szCs w:val="18"/>
          <w:color w:val="auto"/>
        </w:rPr>
        <w:t>, for further discussion.</w:t>
      </w:r>
    </w:p>
    <w:p>
      <w:pPr>
        <w:spacing w:after="0" w:line="2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$41.3 million and $48.6 million at December 31, 2022 and 2021, respectively.</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included in wire transfers and money orders payable, net in our consolidated balance sheets as of December 31, 2022 and 2021, there are $39.3 million and $17.8 million, respectively, of wire transfers payable denominated in foreign currencies, primarily in Mexican pesos and Guatemalan quetzales.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Also, included in prepaid wires, net in our consolidated balance sheets as of December 31, 2022 and 2021, there are $82.3 million and $39.7 million, respectively, of prepaid wires denominated in foreign currencies, primarily in Mexican pesos and Guatemalan quetzales.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1% of our consolidated revenues for the year ended December 31, 2022. Therefore, a 10% increase or decrease in these currency rates against the U.S. Dollar would result in a de minimis change to our overall operating results.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spot and average exchange rates for Mexico, Guatemala and Canada currencies to U.S. dollar are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2560" w:type="dxa"/>
            <w:vAlign w:val="bottom"/>
          </w:tcPr>
          <w:p>
            <w:pPr>
              <w:spacing w:after="0"/>
              <w:rPr>
                <w:sz w:val="19"/>
                <w:szCs w:val="19"/>
                <w:color w:val="auto"/>
              </w:rPr>
            </w:pPr>
          </w:p>
        </w:tc>
        <w:tc>
          <w:tcPr>
            <w:tcW w:w="208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9"/>
                <w:szCs w:val="19"/>
                <w:color w:val="auto"/>
              </w:rPr>
            </w:pPr>
          </w:p>
        </w:tc>
        <w:tc>
          <w:tcPr>
            <w:tcW w:w="212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9"/>
                <w:szCs w:val="19"/>
                <w:color w:val="auto"/>
              </w:rPr>
            </w:pPr>
          </w:p>
        </w:tc>
        <w:tc>
          <w:tcPr>
            <w:tcW w:w="212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47"/>
        </w:trPr>
        <w:tc>
          <w:tcPr>
            <w:tcW w:w="2560" w:type="dxa"/>
            <w:vAlign w:val="bottom"/>
          </w:tcPr>
          <w:p>
            <w:pPr>
              <w:spacing w:after="0"/>
              <w:rPr>
                <w:sz w:val="21"/>
                <w:szCs w:val="21"/>
                <w:color w:val="auto"/>
              </w:rPr>
            </w:pPr>
          </w:p>
        </w:tc>
        <w:tc>
          <w:tcPr>
            <w:tcW w:w="1100" w:type="dxa"/>
            <w:vAlign w:val="bottom"/>
            <w:gridSpan w:val="2"/>
          </w:tcPr>
          <w:p>
            <w:pPr>
              <w:ind w:left="240"/>
              <w:spacing w:after="0" w:line="240" w:lineRule="exact"/>
              <w:rPr>
                <w:sz w:val="20"/>
                <w:szCs w:val="20"/>
                <w:color w:val="auto"/>
              </w:rPr>
            </w:pPr>
            <w:r>
              <w:rPr>
                <w:rFonts w:ascii="Times New Roman" w:cs="Times New Roman" w:eastAsia="Times New Roman" w:hAnsi="Times New Roman"/>
                <w:sz w:val="18"/>
                <w:szCs w:val="18"/>
                <w:b w:val="1"/>
                <w:bCs w:val="1"/>
                <w:color w:val="auto"/>
              </w:rPr>
              <w:t>Spot</w:t>
            </w:r>
            <w:r>
              <w:rPr>
                <w:rFonts w:ascii="Times New Roman" w:cs="Times New Roman" w:eastAsia="Times New Roman" w:hAnsi="Times New Roman"/>
                <w:sz w:val="23"/>
                <w:szCs w:val="23"/>
                <w:b w:val="1"/>
                <w:bCs w:val="1"/>
                <w:color w:val="auto"/>
                <w:vertAlign w:val="superscript"/>
              </w:rPr>
              <w:t>(1)</w:t>
            </w:r>
          </w:p>
        </w:tc>
        <w:tc>
          <w:tcPr>
            <w:tcW w:w="1240" w:type="dxa"/>
            <w:vAlign w:val="bottom"/>
            <w:gridSpan w:val="2"/>
          </w:tcPr>
          <w:p>
            <w:pPr>
              <w:ind w:left="100"/>
              <w:spacing w:after="0" w:line="240"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(2)</w:t>
            </w:r>
          </w:p>
        </w:tc>
        <w:tc>
          <w:tcPr>
            <w:tcW w:w="1120" w:type="dxa"/>
            <w:vAlign w:val="bottom"/>
            <w:gridSpan w:val="2"/>
          </w:tcPr>
          <w:p>
            <w:pPr>
              <w:ind w:left="260"/>
              <w:spacing w:after="0" w:line="240" w:lineRule="exact"/>
              <w:rPr>
                <w:sz w:val="20"/>
                <w:szCs w:val="20"/>
                <w:color w:val="auto"/>
              </w:rPr>
            </w:pPr>
            <w:r>
              <w:rPr>
                <w:rFonts w:ascii="Times New Roman" w:cs="Times New Roman" w:eastAsia="Times New Roman" w:hAnsi="Times New Roman"/>
                <w:sz w:val="18"/>
                <w:szCs w:val="18"/>
                <w:b w:val="1"/>
                <w:bCs w:val="1"/>
                <w:color w:val="auto"/>
              </w:rPr>
              <w:t>Spot</w:t>
            </w:r>
            <w:r>
              <w:rPr>
                <w:rFonts w:ascii="Times New Roman" w:cs="Times New Roman" w:eastAsia="Times New Roman" w:hAnsi="Times New Roman"/>
                <w:sz w:val="23"/>
                <w:szCs w:val="23"/>
                <w:b w:val="1"/>
                <w:bCs w:val="1"/>
                <w:color w:val="auto"/>
                <w:vertAlign w:val="superscript"/>
              </w:rPr>
              <w:t>(1)</w:t>
            </w:r>
          </w:p>
        </w:tc>
        <w:tc>
          <w:tcPr>
            <w:tcW w:w="1260" w:type="dxa"/>
            <w:vAlign w:val="bottom"/>
            <w:gridSpan w:val="2"/>
          </w:tcPr>
          <w:p>
            <w:pPr>
              <w:ind w:left="120"/>
              <w:spacing w:after="0" w:line="240"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(2)</w:t>
            </w:r>
          </w:p>
        </w:tc>
        <w:tc>
          <w:tcPr>
            <w:tcW w:w="1100" w:type="dxa"/>
            <w:vAlign w:val="bottom"/>
            <w:gridSpan w:val="2"/>
          </w:tcPr>
          <w:p>
            <w:pPr>
              <w:ind w:left="260"/>
              <w:spacing w:after="0" w:line="240" w:lineRule="exact"/>
              <w:rPr>
                <w:sz w:val="20"/>
                <w:szCs w:val="20"/>
                <w:color w:val="auto"/>
              </w:rPr>
            </w:pPr>
            <w:r>
              <w:rPr>
                <w:rFonts w:ascii="Times New Roman" w:cs="Times New Roman" w:eastAsia="Times New Roman" w:hAnsi="Times New Roman"/>
                <w:sz w:val="18"/>
                <w:szCs w:val="18"/>
                <w:b w:val="1"/>
                <w:bCs w:val="1"/>
                <w:color w:val="auto"/>
              </w:rPr>
              <w:t>Spot</w:t>
            </w:r>
            <w:r>
              <w:rPr>
                <w:rFonts w:ascii="Times New Roman" w:cs="Times New Roman" w:eastAsia="Times New Roman" w:hAnsi="Times New Roman"/>
                <w:sz w:val="23"/>
                <w:szCs w:val="23"/>
                <w:b w:val="1"/>
                <w:bCs w:val="1"/>
                <w:color w:val="auto"/>
                <w:vertAlign w:val="superscript"/>
              </w:rPr>
              <w:t>(1)</w:t>
            </w:r>
          </w:p>
        </w:tc>
        <w:tc>
          <w:tcPr>
            <w:tcW w:w="1020" w:type="dxa"/>
            <w:vAlign w:val="bottom"/>
          </w:tcPr>
          <w:p>
            <w:pPr>
              <w:jc w:val="right"/>
              <w:ind w:right="30"/>
              <w:spacing w:after="0" w:line="240"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(2)</w:t>
            </w:r>
          </w:p>
        </w:tc>
      </w:tr>
      <w:tr>
        <w:trPr>
          <w:trHeight w:val="229"/>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dollar/Mexico Peso</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dollar/Guatemala Quetzal</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2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dollar/Canadian Dollar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Spot exchange rates are as of December 31, 2022, 2021 and 2020.</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Average exchange rates are for the years ended December 31, 2022, 2021 and 2020.</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sustained appreciation of the Mexican peso or Guatemalan quetzal as compared to the U.S. dollar could affect our margins.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discussed above, interest under the Credit Agreement is variable based on certain benchmark rates, including SOFR.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the Federal Reserve raised the fed funds rate from 0.25% to 4.50% as a countermeasure to control inflation in the United States. As a consequence, other benchmark interest rates such as SOFR and previously LIBOR increased as well. These increases have resulted in the Company incurring higher interest expense. The Company expects that the Federal Reserve will continue raising the fed funds rate during 2023, which will continue exposing the Company to higher interest rate risk as benchmark interest rates such as SOFR will continue increasing as well. As of December 31, 2022, we had $80.9 million and $76.0 million in outstanding borrowings under the term loan facility and revolving credit facility, respectively. A hypothetical 1% increase or decrease in the interest rate on our indebtedness as of December 31, 2022 would have increased or decreased annual cash interest expense on our term loan facility and revolving credit facility by approximately $0.8 million each.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maintain certain cash balances in various U.S. banks, which at times, may exceed federally insured limits. We have not incurred any losses on these accounts. In addition, we maintain various bank accounts in Mexico, Guatemala and Canada, which are not insured. During the year ended December 31, 2022, we did not incur any losses on these uninsured accounts with the exception of a $1.6 million provision we recorded in the third quarter of 2022 as a result of the closure of a financial institution in Mexico during the third quarter of 2021 (See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 6 “Prepaid Expenses and Other Assets” </w:t>
      </w:r>
      <w:r>
        <w:rPr>
          <w:rFonts w:ascii="Times New Roman" w:cs="Times New Roman" w:eastAsia="Times New Roman" w:hAnsi="Times New Roman"/>
          <w:sz w:val="18"/>
          <w:szCs w:val="18"/>
          <w:color w:val="auto"/>
        </w:rPr>
        <w:t>for further discussion). To manage our exposure to credit risk with respect to cash balances and other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exposure resulting from our relationships with banks and financial institutions, we regularly review cash concentrations, and we attempt to diversify our cash balances among global financial institutions.</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December 31, 2022, we also had $2.8 million outstanding of agent advances receivable from sending agents. Most of the agent advances receivable are collateralized by personal guarantees from the sending agents and by assets from their businesses.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provision for credit losses was approximately $2.6 million for the year ended December 31, 2022 (0.5% of total revenues), $1.5 million for the year ended December 31, 2021 (0.3% of total revenues) and $1.8 million for the year ended December 31, 2020 (0.5% of total revenues). The increase in our provision for credit losses in the year ended December 31, 2022 is due to higher write-offs of accounts receivable in 2022 compared to 2021 primarily as a result of sending agents that were not able to pay in accordance with the original terms and are, accordingly, subject to our normal collection procedures.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USA, LLP, Miami, FL, Auditor Firm ID: 243)</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F-2</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F-3</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FF"/>
              </w:rPr>
              <w:t>Consolidated Statements of Income and Comprehensive Income for the years ended December 31, 2022, 2021 and</w:t>
            </w:r>
          </w:p>
        </w:tc>
        <w:tc>
          <w:tcPr>
            <w:tcW w:w="6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F-4</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2020</w:t>
            </w:r>
          </w:p>
        </w:tc>
        <w:tc>
          <w:tcPr>
            <w:tcW w:w="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920" w:type="dxa"/>
            <w:vAlign w:val="bottom"/>
            <w:gridSpan w:val="2"/>
          </w:tcPr>
          <w:p>
            <w:pPr>
              <w:spacing w:after="0"/>
              <w:rPr>
                <w:sz w:val="8"/>
                <w:szCs w:val="8"/>
                <w:color w:val="auto"/>
              </w:rPr>
            </w:pPr>
          </w:p>
        </w:tc>
        <w:tc>
          <w:tcPr>
            <w:tcW w:w="8800" w:type="dxa"/>
            <w:vAlign w:val="bottom"/>
            <w:vMerge w:val="continue"/>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2022, 2021 and 2020</w:t>
            </w: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F-5</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F-6</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other financial statement schedules for International Money Express, Inc. have been omitted because they are not applicable, or because the information required is included in the respective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Money Express,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International Money Express, Inc. and subsidiaries (the “Company”) as of December 31, 2022 and 2021, the related consolidated statements of income and comprehensive income, changes in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15, 2023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Sufficiency of Audit Evidence from Highly Automated Systems to Process and Record Revenue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in Notes 2 and 4 to the consolidated financial statements, revenue is primarily generated from fees earned from providing wire transfer and money order transaction services to individual customers.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revenue from wire transfer fees obtained from the Company’s information technology (IT) systems to be a critical audit matter. The processing and recording of wire transfer fees is highly automated and relies on multiple internally developed systems and databases. The process to understand, design and test the operating effectiveness of relevant IT general and application controls required the involvement of individuals with specialized skills and knowledge.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performed to address this critical audit matter included:</w:t>
      </w:r>
    </w:p>
    <w:p>
      <w:pPr>
        <w:spacing w:after="0" w:line="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Involving IT professionals with specialized skills and knowledge in the performance of the following procedures: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relevant systems used to calculate, transmit and record wire transfer fees.</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2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general IT controls over relevant systems, including testing user access controls, change management controls, and IT operations controls.</w:t>
      </w: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operating effectiveness of automated application controls, including system interfaces.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substantive analytical procedures over wire transfer fee revenue, including testing the underlying information from the IT system.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 Fair Value Measurement of Certain Acquired Intangible Assets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Notes 2 and 3 to the consolidated financial statements, on November 1, 2022, the Company acquired Envios de Valores La Nacional Corp. for total consideration transferred of $41.0 million which includes contingent consideration of $1.3 million. The Company accounted for the transaction under the acquisition method of accounting for business combinations. Accordingly, the consideration transferred was allocated to the assets acquired and liabilities assumed based on their respective fair values on the acquisition date including the trade name and agent relationships of approximately $8.4 million.</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identified the determination of the fair values of the trade name and agent relationships as a critical audit matter because (i) the fair value estimates were sensitive to changes in the significant assumptions such as revenue growth rates and agent attrition rates used in the applicable valuation model and</w:t>
      </w:r>
    </w:p>
    <w:p>
      <w:pPr>
        <w:sectPr>
          <w:pgSz w:w="11900" w:h="16838" w:orient="portrait"/>
          <w:cols w:equalWidth="0" w:num="1">
            <w:col w:w="11240"/>
          </w:cols>
          <w:pgMar w:left="320" w:top="119" w:right="339" w:bottom="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(ii) the audit effort required the involvement of individuals with specialized skills and knowledge in valuation.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7" w:lineRule="exact"/>
        <w:rPr>
          <w:sz w:val="20"/>
          <w:szCs w:val="20"/>
          <w:color w:val="auto"/>
        </w:rPr>
      </w:pPr>
    </w:p>
    <w:p>
      <w:pPr>
        <w:ind w:left="660" w:right="2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design and operating effectiveness of controls over the Company’s forecasting process, including controls over the Company’s review of the significant assumptions described above.</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the valuation.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significant assumptions described above used in the applicable valuation model by comparing (i) revenue growth rates to historical operating performance, industry trends, and results from other areas of the audit; and (ii) agent attrition rates to historical attrition rates and results from other areas of the audit.</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our valuation specialists to assess the appropriateness of the valuation methodology and evaluating the reasonableness of the discount rates by developing an independent estimate of the discount rate and comparing it to the discount rate used by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2023</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26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132,474</w:t>
            </w:r>
          </w:p>
        </w:tc>
        <w:tc>
          <w:tcPr>
            <w:tcW w:w="0" w:type="dxa"/>
            <w:vAlign w:val="bottom"/>
          </w:tcPr>
          <w:p>
            <w:pPr>
              <w:spacing w:after="0"/>
              <w:rPr>
                <w:sz w:val="1"/>
                <w:szCs w:val="1"/>
                <w:color w:val="auto"/>
              </w:rPr>
            </w:pP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129,808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67,317</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wires,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56,766</w:t>
            </w: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263,545</w:t>
            </w: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17,905</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31,876</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0" w:type="dxa"/>
            <w:vAlign w:val="bottom"/>
          </w:tcPr>
          <w:p>
            <w:pPr>
              <w:spacing w:after="0"/>
              <w:rPr>
                <w:sz w:val="1"/>
                <w:szCs w:val="1"/>
                <w:color w:val="auto"/>
              </w:rPr>
            </w:pPr>
          </w:p>
        </w:tc>
      </w:tr>
      <w:tr>
        <w:trPr>
          <w:trHeight w:val="254"/>
        </w:trPr>
        <w:tc>
          <w:tcPr>
            <w:tcW w:w="7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340,536</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0" w:type="dxa"/>
            <w:vAlign w:val="bottom"/>
          </w:tcPr>
          <w:p>
            <w:pPr>
              <w:spacing w:after="0"/>
              <w:rPr>
                <w:sz w:val="1"/>
                <w:szCs w:val="1"/>
                <w:color w:val="auto"/>
              </w:rPr>
            </w:pP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23,151</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Wire transfers and money orders payable,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112,251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56,066</w:t>
            </w: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41,855</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33,760</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116,859</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79,211</w:t>
            </w: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17"/>
        </w:trPr>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177,399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80,637</w:t>
            </w:r>
          </w:p>
        </w:tc>
        <w:tc>
          <w:tcPr>
            <w:tcW w:w="0" w:type="dxa"/>
            <w:vAlign w:val="bottom"/>
          </w:tcPr>
          <w:p>
            <w:pPr>
              <w:spacing w:after="0"/>
              <w:rPr>
                <w:sz w:val="1"/>
                <w:szCs w:val="1"/>
                <w:color w:val="auto"/>
              </w:rPr>
            </w:pPr>
          </w:p>
        </w:tc>
      </w:tr>
      <w:tr>
        <w:trPr>
          <w:trHeight w:val="270"/>
        </w:trPr>
        <w:tc>
          <w:tcPr>
            <w:tcW w:w="7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18</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$0.0001 par value; 230,000,000 shares authorized, 39,453,236 and 38,820,222</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6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shares issued and 36,630,970 and 38,478,700 shares outstanding as of December 31, 2022 and</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2021, respectively</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66,875</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81,803</w:t>
            </w: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2,822,266 and 341,522 shares as of December 31, 2022 and 2021,</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143,040</w:t>
            </w:r>
          </w:p>
        </w:tc>
        <w:tc>
          <w:tcPr>
            <w:tcW w:w="0" w:type="dxa"/>
            <w:vAlign w:val="bottom"/>
          </w:tcPr>
          <w:p>
            <w:pPr>
              <w:spacing w:after="0"/>
              <w:rPr>
                <w:sz w:val="1"/>
                <w:szCs w:val="1"/>
                <w:color w:val="auto"/>
              </w:rPr>
            </w:pPr>
          </w:p>
        </w:tc>
      </w:tr>
      <w:tr>
        <w:trPr>
          <w:trHeight w:val="254"/>
        </w:trPr>
        <w:tc>
          <w:tcPr>
            <w:tcW w:w="7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340,536</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980" w:top="117" w:right="9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5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37"/>
        </w:trPr>
        <w:tc>
          <w:tcPr>
            <w:tcW w:w="5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48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307,909</w:t>
            </w: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46,763</w:t>
            </w:r>
          </w:p>
        </w:tc>
      </w:tr>
      <w:tr>
        <w:trPr>
          <w:trHeight w:val="237"/>
        </w:trPr>
        <w:tc>
          <w:tcPr>
            <w:tcW w:w="5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r>
      <w:tr>
        <w:trPr>
          <w:trHeight w:val="237"/>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546,805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459,206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357,209</w:t>
            </w:r>
          </w:p>
        </w:tc>
      </w:tr>
      <w:tr>
        <w:trPr>
          <w:trHeight w:val="256"/>
        </w:trPr>
        <w:tc>
          <w:tcPr>
            <w:tcW w:w="5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238,597</w:t>
            </w: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32,831</w:t>
            </w: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22,086</w:t>
            </w: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r>
      <w:tr>
        <w:trPr>
          <w:trHeight w:val="237"/>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463,897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391,354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304,342</w:t>
            </w:r>
          </w:p>
        </w:tc>
      </w:tr>
      <w:tr>
        <w:trPr>
          <w:trHeight w:val="257"/>
        </w:trPr>
        <w:tc>
          <w:tcPr>
            <w:tcW w:w="5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52,867</w:t>
            </w:r>
          </w:p>
        </w:tc>
      </w:tr>
      <w:tr>
        <w:trPr>
          <w:trHeight w:val="270"/>
        </w:trPr>
        <w:tc>
          <w:tcPr>
            <w:tcW w:w="5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36"/>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w:t>
            </w:r>
          </w:p>
        </w:tc>
      </w:tr>
      <w:tr>
        <w:trPr>
          <w:trHeight w:val="257"/>
        </w:trPr>
        <w:tc>
          <w:tcPr>
            <w:tcW w:w="5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0"/>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46,301</w:t>
            </w:r>
          </w:p>
        </w:tc>
      </w:tr>
      <w:tr>
        <w:trPr>
          <w:trHeight w:val="270"/>
        </w:trPr>
        <w:tc>
          <w:tcPr>
            <w:tcW w:w="5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36"/>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12,517</w:t>
            </w:r>
          </w:p>
        </w:tc>
      </w:tr>
      <w:tr>
        <w:trPr>
          <w:trHeight w:val="257"/>
        </w:trPr>
        <w:tc>
          <w:tcPr>
            <w:tcW w:w="5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29"/>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33,784</w:t>
            </w:r>
          </w:p>
        </w:tc>
      </w:tr>
      <w:tr>
        <w:trPr>
          <w:trHeight w:val="270"/>
        </w:trPr>
        <w:tc>
          <w:tcPr>
            <w:tcW w:w="5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37"/>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57"/>
        </w:trPr>
        <w:tc>
          <w:tcPr>
            <w:tcW w:w="5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29"/>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33,678</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29"/>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70"/>
        </w:trPr>
        <w:tc>
          <w:tcPr>
            <w:tcW w:w="5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37,733,047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38,474,040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38,060,290</w:t>
            </w:r>
          </w:p>
        </w:tc>
      </w:tr>
      <w:tr>
        <w:trPr>
          <w:trHeight w:val="234"/>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38,625,390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39,103,450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38,358,171</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23" w:lineRule="exact"/>
        <w:rPr>
          <w:sz w:val="20"/>
          <w:szCs w:val="20"/>
          <w:color w:val="auto"/>
        </w:rPr>
      </w:pPr>
    </w:p>
    <w:p>
      <w:pPr>
        <w:jc w:val="center"/>
        <w:ind w:left="560" w:right="2120"/>
        <w:spacing w:after="0" w:line="268" w:lineRule="auto"/>
        <w:rPr>
          <w:sz w:val="20"/>
          <w:szCs w:val="20"/>
          <w:color w:val="auto"/>
        </w:rPr>
      </w:pPr>
      <w:r>
        <w:rPr>
          <w:rFonts w:ascii="Times New Roman" w:cs="Times New Roman" w:eastAsia="Times New Roman" w:hAnsi="Times New Roman"/>
          <w:sz w:val="18"/>
          <w:szCs w:val="18"/>
          <w:b w:val="1"/>
          <w:bCs w:val="1"/>
          <w:color w:val="auto"/>
        </w:rPr>
        <w:t>INTERNATIONAL MONEY EXPRESS, INC. CONSOLIDATED STATEMENTS OF CHANGES IN STOCKHOLDERS’ EQUITY (in thousands, except for share data)</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9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61"/>
        </w:trPr>
        <w:tc>
          <w:tcPr>
            <w:tcW w:w="210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7"/>
                <w:szCs w:val="17"/>
                <w:b w:val="1"/>
                <w:bCs w:val="1"/>
                <w:color w:val="auto"/>
              </w:rPr>
              <w:t>Paid-in</w:t>
            </w:r>
          </w:p>
        </w:tc>
        <w:tc>
          <w:tcPr>
            <w:tcW w:w="200" w:type="dxa"/>
            <w:vAlign w:val="bottom"/>
          </w:tcPr>
          <w:p>
            <w:pPr>
              <w:spacing w:after="0"/>
              <w:rPr>
                <w:sz w:val="5"/>
                <w:szCs w:val="5"/>
                <w:color w:val="auto"/>
              </w:rPr>
            </w:pPr>
          </w:p>
        </w:tc>
        <w:tc>
          <w:tcPr>
            <w:tcW w:w="1120" w:type="dxa"/>
            <w:vAlign w:val="bottom"/>
            <w:gridSpan w:val="2"/>
            <w:vMerge w:val="restart"/>
          </w:tcPr>
          <w:p>
            <w:pPr>
              <w:ind w:left="80"/>
              <w:spacing w:after="0" w:line="149"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46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1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5"/>
                <w:szCs w:val="5"/>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c>
          <w:tcPr>
            <w:tcW w:w="20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43"/>
        </w:trPr>
        <w:tc>
          <w:tcPr>
            <w:tcW w:w="21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Balance, December 31,</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38,034,389</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54,694</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55,967</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33,784</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29"/>
        </w:trPr>
        <w:tc>
          <w:tcPr>
            <w:tcW w:w="2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0" w:type="dxa"/>
            <w:vAlign w:val="bottom"/>
          </w:tcPr>
          <w:p>
            <w:pPr>
              <w:spacing w:after="0"/>
              <w:rPr>
                <w:sz w:val="1"/>
                <w:szCs w:val="1"/>
                <w:color w:val="auto"/>
              </w:rPr>
            </w:pPr>
          </w:p>
        </w:tc>
      </w:tr>
      <w:tr>
        <w:trPr>
          <w:trHeight w:val="175"/>
        </w:trPr>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9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currency translation, net</w:t>
            </w: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Balance, December 31,</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38,217,125</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59,310</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94,261</w:t>
            </w:r>
          </w:p>
        </w:tc>
        <w:tc>
          <w:tcPr>
            <w:tcW w:w="0" w:type="dxa"/>
            <w:vAlign w:val="bottom"/>
          </w:tcPr>
          <w:p>
            <w:pPr>
              <w:spacing w:after="0"/>
              <w:rPr>
                <w:sz w:val="1"/>
                <w:szCs w:val="1"/>
                <w:color w:val="auto"/>
              </w:rPr>
            </w:pPr>
          </w:p>
        </w:tc>
      </w:tr>
      <w:tr>
        <w:trPr>
          <w:trHeight w:val="236"/>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00" w:type="dxa"/>
            <w:vAlign w:val="bottom"/>
            <w:tcBorders>
              <w:top w:val="single" w:sz="8" w:color="auto"/>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46,843</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46,843</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net of shares withheld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Restricted stock units, net</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of shares withheld for</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2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Fully vested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175"/>
        </w:trPr>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currency translation, net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 of treasury</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249"/>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at cost</w:t>
            </w: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100" w:type="dxa"/>
            <w:vAlign w:val="bottom"/>
            <w:tcBorders>
              <w:top w:val="single" w:sz="8" w:color="CCEEFF"/>
            </w:tcBorders>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Balance, December 31,</w:t>
            </w: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38,820,222</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66,875</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143,040</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57,331</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Exercise of stock options,</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ind w:left="380"/>
              <w:spacing w:after="0" w:line="184" w:lineRule="exact"/>
              <w:rPr>
                <w:sz w:val="20"/>
                <w:szCs w:val="20"/>
                <w:color w:val="auto"/>
              </w:rPr>
            </w:pPr>
            <w:r>
              <w:rPr>
                <w:rFonts w:ascii="Times New Roman" w:cs="Times New Roman" w:eastAsia="Times New Roman" w:hAnsi="Times New Roman"/>
                <w:sz w:val="18"/>
                <w:szCs w:val="18"/>
                <w:color w:val="auto"/>
              </w:rPr>
              <w:t>net of shares withheld</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476,304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175"/>
        </w:trPr>
        <w:tc>
          <w:tcPr>
            <w:tcW w:w="2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Restricted stock units and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0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awards, net of shares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withheld for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Fully vested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currency translation, net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75"/>
        </w:trPr>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 of treasury</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(2,480,744)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(53,734)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(53,734)</w:t>
            </w:r>
          </w:p>
        </w:tc>
        <w:tc>
          <w:tcPr>
            <w:tcW w:w="0" w:type="dxa"/>
            <w:vAlign w:val="bottom"/>
          </w:tcPr>
          <w:p>
            <w:pPr>
              <w:spacing w:after="0"/>
              <w:rPr>
                <w:sz w:val="1"/>
                <w:szCs w:val="1"/>
                <w:color w:val="auto"/>
              </w:rPr>
            </w:pPr>
          </w:p>
        </w:tc>
      </w:tr>
      <w:tr>
        <w:trPr>
          <w:trHeight w:val="237"/>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at cost</w:t>
            </w: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10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Balance, December 31,</w:t>
            </w: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39,453,236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(2,822,266)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9" w:right="5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28"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37"/>
        </w:trPr>
        <w:tc>
          <w:tcPr>
            <w:tcW w:w="5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57,331</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46,843</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33,784</w:t>
            </w: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1"/>
        </w:trPr>
        <w:tc>
          <w:tcPr>
            <w:tcW w:w="5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0"/>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r>
      <w:tr>
        <w:trPr>
          <w:trHeight w:val="22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r>
      <w:tr>
        <w:trPr>
          <w:trHeight w:val="229"/>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r>
      <w:tr>
        <w:trPr>
          <w:trHeight w:val="230"/>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origination costs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29"/>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(benefit) provision,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2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5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adjustments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w:t>
            </w: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(17,080)</w:t>
            </w:r>
          </w:p>
        </w:tc>
      </w:tr>
      <w:tr>
        <w:trPr>
          <w:trHeight w:val="230"/>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wires,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(35,598)</w:t>
            </w:r>
          </w:p>
        </w:tc>
      </w:tr>
      <w:tr>
        <w:trPr>
          <w:trHeight w:val="22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29"/>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Wire transfers and money orders payable,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37"/>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36"/>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03"/>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75"/>
        </w:trPr>
        <w:tc>
          <w:tcPr>
            <w:tcW w:w="5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Cash used in business acquisition, net of cash and cash equivalents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r>
      <w:tr>
        <w:trPr>
          <w:trHeight w:val="236"/>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 of agent locations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r>
      <w:tr>
        <w:trPr>
          <w:trHeight w:val="203"/>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term loan facility</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term loan facility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w:t>
            </w: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revolving loan,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debt origination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exercises of options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for stock-based awards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203"/>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3"/>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w:t>
            </w:r>
          </w:p>
        </w:tc>
      </w:t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6"/>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the year</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86,117</w:t>
            </w:r>
          </w:p>
        </w:tc>
      </w:tr>
      <w:tr>
        <w:trPr>
          <w:trHeight w:val="203"/>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the year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23" w:lineRule="exact"/>
        <w:rPr>
          <w:sz w:val="20"/>
          <w:szCs w:val="20"/>
          <w:color w:val="auto"/>
        </w:rPr>
      </w:pPr>
    </w:p>
    <w:p>
      <w:pPr>
        <w:jc w:val="center"/>
        <w:ind w:left="1580" w:right="1620"/>
        <w:spacing w:after="0" w:line="278" w:lineRule="auto"/>
        <w:rPr>
          <w:sz w:val="20"/>
          <w:szCs w:val="20"/>
          <w:color w:val="auto"/>
        </w:rPr>
      </w:pPr>
      <w:r>
        <w:rPr>
          <w:rFonts w:ascii="Times New Roman" w:cs="Times New Roman" w:eastAsia="Times New Roman" w:hAnsi="Times New Roman"/>
          <w:sz w:val="18"/>
          <w:szCs w:val="18"/>
          <w:b w:val="1"/>
          <w:bCs w:val="1"/>
          <w:color w:val="auto"/>
        </w:rPr>
        <w:t>INTERNATIONAL MONEY EXPRESS, INC. CONSOLIDATED STATEMENTS OF CASH FLOWS (CONTINUED)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w:t>
            </w:r>
          </w:p>
        </w:tc>
      </w:tr>
      <w:tr>
        <w:trPr>
          <w:trHeight w:val="22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11,140</w:t>
            </w:r>
          </w:p>
        </w:tc>
      </w:tr>
      <w:tr>
        <w:trPr>
          <w:trHeight w:val="250"/>
        </w:trPr>
        <w:tc>
          <w:tcPr>
            <w:tcW w:w="5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176"/>
        </w:trPr>
        <w:tc>
          <w:tcPr>
            <w:tcW w:w="5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cashless exercise of options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Non-cash lease liabilities arising from obtaining right-of-use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 AND BUSINESS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Money Express, Inc. (the “Company” or “us” or “we”) operates as a money transmitter between the United States of America (“United States” or “U.S.”) and Canada to Mexico, Guatemala and other countries in Latin America, Africa and Asia through a network of authorized agents located in various unaffiliated retail establishments and 117 Company-operated stores throughout the United States and Canada.</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coronavirus (“COVID-19”) pandemic that started in 2020 has had and continues to have a significant effect on economic conditions in the United States, and continues to cause significant uncertainties in the U.S. and global economies. Public health officials and medical professionals have warned that COVID-19 resurgences may continue to occur due to a variety of factors, including the extent of economic activity, social interaction, vaccination rates and the emergence of potent variants. It is unclear if and when resurgences will occur or how long any resurgence will last, how severe it will be, and what safety measures governments and businesses will impose in response.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have continued effectively despite measures taken in response to the pandemic. However, the Company’s financial condition, results of operations and cash flows remain dependent on future developments, including the persistence of the pandemic’s effects on economic conditions, particularly the level of unemployment of our consumers, inflation (including changes in wages) and governmental efforts to restrain inflation, interest rate levels and foreign exchange volatility, as well as the possibility of resurgences of the pandemic and the severity of any such resurgence, all of which remain uncertain and cannot be predicted at this time.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include Intermex Holdings, Inc. (“Holdings”), a wholly-owned indirect subsidiary of the Company, Intermex Wire Transfer, LLC (“LLC”), a wholly-owned subsidiary of Holdings, Intermex Wire Transfers de Guatemala, S.A. (“Intermex Guatemala”) - 100% owned by LLC, Intermex Wire Transfer de Mexico, S.A. and Intermex Transfers de Mexico, S.A. (“Intermex Mexico”) - 98.0% directly owned by LLC and 2.0% directly owned by Holdings, Intermex Wire Transfer Corp. - 100% owned by LLC, Intermex Wire Transfer II, LLC - 100% owned by LLC, Canada International Transfers Corp. - 100% owned by LLC and Envios de Valores La Nacional Corp. (“La Nacional”) - 100% owned by LLC. All significant inter-company balances and transactions have been eliminated in consolidation. The consolidated financial statements are prepared in accordance with accounting principles generally accepted in the U.S. (“GAAP”).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and the reported amounts of revenues and expenses. Actual results could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restricted stock units (“RSUs”), restricted stock awards (“RSAs”) and performance stock units (“PSUs”) have vested, using the treasury stock method. Potential common shares are excluded from the computation of diluted earnings per common share when the effect would be anti-dilutive. Treasury stock shares that have been repurchased are not considered outstanding and therefore are excluded from the weighted average number of common shares outstanding calculation.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is comprised of deposits in U.S. and foreign banks. The Company recognizes interest income from its cash deposits on an accrual basis. The Company considers cash equivalents to be short term, highly liquid investments with original maturities of three months or less. Cash equivalents include cash on deposit in overnight deposit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certain of its cash balances in various U.S. banks, which at times, may exceed federally insured limits. The Company has not incurred any losses on these accounts. In addition, the Company maintains various bank accounts in Mexico, Guatemala and Canada, which are not insured. During the year ended December 31, 2022, the Company has not incurred any significant losses on these uninsured foreign bank accounts, with the exception of a $3.6 million reserve recorded by the Company on the balance of deposits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held as a result of the closure of a financial institution in Mexico during the third quarter of 2021 (see Note 6). Management believes it is not exposed to any significant credit risk regarding these accounts as it performs periodic reviews of the creditworthiness of the financial institutions the Company uses. Cash and cash equivalents balances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80" w:type="dxa"/>
            <w:vAlign w:val="bottom"/>
            <w:tcBorders>
              <w:bottom w:val="single" w:sz="8" w:color="auto"/>
            </w:tcBorders>
          </w:tcPr>
          <w:p>
            <w:pPr>
              <w:spacing w:after="0"/>
              <w:rPr>
                <w:sz w:val="20"/>
                <w:szCs w:val="20"/>
                <w:color w:val="auto"/>
              </w:rPr>
            </w:pPr>
          </w:p>
        </w:tc>
      </w:tr>
      <w:tr>
        <w:trPr>
          <w:trHeight w:val="237"/>
        </w:trPr>
        <w:tc>
          <w:tcPr>
            <w:tcW w:w="57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in U.S. dollars in U.S. banks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130,032</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in foreign banks and foreign currency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r>
      <w:tr>
        <w:trPr>
          <w:trHeight w:val="236"/>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Petty cash</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7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149,493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132,474</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substantial portion of our paying agents are concentrated in a few large banks and financial institutions and large retail chains. Our largest paying agent by volume accounted for approximately 24% and 22% of the Company’s total remittance volume for the years ended December 31, 2022 and 2021, respectively, primarily from the U.S. to Mexico.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for wire transfer and money order fees are recognized at the time the transaction is processed. The Company acts as the principal for these transactions as the Company controls the service at all times prior to transferring the funds to the beneficiary, is primarily responsible for fulfilling the customer contracts, has the risk of loss and has the ability to establish transaction prices. Therefore, these fees are recognized on a gross basis equal to the full amount of the fee charged to the customer. These fees also vary by transaction primarily depending upon, the principal amount sent, the send and receive locations, as well as the respective currencies of the send and receive locations. Foreign exchange gain, net, which represents the difference between the exchange rate set by the Company and the rate realized, is recognized upon the disbursement of U.S. dollars to the entities from which the Company is acquiring foreign currency. Other income primarily represents revenues for technology services provided to the independent network of agents who utilize the Company’s technology in processing transactions and check cashing services, for which revenue is derived by a fee per transaction.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 for the discussion related to revenue recognition and additional information on the Company’s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its business combinations using the acquisition method, which requires that intangible assets be recognized apart from goodwill if they are contractual in nature or separately identifiable. Acquisitions are measured based on the fair value of consideration transferred and, if the consideration transferred is not cash, measurement is based on the fair value of the consideration transferred or the fair value of the assets acquired, whichever is more reliably measurable. The excess of the consideration transferred over the fair value of identifiable assets acquired and liabilities assumed is allocated to goodwill.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valuation and allocation processes rely on significant assumptions made by management. In certain situations, the allocations of excess purchase price are based upon preliminary estimates and assumptions. Accordingly, the allocations are subject to revision when the Company receives updated information, including valuations and other analyses, which are completed within one year of the acquisition. Revisions to the preliminary fair values, which may be significant, are recorded through goodwill until pending information is finalized, not to exceed one year from the acquisition date. Any revisions to the fair values after they have been finalized will be accounted for as a gain or loss in the consolidated statement of income and comprehensive income.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Consideration transferred may consist of potential future payments that are contingent upon the acquired business achieving certain levels of earnings in the future, also referred to as “contingent consideration” or “earn-out.” Earn-out liability is measured at its estimated fair value as of the date of acquisition. Changes in the fair value of earn-out liability are recorded as a component of operating income in the consolidated statement of income and comprehensive income. The earn-out liability is included within accrued current and other liabilities within the consolidated balance sheet. Earn-out payments, to the extent they relate to the estimated earn-out liability as of the date of acquisition, are classified within financing activities in the consolidated statement of cash flows. Earn-out payments in excess of the acquisition date earn-out liability are classified within operating activities.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 costs incurred in connection with business combination transactions are expensed as incurred and are included as Transaction Costs in the consolidated statements of income and comprehensive income.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and Allowance for Credit Losses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Accounts receivable and agent advances receivable are recorded at their net realizable value, which is net of an allowance for credit losses. Accounts receivable are recorded upon initiation of the wire transfer and are typically due to the Company within five days. The Company maintains an allowance for credit losses for estimated losses resulting from the inability of its sending agents to make required payments.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on December 31, 2022, which was retroactively applied as of the first day of fiscal year 2022, as further described within the section below titled </w:t>
      </w:r>
      <w:r>
        <w:rPr>
          <w:rFonts w:ascii="Times New Roman" w:cs="Times New Roman" w:eastAsia="Times New Roman" w:hAnsi="Times New Roman"/>
          <w:sz w:val="18"/>
          <w:szCs w:val="18"/>
          <w:i w:val="1"/>
          <w:iCs w:val="1"/>
          <w:color w:val="auto"/>
        </w:rPr>
        <w:t>Recently Adopted Accounting Pronouncements</w:t>
      </w:r>
      <w:r>
        <w:rPr>
          <w:rFonts w:ascii="Times New Roman" w:cs="Times New Roman" w:eastAsia="Times New Roman" w:hAnsi="Times New Roman"/>
          <w:sz w:val="18"/>
          <w:szCs w:val="18"/>
          <w:color w:val="auto"/>
        </w:rPr>
        <w:t>.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 Accounts receivable that are more than 90 days past due are charged off against the allowance for credit losses.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Receivable balances from sending agents are usually due to the Company within five days from the invoice date. Any balances not collected after that time are considered past due.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party to any off-balance sheet arrangements that would require an allowance for credit losses in accordance with this accounting standard.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Prepaid Wires, Net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wires, net represents funds provided to certain paying agents in advance of a transaction, net of wires pending to be picked up by the beneficiary of the money transfer.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Prepaid Expenses and Other Assets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Prepaid expenses and other assets consist primarily of prepaid expenses for services, tenant allowance, agent advances receivable (see Note 6) and deferred financing costs. Interest income on agent advances receivable is recognized on a cash basis due at the end of each calendar month, which is when the interest payments are due from the majority of the agent advances receivable.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Wire Transfers Payable, Net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Wire transfers payable, net represent wires pending to be picked up by the beneficiary of the money transfer net of funds provided to certain paying agents in advance of a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party to leases for office space, warehouses and Company-operated store locations. The Company determines if a contract contains a lease arrangement at the inception of the contract. For leases in which the Company is the lessee, leases are classified as either finance or operating, with classification affecting the pattern of expense recognition. At commencement date, lease right-of-use (“ROUs”) assets consist of the amount of the initial measurement of the lease liability, any lease payments made to the lessor at or before the commencement date, minus any lease incentive received, and any initial direct costs. If a lease does not provide a discount rate and the rate cannot be readily determined, an incremental borrowing rate is used to determine the present value of future lease payments. Lease and variable non-lease components within the Company’s lease agreements are not accounted for separately.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for additional information on the adoption of ASC 842: Leases, effective January 1,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and equipment, including leasehold improvements, are stated at cost, or the allocated fair value in purchase accounting, less accumulated depreciation and amortization. The costs of additions and betterments that substantially extend the useful life of an asset are capitalized and the expenditures for ordinary repairs and maintenance are expensed in the period incurred as part of other selling, general and administrative expenses in the consolidated statements of income and comprehensive income. Depreciation is computed using the straight-line method over the estimated useful lives of the related assets. Leasehold improvements are amortized over the lease term or the estimated useful life of the improvement, whichever is shorter. At the time depreciable assets are retired or otherwise disposed, the cost and the related accumulated depreciation of such assets are eliminated from the accounts and any gain or loss is recognized in the current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period. The Company capitalizes costs incurred for the development of internal use computer software, which are depreciated over five years using the straight-line method.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and Intangible Assets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intangible assets result primarily from business combination acquisitions. Intangible assets include primarily agent relationships, trade names, developed technology and other intangibles, all with finite lives. Other intangibles relate to the acquisition of certain agent locations and non-competition agreements. Upon the acquisition, the purchase price is first allocated to identifiable assets and liabilities, including trade name and other intangibles, with any remaining purchase price recorded as goodwill.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is not amortized; however, it is assessed for impairment at least annually, at the beginning of the fourth quarter, or more frequently if triggering events occur. For purposes of the annual assessment, management initially performs a qualitative assessment, which includes consideration of the economic, industry and market conditions in addition to our overall financial performance and the performance of these assets. If our qualitative assessment does not conclude that it is more likely than not that the estimated fair value of the reporting unit is greater than the carrying value, we perform a quantitative analysis. In a quantitative test, the fair value of a reporting unit is determined based on a discounted cash flow analysis. A discounted cash flow analysis requires us to make various assumptions, including assumptions about future cash flows, growth rates and discount rates. The assumptions about future cash flows and growth rates are based on our long-term projections. Assumptions used in our impairment testing are consistent with our internal forecasts and operating plans. If the fair value of the reporting unit exceeds its carrying amount, there is no impairment. If not, we recognize an impairment equal to the difference between the carrying amount of the reporting unit and its fair value, not to exceed the carrying amount of goodwill.</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agent relationships, trade names and developed technology are amortized utilizing an accelerated method over their estimated useful lives of up to 15 years. Other intangible assets are amortized on a straight-line basis over a useful life of up to 10 years. The Company reviews for impairment indicators of finite-lived intangibles and other long-lived assets as described below in “Impairment of Long-Lived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long-lived assets, including amortizable intangible assets, for impairment whenever events or changes in circumstances indicate that the carrying amount of an asset may not be recoverable. Upon such an occurrence, recoverability of assets to be held and used is measured by comparing the carrying amount of an asset to forecasted undiscounted future net cash flows expected to be generated by the asset. If the carrying amount of the asset exceeds its estimated future cash flows, an impairment charge is recognized for the amount by which the carrying amount of the asset exceeds the fair value of the asset. For long-lived assets held for sale, assets are written down to fair value, less cost to sell. Fair value is determined based on discounted cash flows, appraised values or management’s estimates, depending upon the nature of the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Origination Costs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incurred debt origination costs related to the A&amp;R Credit Agreement (as defined herein), consisting of a term loan facility and a revolving credit facility and amortizes these costs over the life of the related debt using the straight-line method, which approximates the effective interest method. The unamortized portion of debt origination costs related to the term loan is recorded on the consolidated balance sheets as an offset to the related debt, while deferred up-front commitment fees paid directly to the lender related to the revolving credit facility are recorded within other assets in the consolidated balance sheets. Amortization of debt origination costs is included as a component of interest expense in the consolidated statements of income and comprehensive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included in other selling, general and administrative expenses in the consolidated statements of income and comprehensive income and are expensed as incurred. The Company incurred advertising costs of approximately $1.0 million, $2.5 million and $0.4 million for the years ended December 31, 2022, 2021 and 2020,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in accordance with GAAP which requires, among other things, recognition of future tax benefits measured at enacted rates attributable to deductible temporary differences between financial statement and income tax bases of assets and liabilities and to tax net operating loss carryforwards to the extent that realization of said benefits is more likely than not.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tax contingencies by assessing all material positions, including all significant uncertain positions, for all tax years that are open to assessment or challenge under tax statutes. Those positions that have only timing consequences are separately analyzed based on the recognition and measurement model provided in the tax guidance.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the uncertain tax position guidance, the Company recognizes the financial statement benefit of a position only after determining that the relevant tax authority would more likely than not sustain the position following an audit. For tax positions meeting the more likely-than-not threshold, the amount recognized in the financial statements is the largest benefit that has a greater than 50 percent likelihood of being realized upon ultimate settlement with the relevant tax authority. The Company is subject to income taxes in the U.S. federal jurisdiction and various state jurisdictions. Tax regulations within each jurisdiction are subject to the interpretation of the related tax laws and regulations and require significant judgment to apply. The Company applies the uncertain tax position guidance to all tax positions for which the statute of limitations remains open. The Company’s policy is to classify interest accrued as interest expense and penalties as other selling, general and administrative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subsidiaries of the Company are subject to taxes by local tax authorities.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Translation and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and transactions of the Company’s foreign operations are maintained in their functional currency, which is other than the U.S. dollar. Assets and liabilities are translated at current exchange rates in effect at the balance sheet date. Revenue and expenses are translated at the average exchange rate for each period. Translation adjustments, which result from the process of translating the financial statements of the Company’s foreign operations into U.S. dollars, are recorded as a component of accumulated other comprehensive income (loss).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Gains or losses from foreign currency transactions amounted to approximately a loss of $15.5 thousand, and gains of $0.3 million and $0.2 million for the years ended December 31, 2022, 2021 and 2020, respectively, and are included in other selling, general and administrative expenses in the consolidated statements of income and comprehensive income.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manage foreign currency risk through the structure of the business and an active risk management process. We currently settle with our payers in Latin America primarily by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Mexico and Guatemala amounting to approximately $41.3 million and $48.6 million at December 31, 2022 and 2021, respectively.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included in wire transfers and money orders payable, net in our consolidated balance sheets as of December 31, 2022 and 2021, there are $39.3 million and $17.8 million, respectively, of wire transfers payable denominated in foreign currencies, primarily in Mexican pesos and Guatemalan quetzales.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included in prepaid wires, net in our consolidated balance sheets as of December 31, 2022 and 2021, there are $82.3 million and $39.7 million, respectively, of prepaid wires denominated in foreign currencies, primarily in Mexican pesos and Guatemalan quetzales.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Comprehensive Income (Loss)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income (loss) consists of net income (loss) and the foreign currency translation adjustment and is presented in the consolidated statements of income and comprehensive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share-based compensation expense related to equity instruments under GAAP, which requires the measurement and recognition of compensation costs for all equity-based payment awards made to employees and directors based on estimated fair values. We have elected to account for forfeitures as they occur. The Company may use either authorized and unissued shares or treasury shares to meet share issuance requirements. See Note 14 for further discussion related to the Company’s share-based compensation plans.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is organized around one reportable segment that provides money transmittal services between the U.S. and Canada to Mexico, Guatemala and other countries in Latin America, Africa and Asia through a network of authorized agents located in various unaffiliated retail establishments and 117 Company-operated stores throughout the U.S. and Canada. This is based on the objectives of the business and how our chief operating decision maker, the CEO and President, monitors operating performance and allocates resources.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with current year presentation. These changes did not have any effect on net income, stockholders’ equity, the consolidated balance sheet or the consolidated statements of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Pronouncements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The FASB issued guidance,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to increase transparency and comparability among organizations by recognizing lease assets and lease liabilities on the balance sheet for those leases classified as operating leases under previous GAAP. The guidance requires that a lessee recognizes a liability to make lease payments (the lease liability) and a ROU asset representing its right to use the underlying asset for the lease term on the consolidated balance sheet. Leases will be classified as financing or operating, with classification affecting the pattern of expense recognition in the consolidated statements of income and comprehensive income. The Company adopted the new standard, including the related amendments, effective January 1, 2022 using the modified retrospective approach and used the effective date as the date of initial application. Management has completed its analysis and determined that all of its leasing arrangements will be classified as operating leases. The Company elected to apply three practical expedients, including (i) the election not to reassess its prior conclusions about lease identification, lease classification and initial direct costs, (ii) to use hindsight in determining the lease term, and</w:t>
      </w:r>
    </w:p>
    <w:p>
      <w:pPr>
        <w:spacing w:after="0" w:line="2" w:lineRule="exact"/>
        <w:rPr>
          <w:sz w:val="20"/>
          <w:szCs w:val="20"/>
          <w:color w:val="auto"/>
        </w:rPr>
      </w:pPr>
    </w:p>
    <w:p>
      <w:pPr>
        <w:jc w:val="both"/>
        <w:ind w:right="20" w:firstLine="8"/>
        <w:spacing w:after="0" w:line="253" w:lineRule="auto"/>
        <w:tabs>
          <w:tab w:leader="none" w:pos="3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not to separate lease and non-lease components for arrangements where the Company is a lessee. Additionally, management has implemented new processes to facilitate the requirements of the new standard and determined the ROU asset and lease liability will each amount to approximately $5.6 million on January 1, 2022. Refer to Note 8 for additional information on this standard and related disclosures. The adoption of this standard did not have a material impact on our consolidated statement of income and comprehensive income and consolidated statement of cash flows.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FASB issued guidance,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requires entities to estimate all expected credit losses for financial assets measured at amortized cost basis, including trade receivables, held at the reporting date based on historical experience, current conditions and reasonable and supportable forecasts. The Company adopted this guidance using the modified retrospective adoption method on December 31, 2022, which was retroactively applied as of the first day of fiscal year 2022. The adoption of this accounting standard did not have a material impact on the Company’s consolidated financial statements.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FASB issued guidance, </w:t>
      </w:r>
      <w:r>
        <w:rPr>
          <w:rFonts w:ascii="Times New Roman" w:cs="Times New Roman" w:eastAsia="Times New Roman" w:hAnsi="Times New Roman"/>
          <w:sz w:val="18"/>
          <w:szCs w:val="18"/>
          <w:i w:val="1"/>
          <w:iCs w:val="1"/>
          <w:color w:val="auto"/>
        </w:rPr>
        <w:t>Reference Rate Reform (Topic 848): Facilitation of the Effects of Reference Rate Reform on Financial Reporting</w:t>
      </w:r>
      <w:r>
        <w:rPr>
          <w:rFonts w:ascii="Times New Roman" w:cs="Times New Roman" w:eastAsia="Times New Roman" w:hAnsi="Times New Roman"/>
          <w:sz w:val="18"/>
          <w:szCs w:val="18"/>
          <w:color w:val="auto"/>
        </w:rPr>
        <w:t>, which provides optional expedient and exceptions for applying generally accepted accounting principles to contracts, hedging relationships, and other transactions affected by reference rate reform if certain criteria are met. In response to the concerns about structural risks of interbank offered rates and, particularly, the risk of cessation of the London Inter-bank Offered Rate (“LIBOR”), regulators in several jurisdictions around the world have undertaken reference rate reform initiatives to identify alternative reference rates that are more observable or transaction based and less susceptible to manipulation. This accounting standards update provides companies with optional guidance to ease the potential accounting burden associated with transitioning away from reference rates that are expected to be discontinued. The Company adopted this guidance upon entering into an amendment of the Amended and Restated Credit Agreement in November 2022, which among other provisions, introduces the secured overnight financing rate as administered by the Federal Reserve Bank of New York to replace LIBOR as the benchmark rate. The adoption of this guidance did not have a material impact on the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Envios de Valores La Nacional Corp.</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2022, the Company entered into a definitive purchase agreement to acquire La Nacional and LAN Holdings, Corp. (“LAN Holdings”), which operate as money remittance companies in the United States, Canada and certain countries in Europe. On November 1, 2022, we completed the acquisition of 100% of the voting interest of La Nacional (the “La Nacional Acquisition”) and we expect to complete the acquisition of LAN Holdings (the “LAN Acquisition,” and together with the La Nacional Acquisition, the “Acquisitions”) in the second quarter of 2023 subject to the satisfaction of customary closing conditions, including pending regulatory approvals. See “LAN Holdings, Corp.” section below.</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La Nacional Acquisition strengthens the Company’s presence in the Dominican Republic and other key markets in Latin America. La Nacional has more than 35 years of experience in the money transfer industry, is licensed to operate in 34 states and is headquartered in Denver, Colorado with offices in New York, NY.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paid cash consideration of $39.7 million upon consummation of the La Nacional Acquisition (subject to customary purchase price adjustments) and anticipates up to an additional $2.4 million in contingent consideration to be paid in cash in 2023 as a result of La Nacional achieving certain transaction volume and financial targets during 2023.</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 Nacional Acquisition was funded with cash on hand. The following table summarizes the estimated fair values of consideration paid and identifiable net assets acquired, which is subject to customary purchase price adjustments. The Company engaged an independent third party to assist with the valuation of identifiable net assets acquired.</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8"/>
        </w:trPr>
        <w:tc>
          <w:tcPr>
            <w:tcW w:w="400" w:type="dxa"/>
            <w:vAlign w:val="bottom"/>
            <w:tcBorders>
              <w:top w:val="single" w:sz="8" w:color="0000FF"/>
            </w:tcBorders>
          </w:tcPr>
          <w:p>
            <w:pPr>
              <w:spacing w:after="0"/>
              <w:rPr>
                <w:sz w:val="24"/>
                <w:szCs w:val="24"/>
                <w:color w:val="auto"/>
              </w:rPr>
            </w:pPr>
          </w:p>
        </w:tc>
        <w:tc>
          <w:tcPr>
            <w:tcW w:w="6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00" w:type="dxa"/>
            <w:vAlign w:val="bottom"/>
            <w:tcBorders>
              <w:right w:val="single" w:sz="8" w:color="CCEEFF"/>
            </w:tcBorders>
          </w:tcPr>
          <w:p>
            <w:pPr>
              <w:spacing w:after="0"/>
              <w:rPr>
                <w:sz w:val="19"/>
                <w:szCs w:val="19"/>
                <w:color w:val="auto"/>
              </w:rPr>
            </w:pPr>
          </w:p>
        </w:tc>
        <w:tc>
          <w:tcPr>
            <w:tcW w:w="6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La Nacional</w:t>
            </w:r>
          </w:p>
        </w:tc>
      </w:tr>
      <w:tr>
        <w:trPr>
          <w:trHeight w:val="209"/>
        </w:trPr>
        <w:tc>
          <w:tcPr>
            <w:tcW w:w="4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Acquisition consideration:</w:t>
            </w: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0" w:type="dxa"/>
            <w:vAlign w:val="bottom"/>
            <w:tcBorders>
              <w:right w:val="single" w:sz="8" w:color="CCEEFF"/>
            </w:tcBorders>
          </w:tcPr>
          <w:p>
            <w:pPr>
              <w:spacing w:after="0"/>
              <w:rPr>
                <w:sz w:val="19"/>
                <w:szCs w:val="19"/>
                <w:color w:val="auto"/>
              </w:rPr>
            </w:pPr>
          </w:p>
        </w:tc>
        <w:tc>
          <w:tcPr>
            <w:tcW w:w="6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39,700</w:t>
            </w:r>
          </w:p>
        </w:tc>
        <w:tc>
          <w:tcPr>
            <w:tcW w:w="100" w:type="dxa"/>
            <w:vAlign w:val="bottom"/>
            <w:shd w:val="clear" w:color="auto" w:fill="CCEEFF"/>
          </w:tcPr>
          <w:p>
            <w:pPr>
              <w:spacing w:after="0"/>
              <w:rPr>
                <w:sz w:val="19"/>
                <w:szCs w:val="19"/>
                <w:color w:val="auto"/>
              </w:rPr>
            </w:pPr>
          </w:p>
        </w:tc>
      </w:tr>
      <w:tr>
        <w:trPr>
          <w:trHeight w:val="229"/>
        </w:trPr>
        <w:tc>
          <w:tcPr>
            <w:tcW w:w="400" w:type="dxa"/>
            <w:vAlign w:val="bottom"/>
          </w:tcPr>
          <w:p>
            <w:pPr>
              <w:spacing w:after="0"/>
              <w:rPr>
                <w:sz w:val="19"/>
                <w:szCs w:val="19"/>
                <w:color w:val="auto"/>
              </w:rPr>
            </w:pPr>
          </w:p>
        </w:tc>
        <w:tc>
          <w:tcPr>
            <w:tcW w:w="6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Estimated fair value of contingent consideration</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CEEFF"/>
            </w:tcBorders>
          </w:tcPr>
          <w:p>
            <w:pPr>
              <w:spacing w:after="0"/>
              <w:rPr>
                <w:sz w:val="19"/>
                <w:szCs w:val="19"/>
                <w:color w:val="auto"/>
              </w:rPr>
            </w:pPr>
          </w:p>
        </w:tc>
      </w:tr>
      <w:tr>
        <w:trPr>
          <w:trHeight w:val="223"/>
        </w:trPr>
        <w:tc>
          <w:tcPr>
            <w:tcW w:w="400" w:type="dxa"/>
            <w:vAlign w:val="bottom"/>
            <w:tcBorders>
              <w:right w:val="single" w:sz="8" w:color="CCEEFF"/>
            </w:tcBorders>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41,021</w:t>
            </w:r>
          </w:p>
        </w:tc>
        <w:tc>
          <w:tcPr>
            <w:tcW w:w="100" w:type="dxa"/>
            <w:vAlign w:val="bottom"/>
            <w:shd w:val="clear" w:color="auto" w:fill="CCEEFF"/>
          </w:tcPr>
          <w:p>
            <w:pPr>
              <w:spacing w:after="0"/>
              <w:rPr>
                <w:sz w:val="19"/>
                <w:szCs w:val="19"/>
                <w:color w:val="auto"/>
              </w:rPr>
            </w:pPr>
          </w:p>
        </w:tc>
      </w:tr>
      <w:tr>
        <w:trPr>
          <w:trHeight w:val="250"/>
        </w:trPr>
        <w:tc>
          <w:tcPr>
            <w:tcW w:w="40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400" w:type="dxa"/>
            <w:vAlign w:val="bottom"/>
            <w:tcBorders>
              <w:right w:val="single" w:sz="8" w:color="CCEEFF"/>
            </w:tcBorders>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Identifiable assets acquired and liabilities assumed:</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00" w:type="dxa"/>
            <w:vAlign w:val="bottom"/>
          </w:tcPr>
          <w:p>
            <w:pPr>
              <w:spacing w:after="0"/>
              <w:rPr>
                <w:sz w:val="19"/>
                <w:szCs w:val="19"/>
                <w:color w:val="auto"/>
              </w:rPr>
            </w:pP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 acquired:</w:t>
            </w: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0" w:type="dxa"/>
            <w:vAlign w:val="bottom"/>
            <w:tcBorders>
              <w:right w:val="single" w:sz="8" w:color="CCEEFF"/>
            </w:tcBorders>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39,569</w:t>
            </w:r>
          </w:p>
        </w:tc>
        <w:tc>
          <w:tcPr>
            <w:tcW w:w="100" w:type="dxa"/>
            <w:vAlign w:val="bottom"/>
            <w:shd w:val="clear" w:color="auto" w:fill="CCEEFF"/>
          </w:tcPr>
          <w:p>
            <w:pPr>
              <w:spacing w:after="0"/>
              <w:rPr>
                <w:sz w:val="19"/>
                <w:szCs w:val="19"/>
                <w:color w:val="auto"/>
              </w:rPr>
            </w:pPr>
          </w:p>
        </w:tc>
      </w:tr>
      <w:tr>
        <w:trPr>
          <w:trHeight w:val="229"/>
        </w:trPr>
        <w:tc>
          <w:tcPr>
            <w:tcW w:w="40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16,504</w:t>
            </w:r>
          </w:p>
        </w:tc>
        <w:tc>
          <w:tcPr>
            <w:tcW w:w="100" w:type="dxa"/>
            <w:vAlign w:val="bottom"/>
          </w:tcPr>
          <w:p>
            <w:pPr>
              <w:spacing w:after="0"/>
              <w:rPr>
                <w:sz w:val="19"/>
                <w:szCs w:val="19"/>
                <w:color w:val="auto"/>
              </w:rPr>
            </w:pPr>
          </w:p>
        </w:tc>
      </w:tr>
      <w:tr>
        <w:trPr>
          <w:trHeight w:val="229"/>
        </w:trPr>
        <w:tc>
          <w:tcPr>
            <w:tcW w:w="400" w:type="dxa"/>
            <w:vAlign w:val="bottom"/>
            <w:tcBorders>
              <w:right w:val="single" w:sz="8" w:color="CCEEFF"/>
            </w:tcBorders>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wires</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9"/>
                <w:szCs w:val="19"/>
                <w:color w:val="auto"/>
              </w:rPr>
            </w:pPr>
          </w:p>
        </w:tc>
      </w:tr>
      <w:tr>
        <w:trPr>
          <w:trHeight w:val="229"/>
        </w:trPr>
        <w:tc>
          <w:tcPr>
            <w:tcW w:w="400" w:type="dxa"/>
            <w:vAlign w:val="bottom"/>
            <w:tcBorders>
              <w:right w:val="single" w:sz="8" w:color="CCEEFF"/>
            </w:tcBorders>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shd w:val="clear" w:color="auto" w:fill="CCEEFF"/>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tcPr>
          <w:p>
            <w:pPr>
              <w:spacing w:after="0"/>
              <w:rPr>
                <w:sz w:val="19"/>
                <w:szCs w:val="19"/>
                <w:color w:val="auto"/>
              </w:rPr>
            </w:pPr>
          </w:p>
        </w:tc>
      </w:tr>
      <w:tr>
        <w:trPr>
          <w:trHeight w:val="229"/>
        </w:trPr>
        <w:tc>
          <w:tcPr>
            <w:tcW w:w="400" w:type="dxa"/>
            <w:vAlign w:val="bottom"/>
            <w:tcBorders>
              <w:right w:val="single" w:sz="8" w:color="CCEEFF"/>
            </w:tcBorders>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100" w:type="dxa"/>
            <w:vAlign w:val="bottom"/>
            <w:shd w:val="clear" w:color="auto" w:fill="CCEEFF"/>
          </w:tcPr>
          <w:p>
            <w:pPr>
              <w:spacing w:after="0"/>
              <w:rPr>
                <w:sz w:val="19"/>
                <w:szCs w:val="19"/>
                <w:color w:val="auto"/>
              </w:rPr>
            </w:pPr>
          </w:p>
        </w:tc>
      </w:tr>
      <w:tr>
        <w:trPr>
          <w:trHeight w:val="223"/>
        </w:trPr>
        <w:tc>
          <w:tcPr>
            <w:tcW w:w="400" w:type="dxa"/>
            <w:vAlign w:val="bottom"/>
          </w:tcPr>
          <w:p>
            <w:pPr>
              <w:spacing w:after="0"/>
              <w:rPr>
                <w:sz w:val="19"/>
                <w:szCs w:val="19"/>
                <w:color w:val="auto"/>
              </w:rPr>
            </w:pPr>
          </w:p>
        </w:tc>
        <w:tc>
          <w:tcPr>
            <w:tcW w:w="6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84,049</w:t>
            </w:r>
          </w:p>
        </w:tc>
        <w:tc>
          <w:tcPr>
            <w:tcW w:w="100" w:type="dxa"/>
            <w:vAlign w:val="bottom"/>
          </w:tcPr>
          <w:p>
            <w:pPr>
              <w:spacing w:after="0"/>
              <w:rPr>
                <w:sz w:val="19"/>
                <w:szCs w:val="19"/>
                <w:color w:val="auto"/>
              </w:rPr>
            </w:pPr>
          </w:p>
        </w:tc>
      </w:tr>
      <w:tr>
        <w:trPr>
          <w:trHeight w:val="270"/>
        </w:trPr>
        <w:tc>
          <w:tcPr>
            <w:tcW w:w="400" w:type="dxa"/>
            <w:vAlign w:val="bottom"/>
            <w:tcBorders>
              <w:right w:val="single" w:sz="8" w:color="CCEEFF"/>
            </w:tcBorders>
          </w:tcPr>
          <w:p>
            <w:pPr>
              <w:spacing w:after="0"/>
              <w:rPr>
                <w:sz w:val="23"/>
                <w:szCs w:val="23"/>
                <w:color w:val="auto"/>
              </w:rPr>
            </w:pPr>
          </w:p>
        </w:tc>
        <w:tc>
          <w:tcPr>
            <w:tcW w:w="6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30"/>
        </w:trPr>
        <w:tc>
          <w:tcPr>
            <w:tcW w:w="400" w:type="dxa"/>
            <w:vAlign w:val="bottom"/>
          </w:tcPr>
          <w:p>
            <w:pPr>
              <w:spacing w:after="0"/>
              <w:rPr>
                <w:sz w:val="19"/>
                <w:szCs w:val="19"/>
                <w:color w:val="auto"/>
              </w:rPr>
            </w:pP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Liabilities assumed:</w:t>
            </w: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00" w:type="dxa"/>
            <w:vAlign w:val="bottom"/>
            <w:tcBorders>
              <w:right w:val="single" w:sz="8" w:color="CCEEFF"/>
            </w:tcBorders>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Wire transfers and money orders payable</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(35,595)</w:t>
            </w:r>
          </w:p>
        </w:tc>
        <w:tc>
          <w:tcPr>
            <w:tcW w:w="100" w:type="dxa"/>
            <w:vAlign w:val="bottom"/>
          </w:tcPr>
          <w:p>
            <w:pPr>
              <w:spacing w:after="0"/>
              <w:rPr>
                <w:sz w:val="19"/>
                <w:szCs w:val="19"/>
                <w:color w:val="auto"/>
              </w:rPr>
            </w:pPr>
          </w:p>
        </w:tc>
      </w:tr>
      <w:tr>
        <w:trPr>
          <w:trHeight w:val="229"/>
        </w:trPr>
        <w:tc>
          <w:tcPr>
            <w:tcW w:w="400" w:type="dxa"/>
            <w:vAlign w:val="bottom"/>
            <w:tcBorders>
              <w:right w:val="single" w:sz="8" w:color="CCEEFF"/>
            </w:tcBorders>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shd w:val="clear" w:color="auto" w:fill="CCEEFF"/>
          </w:tcPr>
          <w:p>
            <w:pPr>
              <w:spacing w:after="0"/>
              <w:rPr>
                <w:sz w:val="19"/>
                <w:szCs w:val="19"/>
                <w:color w:val="auto"/>
              </w:rPr>
            </w:pPr>
          </w:p>
        </w:tc>
      </w:tr>
      <w:tr>
        <w:trPr>
          <w:trHeight w:val="229"/>
        </w:trPr>
        <w:tc>
          <w:tcPr>
            <w:tcW w:w="40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(13,067)</w:t>
            </w:r>
          </w:p>
        </w:tc>
        <w:tc>
          <w:tcPr>
            <w:tcW w:w="100" w:type="dxa"/>
            <w:vAlign w:val="bottom"/>
          </w:tcPr>
          <w:p>
            <w:pPr>
              <w:spacing w:after="0"/>
              <w:rPr>
                <w:sz w:val="19"/>
                <w:szCs w:val="19"/>
                <w:color w:val="auto"/>
              </w:rPr>
            </w:pPr>
          </w:p>
        </w:tc>
      </w:tr>
      <w:tr>
        <w:trPr>
          <w:trHeight w:val="230"/>
        </w:trPr>
        <w:tc>
          <w:tcPr>
            <w:tcW w:w="400" w:type="dxa"/>
            <w:vAlign w:val="bottom"/>
            <w:tcBorders>
              <w:right w:val="single" w:sz="8" w:color="CCEEFF"/>
            </w:tcBorders>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tax liability</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CEEFF"/>
          </w:tcPr>
          <w:p>
            <w:pPr>
              <w:spacing w:after="0"/>
              <w:rPr>
                <w:sz w:val="19"/>
                <w:szCs w:val="19"/>
                <w:color w:val="auto"/>
              </w:rPr>
            </w:pPr>
          </w:p>
        </w:tc>
      </w:tr>
      <w:tr>
        <w:trPr>
          <w:trHeight w:val="223"/>
        </w:trPr>
        <w:tc>
          <w:tcPr>
            <w:tcW w:w="400" w:type="dxa"/>
            <w:vAlign w:val="bottom"/>
          </w:tcPr>
          <w:p>
            <w:pPr>
              <w:spacing w:after="0"/>
              <w:rPr>
                <w:sz w:val="19"/>
                <w:szCs w:val="19"/>
                <w:color w:val="auto"/>
              </w:rPr>
            </w:pPr>
          </w:p>
        </w:tc>
        <w:tc>
          <w:tcPr>
            <w:tcW w:w="6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(56,542)</w:t>
            </w:r>
          </w:p>
        </w:tc>
        <w:tc>
          <w:tcPr>
            <w:tcW w:w="100" w:type="dxa"/>
            <w:vAlign w:val="bottom"/>
          </w:tcPr>
          <w:p>
            <w:pPr>
              <w:spacing w:after="0"/>
              <w:rPr>
                <w:sz w:val="19"/>
                <w:szCs w:val="19"/>
                <w:color w:val="auto"/>
              </w:rPr>
            </w:pPr>
          </w:p>
        </w:tc>
      </w:tr>
      <w:tr>
        <w:trPr>
          <w:trHeight w:val="270"/>
        </w:trPr>
        <w:tc>
          <w:tcPr>
            <w:tcW w:w="400" w:type="dxa"/>
            <w:vAlign w:val="bottom"/>
            <w:tcBorders>
              <w:right w:val="single" w:sz="8" w:color="CCEEFF"/>
            </w:tcBorders>
          </w:tcPr>
          <w:p>
            <w:pPr>
              <w:spacing w:after="0"/>
              <w:rPr>
                <w:sz w:val="23"/>
                <w:szCs w:val="23"/>
                <w:color w:val="auto"/>
              </w:rPr>
            </w:pPr>
          </w:p>
        </w:tc>
        <w:tc>
          <w:tcPr>
            <w:tcW w:w="6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30"/>
        </w:trPr>
        <w:tc>
          <w:tcPr>
            <w:tcW w:w="400" w:type="dxa"/>
            <w:vAlign w:val="bottom"/>
          </w:tcPr>
          <w:p>
            <w:pPr>
              <w:spacing w:after="0"/>
              <w:rPr>
                <w:sz w:val="19"/>
                <w:szCs w:val="19"/>
                <w:color w:val="auto"/>
              </w:rPr>
            </w:pP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27,507</w:t>
            </w:r>
          </w:p>
        </w:tc>
        <w:tc>
          <w:tcPr>
            <w:tcW w:w="100" w:type="dxa"/>
            <w:vAlign w:val="bottom"/>
          </w:tcPr>
          <w:p>
            <w:pPr>
              <w:spacing w:after="0"/>
              <w:rPr>
                <w:sz w:val="19"/>
                <w:szCs w:val="19"/>
                <w:color w:val="auto"/>
              </w:rPr>
            </w:pPr>
          </w:p>
        </w:tc>
      </w:tr>
      <w:tr>
        <w:trPr>
          <w:trHeight w:val="230"/>
        </w:trPr>
        <w:tc>
          <w:tcPr>
            <w:tcW w:w="400" w:type="dxa"/>
            <w:vAlign w:val="bottom"/>
            <w:tcBorders>
              <w:right w:val="single" w:sz="8" w:color="CCEEFF"/>
            </w:tcBorders>
          </w:tcPr>
          <w:p>
            <w:pPr>
              <w:spacing w:after="0"/>
              <w:rPr>
                <w:sz w:val="19"/>
                <w:szCs w:val="19"/>
                <w:color w:val="auto"/>
              </w:rPr>
            </w:pPr>
          </w:p>
        </w:tc>
        <w:tc>
          <w:tcPr>
            <w:tcW w:w="6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41,021</w:t>
            </w:r>
          </w:p>
        </w:tc>
        <w:tc>
          <w:tcPr>
            <w:tcW w:w="100" w:type="dxa"/>
            <w:vAlign w:val="bottom"/>
            <w:shd w:val="clear" w:color="auto" w:fill="CCEEFF"/>
          </w:tcPr>
          <w:p>
            <w:pPr>
              <w:spacing w:after="0"/>
              <w:rPr>
                <w:sz w:val="19"/>
                <w:szCs w:val="19"/>
                <w:color w:val="auto"/>
              </w:rPr>
            </w:pPr>
          </w:p>
        </w:tc>
      </w:tr>
      <w:tr>
        <w:trPr>
          <w:trHeight w:val="223"/>
        </w:trPr>
        <w:tc>
          <w:tcPr>
            <w:tcW w:w="400" w:type="dxa"/>
            <w:vAlign w:val="bottom"/>
          </w:tcPr>
          <w:p>
            <w:pPr>
              <w:spacing w:after="0"/>
              <w:rPr>
                <w:sz w:val="19"/>
                <w:szCs w:val="19"/>
                <w:color w:val="auto"/>
              </w:rPr>
            </w:pP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0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62"/>
        </w:trPr>
        <w:tc>
          <w:tcPr>
            <w:tcW w:w="400" w:type="dxa"/>
            <w:vAlign w:val="bottom"/>
            <w:tcBorders>
              <w:right w:val="single" w:sz="8" w:color="CCEEFF"/>
            </w:tcBorders>
          </w:tcPr>
          <w:p>
            <w:pPr>
              <w:spacing w:after="0"/>
              <w:rPr>
                <w:sz w:val="5"/>
                <w:szCs w:val="5"/>
                <w:color w:val="auto"/>
              </w:rPr>
            </w:pPr>
          </w:p>
        </w:tc>
        <w:tc>
          <w:tcPr>
            <w:tcW w:w="63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goodwill balance for La Nacional Acquisition represents the estimated values of the company’s geographic presence in key markets, assembled workforce, management team’s industry-specific knowledge and synergies expected to be achieved from the combined operations of La Nacional and Intermex. Goodwill resulting from La Nacional Acquisition is not deductible for tax purposes.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Amortizing intangible assets related to La Nacional Acquisition are primarily comprised of agent relationships, trade name and non-competition agreements, which had weighted average lives of approximately 15 years, 10 years and 5 years, respectively, and are based on La Nacional’s operational history and established relationships with, and the nature of, its customers. The weighted average life of amortizing intangible assets for La Nacional Acquisition was 14.95 years in the aggregate. These intangible assets are amortized utilizing an accelerated method over their estimated useful lives, which is a manner consistent with the pattern in which the related benefits are expected to be consumed. The acquisition date fair value of the agent relationship, trade name and non-competition agreement intangibles was $5.6 million, $2.8 million and $40.0 thousand, respectively.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agent relationships intangible represents the network of independent sending agents. This intangible was valued using the excess earnings method, which was based on the Company’s forecasts and historical activity at agent locations in order to develop a turnover rate and expected economic useful life. Assuming a year-over-year location turnover rate of 20.0%, this resulted in an expected useful life for this intangible of 15 years.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Trade name refers to the La Nacional name, branded on all agent locations and well recognized in the market. This fair value was determined using the relief-from-royalty method, which is based on the Company’s expected revenues and a royalty rate estimated using comparable market data. The Company determined it was appropriate to assign a finite useful life of 10 years to the trade name to provide better matching of the amortization expense during the period of expected benefits.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definitive purchase agreement to acquire La Nacional and LAN Holdings entered into by the Company includes non-competition provisions agreed to by the former owner and two key members of management of La Nacional. The fair value of these intangibles was valued using the “with and without” method, which estimated the value of an asset based on the difference in the value of the business’s cash flows “with” and “without” that asset. The Company assigned useful lives of up to five years for these intangibles, which matches the contractual term of the non-competition agreements.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contingent consideration fair value of approximately $1.3 million at the acquisition date was determined using a Monte-Carlo option pricing model.</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La Nacional Acquisition, La Nacional entered into retention agreements with certain key employees if they remain employed by the Company for a term of up to 18 months. The total amount to be paid under these retention agreements is $1.6 million, out of which $0.5 million was paid by La Nacional at the closing of La Nacional Acquisition. In connection with these retention agreements, the Company incurred $0.1 million that is included in salaries and benefits in the accompanying consolidated statement of income and comprehensive income for the year ended December 31, 2022. The remaining benefit will be expensed as incurred over the remaining term of the retention agreements.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Company’s consolidated statement of income and comprehensive income includes $13.3 million and $0.1 million of revenue and net loss, respectively, from La Nacional.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LAN Holdings, Corp.</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17, 2023, the Company entered into the third amendment of the definitive purchase agreement (the “Third Amendment”). The Third Amendment allows the parties to close the acquisition of LAN Holdings at a later date subject to customary regulatory approvals. In addition, under the Third Amendment the parties agreed that the LAN Holdings earn-out targets (as defined in the definitive purchase agreement) have been achieved and the earn-out will be paid under the terms of the definitive purchase agreement.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of LAN Holdings is expected to close in the second quarter of 2023. For LAN Holdings, the Company expects to pay cash of approximately $8.0 million (subject to customary purchase price adjustments), and an additional $0.6 million related to LAN Holdings’s achievement of certain operational milestones during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Costs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Transaction costs include all internal and external costs directly related to the acquisition activity, consisting primarily of legal, consulting, accounting and financial advisory fees. Transaction costs for the years ended December 31, 2022 and 2021, amounted to $3.0 million and $1.0 million, respectively. There were no transaction costs for the year ended December 31, 2020. Transaction costs for the year ended December 31, 2022 related to the Acquisitions, while transaction costs for the year ended December 31, 2021 relate to costs incurred in connection with potential acquisitions at that moment, including La Nacional and LAN Holdings.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Supplemental Pro Forma Financial Information</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unaudited supplemental pro forma revenue totaled approximately $613.2 million and $556.1 million, respectively, and unaudited supplemental pro forma net income totaled approximately $60.3 million and $45.7 million, respectively.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unaudited pro forma financial results include the results of operations of La Nacional as if it had been consolidated as of January 1, 2021, the beginning of the year prior to its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The Company’s unaudited pro forma financial results were prepared by adding the unaudited historical results of the acquired business to the historical results of Intermex, and then adjusting those combined results for transaction costs of $3.0 million and the incremental depreciation and amortization expense related to the property and equipment and intangible assets acquired. The transaction costs were included in the pro forma results for the year ended December 31, 2021 but removed from the pro forma results for the year ended December 31, 2022. These unaudited pro forma financial results do not include adjustments to reflect other cost savings or synergies that may have resulted from this acquisition. Future results may vary significantly due to future events and other factors, many of which are beyond the Company’s control.</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in revenues from contracts with customers for the years ended December 31, 2022, 2021 and 2020, the following (in thousands):</w:t>
      </w:r>
    </w:p>
    <w:p>
      <w:pPr>
        <w:spacing w:after="0" w:line="5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2020</w:t>
            </w:r>
          </w:p>
        </w:tc>
      </w:tr>
      <w:tr>
        <w:trPr>
          <w:trHeight w:val="230"/>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Wire transfer and money order fees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471,190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308,850</w:t>
            </w:r>
          </w:p>
        </w:tc>
      </w:tr>
      <w:tr>
        <w:trPr>
          <w:trHeight w:val="236"/>
        </w:trPr>
        <w:tc>
          <w:tcPr>
            <w:tcW w:w="5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Discounts and promotions</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30"/>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469,162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307,909</w:t>
            </w:r>
          </w:p>
        </w:tc>
      </w:tr>
      <w:tr>
        <w:trPr>
          <w:trHeight w:val="229"/>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46,763</w:t>
            </w:r>
          </w:p>
        </w:tc>
      </w:tr>
      <w:tr>
        <w:trPr>
          <w:trHeight w:val="237"/>
        </w:trPr>
        <w:tc>
          <w:tcPr>
            <w:tcW w:w="5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r>
      <w:tr>
        <w:trPr>
          <w:trHeight w:val="229"/>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546,805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459,206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357,209</w:t>
            </w:r>
          </w:p>
        </w:tc>
      </w:tr>
      <w:tr>
        <w:trPr>
          <w:trHeight w:val="21"/>
        </w:trPr>
        <w:tc>
          <w:tcPr>
            <w:tcW w:w="5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11) and a corresponding loyalty program expense is recorded as contra revenue. Revenue from this performance obligation is recognized upon customers redeeming points or upon expiration of any points outstanding.</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Except for the loyalty program discussed above, our revenues include only one performance obligation, which is to collect the customer’s money and make funds available for payment, generally on the same day, to a designated recipient in the currency requested.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offers several other services, including money orders, and check cashing through our sending agents,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Wire transfers and money order fees include money order fees of $1.8 million, $1.5 million and $1.3 million for the years ended December 31, 2022, 2021 and 2020,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ACCOUNTS RECEIVABLE AND AGENT ADVANCES RECEIVABLE, NET OF ALLOWANCE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represents primarily outstanding balances from sending agents for pending wire transfers or money orders from our customers. The outstanding balance of accounts receivable, net of allowance for credit losses, consists of the following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tcBorders>
              <w:bottom w:val="single" w:sz="8" w:color="auto"/>
            </w:tcBorders>
          </w:tcPr>
          <w:p>
            <w:pPr>
              <w:spacing w:after="0"/>
              <w:rPr>
                <w:sz w:val="20"/>
                <w:szCs w:val="20"/>
                <w:color w:val="auto"/>
              </w:rPr>
            </w:pPr>
          </w:p>
        </w:tc>
      </w:tr>
      <w:tr>
        <w:trPr>
          <w:trHeight w:val="237"/>
        </w:trPr>
        <w:tc>
          <w:tcPr>
            <w:tcW w:w="62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132,363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69,498</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8"/>
              </w:rPr>
              <w:t>(2,181)</w:t>
            </w:r>
          </w:p>
        </w:tc>
      </w:tr>
      <w:tr>
        <w:trPr>
          <w:trHeight w:val="255"/>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129,808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67,317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Agent Advances Receivable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agent advances receivable, net of allowance for credit losses, from sending agents as follows (in thousands):</w:t>
      </w:r>
    </w:p>
    <w:p>
      <w:pPr>
        <w:spacing w:after="0" w:line="29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2021</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current</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791</w:t>
            </w:r>
          </w:p>
        </w:tc>
      </w:tr>
      <w:tr>
        <w:trPr>
          <w:trHeight w:val="23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(55)</w:t>
            </w:r>
          </w:p>
        </w:tc>
      </w:tr>
      <w:tr>
        <w:trPr>
          <w:trHeight w:val="25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736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long-term</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656</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(13)</w:t>
            </w:r>
          </w:p>
        </w:tc>
      </w:tr>
      <w:tr>
        <w:trPr>
          <w:trHeight w:val="25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long-term</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643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 current portion of agent advances receivable is included in prepaid expenses and other current assets (see Note 6), and the net long-term portion is included in other assets in the consolidated balance sheets. Certain agent advances receivable bear interest and have interest rates ranging from 0% to 15.0% per annum. The Company had an immaterial amount of accrued interest receivable as of December 31, 2022 and 2021 and included accrued interest receivable in the allowance for credit losses calculation. At December 31, 2022 and 2021, there were $2.8 million and $1.4 million, respectively, of agent advances receivable collateralized by personal guarantees from the sending agents and assets from their businesses in case of a default by the agent.</w:t>
      </w:r>
    </w:p>
    <w:p>
      <w:pPr>
        <w:sectPr>
          <w:pgSz w:w="11900" w:h="16838" w:orient="portrait"/>
          <w:cols w:equalWidth="0" w:num="1">
            <w:col w:w="11240"/>
          </w:cols>
          <w:pgMar w:left="320" w:top="119" w:right="33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maturities of agent advances receivable at December 31, 2022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5974715"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Under 1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Between 2 and 3 years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1839"/>
        <w:spacing w:after="0"/>
        <w:rPr>
          <w:sz w:val="20"/>
          <w:szCs w:val="20"/>
          <w:color w:val="auto"/>
        </w:rPr>
      </w:pPr>
      <w:r>
        <w:rPr>
          <w:rFonts w:ascii="Times New Roman" w:cs="Times New Roman" w:eastAsia="Times New Roman" w:hAnsi="Times New Roman"/>
          <w:sz w:val="18"/>
          <w:szCs w:val="18"/>
          <w:color w:val="auto"/>
        </w:rPr>
        <w:t>Outstanding</w:t>
      </w:r>
    </w:p>
    <w:p>
      <w:pPr>
        <w:jc w:val="center"/>
        <w:ind w:right="1839"/>
        <w:spacing w:after="0"/>
        <w:rPr>
          <w:sz w:val="20"/>
          <w:szCs w:val="20"/>
          <w:color w:val="auto"/>
        </w:rPr>
      </w:pPr>
      <w:r>
        <w:rPr>
          <w:rFonts w:ascii="Times New Roman" w:cs="Times New Roman" w:eastAsia="Times New Roman" w:hAnsi="Times New Roman"/>
          <w:sz w:val="18"/>
          <w:szCs w:val="18"/>
          <w:color w:val="auto"/>
        </w:rPr>
        <w:t>Balance</w:t>
      </w:r>
    </w:p>
    <w:p>
      <w:pPr>
        <w:spacing w:after="0" w:line="43" w:lineRule="exact"/>
        <w:rPr>
          <w:sz w:val="20"/>
          <w:szCs w:val="20"/>
          <w:color w:val="auto"/>
        </w:rPr>
      </w:pPr>
    </w:p>
    <w:p>
      <w:pPr>
        <w:ind w:left="841" w:hanging="841"/>
        <w:spacing w:after="0"/>
        <w:tabs>
          <w:tab w:leader="none" w:pos="84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1,373</w:t>
      </w:r>
    </w:p>
    <w:p>
      <w:pPr>
        <w:spacing w:after="0" w:line="38" w:lineRule="exact"/>
        <w:rPr>
          <w:rFonts w:ascii="Times New Roman" w:cs="Times New Roman" w:eastAsia="Times New Roman" w:hAnsi="Times New Roman"/>
          <w:sz w:val="17"/>
          <w:szCs w:val="17"/>
          <w:color w:val="auto"/>
        </w:rPr>
      </w:pPr>
    </w:p>
    <w:p>
      <w:pPr>
        <w:ind w:left="84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1,302</w:t>
      </w:r>
    </w:p>
    <w:p>
      <w:pPr>
        <w:spacing w:after="0" w:line="34" w:lineRule="exact"/>
        <w:rPr>
          <w:rFonts w:ascii="Times New Roman" w:cs="Times New Roman" w:eastAsia="Times New Roman" w:hAnsi="Times New Roman"/>
          <w:sz w:val="17"/>
          <w:szCs w:val="17"/>
          <w:color w:val="auto"/>
        </w:rPr>
      </w:pPr>
    </w:p>
    <w:p>
      <w:pPr>
        <w:ind w:left="98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w:t>
      </w:r>
    </w:p>
    <w:p>
      <w:pPr>
        <w:spacing w:after="0" w:line="56" w:lineRule="exact"/>
        <w:rPr>
          <w:sz w:val="20"/>
          <w:szCs w:val="20"/>
          <w:color w:val="auto"/>
        </w:rPr>
      </w:pPr>
    </w:p>
    <w:p>
      <w:pPr>
        <w:ind w:left="841" w:hanging="841"/>
        <w:spacing w:after="0"/>
        <w:tabs>
          <w:tab w:leader="none" w:pos="84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8483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8483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7379" w:space="720"/>
            <w:col w:w="3141"/>
          </w:cols>
          <w:pgMar w:left="320" w:top="119" w:right="3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allowance for credit losses related to accounts receivable and agent advances receivable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36"/>
        </w:trPr>
        <w:tc>
          <w:tcPr>
            <w:tcW w:w="44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2020</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36"/>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55"/>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credit losses allocated by financial instrument category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December 31,</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r>
      <w:tr>
        <w:trPr>
          <w:trHeight w:val="237"/>
        </w:trPr>
        <w:tc>
          <w:tcPr>
            <w:tcW w:w="44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2020</w:t>
            </w:r>
          </w:p>
        </w:tc>
        <w:tc>
          <w:tcPr>
            <w:tcW w:w="1440" w:type="dxa"/>
            <w:vAlign w:val="bottom"/>
          </w:tcPr>
          <w:p>
            <w:pPr>
              <w:spacing w:after="0"/>
              <w:rPr>
                <w:sz w:val="20"/>
                <w:szCs w:val="20"/>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440" w:type="dxa"/>
            <w:vAlign w:val="bottom"/>
          </w:tcPr>
          <w:p>
            <w:pPr>
              <w:spacing w:after="0"/>
              <w:rPr>
                <w:sz w:val="19"/>
                <w:szCs w:val="19"/>
                <w:color w:val="auto"/>
              </w:rPr>
            </w:pPr>
          </w:p>
        </w:tc>
      </w:tr>
      <w:tr>
        <w:trPr>
          <w:trHeight w:val="236"/>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Agent advances receivable</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440" w:type="dxa"/>
            <w:vAlign w:val="bottom"/>
          </w:tcPr>
          <w:p>
            <w:pPr>
              <w:spacing w:after="0"/>
              <w:rPr>
                <w:sz w:val="20"/>
                <w:szCs w:val="20"/>
                <w:color w:val="auto"/>
              </w:rPr>
            </w:pPr>
          </w:p>
        </w:tc>
      </w:tr>
      <w:tr>
        <w:trPr>
          <w:trHeight w:val="255"/>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440" w:type="dxa"/>
            <w:vAlign w:val="bottom"/>
          </w:tcPr>
          <w:p>
            <w:pPr>
              <w:spacing w:after="0"/>
              <w:rPr>
                <w:sz w:val="21"/>
                <w:szCs w:val="2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581"/>
        </w:trPr>
        <w:tc>
          <w:tcPr>
            <w:tcW w:w="4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F-17</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1"/>
        </w:trPr>
        <w:tc>
          <w:tcPr>
            <w:tcW w:w="4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6 – PREPAID EXPENSES AND OTHER ASSETS</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CCEEFF"/>
            </w:tcBorders>
          </w:tcPr>
          <w:p>
            <w:pPr>
              <w:spacing w:after="0"/>
              <w:rPr>
                <w:sz w:val="20"/>
                <w:szCs w:val="20"/>
                <w:color w:val="auto"/>
              </w:rPr>
            </w:pPr>
          </w:p>
        </w:tc>
        <w:tc>
          <w:tcPr>
            <w:tcW w:w="58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fees and services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incentives advances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3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Agent advances receivable, net of allowance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pending settlement</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allowance</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54"/>
        </w:trPr>
        <w:tc>
          <w:tcPr>
            <w:tcW w:w="40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6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CCEEFF"/>
            </w:tcBorders>
          </w:tcPr>
          <w:p>
            <w:pPr>
              <w:spacing w:after="0"/>
              <w:rPr>
                <w:sz w:val="20"/>
                <w:szCs w:val="20"/>
                <w:color w:val="auto"/>
              </w:rPr>
            </w:pPr>
          </w:p>
        </w:tc>
        <w:tc>
          <w:tcPr>
            <w:tcW w:w="58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origination fees</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3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Agent incentives advances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net of allowance</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held by seized banking entities, net of allowance</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55"/>
        </w:trPr>
        <w:tc>
          <w:tcPr>
            <w:tcW w:w="40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September 2021, local banking regulators in Mexico resolved to close and liquidate a local financial institution, citing a lack of compliance with minimum capital requirements. The Company has approximately $5.2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 portion or all of its funds on deposit. During the year ended December 31, 2021, the Company recorded an initial provision of $2.0 million. As a result of management’s reassessment of the current status of the liquidation process, during the year ended December 31, 2022, the Company recorded an additional provision of $1.6 million for a total valuation allowance of approximately $3.6 million as of December 31, 2022, in connection with the balance of deposits held by the financial institution as a result of its closure.</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Estimated</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vMerge w:val="continue"/>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Useful Life</w:t>
            </w:r>
          </w:p>
        </w:tc>
        <w:tc>
          <w:tcPr>
            <w:tcW w:w="0" w:type="dxa"/>
            <w:vAlign w:val="bottom"/>
          </w:tcPr>
          <w:p>
            <w:pPr>
              <w:spacing w:after="0"/>
              <w:rPr>
                <w:sz w:val="1"/>
                <w:szCs w:val="1"/>
                <w:color w:val="auto"/>
              </w:rPr>
            </w:pPr>
          </w:p>
        </w:tc>
      </w:tr>
      <w:tr>
        <w:trPr>
          <w:trHeight w:val="22"/>
        </w:trPr>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improvements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8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33,215</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17,905</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Computer software and equipment above includes internal use software of approximately $8.6 million and $4.7 million at December 31, 2022 and 2021, respectively. During the year ended December 31, 2021, the Company wrote-off $1.0 million (none in 2022) in software development expenditures, which is included in other selling, general and administrative expenses in the consolidated statements of income and comprehensive income.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included in depreciation and amortization expense in the consolidated statements of income and comprehensive income was approximately $5.2 million, $4.3 million and $3.9 million for the years ended December 31, 2022, 2021 and 2020,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Repairs and maintenance expenses included in other selling, general and administrative expenses in the consolidated statements of income and comprehensive income were approximately $3.7 million, $2.6 million and $2.0 million for the years ended December 31, 2022, 2021 and 2020,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LEASES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adopted ASC 842, including related amendments, effective January 1, 2022, using the modified retrospective approach and used the effective date as the date of initial application; therefore comparative periods were not adjusted. The Company determined that all of its leasing arrangements are classified as operating leases. The Company elected to apply the practical expedients to (i) not reassess its prior conclusions about lease identification, lease classification and initial direct costs and (ii) use hindsight in determining the lease term. In addition, the Company elected not to separate lease and non-lease components for all arrangements where the Company is a lessee. The Company presently intends to exercise certain of the extension options available and for purposes of computing the right-of-use assets and lease liabilities required by ASC 842, the Company has incorporated the options to renew that are reasonably certain of being exercised. Adoption of the new standard resulted in the recording of additional right-of-use assets and lease liabilities of approximately $5.6 million as of January 1, 2022. The adoption of ASC 842 did not materially impact the Company’s consolidated net income and cash flows. Additionally, there was no cumulative effect of adoption recognized on retained earnings in the consolidated statement of changes in stockholders’ equity.</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2022, the Company entered into a lease agreement, which expires in 2033, for its new headquarters to accommodate its growing workforce. The Company expects to complete the move to the new headquarters in the second half of 2023 following the completion of leasehold improvements. The new lease agreement provides for the Company to receive a tenant allowance amounting to approximately $3.8 million through the third quarter of 2023 and the Company will commence making monthly lease payments on November 1, 2024. Such tenant allowance has been recorded within prepaid expenses and other current assets in the consolidated balance sheet.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tables below include the ROU assets acquired and lease liabilities assumed in the La Nacional Acquisition, which amounted to approximately $12.2 million and $12.5 million, respectively, as of December 31, 2022. In addition, lease expense attributed to La Nacional of approximately $0.7 million for the period from November 1, 2022 through December 31, 2022, is included in the other selling and general administrative expenses in the consolidated statement of income and comprehensive income.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of right-of-use assets and lease liabilities in the consolidated balance sheet is as follows (in thousands):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7"/>
        </w:trPr>
        <w:tc>
          <w:tcPr>
            <w:tcW w:w="3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r>
      <w:tr>
        <w:trPr>
          <w:trHeight w:val="229"/>
        </w:trPr>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4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24,768</w:t>
            </w:r>
          </w:p>
        </w:tc>
      </w:tr>
      <w:tr>
        <w:trPr>
          <w:trHeight w:val="22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24,768</w:t>
            </w:r>
          </w:p>
        </w:tc>
      </w:tr>
      <w:tr>
        <w:trPr>
          <w:trHeight w:val="270"/>
        </w:trPr>
        <w:tc>
          <w:tcPr>
            <w:tcW w:w="3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r>
      <w:tr>
        <w:trPr>
          <w:trHeight w:val="229"/>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33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4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23,272</w:t>
            </w:r>
          </w:p>
        </w:tc>
      </w:tr>
      <w:tr>
        <w:trPr>
          <w:trHeight w:val="248"/>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28,530</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Operating right of-use assets are recorded net of accumulated amortization of $5.6 million as of December 31,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for the year ended December 31, 2022, was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45"/>
        </w:trPr>
        <w:tc>
          <w:tcPr>
            <w:tcW w:w="21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9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80" w:type="dxa"/>
            <w:vAlign w:val="bottom"/>
          </w:tcPr>
          <w:p>
            <w:pPr>
              <w:spacing w:after="0"/>
              <w:rPr>
                <w:sz w:val="21"/>
                <w:szCs w:val="21"/>
                <w:color w:val="auto"/>
              </w:rPr>
            </w:pPr>
          </w:p>
        </w:tc>
        <w:tc>
          <w:tcPr>
            <w:tcW w:w="1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9"/>
        </w:trPr>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r>
    </w:tbl>
    <w:p>
      <w:pPr>
        <w:spacing w:after="0" w:line="3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Rent expense for the years ended December 31, 2021 and December 31, 2020 was $2.4 million and $2.2 million, respectively, which is included in other selling, general and administrative expenses in the consolidated statements of income and comprehensive income.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Company’s weighted-average remaining lease terms on its operating leases is 6.6 years, and the Company’s weighted-average discount rate is 5.67%. Our leases have remaining terms of up to 11.3 years, some of which include options to renew and extend the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Payments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Future minimum lease payments for assets under non-cancelable operating lease agreements with original terms of more than one year for the next five years and thereafter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r>
      <w:tr>
        <w:trPr>
          <w:trHeight w:val="237"/>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14,892</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37,950</w:t>
            </w:r>
          </w:p>
        </w:tc>
      </w:tr>
      <w:tr>
        <w:trPr>
          <w:trHeight w:val="237"/>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(9,420)</w:t>
            </w:r>
          </w:p>
        </w:tc>
      </w:tr>
      <w:tr>
        <w:trPr>
          <w:trHeight w:val="255"/>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includes approximately $15.1 million of future estimated payments attributed to leases acquired in the La Nacional Acquisition.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consists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tcBorders>
              <w:bottom w:val="single" w:sz="8" w:color="auto"/>
            </w:tcBorders>
          </w:tcPr>
          <w:p>
            <w:pPr>
              <w:spacing w:after="0"/>
              <w:rPr>
                <w:sz w:val="20"/>
                <w:szCs w:val="20"/>
                <w:color w:val="auto"/>
              </w:rPr>
            </w:pPr>
          </w:p>
        </w:tc>
      </w:tr>
      <w:tr>
        <w:trPr>
          <w:trHeight w:val="236"/>
        </w:trPr>
        <w:tc>
          <w:tcPr>
            <w:tcW w:w="62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 life:</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6"/>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49,774</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36,260</w:t>
            </w:r>
          </w:p>
        </w:tc>
      </w:tr>
      <w:tr>
        <w:trPr>
          <w:trHeight w:val="237"/>
        </w:trPr>
        <w:tc>
          <w:tcPr>
            <w:tcW w:w="6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indefinite life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36,260</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8"/>
              </w:rPr>
              <w:t>December 31, 2021</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Net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Gross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Net</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5"/>
                <w:szCs w:val="15"/>
                <w:color w:val="auto"/>
              </w:rPr>
            </w:pPr>
          </w:p>
        </w:tc>
        <w:tc>
          <w:tcPr>
            <w:tcW w:w="102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Carrying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250"/>
        </w:trPr>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Amortization</w:t>
            </w:r>
          </w:p>
        </w:tc>
        <w:tc>
          <w:tcPr>
            <w:tcW w:w="180" w:type="dxa"/>
            <w:vAlign w:val="bottom"/>
          </w:tcPr>
          <w:p>
            <w:pPr>
              <w:spacing w:after="0"/>
              <w:rPr>
                <w:sz w:val="21"/>
                <w:szCs w:val="21"/>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21"/>
                <w:szCs w:val="21"/>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Amortization</w:t>
            </w:r>
          </w:p>
        </w:tc>
        <w:tc>
          <w:tcPr>
            <w:tcW w:w="180" w:type="dxa"/>
            <w:vAlign w:val="bottom"/>
          </w:tcPr>
          <w:p>
            <w:pPr>
              <w:spacing w:after="0"/>
              <w:rPr>
                <w:sz w:val="21"/>
                <w:szCs w:val="21"/>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16"/>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Agent relationships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23"/>
        </w:trPr>
        <w:tc>
          <w:tcPr>
            <w:tcW w:w="3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amortizable intangible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the majority of intangible assets on the consolidated balance sheets of the Company were recognized from acquisitions. The fair value measurements were based on significant inputs, such as the Company’s forecasted revenues, assumed turnover of agent locations, obsolescence assumptions for technology, market discount and royalty rates. These inputs are based on information not observable in the market and represent Level 3 measurements within the fair value hierarchy.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it has made reasonable estimates and judgments concerning these risks and uncertainties. A change in the conditions, circumstances or strategy of the Company may result in a need to recognize an impairment charge. As a result of the annual impairment tests, the Company determined that goodwill was not impaired as of December 31, 2022 and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and intangible assets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0"/>
                <w:szCs w:val="20"/>
                <w:color w:val="auto"/>
              </w:rPr>
            </w:pP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Intangible Assets</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27,381</w:t>
            </w:r>
          </w:p>
        </w:tc>
      </w:tr>
      <w:tr>
        <w:trPr>
          <w:trHeight w:val="23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20,430</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agent locations</w:t>
            </w:r>
          </w:p>
        </w:tc>
        <w:tc>
          <w:tcPr>
            <w:tcW w:w="3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5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r>
      <w:tr>
        <w:trPr>
          <w:trHeight w:val="217"/>
        </w:trPr>
        <w:tc>
          <w:tcPr>
            <w:tcW w:w="62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15,392</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La Nacional</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agent locations</w:t>
            </w:r>
          </w:p>
        </w:tc>
        <w:tc>
          <w:tcPr>
            <w:tcW w:w="3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29"/>
        </w:trPr>
        <w:tc>
          <w:tcPr>
            <w:tcW w:w="62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49,774</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19,826</w:t>
            </w:r>
          </w:p>
        </w:tc>
      </w:tr>
      <w:tr>
        <w:trPr>
          <w:trHeight w:val="21"/>
        </w:trPr>
        <w:tc>
          <w:tcPr>
            <w:tcW w:w="6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for the next five years and thereafter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0" w:type="dxa"/>
            <w:vAlign w:val="bottom"/>
          </w:tcPr>
          <w:p>
            <w:pPr>
              <w:spacing w:after="0"/>
              <w:rPr>
                <w:sz w:val="1"/>
                <w:szCs w:val="1"/>
                <w:color w:val="auto"/>
              </w:rPr>
            </w:pPr>
          </w:p>
        </w:tc>
      </w:tr>
      <w:tr>
        <w:trPr>
          <w:trHeight w:val="255"/>
        </w:trPr>
        <w:tc>
          <w:tcPr>
            <w:tcW w:w="6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NOTE 10 – WIRE TRANSFERS AND MONEY ORDERS PAYABLE, NET</w:t>
            </w:r>
          </w:p>
        </w:tc>
        <w:tc>
          <w:tcPr>
            <w:tcW w:w="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Wire transfers and money orders payable, net, consisted of the following (in thousands):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2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transfers payable, net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voided wires payable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orders payable</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18,427</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112,251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56,066</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NOTE 11 – ACCRUED AND OTHER LIABILITIES</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liabilities consisted of the following (in thousands):</w:t>
            </w: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6"/>
        </w:trPr>
        <w:tc>
          <w:tcPr>
            <w:tcW w:w="62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tcBorders>
              <w:bottom w:val="single" w:sz="8" w:color="auto"/>
            </w:tcBorders>
          </w:tcPr>
          <w:p>
            <w:pPr>
              <w:spacing w:after="0"/>
              <w:rPr>
                <w:sz w:val="24"/>
                <w:szCs w:val="24"/>
                <w:color w:val="auto"/>
              </w:rPr>
            </w:pPr>
          </w:p>
        </w:tc>
      </w:tr>
      <w:tr>
        <w:trPr>
          <w:trHeight w:val="237"/>
        </w:trPr>
        <w:tc>
          <w:tcPr>
            <w:tcW w:w="62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 payable to sending agents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16,303</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bank charges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 professional fees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loyalty program</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transaction costs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55"/>
        </w:trPr>
        <w:tc>
          <w:tcPr>
            <w:tcW w:w="6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changes in the deferred revenue loyalty program liability (in thousands):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20649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0649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 deferred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0649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0649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 recognized during the year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0649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0649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 deferred during the year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 recognized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20649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0649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2022</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2180" w:hanging="1215"/>
        <w:spacing w:after="0"/>
        <w:tabs>
          <w:tab w:leader="none" w:pos="2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w:t>
      </w:r>
    </w:p>
    <w:p>
      <w:pPr>
        <w:spacing w:after="0" w:line="27" w:lineRule="exact"/>
        <w:rPr>
          <w:rFonts w:ascii="Times New Roman" w:cs="Times New Roman" w:eastAsia="Times New Roman" w:hAnsi="Times New Roman"/>
          <w:sz w:val="18"/>
          <w:szCs w:val="18"/>
          <w:color w:val="auto"/>
        </w:rPr>
      </w:pPr>
    </w:p>
    <w:p>
      <w:pPr>
        <w:ind w:left="2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2,326</w:t>
      </w:r>
    </w:p>
    <w:p>
      <w:pPr>
        <w:spacing w:after="0" w:line="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color w:val="auto"/>
        </w:rPr>
        <w:t>(1,685)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21590</wp:posOffset>
            </wp:positionV>
            <wp:extent cx="10890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3,391</w:t>
      </w:r>
    </w:p>
    <w:p>
      <w:pPr>
        <w:spacing w:after="0" w:line="2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2,936</w:t>
      </w:r>
    </w:p>
    <w:p>
      <w:pPr>
        <w:spacing w:after="0" w:line="23"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8"/>
          <w:szCs w:val="18"/>
          <w:color w:val="auto"/>
        </w:rPr>
        <w:t>(2,115)</w:t>
      </w:r>
    </w:p>
    <w:p>
      <w:pPr>
        <w:spacing w:after="0" w:line="45" w:lineRule="exact"/>
        <w:rPr>
          <w:sz w:val="20"/>
          <w:szCs w:val="20"/>
          <w:color w:val="auto"/>
        </w:rPr>
      </w:pPr>
    </w:p>
    <w:p>
      <w:pPr>
        <w:ind w:left="2180" w:hanging="1215"/>
        <w:spacing w:after="0"/>
        <w:tabs>
          <w:tab w:leader="none" w:pos="2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43180</wp:posOffset>
            </wp:positionV>
            <wp:extent cx="10890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17145</wp:posOffset>
            </wp:positionV>
            <wp:extent cx="176593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3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2021</w:t>
      </w:r>
    </w:p>
    <w:p>
      <w:pPr>
        <w:spacing w:after="0" w:line="27" w:lineRule="exact"/>
        <w:rPr>
          <w:sz w:val="20"/>
          <w:szCs w:val="20"/>
          <w:color w:val="auto"/>
        </w:rPr>
      </w:pPr>
    </w:p>
    <w:p>
      <w:pPr>
        <w:sectPr>
          <w:pgSz w:w="11900" w:h="16838" w:orient="portrait"/>
          <w:cols w:equalWidth="0" w:num="2">
            <w:col w:w="6400" w:space="720"/>
            <w:col w:w="4120"/>
          </w:cols>
          <w:pgMar w:left="320" w:top="119" w:right="339" w:bottom="1440" w:gutter="0" w:footer="0" w:header="0"/>
        </w:sectPr>
      </w:pPr>
    </w:p>
    <w:tbl>
      <w:tblPr>
        <w:tblLayout w:type="fixed"/>
        <w:tblInd w:w="0" w:type="dxa"/>
        <w:tblCellMar>
          <w:top w:w="0" w:type="dxa"/>
          <w:left w:w="0" w:type="dxa"/>
          <w:bottom w:w="0" w:type="dxa"/>
          <w:right w:w="0" w:type="dxa"/>
        </w:tblCellMar>
      </w:tblPr>
      <w:tr>
        <w:trPr>
          <w:trHeight w:val="237"/>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76,000</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80,938</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85,313</w:t>
            </w:r>
          </w:p>
        </w:tc>
      </w:tr>
      <w:tr>
        <w:trPr>
          <w:trHeight w:val="230"/>
        </w:trPr>
        <w:tc>
          <w:tcPr>
            <w:tcW w:w="6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85,313</w:t>
            </w:r>
          </w:p>
        </w:tc>
      </w:tr>
      <w:tr>
        <w:trPr>
          <w:trHeight w:val="229"/>
        </w:trPr>
        <w:tc>
          <w:tcPr>
            <w:tcW w:w="6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portion of long term debt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r>
      <w:tr>
        <w:trPr>
          <w:trHeight w:val="237"/>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origination costs</w:t>
            </w:r>
          </w:p>
        </w:tc>
        <w:tc>
          <w:tcPr>
            <w:tcW w:w="4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29"/>
        </w:trPr>
        <w:tc>
          <w:tcPr>
            <w:tcW w:w="66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150,235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79,211</w:t>
            </w:r>
          </w:p>
        </w:tc>
      </w:tr>
      <w:tr>
        <w:trPr>
          <w:trHeight w:val="21"/>
        </w:trPr>
        <w:tc>
          <w:tcPr>
            <w:tcW w:w="6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left="320" w:hanging="312"/>
        <w:spacing w:after="0" w:line="223" w:lineRule="auto"/>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Current portion of long-term debt is net of debt origination costs of approximately $0.5 million as of both December 31, 2022 and 2021.</w:t>
      </w: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certain of its domestic subsidiaries as borrowers and the other guarantors from time to time party thereto (collectively, the “Loan Parties”) entered into a financing agreement with a group of banking institutions, dated November 7, 2018 and further amended on December 7, 2018 (the “Original Credit Agreement”). The Original Credit Agreement provided for a $35.0 million revolving credit facility, a $90.0 million term loan facility and an up to $30.0 million incremental facility of which $12.0 million was utilized in 2019 for the term loan facility and $10.0 million was utilized in May of 2021 for the revolving credit facility (see below). The Original Credit Agreement also provided for the issuance of letters of credit, which would reduce availability under the revolving credit facility. The maturity date of the Original Credit Agreement was November 7, 2023.</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May 12, 2021, the Company amended the Original Credit Agreement by entering into Increase Joinder No. 2 (the “Joinder No. 2”) to the Original Credit Agreement, which was accounted for as a debt modification, under which the revolving line of credit commitment under the Original Credit Agreement was increased by $10.0 million to an aggregate of $45.0 million. The Joinder No. 2 did not have any impact on any of the terms of the term loan facility under the Original Credit Agreement. The Company incurred debt origination costs of $76.8 thousand in the second quarter of 2021, which were capitalized and will be amortized over the remaining life of the revolving line of credit facility, as described below, using the straight-line method, as it is not significantly different than the effective interest method.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24, 2021, the Loan Parties entered into an Amended and Restated Credit Agreement (the “A&amp;R Credit Agreement”) with a group of banking institutions. The A&amp;R Credit Agreement amended and restated in its entirety the Original Credit Agreement. The A&amp;R Credit Agreement provides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facility under the Original Credit Agreement, and the revolving credit facility is available for working capital, general corporate purposes and to pay fees and expenses in connection with this transaction. The maturity date of the A&amp;R Credit Agreement is June 24, 2026.</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refinancing was accounted for as a debt modification. The balance of the unamortized debt origination costs of $1.8 million under the Original Credit Agreement, the origination costs paid to the Loan Parties of $1.0 million in connection with the term loan facility of the A&amp;R Credit Agreement and debt origination costs paid to the Loan Parties and third-party costs of $1.8 million incurred in connection with the revolving credit facility of the A&amp;R Credit Agreement will be associated with the new arrangement, and therefore, they will be amortized over the remaining life of the A&amp;R Credit Agreement using the straight-line method, as it is not significantly different than the effective interest method. Debt origination costs paid to third parties related to a portion of the term loan facility in connection with the A&amp;R Credit Agreement were expensed as incurred during the second quarter of 2021.</w:t>
      </w:r>
    </w:p>
    <w:p>
      <w:pPr>
        <w:spacing w:after="0" w:line="2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November 11, 2022, the Loan Parties entered into a First Amendment Agreement (the “First Amendment”) to the A&amp;R Credit Agreement. The Amendment replaces LIBOR as a benchmark interest rate for loans under the A&amp;R Credit Agreement with the secured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overnight financing rate as administered by the Federal Reserve Bank of New York (“SOFR”), and amends all applicable provisions of the A&amp;R Credit Agreement with respect to such replacement of LIBOR as the benchmark interest rate. Except as amended by the First Amendment, the A&amp;R Credit Agreement remains in full force and effect.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unamortized portion of debt origination costs totaled approximately $3.3 million and $4.5 million at December 31, 2022 and 2021, respectively. Amortization of debt origination costs is included as a component of interest expense in the consolidated statements of income and comprehensive income and amounted to approximately $1.0 million, $0.9 million and $0.8 million for the years ended December 31, 2022, 2021, and 2020, respectively.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First Amendment, at the election of the Company, interest on the term loan facility and revolving credit facility under the A&amp;R Credit Agreement was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election of the Company, interest on the term loan facility and revolving loans under the A&amp;R Credit Agreement, as amended, may be determined by reference to SOFR plus an index adjustment of 0.10% and an applicable margin ranging between 2.50% and 3.00% based upon the Company’s consolidated leverage ratio, as calculated pursuant to the terms of the A&amp;R Credit Agreement. Loans (other than Term Loans, as defined in the A&amp;R Credit Agreement), may also bear interest at the Base Rate, plus an applicable margin ranging between 1.50% and 2.00% based upon the Company’s consolidated leverage ratio, as so calculated. The Company is also required to pay a fee on the unused portion of the revolving credit facility equal to 0.35% per annum.</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interest rates for the year ended December 31, 2022 for the term loan facility and revolving credit facility were 4.87% and 1.04%, respectively. The effective interest rates for the year ended December 31, 2021 for the term loan facility and revolving credit facility were 4.23% and 0.78%, respectively.</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is payable (x)(i) generally on the last day of each interest period selected for SOFR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 in years 1 and 2, 7.5% in year 3, and 10.0% in years 4 and 5, in each case on the last day of each quarter, commencing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A&amp;R Credit Agreement contains financial covenants that require the Company to maintain a quarterly minimum fixed charge coverage ratio of 1.25:1.00 and a quarterly maximum consolidated leverage ratio of 3.25:1.00.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A&amp;R Credit Agreement, as amended, generally restricts the ability of the Company to make certain restricted payments, including the repurchase of shares of its common stock, provided that the Company may make restricted payments, among others, (i) without limitation so long as the Consolidated Leverage Ratio (as defined in the A&amp;R Credit Agreement), as of the then most recently completed four fiscal quarters of the Company, after giving pro forma effect to such restricted payments, is 2.25 to 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scheduled annual payments of the term loan at December 31, 2022 are as follows (in thousands):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00" w:type="dxa"/>
            <w:vAlign w:val="bottom"/>
          </w:tcPr>
          <w:p>
            <w:pPr>
              <w:spacing w:after="0"/>
              <w:rPr>
                <w:sz w:val="23"/>
                <w:szCs w:val="23"/>
                <w:color w:val="auto"/>
              </w:rPr>
            </w:pPr>
          </w:p>
        </w:tc>
        <w:tc>
          <w:tcPr>
            <w:tcW w:w="7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76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7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7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r>
      <w:tr>
        <w:trPr>
          <w:trHeight w:val="229"/>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6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59,063</w:t>
            </w:r>
          </w:p>
        </w:tc>
      </w:tr>
      <w:tr>
        <w:trPr>
          <w:trHeight w:val="248"/>
        </w:trPr>
        <w:tc>
          <w:tcPr>
            <w:tcW w:w="4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80,938</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NOTE 13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FAIR VALUE MEASUREMENTS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determines fair value in accordance with the provisions of FASB guidance,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measured at fair value on a nonrecurring basis include goodwill and intangible assets. The determination of our intangible fair values includes several assumptions and inputs (Level 3) that are subject to various risks and uncertainties. Management believes it has made reasonable estimates and judgments concerning these risks and uncertainties. All other financial assets and liabilities are carried at amortized cost.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balances are representative of their fair values as these balances are comprised of deposits available on demand or overnight. The carrying amounts of accounts receivable, prepaid wires, accounts payable and wire transfers and money orders payable are representative of their fair values because of the short turnover of these instruments.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liabilities include its revolving credit facility and term loan facility. The fair value of the term loan facility,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 Money Express, Inc. Omnibus Equity Compensation Plans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International Money Express, Inc. 2020 Omnibus Equity Compensation Plan (the “2020 Plan”) provides for the granting of stock-based incentive awards, including stock options, restricted stock units (“RSUs”), restricted stock awards (“RSAs”) and performance stock units (“PSUs”) to employees, certain other service providers and independent directors of the Company. There are approximately 3.7 million shares of the Company’s common stock approved for issuance under the 2020 Plan, which includes 0.4 million shares that were previously subject to awards granted under the International Money Express, Inc. 2018 Omnibus Equity Compensation Plan (the “2018 Plan” and together with the 2020 Plan, the “Plans”). Although awards remain outstanding under the 2018 Plan, which was terminated effective June 26, 2020, no additional awards may be granted under the 2018 Plan. As of December 31, 2022, 2.6 million shares remained available for grant of future awards under the 2020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value of each option grant is estimated on the grant date using the Black-Scholes option pricing model (“BSM”). The option pricing model requires the input of certain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$1.4 million, $2.4 million and $2.8 million for the years ended December 31, 2022, 2021 and 2020, respectively, which is included in salaries and benefits in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consolidated statements of income and comprehensive income. As of December 31, 2022, there were 0.7 million outstanding stock options awarded under the Plans and unrecognized compensation expense of approximately $0.6 million is expected to be recognized over a weighted-average period of 1.1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during the year ended December 31, 2022 is presented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Weighted-</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142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5"/>
              </w:rPr>
              <w:t>Average</w:t>
            </w:r>
          </w:p>
        </w:tc>
        <w:tc>
          <w:tcPr>
            <w:tcW w:w="18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Remaining</w:t>
            </w:r>
          </w:p>
        </w:tc>
        <w:tc>
          <w:tcPr>
            <w:tcW w:w="180" w:type="dxa"/>
            <w:vAlign w:val="bottom"/>
          </w:tcPr>
          <w:p>
            <w:pPr>
              <w:spacing w:after="0"/>
              <w:rPr>
                <w:sz w:val="15"/>
                <w:szCs w:val="15"/>
                <w:color w:val="auto"/>
              </w:rPr>
            </w:pPr>
          </w:p>
        </w:tc>
        <w:tc>
          <w:tcPr>
            <w:tcW w:w="11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2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Contractual</w:t>
            </w:r>
          </w:p>
        </w:tc>
        <w:tc>
          <w:tcPr>
            <w:tcW w:w="180" w:type="dxa"/>
            <w:vAlign w:val="bottom"/>
          </w:tcPr>
          <w:p>
            <w:pPr>
              <w:spacing w:after="0"/>
              <w:rPr>
                <w:sz w:val="16"/>
                <w:szCs w:val="16"/>
                <w:color w:val="auto"/>
              </w:rPr>
            </w:pPr>
          </w:p>
        </w:tc>
        <w:tc>
          <w:tcPr>
            <w:tcW w:w="11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Term (Years)</w:t>
            </w:r>
          </w:p>
        </w:tc>
        <w:tc>
          <w:tcPr>
            <w:tcW w:w="18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29"/>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1,898,687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Exercisable at December 31, 2022</w:t>
            </w:r>
            <w:r>
              <w:rPr>
                <w:rFonts w:ascii="Times New Roman" w:cs="Times New Roman" w:eastAsia="Times New Roman" w:hAnsi="Times New Roman"/>
                <w:sz w:val="23"/>
                <w:szCs w:val="23"/>
                <w:color w:val="auto"/>
                <w:vertAlign w:val="superscript"/>
              </w:rPr>
              <w:t>(2)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8"/>
        <w:spacing w:after="0" w:line="229" w:lineRule="auto"/>
        <w:tabs>
          <w:tab w:leader="none" w:pos="188"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intrinsic value of stock options exercised during the years ended December 31, 2022, 2021 and 2020 was $7.4 million, $4.7 million, and $1.3 million respectively.</w:t>
      </w:r>
    </w:p>
    <w:p>
      <w:pPr>
        <w:ind w:left="180" w:hanging="172"/>
        <w:spacing w:after="0" w:line="204" w:lineRule="auto"/>
        <w:tabs>
          <w:tab w:leader="none" w:pos="18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aggregate fair value of all vested/exercisable options outstanding as of December 31, 2022 was $2.2 million.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RSUs granted under the Plans to the Company’s employees generally vest in four equal annual installments beginning one year after the date of the grant, while RSUs issued to the Company’s independent directors vest on the one-year anniversary from the grant date. The Company recognized compensation expense for all RSUs of approximately $1.8 million, $1.2 million and $0.4 million for the years ended December 31, 2022, 2021 and 2020, respectively, which is included in salaries and benefits in the consolidated statements of income and comprehensive income. As of December 31, 2022, unrecognized compensation expense of approximately $4.0 million is expected to be recognized over a weighted-average period of 1.8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 grant activity during the year ended December 31, 2022 is presented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13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Number of RSU</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75"/>
        </w:trPr>
        <w:tc>
          <w:tcPr>
            <w:tcW w:w="66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awards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2021</w:t>
            </w: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231,934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218,078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settled)</w:t>
            </w: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(82,817)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(50,293)</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54"/>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2022</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316,902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Awards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2020 Plan and effective October 1, 2020, the Lead Independent Director and Chairs of the Committees of the Board of Directors are granted, in aggregate, $64.0 thousand in awards of fully vested shares of the Company’s common stock, payable on a quarterly basis at the end of each quarter in payment of fees earned in such capacities. Effective in the third quarter of 2022, this amount was increased to $80.5 thousand. During the years ended December 31, 2022 and 2021, 3,444 and 4,133 fully vested shares, respectively, were granted to the Lead Independent Director and Chairs of the Committees of the Board of Directors. Compensation expense related to the fully vested share awards of $72.3 thousand, $64.0 thousand and $16.0 thousand for the years ended December 31, 2022, 2021 and 2020, respectively, was recognized and included in salaries and benefits in the consolidated statements of income and comprehensive income.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RSAs issued under the 2020 Plan to the Company’s Chief Executive Officer and other employees generally vest in four equal annual installments beginning one year after the date of grant. The Company recognized compensation expense for RSAs granted of $0.6 million and $0.3 million for the years ended December 31, 2022 and 2021, respectively, which is included in salaries and benefits in the consolidated statements of income and comprehensive income. No compensation expense for RSAs was recognized for the year ended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December 31, 2020. As of December 31, 2022, there was $1.9 million of unrecognized compensation expense related to RSAs, which is expected to be recognized over a weighted-average period of 1.9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RSA activity during the year ended December 31, 2022 is presented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184"/>
        </w:trPr>
        <w:tc>
          <w:tcPr>
            <w:tcW w:w="6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41"/>
        </w:trPr>
        <w:tc>
          <w:tcPr>
            <w:tcW w:w="66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RSAs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settled)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3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Stock Units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PSUs granted under the 2020 Plan to the Company’s executives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revenue and adjusted earnings per share targets for a period of two years combined with a service period of three years. Compensation cost is recognized over the requisite service period when it is probable that the performance condition will be satisfied. During the third quarter of 2022, the Company reassessed the probability of vesting for PSU awards and determined that it was probable that a higher performance target will be achieved; therefore, the Company recognized a cumulative catch-up adjustment of approximately $1.1 million as additional compensation expense in the third quarter of 2022. The Company recognized compensation expense for PSUs of $3.2 million and $0.7 million for the years ended December 31, 2022 and 2021, respectively, which is included in salaries and benefits in the consolidated statements of income and comprehensive income. There was no compensation expense for PSUs recognized for the year ended December 31, 2020. As of December 31, 2022, there was $3.7 million of unrecognized compensation expense related to PSUs, which is expected to be recognized over a weighted-average period of 1.5 years.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PSU activity during the year ended December 31, 2022 is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Weighted-Average</w:t>
            </w: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175"/>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Remaining Contractual</w:t>
            </w: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50"/>
        </w:trPr>
        <w:tc>
          <w:tcPr>
            <w:tcW w:w="5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PSUs</w:t>
            </w:r>
          </w:p>
        </w:tc>
        <w:tc>
          <w:tcPr>
            <w:tcW w:w="120" w:type="dxa"/>
            <w:vAlign w:val="bottom"/>
          </w:tcPr>
          <w:p>
            <w:pPr>
              <w:spacing w:after="0"/>
              <w:rPr>
                <w:sz w:val="21"/>
                <w:szCs w:val="21"/>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Term (Years)</w:t>
            </w:r>
          </w:p>
        </w:tc>
        <w:tc>
          <w:tcPr>
            <w:tcW w:w="180" w:type="dxa"/>
            <w:vAlign w:val="bottom"/>
          </w:tcPr>
          <w:p>
            <w:pPr>
              <w:spacing w:after="0"/>
              <w:rPr>
                <w:sz w:val="21"/>
                <w:szCs w:val="21"/>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171,500</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131,224</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settled)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300,871</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NOTE 15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EQUITY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2021, the Company’s Board of Directors approved a stock repurchase program (the “Repurchase Program”) that authorizes the Company to purchase up to $40.0 million of its outstanding shares of the Company’s common stock.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A&amp;R Credit Agreement, as amended, permits the Company to make restricted payments (including share repurchases, among others), (i) without limitation so long as the Consolidated Leverage Ratio (as defined in the A&amp;R Credit Agreement, as amended), as of the then most recently completed four fiscal quarters of the Company, after giving pro forma effect to such restricted payments, is 2.25 to 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w:t>
      </w:r>
    </w:p>
    <w:p>
      <w:pPr>
        <w:spacing w:after="0" w:line="2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accounts for purchases of treasury stock under the cost method. Any direct costs incurred to acquire treasury stock are considered stock issue costs and added to the cost of the treasury stock. On August 9, 2022, the Company entered into an agreement with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SPC Intermex, LP, a related party, for the purchase of 1,172,485 shares of the Company’s common stock for a total purchase price of $27.6 million, in a privately-negotiated transaction. During the years ended December 31, 2022 and 2021, including the shares previously mentioned, the Company purchased 2,480,744 shares and 341,522 shares, respectively, for an aggregate purchase price of $53.7 million and $5.6 million, respectively. The share repurchases under the Repurchase Program and the privately negotiated transaction totaled $59.3 million from inception through December 31, 2022.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there were $8.3 million available for future share repurchases under the Repurchase Program. During the first quarter of 2023 to date, the Company repurchased 317 thousand shares for $7.6 million, resulting in $0.7 million available for future share repurchases under the Repurchase Program.</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 2023 the Board of Directors approved an increase to the Repurchase Program that authorizes the Company to purchase an additional $100.0 million of its outstanding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EARNINGS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for the year by the weighted average number of common shares outstanding for the period. In computing dilutive earnings per share, basic earnings per share is adjusted for the assumed issuance of all applicable potentially dilutive share-based awards, including common stock options, RSUs, RSAs and PSUs.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basic and diluted earnings per share for the periods indicated (in thousands, except for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37"/>
        </w:trPr>
        <w:tc>
          <w:tcPr>
            <w:tcW w:w="5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for basic and diluted income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33,784</w:t>
            </w:r>
          </w:p>
        </w:tc>
      </w:tr>
      <w:tr>
        <w:trPr>
          <w:trHeight w:val="203"/>
        </w:trPr>
        <w:tc>
          <w:tcPr>
            <w:tcW w:w="5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Shares: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37,733,047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38,474,040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38,060,290</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287,315</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RSAs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PSUs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186,365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38,625,390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39,103,450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38,358,171</w:t>
            </w:r>
          </w:p>
        </w:tc>
      </w:tr>
      <w:tr>
        <w:trPr>
          <w:trHeight w:val="256"/>
        </w:trPr>
        <w:tc>
          <w:tcPr>
            <w:tcW w:w="5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there were 6.5 thousand options and 10.4 thousand RSUs excluded from the diluted earnings per share calculation because, under the treasury stock method, the inclusion of these would be anti-dilutive.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2021, there were 0.4 million options and 35.2 thousand RSUs excluded from the diluted earnings per share calculation because, under the treasury stock method, the inclusion of these would be anti-dilutive.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there were 0.7 million options and 10.9 thousand RSUs excluded from the diluted earnings per share calculation because, under the treasury stock method, the inclusion of these would be anti-dilutive.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15, during the years ended December 31, 2022 and 2021, the Company purchased 2,480,744 shares and 341,522 shares, respectively, for an aggregate purchase price of $53.7 million and $5.6 million, respectively. The effect of these repurchases on the Company’s weighted average shares outstanding for the years ended December 31, 2022 and 2021 was a reduction of 876,893 and 43,098 shares, respectively, due to the timing of the repurchases.</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50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NOTE 17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INCOME TAXES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thousands):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3"/>
        </w:trPr>
        <w:tc>
          <w:tcPr>
            <w:tcW w:w="40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2"/>
                <w:szCs w:val="22"/>
                <w:color w:val="auto"/>
              </w:rPr>
            </w:pPr>
          </w:p>
        </w:tc>
      </w:tr>
      <w:tr>
        <w:trPr>
          <w:trHeight w:val="237"/>
        </w:trPr>
        <w:tc>
          <w:tcPr>
            <w:tcW w:w="400" w:type="dxa"/>
            <w:vAlign w:val="bottom"/>
            <w:tcBorders>
              <w:bottom w:val="single" w:sz="8" w:color="CCEEFF"/>
            </w:tcBorders>
          </w:tcPr>
          <w:p>
            <w:pPr>
              <w:spacing w:after="0"/>
              <w:rPr>
                <w:sz w:val="20"/>
                <w:szCs w:val="20"/>
                <w:color w:val="auto"/>
              </w:rPr>
            </w:pPr>
          </w:p>
        </w:tc>
        <w:tc>
          <w:tcPr>
            <w:tcW w:w="49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provision: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9"/>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r>
      <w:tr>
        <w:trPr>
          <w:trHeight w:val="237"/>
        </w:trPr>
        <w:tc>
          <w:tcPr>
            <w:tcW w:w="53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w:t>
            </w:r>
          </w:p>
        </w:tc>
      </w:tr>
      <w:tr>
        <w:trPr>
          <w:trHeight w:val="229"/>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w:t>
            </w:r>
          </w:p>
        </w:tc>
      </w:tr>
      <w:tr>
        <w:trPr>
          <w:trHeight w:val="270"/>
        </w:trPr>
        <w:tc>
          <w:tcPr>
            <w:tcW w:w="536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(benefit) provision: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37"/>
        </w:trPr>
        <w:tc>
          <w:tcPr>
            <w:tcW w:w="5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6"/>
        </w:trPr>
        <w:tc>
          <w:tcPr>
            <w:tcW w:w="53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55"/>
        </w:trPr>
        <w:tc>
          <w:tcPr>
            <w:tcW w:w="5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tax provision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between the income tax provision at the U.S. statutory tax rate and the Company’s income tax provision on the consolidated statements of income and comprehensive income is below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36"/>
        </w:trPr>
        <w:tc>
          <w:tcPr>
            <w:tcW w:w="50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46,301</w:t>
            </w:r>
          </w:p>
        </w:tc>
      </w:tr>
      <w:tr>
        <w:trPr>
          <w:trHeight w:val="237"/>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statutory tax rate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9,723</w:t>
            </w:r>
          </w:p>
        </w:tc>
      </w:tr>
      <w:tr>
        <w:trPr>
          <w:trHeight w:val="270"/>
        </w:trPr>
        <w:tc>
          <w:tcPr>
            <w:tcW w:w="5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expense, net of federal benefit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2,530</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rates different from U.S. statutory rate</w:t>
            </w: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tax rate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r>
      <w:tr>
        <w:trPr>
          <w:trHeight w:val="236"/>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55"/>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tax provision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19,948</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12,517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presented in the income tax reconciliation above, the tax provision recognized on the consolidated statements of income and comprehensive income was impacted by state taxes, non-deductible officer compensation and share-based compensation tax benefits, and foreign tax rates applicable to the Company’s foreign subsidiaries that are higher or lower than the U.S. statutory rate. The Company is also subject to tax in various U.S. state jurisdictions. Changes in the annual allocation and apportionment of the Company’s activity amongst these state jurisdictions results in changes to the blended state rate utilized to measure the Company’s deferred tax assets and liabilities.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are recognized for the expected tax consequences of temporary differences between the book and tax bases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assets and liabilities. The following table outlines the principal components of the deferred tax assets and liabilities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60" w:type="dxa"/>
            <w:vAlign w:val="bottom"/>
            <w:tcBorders>
              <w:bottom w:val="single" w:sz="8" w:color="auto"/>
            </w:tcBorders>
          </w:tcPr>
          <w:p>
            <w:pPr>
              <w:spacing w:after="0"/>
              <w:rPr>
                <w:sz w:val="20"/>
                <w:szCs w:val="20"/>
                <w:color w:val="auto"/>
              </w:rPr>
            </w:pPr>
          </w:p>
        </w:tc>
      </w:tr>
      <w:tr>
        <w:trPr>
          <w:trHeight w:val="236"/>
        </w:trPr>
        <w:tc>
          <w:tcPr>
            <w:tcW w:w="66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2021</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 and state net operating losses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net operating losses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9,304</w:t>
            </w:r>
          </w:p>
        </w:tc>
      </w:tr>
      <w:tr>
        <w:trPr>
          <w:trHeight w:val="270"/>
        </w:trPr>
        <w:tc>
          <w:tcPr>
            <w:tcW w:w="66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r>
      <w:tr>
        <w:trPr>
          <w:trHeight w:val="237"/>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Debt origination costs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w:t>
            </w:r>
          </w:p>
        </w:tc>
      </w:tr>
      <w:tr>
        <w:trPr>
          <w:trHeight w:val="270"/>
        </w:trPr>
        <w:tc>
          <w:tcPr>
            <w:tcW w:w="6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64"/>
        </w:trPr>
        <w:tc>
          <w:tcPr>
            <w:tcW w:w="66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55"/>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2022, the Company had pre-tax federal, state and foreign net operating loss carryforwards of approximately $15.3 million, $10.4 million and $1.5 million, respectively, which are available to reduce future taxable income. With few exceptions, these net operating loss carryforwards will expire from 2030 through 2037 for federal losses, from 2029 through 2037 for state losses, and from 2039 through 2042 for foreign losses. Utilization of the Company’s net operating loss carryforwards is now subject to an annual limitation under Internal Revenue Code Section 382. The Company has recorded a deferred tax asset for only the portion of its net operating loss carryforward that it expects to realize before expiration.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few exceptions, the Company is no longer subject to U.S. federal, state or local income tax examinations by tax authorities for the years prior to 2019. However, the Company has certain net operating loss carryforwards from tax years 2010 through 2017 that are subject to examination. As of December 31, 2022 and 2021, the Company did not have any amounts accrued for interest and penalties or recorded for uncertain tax positions.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criteria under FASB guidance,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 valuation allowance is recorded to reduce the carrying amounts of deferred tax assets unless it is more likely than not that such assets will be realized. After consideration of all evidence, both positive and negative, management has determined that no valuation allowance is required at December 31, 2022 or 2021 on the Company’s U.S. deferred tax assets. However, a valuation allowance of $0.4 million and $0.2 million as of December 31, 2022 and 2021, respectively has been recorded on deferred tax assets associated with Canadian net operating loss carryforwards.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NOTE 18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leases for office space, warehouses and certain Company-operated store locations. Refer to Note 8 –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 and Legal Proceedings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50 U.S.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Requirements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applicable licensing laws, certain domestic subsidiaries of the Company are required to maintain minimum tangible net worth and liquid assets (eligible securities) to cover the amount outstanding of wire transfers and money orders payable. As of December 31, 2022 and 2021, the Company’s subsidiaries were in compliance with these two requirements.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NOTE 19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DEFINED CONTRIBUTION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defined contribution plans available to most of its employees, where the Company makes contributions to the plan based on employee contributions. Total employer contribution expense included in salaries and benefits in the consolidated statements of income and comprehensive income was approximately $0.2 million, $0.2 million and $0.1 million for the years ended December 31, 2022, 2021 and 2020, respectively.</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required by Rules 13a-15(b) and 15d-15(b) under the Exchange Act, our Chief Executive Officer and President, and Chief Financial Officer, carried out an evaluation of the effectiveness of our disclosure controls and procedures as of December 31, 2022.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December 31,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 15(f) under the Securities Exchange Act of 1934. The Company’s internal control over financial reporting is designed to provide reasonable assurance regarding the reliability of financial reporting and the preparation of consolidated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issuer; (2) provide reasonable assurance that transactions are recorded as necessary to permit preparation of financial statements in accordance with generally accepted accounting principles, and that receipts and expenditures of the issuer are being made only in accordance with authorizations of management and directors of the issuer; and (3) provide reasonable assurance regarding prevention or timely detection of unauthorized acquisition, use or disposition of the issuer's assets that could have a material effect on the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2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2022. In making this assessment, it used the criteria set forth by the Committee of Sponsoring Organizations of the Treadway Commission in Internal Control-Integrated Framework (2013).</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internal control over financial reporting, and, to the extent permitted by SEC guidance, the disclosure controls and procedures, of La Nacional were excluded from the evaluation of effectiveness of the Company’s internal control over financial reporting and disclosure controls and procedures as of December 31, 2022 because of the timing of the acquisition. La Nacional’s total assets constituted approximately 11.4% of the Company’s total assets as of December 31, 2022 and represented approximately 2.4% and less than 0.3% of the Company’s revenue and net income, respectively, for the year then ended.</w:t>
      </w:r>
    </w:p>
    <w:p>
      <w:pPr>
        <w:spacing w:after="0" w:line="21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the results of its evaluation, the Company’s management has concluded that as of December 31, 2022, the Company’s internal control over financial reporting was effective.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BDO USA, LLP, the independent registered public accounting firm which audits our financial statements, has audited our internal control over financial reporting as of December 31, 2022 and has expressed an unqualified opinion thereon as stated in their report that is included on Item 9. “Report of Independent Registered Public Accounting Firm,” on page 76 of this Annual Report on Form 10-K.</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Money Express,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International Money Express, Inc.’s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31, 2022, based on the COSO criteria</w:t>
      </w:r>
      <w:r>
        <w:rPr>
          <w:rFonts w:ascii="Times New Roman" w:cs="Times New Roman" w:eastAsia="Times New Roman" w:hAnsi="Times New Roman"/>
          <w:sz w:val="18"/>
          <w:szCs w:val="18"/>
          <w:i w:val="1"/>
          <w:iCs w:val="1"/>
          <w:color w:val="auto"/>
        </w:rPr>
        <w: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and comprehensive income, changes in stockholders’ equity, and cash flows for each of the three years in the period ended December 31, 2022, and the related notes and our report dated March 15, 2023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indicated in the accompanying “Item 9A, Management’s Report on Internal Control over Financial Reporting”, management’s assessment of and conclusion on the effectiveness of internal control over financial reporting did not include the internal controls of Envios de Valores La Nacional Corp. (“La Nacional”), which was acquired on November 1, 2022, and which is included in the consolidated balance sheet of the Company as of December 31, 2022, and the related consolidated statements of income and comprehensive income, changes in stockholders’ equity, and cash flows for the year then ended. La Nacional constituted approximately 11.4% of total assets as of December 31, 2022, and approximately 2.4% and less than 0.3% of revenues and net income, respectively, for the year then ended. Management did not assess the effectiveness of internal control over financial reporting of La Nacional because of the timing of its acquisition, which was completed on November 1, 2022. Our audit of internal control over financial reporting of the Company also did not include an evaluation of the internal control over financial reporting of La Nacional.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2023</w:t>
      </w:r>
    </w:p>
    <w:p>
      <w:pPr>
        <w:sectPr>
          <w:pgSz w:w="11900" w:h="16838" w:orient="portrait"/>
          <w:cols w:equalWidth="0" w:num="1">
            <w:col w:w="11240"/>
          </w:cols>
          <w:pgMar w:left="320" w:top="119" w:right="339" w:bottom="6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69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00" w:lineRule="exact"/>
        <w:rPr>
          <w:sz w:val="20"/>
          <w:szCs w:val="20"/>
          <w:color w:val="auto"/>
        </w:rPr>
      </w:pPr>
    </w:p>
    <w:p>
      <w:pPr>
        <w:spacing w:after="0" w:line="2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information required under this Item will be contained in the Company’s Proxy Statement for the 2023 Annual Meeting of Stockholders to be filed with the SEC within 120 days after the year ended December 31, 2022 (the “Proxy Statement”), which information is incorporated by reference herein.</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other information relating to the Executive Officers of the Company appears in Part I of this Annual Report on Form 10-K under the heading “Information about our Executive Officers”.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information required under this Item will be contained in the Company’s Proxy Statement, which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ind w:left="940" w:right="420" w:hanging="1295"/>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required under this Item will be contained in the Company’s Proxy, which information is incorporated by reference herein.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The following table sets forth information about our common stock that may be issued under all of our equity compensation plans as of December 31, 2022, which included: the International Money Express, Inc. 2020 Omnibus Equity Compensation Plan (“2020 Plan”) and the International Money Express, Inc. 2020 Employee Stock Purchase Plan (the “ESPP”), each of which was approved by the Company’s stockholders.</w:t>
      </w:r>
    </w:p>
    <w:tbl>
      <w:tblPr>
        <w:tblLayout w:type="fixed"/>
        <w:tblInd w:w="2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366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080" w:type="dxa"/>
            <w:vAlign w:val="bottom"/>
          </w:tcPr>
          <w:p>
            <w:pPr>
              <w:spacing w:after="0"/>
              <w:rPr>
                <w:sz w:val="16"/>
                <w:szCs w:val="16"/>
                <w:color w:val="auto"/>
              </w:rPr>
            </w:pPr>
          </w:p>
        </w:tc>
        <w:tc>
          <w:tcPr>
            <w:tcW w:w="2700" w:type="dxa"/>
            <w:vAlign w:val="bottom"/>
          </w:tcPr>
          <w:p>
            <w:pPr>
              <w:jc w:val="center"/>
              <w:ind w:left="190"/>
              <w:spacing w:after="0" w:line="186" w:lineRule="exact"/>
              <w:rPr>
                <w:sz w:val="20"/>
                <w:szCs w:val="20"/>
                <w:color w:val="auto"/>
              </w:rPr>
            </w:pPr>
            <w:r>
              <w:rPr>
                <w:rFonts w:ascii="Times New Roman" w:cs="Times New Roman" w:eastAsia="Times New Roman" w:hAnsi="Times New Roman"/>
                <w:sz w:val="18"/>
                <w:szCs w:val="18"/>
                <w:b w:val="1"/>
                <w:bCs w:val="1"/>
                <w:color w:val="auto"/>
                <w:w w:val="99"/>
              </w:rPr>
              <w:t>Number of securities remaining</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3660" w:type="dxa"/>
            <w:vAlign w:val="bottom"/>
            <w:vMerge w:val="continue"/>
          </w:tcPr>
          <w:p>
            <w:pPr>
              <w:spacing w:after="0"/>
              <w:rPr>
                <w:sz w:val="15"/>
                <w:szCs w:val="15"/>
                <w:color w:val="auto"/>
              </w:rPr>
            </w:pPr>
          </w:p>
        </w:tc>
        <w:tc>
          <w:tcPr>
            <w:tcW w:w="20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700" w:type="dxa"/>
            <w:vAlign w:val="bottom"/>
          </w:tcPr>
          <w:p>
            <w:pPr>
              <w:jc w:val="center"/>
              <w:ind w:left="190"/>
              <w:spacing w:after="0" w:line="176" w:lineRule="exact"/>
              <w:rPr>
                <w:sz w:val="20"/>
                <w:szCs w:val="20"/>
                <w:color w:val="auto"/>
              </w:rPr>
            </w:pPr>
            <w:r>
              <w:rPr>
                <w:rFonts w:ascii="Times New Roman" w:cs="Times New Roman" w:eastAsia="Times New Roman" w:hAnsi="Times New Roman"/>
                <w:sz w:val="18"/>
                <w:szCs w:val="18"/>
                <w:b w:val="1"/>
                <w:bCs w:val="1"/>
                <w:color w:val="auto"/>
              </w:rPr>
              <w:t>available</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3660" w:type="dxa"/>
            <w:vAlign w:val="bottom"/>
          </w:tcPr>
          <w:p>
            <w:pPr>
              <w:jc w:val="center"/>
              <w:ind w:left="7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to be issued upon exercise</w:t>
            </w:r>
          </w:p>
        </w:tc>
        <w:tc>
          <w:tcPr>
            <w:tcW w:w="2080" w:type="dxa"/>
            <w:vAlign w:val="bottom"/>
            <w:vMerge w:val="continue"/>
          </w:tcPr>
          <w:p>
            <w:pPr>
              <w:spacing w:after="0"/>
              <w:rPr>
                <w:sz w:val="16"/>
                <w:szCs w:val="16"/>
                <w:color w:val="auto"/>
              </w:rPr>
            </w:pPr>
          </w:p>
        </w:tc>
        <w:tc>
          <w:tcPr>
            <w:tcW w:w="2700" w:type="dxa"/>
            <w:vAlign w:val="bottom"/>
          </w:tcPr>
          <w:p>
            <w:pPr>
              <w:jc w:val="center"/>
              <w:ind w:lef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 future issuance</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3660" w:type="dxa"/>
            <w:vAlign w:val="bottom"/>
          </w:tcPr>
          <w:p>
            <w:pPr>
              <w:jc w:val="center"/>
              <w:ind w:left="730"/>
              <w:spacing w:after="0" w:line="176" w:lineRule="exact"/>
              <w:rPr>
                <w:sz w:val="20"/>
                <w:szCs w:val="20"/>
                <w:color w:val="auto"/>
              </w:rPr>
            </w:pPr>
            <w:r>
              <w:rPr>
                <w:rFonts w:ascii="Times New Roman" w:cs="Times New Roman" w:eastAsia="Times New Roman" w:hAnsi="Times New Roman"/>
                <w:sz w:val="18"/>
                <w:szCs w:val="18"/>
                <w:b w:val="1"/>
                <w:bCs w:val="1"/>
                <w:color w:val="auto"/>
              </w:rPr>
              <w:t>of</w:t>
            </w:r>
          </w:p>
        </w:tc>
        <w:tc>
          <w:tcPr>
            <w:tcW w:w="208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2700" w:type="dxa"/>
            <w:vAlign w:val="bottom"/>
          </w:tcPr>
          <w:p>
            <w:pPr>
              <w:jc w:val="center"/>
              <w:ind w:lef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3660" w:type="dxa"/>
            <w:vAlign w:val="bottom"/>
          </w:tcPr>
          <w:p>
            <w:pPr>
              <w:jc w:val="center"/>
              <w:ind w:left="7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8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70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 plans (excluding</w:t>
            </w:r>
          </w:p>
        </w:tc>
        <w:tc>
          <w:tcPr>
            <w:tcW w:w="0" w:type="dxa"/>
            <w:vAlign w:val="bottom"/>
          </w:tcPr>
          <w:p>
            <w:pPr>
              <w:spacing w:after="0"/>
              <w:rPr>
                <w:sz w:val="1"/>
                <w:szCs w:val="1"/>
                <w:color w:val="auto"/>
              </w:rPr>
            </w:pPr>
          </w:p>
        </w:tc>
      </w:tr>
      <w:tr>
        <w:trPr>
          <w:trHeight w:val="189"/>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3660" w:type="dxa"/>
            <w:vAlign w:val="bottom"/>
          </w:tcPr>
          <w:p>
            <w:pPr>
              <w:jc w:val="center"/>
              <w:ind w:left="7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warrants</w:t>
            </w:r>
          </w:p>
        </w:tc>
        <w:tc>
          <w:tcPr>
            <w:tcW w:w="20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b w:val="1"/>
                <w:bCs w:val="1"/>
                <w:color w:val="auto"/>
              </w:rPr>
              <w:t>options, warrants</w:t>
            </w:r>
          </w:p>
        </w:tc>
        <w:tc>
          <w:tcPr>
            <w:tcW w:w="2700" w:type="dxa"/>
            <w:vAlign w:val="bottom"/>
          </w:tcPr>
          <w:p>
            <w:pPr>
              <w:jc w:val="center"/>
              <w:ind w:lef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38"/>
        </w:trPr>
        <w:tc>
          <w:tcPr>
            <w:tcW w:w="2320" w:type="dxa"/>
            <w:vAlign w:val="bottom"/>
            <w:vMerge w:val="continue"/>
          </w:tcPr>
          <w:p>
            <w:pPr>
              <w:spacing w:after="0"/>
              <w:rPr>
                <w:sz w:val="20"/>
                <w:szCs w:val="20"/>
                <w:color w:val="auto"/>
              </w:rPr>
            </w:pPr>
          </w:p>
        </w:tc>
        <w:tc>
          <w:tcPr>
            <w:tcW w:w="366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0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7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reflected in column (a))</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42" w:lineRule="exact"/>
        <w:rPr>
          <w:sz w:val="20"/>
          <w:szCs w:val="20"/>
          <w:color w:val="auto"/>
        </w:rPr>
      </w:pPr>
    </w:p>
    <w:p>
      <w:pPr>
        <w:ind w:left="180" w:right="260" w:hanging="161"/>
        <w:spacing w:after="0" w:line="237"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0" w:lineRule="exact"/>
        <w:rPr>
          <w:sz w:val="20"/>
          <w:szCs w:val="20"/>
          <w:color w:val="auto"/>
        </w:rPr>
      </w:pPr>
    </w:p>
    <w:p>
      <w:pPr>
        <w:ind w:left="180" w:hanging="161"/>
        <w:spacing w:after="0" w:line="237"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520" w:type="dxa"/>
            <w:vAlign w:val="bottom"/>
            <w:gridSpan w:val="2"/>
          </w:tcPr>
          <w:p>
            <w:pPr>
              <w:jc w:val="right"/>
              <w:ind w:right="1340"/>
              <w:spacing w:after="0"/>
              <w:rPr>
                <w:sz w:val="20"/>
                <w:szCs w:val="20"/>
                <w:color w:val="auto"/>
              </w:rPr>
            </w:pPr>
            <w:r>
              <w:rPr>
                <w:rFonts w:ascii="Times New Roman" w:cs="Times New Roman" w:eastAsia="Times New Roman" w:hAnsi="Times New Roman"/>
                <w:sz w:val="18"/>
                <w:szCs w:val="18"/>
                <w:color w:val="auto"/>
              </w:rPr>
              <w:t>(a)</w:t>
            </w:r>
          </w:p>
        </w:tc>
        <w:tc>
          <w:tcPr>
            <w:tcW w:w="540" w:type="dxa"/>
            <w:vAlign w:val="bottom"/>
          </w:tcPr>
          <w:p>
            <w:pPr>
              <w:spacing w:after="0"/>
              <w:rPr>
                <w:sz w:val="19"/>
                <w:szCs w:val="19"/>
                <w:color w:val="auto"/>
              </w:rPr>
            </w:pP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w:t>
            </w:r>
          </w:p>
        </w:tc>
        <w:tc>
          <w:tcPr>
            <w:tcW w:w="25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(c)</w:t>
            </w:r>
          </w:p>
        </w:tc>
        <w:tc>
          <w:tcPr>
            <w:tcW w:w="380" w:type="dxa"/>
            <w:vAlign w:val="bottom"/>
          </w:tcPr>
          <w:p>
            <w:pPr>
              <w:spacing w:after="0"/>
              <w:rPr>
                <w:sz w:val="19"/>
                <w:szCs w:val="19"/>
                <w:color w:val="auto"/>
              </w:rPr>
            </w:pPr>
          </w:p>
        </w:tc>
      </w:tr>
      <w:tr>
        <w:trPr>
          <w:trHeight w:val="419"/>
        </w:trPr>
        <w:tc>
          <w:tcPr>
            <w:tcW w:w="25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1,488,385 </w:t>
            </w:r>
            <w:r>
              <w:rPr>
                <w:rFonts w:ascii="Times New Roman" w:cs="Times New Roman" w:eastAsia="Times New Roman" w:hAnsi="Times New Roman"/>
                <w:sz w:val="16"/>
                <w:szCs w:val="16"/>
                <w:color w:val="auto"/>
              </w:rPr>
              <w:t>(1)</w:t>
            </w: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tcPr>
          <w:p>
            <w:pPr>
              <w:spacing w:after="0"/>
              <w:rPr>
                <w:sz w:val="24"/>
                <w:szCs w:val="24"/>
                <w:color w:val="auto"/>
              </w:rPr>
            </w:pPr>
          </w:p>
        </w:tc>
        <w:tc>
          <w:tcPr>
            <w:tcW w:w="2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3,354,990</w:t>
            </w:r>
          </w:p>
        </w:tc>
        <w:tc>
          <w:tcPr>
            <w:tcW w:w="3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r>
      <w:tr>
        <w:trPr>
          <w:trHeight w:val="418"/>
        </w:trPr>
        <w:tc>
          <w:tcPr>
            <w:tcW w:w="2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r>
      <w:tr>
        <w:trPr>
          <w:trHeight w:val="228"/>
        </w:trPr>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1,488,385</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tcPr>
          <w:p>
            <w:pPr>
              <w:spacing w:after="0"/>
              <w:rPr>
                <w:sz w:val="19"/>
                <w:szCs w:val="19"/>
                <w:color w:val="auto"/>
              </w:rPr>
            </w:pPr>
          </w:p>
        </w:tc>
        <w:tc>
          <w:tcPr>
            <w:tcW w:w="2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3,354,990</w:t>
            </w:r>
          </w:p>
        </w:tc>
        <w:tc>
          <w:tcPr>
            <w:tcW w:w="380" w:type="dxa"/>
            <w:vAlign w:val="bottom"/>
            <w:tcBorders>
              <w:top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-156845</wp:posOffset>
            </wp:positionV>
            <wp:extent cx="708914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89140" cy="1543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-705485</wp:posOffset>
            </wp:positionV>
            <wp:extent cx="7089140" cy="283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89140"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320"/>
            <w:col w:w="7740"/>
          </w:cols>
          <w:pgMar w:left="320" w:top="119" w:right="339" w:bottom="1440" w:gutter="0" w:footer="0" w:header="0"/>
          <w:type w:val="continuous"/>
        </w:sectPr>
      </w:pPr>
    </w:p>
    <w:p>
      <w:pPr>
        <w:spacing w:after="0" w:line="114" w:lineRule="exact"/>
        <w:rPr>
          <w:sz w:val="20"/>
          <w:szCs w:val="20"/>
          <w:color w:val="auto"/>
        </w:rPr>
      </w:pPr>
    </w:p>
    <w:p>
      <w:pPr>
        <w:jc w:val="both"/>
        <w:ind w:left="340" w:hanging="332"/>
        <w:spacing w:after="0" w:line="261"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the following: 559,800 shares subject to outstanding awards granted under the 2018 Plan, all of which were subject to outstanding options awards. This number also includes 928,585 shares subject to outstanding awards granted under the 2020 Plan, of which 151,250 shares were subject to outstanding options awards, 316,902 shares were subject to outstanding RSU awards, 159,562 shares were subject to outstanding RSA awards, and 300,871 shares were subject to outstanding PSU awards.</w:t>
      </w:r>
    </w:p>
    <w:p>
      <w:pPr>
        <w:spacing w:after="0" w:line="20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2,604,990 shares available for issuance under the 2020 Plan and 750,000 shares available for issuance under the ESPP.</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under this Item will be contained in the Company’s Proxy Statement, which information is incorporated by reference herein.</w:t>
      </w:r>
    </w:p>
    <w:p>
      <w:pPr>
        <w:spacing w:after="0" w:line="200" w:lineRule="exact"/>
        <w:rPr>
          <w:sz w:val="20"/>
          <w:szCs w:val="20"/>
          <w:color w:val="auto"/>
        </w:rPr>
      </w:pPr>
    </w:p>
    <w:p>
      <w:pPr>
        <w:spacing w:after="0" w:line="3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9" w:right="7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00" w:lineRule="exact"/>
        <w:rPr>
          <w:sz w:val="20"/>
          <w:szCs w:val="20"/>
          <w:color w:val="auto"/>
        </w:rPr>
      </w:pPr>
    </w:p>
    <w:p>
      <w:pPr>
        <w:spacing w:after="0" w:line="272" w:lineRule="exact"/>
        <w:rPr>
          <w:sz w:val="20"/>
          <w:szCs w:val="20"/>
          <w:color w:val="auto"/>
        </w:rPr>
      </w:pPr>
    </w:p>
    <w:p>
      <w:pPr>
        <w:jc w:val="center"/>
        <w:spacing w:after="0" w:line="344" w:lineRule="auto"/>
        <w:rPr>
          <w:sz w:val="20"/>
          <w:szCs w:val="20"/>
          <w:color w:val="auto"/>
        </w:rPr>
      </w:pPr>
      <w:r>
        <w:rPr>
          <w:rFonts w:ascii="Times New Roman" w:cs="Times New Roman" w:eastAsia="Times New Roman" w:hAnsi="Times New Roman"/>
          <w:sz w:val="18"/>
          <w:szCs w:val="18"/>
          <w:color w:val="auto"/>
        </w:rPr>
        <w:t>The information required under this Item will be contained in the Company’s Proxy Statement, which information is incorporated by reference herein.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9" w:right="759" w:bottom="1440" w:gutter="0" w:footer="0" w:header="0"/>
        </w:sectPr>
      </w:pPr>
    </w:p>
    <w:bookmarkStart w:id="88" w:name="page89"/>
    <w:bookmarkEnd w:id="88"/>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Statements (See Index to Consolidated Financial Statements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w:t>
      </w:r>
    </w:p>
    <w:p>
      <w:pPr>
        <w:spacing w:after="0" w:line="16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"Exhibit Index" attached to this Annual Report on Form 10-K.</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92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9"/>
        </w:trPr>
        <w:tc>
          <w:tcPr>
            <w:tcW w:w="20" w:type="dxa"/>
            <w:vAlign w:val="bottom"/>
          </w:tcPr>
          <w:p>
            <w:pPr>
              <w:spacing w:after="0"/>
              <w:rPr>
                <w:sz w:val="24"/>
                <w:szCs w:val="24"/>
                <w:color w:val="auto"/>
              </w:rPr>
            </w:pPr>
          </w:p>
        </w:tc>
        <w:tc>
          <w:tcPr>
            <w:tcW w:w="9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520" w:type="dxa"/>
            <w:vAlign w:val="bottom"/>
            <w:gridSpan w:val="5"/>
            <w:shd w:val="clear" w:color="auto" w:fill="CCEEFF"/>
          </w:tcPr>
          <w:p>
            <w:pPr>
              <w:ind w:left="20"/>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Second Amended and Restated Certificate of Incorporation of the Company, dated July 26, 2018 (incorporated by</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920" w:type="dxa"/>
            <w:vAlign w:val="bottom"/>
            <w:tcBorders>
              <w:top w:val="single" w:sz="8" w:color="CCEEFF"/>
            </w:tcBorders>
            <w:shd w:val="clear" w:color="auto" w:fill="CCEEFF"/>
          </w:tcPr>
          <w:p>
            <w:pPr>
              <w:ind w:left="100"/>
              <w:spacing w:after="0" w:line="150" w:lineRule="exact"/>
              <w:rPr>
                <w:sz w:val="20"/>
                <w:szCs w:val="20"/>
                <w:color w:val="auto"/>
              </w:rPr>
            </w:pPr>
            <w:r>
              <w:rPr>
                <w:rFonts w:ascii="Times New Roman" w:cs="Times New Roman" w:eastAsia="Times New Roman" w:hAnsi="Times New Roman"/>
                <w:sz w:val="17"/>
                <w:szCs w:val="17"/>
                <w:color w:val="auto"/>
              </w:rPr>
              <w:t>reference to Exhibit 3.1 to the Registrant’s Registration Statement on Form S-1 filed on September 28, 2018 (File No.</w:t>
            </w:r>
          </w:p>
        </w:tc>
      </w:tr>
      <w:tr>
        <w:trPr>
          <w:trHeight w:val="234"/>
        </w:trPr>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333-226948)).</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520" w:type="dxa"/>
            <w:vAlign w:val="bottom"/>
            <w:gridSpan w:val="5"/>
            <w:shd w:val="clear" w:color="auto" w:fill="CCEEFF"/>
          </w:tcPr>
          <w:p>
            <w:pPr>
              <w:ind w:left="20"/>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r>
              <w:rPr>
                <w:rFonts w:ascii="Times New Roman" w:cs="Times New Roman" w:eastAsia="Times New Roman" w:hAnsi="Times New Roman"/>
                <w:sz w:val="18"/>
                <w:szCs w:val="18"/>
                <w:color w:val="000000"/>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Second Amended and Restated Bylaws of the Company, effective as of July 26, 2018 (incorporated by reference to</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3.2 to the Registrant’s Registration Statement on Form S-1 filed on September 28, 2018 (File No. 333-226948)).</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520" w:type="dxa"/>
            <w:vAlign w:val="bottom"/>
            <w:gridSpan w:val="5"/>
            <w:shd w:val="clear" w:color="auto" w:fill="CCEEFF"/>
          </w:tcPr>
          <w:p>
            <w:pPr>
              <w:ind w:left="20"/>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Warrant Agreement, dated January 19, 2017, between Continental Stock Transfer &amp; Trust Company and the Company</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920" w:type="dxa"/>
            <w:vAlign w:val="bottom"/>
            <w:tcBorders>
              <w:top w:val="single" w:sz="8" w:color="CCEEFF"/>
            </w:tcBorders>
            <w:shd w:val="clear" w:color="auto" w:fill="CCEEFF"/>
          </w:tcPr>
          <w:p>
            <w:pPr>
              <w:ind w:left="100"/>
              <w:spacing w:after="0" w:line="150" w:lineRule="exact"/>
              <w:rPr>
                <w:sz w:val="20"/>
                <w:szCs w:val="20"/>
                <w:color w:val="auto"/>
              </w:rPr>
            </w:pPr>
            <w:r>
              <w:rPr>
                <w:rFonts w:ascii="Times New Roman" w:cs="Times New Roman" w:eastAsia="Times New Roman" w:hAnsi="Times New Roman"/>
                <w:sz w:val="17"/>
                <w:szCs w:val="17"/>
                <w:color w:val="auto"/>
              </w:rPr>
              <w:t>(incorporated by reference to Exhibit 4.2 to the Registrant’s Registration Statement on Form S-1 filed on September 28,</w:t>
            </w:r>
          </w:p>
        </w:tc>
      </w:tr>
      <w:tr>
        <w:trPr>
          <w:trHeight w:val="234"/>
        </w:trPr>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2018 (File No. 333-226948)).</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520" w:type="dxa"/>
            <w:vAlign w:val="bottom"/>
            <w:gridSpan w:val="5"/>
            <w:shd w:val="clear" w:color="auto" w:fill="CCEEFF"/>
          </w:tcPr>
          <w:p>
            <w:pPr>
              <w:ind w:left="20"/>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r>
              <w:rPr>
                <w:rFonts w:ascii="Times New Roman" w:cs="Times New Roman" w:eastAsia="Times New Roman" w:hAnsi="Times New Roman"/>
                <w:sz w:val="18"/>
                <w:szCs w:val="18"/>
                <w:color w:val="000000"/>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92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Amendment No. 1 to Warrant Agreement, dated April 29, 2019, by and between International Money Express, Inc. and</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Continental Stock Transfer &amp; Trust Company (incorporated by reference to Exhibit 10.1 to the Registrant’s Current</w:t>
            </w:r>
          </w:p>
        </w:tc>
      </w:tr>
      <w:tr>
        <w:trPr>
          <w:trHeight w:val="248"/>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Report on Form 8-K Filed on April 30, 2019).</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520" w:type="dxa"/>
            <w:vAlign w:val="bottom"/>
            <w:gridSpan w:val="5"/>
            <w:shd w:val="clear" w:color="auto" w:fill="CCEEFF"/>
          </w:tcPr>
          <w:p>
            <w:pPr>
              <w:ind w:left="20"/>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r>
              <w:rPr>
                <w:rFonts w:ascii="Times New Roman" w:cs="Times New Roman" w:eastAsia="Times New Roman" w:hAnsi="Times New Roman"/>
                <w:sz w:val="18"/>
                <w:szCs w:val="18"/>
                <w:color w:val="000000"/>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92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Description of Securities (incorporated by reference to Exhibit 4.6 to the Registrant’s Annual Report on Form 10-K Filed</w:t>
            </w: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March 11, 2020).</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7"/>
            <w:shd w:val="clear" w:color="auto" w:fill="CCEEFF"/>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1(a)</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Amended and Restated Credit Agreement, dated as of June 24, 2021, by and among International Money Express, Inc., as</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920" w:type="dxa"/>
            <w:vAlign w:val="bottom"/>
            <w:tcBorders>
              <w:top w:val="single" w:sz="8" w:color="CCEEFF"/>
            </w:tcBorders>
            <w:shd w:val="clear" w:color="auto" w:fill="CCEEFF"/>
          </w:tcPr>
          <w:p>
            <w:pPr>
              <w:ind w:left="100"/>
              <w:spacing w:after="0" w:line="150" w:lineRule="exact"/>
              <w:rPr>
                <w:sz w:val="20"/>
                <w:szCs w:val="20"/>
                <w:color w:val="auto"/>
              </w:rPr>
            </w:pPr>
            <w:r>
              <w:rPr>
                <w:rFonts w:ascii="Times New Roman" w:cs="Times New Roman" w:eastAsia="Times New Roman" w:hAnsi="Times New Roman"/>
                <w:sz w:val="17"/>
                <w:szCs w:val="17"/>
                <w:color w:val="auto"/>
              </w:rPr>
              <w:t>Holdings, International Money Express Sub 2, LLC, as Intermediate Holdings, Intermex Holdings, Inc., as the Term</w:t>
            </w:r>
          </w:p>
        </w:tc>
      </w:tr>
      <w:tr>
        <w:trPr>
          <w:trHeight w:val="180"/>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9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Borrower, Intermex Wire Transfer, LLC, as the Revolver Borrower, the other guarantors from time to time party thereto,</w:t>
            </w:r>
          </w:p>
        </w:tc>
      </w:tr>
      <w:tr>
        <w:trPr>
          <w:trHeight w:val="175"/>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9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the lenders from time to time party thereto and KeyBank National Association, as the Administrative Agent and L/C</w:t>
            </w:r>
          </w:p>
        </w:tc>
      </w:tr>
      <w:tr>
        <w:trPr>
          <w:trHeight w:val="243"/>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Issuer. (incorporated by reference to Exhibit 10.1 to the Registrant’s Current Report on Form 8-K filed on June 28, 2021)</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7"/>
            <w:shd w:val="clear" w:color="auto" w:fill="CCEEFF"/>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1(b)**</w:t>
              </w:r>
            </w:hyperlink>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First Amendment Agreement, dated as of November 10, 2022, by and among International Money Express, Inc., as</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920" w:type="dxa"/>
            <w:vAlign w:val="bottom"/>
            <w:tcBorders>
              <w:top w:val="single" w:sz="8" w:color="CCEEFF"/>
            </w:tcBorders>
            <w:shd w:val="clear" w:color="auto" w:fill="CCEEFF"/>
          </w:tcPr>
          <w:p>
            <w:pPr>
              <w:ind w:left="100"/>
              <w:spacing w:after="0" w:line="150" w:lineRule="exact"/>
              <w:rPr>
                <w:sz w:val="20"/>
                <w:szCs w:val="20"/>
                <w:color w:val="auto"/>
              </w:rPr>
            </w:pPr>
            <w:r>
              <w:rPr>
                <w:rFonts w:ascii="Times New Roman" w:cs="Times New Roman" w:eastAsia="Times New Roman" w:hAnsi="Times New Roman"/>
                <w:sz w:val="17"/>
                <w:szCs w:val="17"/>
                <w:color w:val="auto"/>
              </w:rPr>
              <w:t>Holdings, International Money Express Sub 2, LLC, as Intermediate Holdings, Intermex Holdings, Inc., as the Term</w:t>
            </w:r>
          </w:p>
        </w:tc>
      </w:tr>
      <w:tr>
        <w:trPr>
          <w:trHeight w:val="180"/>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9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Borrower, Intermex Wire Transfer, LLC, as the Revolver Borrower, the other guarantors from time to time party thereto,</w:t>
            </w:r>
          </w:p>
        </w:tc>
      </w:tr>
      <w:tr>
        <w:trPr>
          <w:trHeight w:val="175"/>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9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the lenders from time to time party thereto and KeyBank National Association, and KeyBank National Association, as the</w:t>
            </w:r>
          </w:p>
        </w:tc>
      </w:tr>
      <w:tr>
        <w:trPr>
          <w:trHeight w:val="184"/>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9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Administrative Agent. (incorporated by reference to Exhibit 10.1 to the Registrant’s Current Report on Form 8-K filed on</w:t>
            </w:r>
          </w:p>
        </w:tc>
      </w:tr>
      <w:tr>
        <w:trPr>
          <w:trHeight w:val="234"/>
        </w:trPr>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November 14, 2022).</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520" w:type="dxa"/>
            <w:vAlign w:val="bottom"/>
            <w:gridSpan w:val="5"/>
            <w:shd w:val="clear" w:color="auto" w:fill="CCEEFF"/>
          </w:tcPr>
          <w:p>
            <w:pPr>
              <w:ind w:left="20"/>
              <w:spacing w:after="0" w:line="189" w:lineRule="exact"/>
              <w:rPr>
                <w:rFonts w:ascii="Times New Roman" w:cs="Times New Roman" w:eastAsia="Times New Roman" w:hAnsi="Times New Roman"/>
                <w:sz w:val="18"/>
                <w:szCs w:val="18"/>
                <w:color w:val="0000FF"/>
                <w:w w:val="96"/>
              </w:rPr>
            </w:pPr>
            <w:hyperlink r:id="rId123">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2</w:t>
              </w:r>
            </w:hyperlink>
            <w:r>
              <w:rPr>
                <w:rFonts w:ascii="Times New Roman" w:cs="Times New Roman" w:eastAsia="Times New Roman" w:hAnsi="Times New Roman"/>
                <w:sz w:val="18"/>
                <w:szCs w:val="18"/>
                <w:color w:val="000000"/>
                <w:w w:val="96"/>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Settlement Agreement and Release, dated March 16, 2020, among Stuart Sawyer, on behalf of himself and all Settlement</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920" w:type="dxa"/>
            <w:vAlign w:val="bottom"/>
            <w:tcBorders>
              <w:top w:val="single" w:sz="8" w:color="CCEEFF"/>
            </w:tcBorders>
            <w:shd w:val="clear" w:color="auto" w:fill="CCEEFF"/>
          </w:tcPr>
          <w:p>
            <w:pPr>
              <w:ind w:left="100"/>
              <w:spacing w:after="0" w:line="150" w:lineRule="exact"/>
              <w:rPr>
                <w:sz w:val="20"/>
                <w:szCs w:val="20"/>
                <w:color w:val="auto"/>
              </w:rPr>
            </w:pPr>
            <w:r>
              <w:rPr>
                <w:rFonts w:ascii="Times New Roman" w:cs="Times New Roman" w:eastAsia="Times New Roman" w:hAnsi="Times New Roman"/>
                <w:sz w:val="17"/>
                <w:szCs w:val="17"/>
                <w:color w:val="auto"/>
              </w:rPr>
              <w:t>Class Members, and Intermex Wire Transfer, LLC (incorporated by reference to Exhibit 10.1 to the Registrant’s Current</w:t>
            </w:r>
          </w:p>
        </w:tc>
      </w:tr>
      <w:tr>
        <w:trPr>
          <w:trHeight w:val="234"/>
        </w:trPr>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Report on Form 8-K filed on March 19, 2020).</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7"/>
            <w:shd w:val="clear" w:color="auto" w:fill="CCEEFF"/>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3(a)</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International Money Express, Inc. 2018 Omnibus Equity Compensation Plan (incorporated by reference to Exhibit</w:t>
            </w: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10.3(a) to the Registrant’s Registration Statement on Form S-1 filed on September 28, 2018 (File No. 333-226948)).</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9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10.3(b)</w:t>
            </w:r>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Amendment to 2020 Omnibus Equity Incentive Plan.</w:t>
            </w:r>
          </w:p>
        </w:tc>
      </w:tr>
      <w:tr>
        <w:trPr>
          <w:trHeight w:val="54"/>
        </w:trPr>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920" w:type="dxa"/>
            <w:vAlign w:val="bottom"/>
            <w:tcBorders>
              <w:top w:val="single" w:sz="8" w:color="CCEEFF"/>
            </w:tcBorders>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7"/>
            <w:shd w:val="clear" w:color="auto" w:fill="CCEEFF"/>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Form of Nonqualified Stock Option Agreement pursuant to the International Money Express, Inc. 2018 Omnibus Equity</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 Plan (incorporated by reference to Exhibit 10.4(b) to the Registrant’s Registration Statement on Form S-1</w:t>
            </w:r>
          </w:p>
        </w:tc>
      </w:tr>
      <w:tr>
        <w:trPr>
          <w:trHeight w:val="248"/>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on September 28, 2018 (File No. 333-226948)).</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7"/>
            <w:shd w:val="clear" w:color="auto" w:fill="CCEEFF"/>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Form of Incentive Stock Option Award pursuant to the International Money Express, Inc. 2018 Omnibus Equity</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 Plan (incorporated by reference to Exhibit 10.4(a) to the Registrant’s Registration Statement on Form S-1</w:t>
            </w:r>
          </w:p>
        </w:tc>
      </w:tr>
      <w:tr>
        <w:trPr>
          <w:trHeight w:val="248"/>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on September 28, 2018 (File No. 333-226948)).</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7"/>
            <w:shd w:val="clear" w:color="auto" w:fill="CCEEFF"/>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International Money Express, Inc. 2020 Omnibus Equity Compensation Plan (incorporated by reference to Annex A to</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Registrant’s Definitive Proxy Statement on Schedule 14A filed with the Securities and Exchange Commission on</w:t>
            </w:r>
          </w:p>
        </w:tc>
      </w:tr>
      <w:tr>
        <w:trPr>
          <w:trHeight w:val="248"/>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15, 2020).</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7"/>
            <w:shd w:val="clear" w:color="auto" w:fill="CCEEFF"/>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International Money Express, Inc. 2020 Employee Stock Purchase Plan (incorporated by reference to Annex B to the</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Registrant’s Definitive Proxy Statement on Schedule 14A filed with the Securities and Exchange Commission on May</w:t>
            </w:r>
          </w:p>
        </w:tc>
      </w:tr>
      <w:tr>
        <w:trPr>
          <w:trHeight w:val="248"/>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15, 2020).</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7"/>
            <w:shd w:val="clear" w:color="auto" w:fill="CCEEFF"/>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Form of Non-Qualified Stock Option Agreement pursuant to the International Money Express, Inc. 2020 Omnibus Equity</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 Plan (incorporated by reference to Exhibit 10.3 to the Registrant’s Quarterly Report on Form 10-Q filed on</w:t>
            </w:r>
          </w:p>
        </w:tc>
      </w:tr>
      <w:tr>
        <w:trPr>
          <w:trHeight w:val="248"/>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August 6, 2020).</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7"/>
            <w:shd w:val="clear" w:color="auto" w:fill="CCEEFF"/>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Form of RSU Agreement (Non-Employee Directors) pursuant to the International Money Express, Inc. 2020 Omnibus</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Compensation Plan (incorporated by reference to Exhibit 10.4 to the Registrant’s Quarterly Report on Form 10-Q</w:t>
            </w:r>
          </w:p>
        </w:tc>
      </w:tr>
      <w:tr>
        <w:trPr>
          <w:trHeight w:val="248"/>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on August 6, 2020).</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7"/>
            <w:shd w:val="clear" w:color="auto" w:fill="CCEEFF"/>
          </w:tcPr>
          <w:p>
            <w:pPr>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Form of RSU Agreement (Employees) pursuant to the International Money Express, Inc. 2020 Omnibus Equity</w:t>
            </w: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920" w:type="dxa"/>
            <w:vAlign w:val="bottom"/>
            <w:tcBorders>
              <w:top w:val="single" w:sz="8" w:color="CCEEFF"/>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Compensation Plan (incorporated by reference to Exhibit 10.17 to the Registrant’s Annual Report on Form 10-K filed on</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15, 2021).</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7"/>
            <w:shd w:val="clear" w:color="auto" w:fill="CCEEFF"/>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Form of 2021 and 2022 PSU Agreement (Employees) pursuant to the International Money Express, Inc. 2020 Omnibus</w:t>
            </w: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920" w:type="dxa"/>
            <w:vAlign w:val="bottom"/>
            <w:tcBorders>
              <w:top w:val="single" w:sz="8" w:color="CCEEFF"/>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Equity Compensation Plan (incorporated by reference to Exhibit 10.18 to the Registrant’s Annual Report on Form 10-K</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on March 15, 2021).</w:t>
            </w:r>
          </w:p>
        </w:tc>
      </w:tr>
      <w:tr>
        <w:trPr>
          <w:trHeight w:val="54"/>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7"/>
            <w:shd w:val="clear" w:color="auto" w:fill="CCEEFF"/>
          </w:tcPr>
          <w:p>
            <w:pPr>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Form of 2021 and 2022 PSU Agreement (Robert Lisy) pursuant to the International Money Express, Inc. 2020 Omnibus</w:t>
            </w: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920" w:type="dxa"/>
            <w:vAlign w:val="bottom"/>
            <w:tcBorders>
              <w:top w:val="single" w:sz="8" w:color="CCEEFF"/>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Equity Compensation Plan (incorporated by reference to Exhibit 10.19 to the Registrant’s Annual Report on Form 10-K</w:t>
            </w:r>
          </w:p>
        </w:tc>
      </w:tr>
      <w:tr>
        <w:trPr>
          <w:trHeight w:val="149"/>
        </w:trPr>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92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filed on March 15 2021)</w:t>
            </w:r>
          </w:p>
        </w:tc>
      </w:tr>
    </w:tbl>
    <w:p>
      <w:pPr>
        <w:sectPr>
          <w:pgSz w:w="11900" w:h="16900" w:orient="portrait"/>
          <w:cols w:equalWidth="0" w:num="1">
            <w:col w:w="11220"/>
          </w:cols>
          <w:pgMar w:left="320" w:top="119" w:right="359" w:bottom="0" w:gutter="0" w:footer="0" w:header="0"/>
        </w:sectPr>
      </w:pPr>
    </w:p>
    <w:bookmarkStart w:id="89" w:name="page90"/>
    <w:bookmarkEnd w:id="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88900</wp:posOffset>
            </wp:positionV>
            <wp:extent cx="6300470" cy="603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6300470" cy="60325"/>
                    </a:xfrm>
                    <a:prstGeom prst="rect">
                      <a:avLst/>
                    </a:prstGeom>
                    <a:noFill/>
                  </pic:spPr>
                </pic:pic>
              </a:graphicData>
            </a:graphic>
          </wp:anchor>
        </w:drawing>
      </w:r>
    </w:p>
    <w:tbl>
      <w:tblPr>
        <w:tblLayout w:type="fixed"/>
        <w:tblInd w:w="328"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of Restricted Stock Award Agreement (Robert Lisy) pursuant to the International Money Express, Inc. 2020</w:t>
            </w: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920" w:type="dxa"/>
            <w:vAlign w:val="bottom"/>
            <w:tcBorders>
              <w:top w:val="single" w:sz="8" w:color="CCEEFF"/>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Omnibus Equity Compensation Plan (incorporated by reference to Exhibit 10.20 to the Registrant’s Annual Report on</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10-K filed on March 15, 2021).</w:t>
            </w: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Form of PSU Agreement (Employees) pursuant to the International Money Express, Inc. 2020 Omnibus Equity</w:t>
            </w: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8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 Plan.</w:t>
            </w: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Form of PSU Agreement (Robert Lisy) pursuant to the International Money Express, Inc. 2020 Omnibus Equity</w:t>
            </w: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8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 Plan.</w:t>
            </w: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4"/>
            <w:shd w:val="clear" w:color="auto" w:fill="CCEEFF"/>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Amended and Restated Employment Agreement by and between Robert Lisy and Intermex Holdings, Inc., dated as of</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November 15, 2021 (incorporated by reference to Exhibit 10.1 to the Registrant’s Current Report on Form 8-K filed on</w:t>
            </w:r>
          </w:p>
        </w:tc>
      </w:tr>
      <w:tr>
        <w:trPr>
          <w:trHeight w:val="248"/>
        </w:trPr>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November 17, 2021).</w:t>
            </w: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gridSpan w:val="4"/>
            <w:shd w:val="clear" w:color="auto" w:fill="CCEEFF"/>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Employment Agreement by and between Andras Bende and the Company, dated as of December 7, 2020 (incorporated</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by reference to Exhibit 10.1 to the Registrant’s Current Report on Form 8-K filed on December 8, 2020).</w:t>
            </w: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96"/>
        </w:trPr>
        <w:tc>
          <w:tcPr>
            <w:tcW w:w="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Employment Agreement by and between Randy Nilsen and Intermex Holdings, Inc. dated as of February 1, 2017</w:t>
            </w: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920" w:type="dxa"/>
            <w:vAlign w:val="bottom"/>
            <w:tcBorders>
              <w:top w:val="single" w:sz="8" w:color="CCEEFF"/>
            </w:tcBorders>
            <w:shd w:val="clear" w:color="auto" w:fill="CCEEFF"/>
          </w:tcPr>
          <w:p>
            <w:pPr>
              <w:ind w:left="100"/>
              <w:spacing w:after="0" w:line="144" w:lineRule="exact"/>
              <w:rPr>
                <w:sz w:val="20"/>
                <w:szCs w:val="20"/>
                <w:color w:val="auto"/>
              </w:rPr>
            </w:pPr>
            <w:r>
              <w:rPr>
                <w:rFonts w:ascii="Times New Roman" w:cs="Times New Roman" w:eastAsia="Times New Roman" w:hAnsi="Times New Roman"/>
                <w:sz w:val="16"/>
                <w:szCs w:val="16"/>
                <w:color w:val="auto"/>
              </w:rPr>
              <w:t>(incorporated by reference to Exhibit 10.5(e) to the Registrant’s Registration Statement on Form S-1 filed on September</w:t>
            </w:r>
          </w:p>
        </w:tc>
      </w:tr>
      <w:tr>
        <w:trPr>
          <w:trHeight w:val="234"/>
        </w:trPr>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 2018 (File No. 333-226948)).</w:t>
            </w: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202"/>
        </w:trPr>
        <w:tc>
          <w:tcPr>
            <w:tcW w:w="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spacing w:after="0" w:line="202"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19(a)</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Employment Agreement dated September 23, 2019, between Joseph Aguilar and the Company (incorporated by reference</w:t>
            </w: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200" w:type="dxa"/>
            <w:vAlign w:val="bottom"/>
            <w:tcBorders>
              <w:top w:val="single" w:sz="8" w:color="0000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8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 Exhibit 10.1 to the Registrant’s Current Report on Form 8-K filed On October 3, 2019).</w:t>
            </w: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237"/>
        </w:trPr>
        <w:tc>
          <w:tcPr>
            <w:tcW w:w="20" w:type="dxa"/>
            <w:vAlign w:val="bottom"/>
            <w:shd w:val="clear" w:color="auto" w:fill="CCEEFF"/>
          </w:tcPr>
          <w:p>
            <w:pPr>
              <w:spacing w:after="0"/>
              <w:rPr>
                <w:sz w:val="20"/>
                <w:szCs w:val="20"/>
                <w:color w:val="auto"/>
              </w:rPr>
            </w:pPr>
          </w:p>
        </w:tc>
        <w:tc>
          <w:tcPr>
            <w:tcW w:w="98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19(b)</w:t>
            </w:r>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Amendment to Employment Agreement effective as of January 16, 2023, between Joseph Aguilar and the Company.</w:t>
            </w:r>
          </w:p>
        </w:tc>
      </w:tr>
      <w:tr>
        <w:trPr>
          <w:trHeight w:val="54"/>
        </w:trPr>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920" w:type="dxa"/>
            <w:vAlign w:val="bottom"/>
            <w:tcBorders>
              <w:top w:val="single" w:sz="8" w:color="CCEEFF"/>
            </w:tcBorders>
          </w:tcPr>
          <w:p>
            <w:pPr>
              <w:spacing w:after="0"/>
              <w:rPr>
                <w:sz w:val="4"/>
                <w:szCs w:val="4"/>
                <w:color w:val="auto"/>
              </w:rPr>
            </w:pPr>
          </w:p>
        </w:tc>
      </w:tr>
      <w:tr>
        <w:trPr>
          <w:trHeight w:val="236"/>
        </w:trPr>
        <w:tc>
          <w:tcPr>
            <w:tcW w:w="20" w:type="dxa"/>
            <w:vAlign w:val="bottom"/>
            <w:shd w:val="clear" w:color="auto" w:fill="CCEEFF"/>
          </w:tcPr>
          <w:p>
            <w:pPr>
              <w:spacing w:after="0"/>
              <w:rPr>
                <w:sz w:val="20"/>
                <w:szCs w:val="20"/>
                <w:color w:val="auto"/>
              </w:rPr>
            </w:pPr>
          </w:p>
        </w:tc>
        <w:tc>
          <w:tcPr>
            <w:tcW w:w="98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Amended and Restated Employment Agreement dated May 20, 2022, between Ernesto Luciano and the Company.</w:t>
            </w:r>
          </w:p>
        </w:tc>
      </w:tr>
      <w:tr>
        <w:trPr>
          <w:trHeight w:val="54"/>
        </w:trPr>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920" w:type="dxa"/>
            <w:vAlign w:val="bottom"/>
            <w:tcBorders>
              <w:top w:val="single" w:sz="8" w:color="CCEEFF"/>
            </w:tcBorders>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spacing w:after="0" w:line="202"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color w:val="000000"/>
              </w:rPr>
              <w:t>**†</w:t>
            </w:r>
          </w:p>
        </w:tc>
        <w:tc>
          <w:tcPr>
            <w:tcW w:w="892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Form of Indemnification Agreement (incorporated by reference to Exhibit 10.1 to the Registrant’s Registration Statement</w:t>
            </w: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8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Form S-1 filed on September 28, 2018 (File No. 333-226948)).</w:t>
            </w: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209"/>
        </w:trPr>
        <w:tc>
          <w:tcPr>
            <w:tcW w:w="4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21.</w:t>
            </w:r>
            <w:r>
              <w:rPr>
                <w:rFonts w:ascii="Times New Roman" w:cs="Times New Roman" w:eastAsia="Times New Roman" w:hAnsi="Times New Roman"/>
                <w:sz w:val="18"/>
                <w:szCs w:val="18"/>
                <w:u w:val="single" w:color="auto"/>
                <w:color w:val="0000FF"/>
                <w:w w:val="93"/>
              </w:rPr>
              <w:t>1</w:t>
            </w:r>
            <w:r>
              <w:rPr>
                <w:rFonts w:ascii="Times New Roman" w:cs="Times New Roman" w:eastAsia="Times New Roman" w:hAnsi="Times New Roman"/>
                <w:sz w:val="18"/>
                <w:szCs w:val="18"/>
                <w:color w:val="000000"/>
                <w:w w:val="93"/>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Subsidiaries of the registrant</w:t>
            </w:r>
          </w:p>
        </w:tc>
      </w:tr>
      <w:tr>
        <w:trPr>
          <w:trHeight w:val="54"/>
        </w:trPr>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920" w:type="dxa"/>
            <w:vAlign w:val="bottom"/>
            <w:tcBorders>
              <w:top w:val="single" w:sz="8" w:color="CCEEFF"/>
            </w:tcBorders>
          </w:tcPr>
          <w:p>
            <w:pPr>
              <w:spacing w:after="0"/>
              <w:rPr>
                <w:sz w:val="4"/>
                <w:szCs w:val="4"/>
                <w:color w:val="auto"/>
              </w:rPr>
            </w:pPr>
          </w:p>
        </w:tc>
      </w:tr>
      <w:tr>
        <w:trPr>
          <w:trHeight w:val="209"/>
        </w:trPr>
        <w:tc>
          <w:tcPr>
            <w:tcW w:w="4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23.</w:t>
            </w:r>
            <w:r>
              <w:rPr>
                <w:rFonts w:ascii="Times New Roman" w:cs="Times New Roman" w:eastAsia="Times New Roman" w:hAnsi="Times New Roman"/>
                <w:sz w:val="18"/>
                <w:szCs w:val="18"/>
                <w:u w:val="single" w:color="auto"/>
                <w:color w:val="0000FF"/>
                <w:w w:val="93"/>
              </w:rPr>
              <w:t>1</w:t>
            </w:r>
            <w:r>
              <w:rPr>
                <w:rFonts w:ascii="Times New Roman" w:cs="Times New Roman" w:eastAsia="Times New Roman" w:hAnsi="Times New Roman"/>
                <w:sz w:val="18"/>
                <w:szCs w:val="18"/>
                <w:color w:val="000000"/>
                <w:w w:val="93"/>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Consent of BDO USA, LLP.</w:t>
            </w:r>
          </w:p>
        </w:tc>
      </w:tr>
      <w:tr>
        <w:trPr>
          <w:trHeight w:val="54"/>
        </w:trPr>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920" w:type="dxa"/>
            <w:vAlign w:val="bottom"/>
            <w:tcBorders>
              <w:top w:val="single" w:sz="8" w:color="CCEEFF"/>
            </w:tcBorders>
          </w:tcPr>
          <w:p>
            <w:pPr>
              <w:spacing w:after="0"/>
              <w:rPr>
                <w:sz w:val="4"/>
                <w:szCs w:val="4"/>
                <w:color w:val="auto"/>
              </w:rPr>
            </w:pPr>
          </w:p>
        </w:tc>
      </w:tr>
      <w:tr>
        <w:trPr>
          <w:trHeight w:val="210"/>
        </w:trPr>
        <w:tc>
          <w:tcPr>
            <w:tcW w:w="4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1</w:t>
            </w:r>
            <w:r>
              <w:rPr>
                <w:rFonts w:ascii="Times New Roman" w:cs="Times New Roman" w:eastAsia="Times New Roman" w:hAnsi="Times New Roman"/>
                <w:sz w:val="18"/>
                <w:szCs w:val="18"/>
                <w:color w:val="000000"/>
                <w:w w:val="93"/>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Certification Pursuant to Section 302 of the Sarbanes-Oxley Act of 2002- Chief Executive Officer</w:t>
            </w:r>
          </w:p>
        </w:tc>
      </w:tr>
      <w:tr>
        <w:trPr>
          <w:trHeight w:val="54"/>
        </w:trPr>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920" w:type="dxa"/>
            <w:vAlign w:val="bottom"/>
            <w:tcBorders>
              <w:top w:val="single" w:sz="8" w:color="CCEEFF"/>
            </w:tcBorders>
          </w:tcPr>
          <w:p>
            <w:pPr>
              <w:spacing w:after="0"/>
              <w:rPr>
                <w:sz w:val="4"/>
                <w:szCs w:val="4"/>
                <w:color w:val="auto"/>
              </w:rPr>
            </w:pPr>
          </w:p>
        </w:tc>
      </w:tr>
      <w:tr>
        <w:trPr>
          <w:trHeight w:val="210"/>
        </w:trPr>
        <w:tc>
          <w:tcPr>
            <w:tcW w:w="4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2</w:t>
            </w:r>
            <w:r>
              <w:rPr>
                <w:rFonts w:ascii="Times New Roman" w:cs="Times New Roman" w:eastAsia="Times New Roman" w:hAnsi="Times New Roman"/>
                <w:sz w:val="18"/>
                <w:szCs w:val="18"/>
                <w:color w:val="000000"/>
                <w:w w:val="93"/>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Certification Pursuant to Section 302 of the Sarbanes-Oxley Act of 2002- Chief Financial Officer</w:t>
            </w:r>
          </w:p>
        </w:tc>
      </w:tr>
      <w:tr>
        <w:trPr>
          <w:trHeight w:val="54"/>
        </w:trPr>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920" w:type="dxa"/>
            <w:vAlign w:val="bottom"/>
            <w:tcBorders>
              <w:top w:val="single" w:sz="8" w:color="CCEEFF"/>
            </w:tcBorders>
          </w:tcPr>
          <w:p>
            <w:pPr>
              <w:spacing w:after="0"/>
              <w:rPr>
                <w:sz w:val="4"/>
                <w:szCs w:val="4"/>
                <w:color w:val="auto"/>
              </w:rPr>
            </w:pPr>
          </w:p>
        </w:tc>
      </w:tr>
      <w:tr>
        <w:trPr>
          <w:trHeight w:val="189"/>
        </w:trPr>
        <w:tc>
          <w:tcPr>
            <w:tcW w:w="4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32.</w:t>
            </w:r>
            <w:r>
              <w:rPr>
                <w:rFonts w:ascii="Times New Roman" w:cs="Times New Roman" w:eastAsia="Times New Roman" w:hAnsi="Times New Roman"/>
                <w:sz w:val="18"/>
                <w:szCs w:val="18"/>
                <w:u w:val="single" w:color="auto"/>
                <w:color w:val="0000FF"/>
                <w:w w:val="93"/>
              </w:rPr>
              <w:t>1</w:t>
            </w:r>
            <w:r>
              <w:rPr>
                <w:rFonts w:ascii="Times New Roman" w:cs="Times New Roman" w:eastAsia="Times New Roman" w:hAnsi="Times New Roman"/>
                <w:sz w:val="18"/>
                <w:szCs w:val="18"/>
                <w:color w:val="000000"/>
                <w:w w:val="93"/>
              </w:rPr>
              <w:t>#</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920" w:type="dxa"/>
            <w:vAlign w:val="bottom"/>
          </w:tcPr>
          <w:p>
            <w:pPr>
              <w:spacing w:after="0"/>
              <w:rPr>
                <w:sz w:val="4"/>
                <w:szCs w:val="4"/>
                <w:color w:val="auto"/>
              </w:rPr>
            </w:pPr>
          </w:p>
        </w:tc>
      </w:tr>
      <w:tr>
        <w:trPr>
          <w:trHeight w:val="189"/>
        </w:trPr>
        <w:tc>
          <w:tcPr>
            <w:tcW w:w="4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32.</w:t>
            </w:r>
            <w:r>
              <w:rPr>
                <w:rFonts w:ascii="Times New Roman" w:cs="Times New Roman" w:eastAsia="Times New Roman" w:hAnsi="Times New Roman"/>
                <w:sz w:val="18"/>
                <w:szCs w:val="18"/>
                <w:u w:val="single" w:color="auto"/>
                <w:color w:val="0000FF"/>
                <w:w w:val="93"/>
              </w:rPr>
              <w:t>2</w:t>
            </w:r>
            <w:r>
              <w:rPr>
                <w:rFonts w:ascii="Times New Roman" w:cs="Times New Roman" w:eastAsia="Times New Roman" w:hAnsi="Times New Roman"/>
                <w:sz w:val="18"/>
                <w:szCs w:val="18"/>
                <w:color w:val="000000"/>
                <w:w w:val="93"/>
              </w:rPr>
              <w:t>#</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9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r>
    </w:tbl>
    <w:p>
      <w:pPr>
        <w:spacing w:after="0" w:line="49" w:lineRule="exact"/>
        <w:rPr>
          <w:sz w:val="20"/>
          <w:szCs w:val="20"/>
          <w:color w:val="auto"/>
        </w:rPr>
      </w:pPr>
    </w:p>
    <w:p>
      <w:pPr>
        <w:sectPr>
          <w:pgSz w:w="11900" w:h="16838" w:orient="portrait"/>
          <w:cols w:equalWidth="0" w:num="1">
            <w:col w:w="10248"/>
          </w:cols>
          <w:pgMar w:left="652" w:top="270" w:right="999" w:bottom="1440" w:gutter="0" w:footer="0" w:header="0"/>
        </w:sectPr>
      </w:pPr>
    </w:p>
    <w:p>
      <w:pPr>
        <w:ind w:left="348"/>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ind w:right="20"/>
        <w:spacing w:after="0" w:line="246" w:lineRule="auto"/>
        <w:rPr>
          <w:sz w:val="20"/>
          <w:szCs w:val="20"/>
          <w:color w:val="auto"/>
        </w:rPr>
      </w:pPr>
      <w:r>
        <w:rPr>
          <w:rFonts w:ascii="Times New Roman" w:cs="Times New Roman" w:eastAsia="Times New Roman" w:hAnsi="Times New Roman"/>
          <w:sz w:val="18"/>
          <w:szCs w:val="18"/>
          <w:color w:val="auto"/>
        </w:rPr>
        <w:t>The following materials from the Company’s Annual Report on Form 10-K for the year ended December 31, 2022, are formatted in iXBRL (Inline Extensible Business Reporting Language): (i) the Audited Consolidated Balance Sheets, (ii) the Audited Consolidated Statements of Income and Comprehensive Income, (iii) the Audited Consolidated Statements of Changes in Stockholders’ Equity, (iv) the Audited Consolidated Statements of Cash Flows, and (v) the 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-678180</wp:posOffset>
            </wp:positionV>
            <wp:extent cx="6300470" cy="1028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6300470" cy="1028700"/>
                    </a:xfrm>
                    <a:prstGeom prst="rect">
                      <a:avLst/>
                    </a:prstGeom>
                    <a:noFill/>
                  </pic:spPr>
                </pic:pic>
              </a:graphicData>
            </a:graphic>
          </wp:anchor>
        </w:drawing>
      </w:r>
    </w:p>
    <w:p>
      <w:pPr>
        <w:spacing w:after="0" w:line="6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cover page from the Company’s Annual Report on Form 10-K for the year ended December 31, 2022, formatted in iXBRL and contained in Exhibit 101.</w:t>
      </w:r>
    </w:p>
    <w:p>
      <w:pPr>
        <w:spacing w:after="0" w:line="200" w:lineRule="exact"/>
        <w:rPr>
          <w:sz w:val="20"/>
          <w:szCs w:val="20"/>
          <w:color w:val="auto"/>
        </w:rPr>
      </w:pPr>
    </w:p>
    <w:p>
      <w:pPr>
        <w:sectPr>
          <w:pgSz w:w="11900" w:h="16838" w:orient="portrait"/>
          <w:cols w:equalWidth="0" w:num="2">
            <w:col w:w="708" w:space="720"/>
            <w:col w:w="8820"/>
          </w:cols>
          <w:pgMar w:left="652" w:top="270" w:right="999" w:bottom="1440" w:gutter="0" w:footer="0" w:header="0"/>
          <w:type w:val="continuous"/>
        </w:sectPr>
      </w:pPr>
    </w:p>
    <w:p>
      <w:pPr>
        <w:spacing w:after="0" w:line="124" w:lineRule="exact"/>
        <w:rPr>
          <w:sz w:val="20"/>
          <w:szCs w:val="20"/>
          <w:color w:val="auto"/>
        </w:rPr>
      </w:pPr>
    </w:p>
    <w:p>
      <w:pPr>
        <w:ind w:left="8" w:right="5580" w:hanging="8"/>
        <w:spacing w:after="0" w:line="261" w:lineRule="auto"/>
        <w:tabs>
          <w:tab w:leader="none" w:pos="3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9"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61" w:lineRule="exact"/>
        <w:rPr>
          <w:sz w:val="20"/>
          <w:szCs w:val="20"/>
          <w:color w:val="auto"/>
        </w:rPr>
      </w:pPr>
    </w:p>
    <w:p>
      <w:pPr>
        <w:jc w:val="center"/>
        <w:ind w:right="-347"/>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210185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8"/>
          </w:cols>
          <w:pgMar w:left="652" w:top="270" w:right="9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International Money Express, Inc. (Registrant)</w:t>
      </w:r>
    </w:p>
    <w:p>
      <w:pPr>
        <w:spacing w:after="0" w:line="297" w:lineRule="exact"/>
        <w:rPr>
          <w:sz w:val="20"/>
          <w:szCs w:val="20"/>
          <w:color w:val="auto"/>
        </w:rPr>
      </w:pPr>
    </w:p>
    <w:p>
      <w:pPr>
        <w:ind w:left="360"/>
        <w:spacing w:after="0"/>
        <w:tabs>
          <w:tab w:leader="none" w:pos="4480" w:val="left"/>
          <w:tab w:leader="none" w:pos="4980" w:val="left"/>
        </w:tabs>
        <w:rPr>
          <w:sz w:val="20"/>
          <w:szCs w:val="20"/>
          <w:color w:val="auto"/>
        </w:rPr>
      </w:pPr>
      <w:r>
        <w:rPr>
          <w:rFonts w:ascii="Times New Roman" w:cs="Times New Roman" w:eastAsia="Times New Roman" w:hAnsi="Times New Roman"/>
          <w:sz w:val="18"/>
          <w:szCs w:val="18"/>
          <w:color w:val="auto"/>
        </w:rPr>
        <w:t>March 15,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02577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3025775" cy="17145"/>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Robert Lisy</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34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9" w:right="339" w:bottom="1440" w:gutter="0" w:footer="0" w:header="0"/>
        </w:sectPr>
      </w:pP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wp:posOffset>
            </wp:positionV>
            <wp:extent cx="189420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317"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189420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53"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b w:val="1"/>
          <w:bCs w:val="1"/>
          <w:color w:val="auto"/>
        </w:rPr>
        <w:t>Robert Lisy</w:t>
      </w:r>
    </w:p>
    <w:p>
      <w:pPr>
        <w:spacing w:after="0" w:line="324"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189420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53"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b w:val="1"/>
          <w:bCs w:val="1"/>
          <w:color w:val="auto"/>
        </w:rPr>
        <w:t>Andras Bende</w:t>
      </w:r>
    </w:p>
    <w:p>
      <w:pPr>
        <w:spacing w:after="0" w:line="3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 Debra Bradford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189420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5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Debra Bradford</w:t>
      </w:r>
    </w:p>
    <w:p>
      <w:pPr>
        <w:spacing w:after="0" w:line="3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/s/ Bernardo Fernández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24765</wp:posOffset>
            </wp:positionV>
            <wp:extent cx="189420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Bernardo Fernández</w:t>
      </w:r>
    </w:p>
    <w:p>
      <w:pPr>
        <w:spacing w:after="0" w:line="324"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color w:val="auto"/>
        </w:rPr>
        <w:t>/s/ Adam Godfrey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189420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53"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b w:val="1"/>
          <w:bCs w:val="1"/>
          <w:color w:val="auto"/>
        </w:rPr>
        <w:t>Adam Godfrey</w:t>
      </w:r>
    </w:p>
    <w:p>
      <w:pPr>
        <w:spacing w:after="0" w:line="32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 Laura Maydón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189420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Laura Maydón</w:t>
      </w:r>
    </w:p>
    <w:p>
      <w:pPr>
        <w:spacing w:after="0" w:line="324"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color w:val="auto"/>
        </w:rPr>
        <w:t>/s/ Michael Purcell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189420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53"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b w:val="1"/>
          <w:bCs w:val="1"/>
          <w:color w:val="auto"/>
        </w:rPr>
        <w:t>Michael Purcell</w:t>
      </w:r>
    </w:p>
    <w:p>
      <w:pPr>
        <w:spacing w:after="0" w:line="324"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color w:val="auto"/>
        </w:rPr>
        <w:t>/s/ John Rincon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189420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53"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b w:val="1"/>
          <w:bCs w:val="1"/>
          <w:color w:val="auto"/>
        </w:rPr>
        <w:t>John Rincon</w:t>
      </w:r>
    </w:p>
    <w:p>
      <w:pPr>
        <w:spacing w:after="0" w:line="32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 Justin Wender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189420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Justin Wender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Chairman of the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r>
      <w:tr>
        <w:trPr>
          <w:trHeight w:val="234"/>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 of Directors (Principal Executive Officer)</w:t>
            </w:r>
          </w:p>
        </w:tc>
        <w:tc>
          <w:tcPr>
            <w:tcW w:w="1700" w:type="dxa"/>
            <w:vAlign w:val="bottom"/>
          </w:tcPr>
          <w:p>
            <w:pPr>
              <w:spacing w:after="0"/>
              <w:rPr>
                <w:sz w:val="20"/>
                <w:szCs w:val="20"/>
                <w:color w:val="auto"/>
              </w:rPr>
            </w:pPr>
          </w:p>
        </w:tc>
      </w:tr>
      <w:tr>
        <w:trPr>
          <w:trHeight w:val="576"/>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r>
      <w:tr>
        <w:trPr>
          <w:trHeight w:val="234"/>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00" w:type="dxa"/>
            <w:vAlign w:val="bottom"/>
          </w:tcPr>
          <w:p>
            <w:pPr>
              <w:spacing w:after="0"/>
              <w:rPr>
                <w:sz w:val="20"/>
                <w:szCs w:val="20"/>
                <w:color w:val="auto"/>
              </w:rPr>
            </w:pPr>
          </w:p>
        </w:tc>
      </w:tr>
      <w:tr>
        <w:trPr>
          <w:trHeight w:val="6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r>
      <w:tr>
        <w:trPr>
          <w:trHeight w:val="81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r>
      <w:tr>
        <w:trPr>
          <w:trHeight w:val="81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r>
      <w:tr>
        <w:trPr>
          <w:trHeight w:val="81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r>
      <w:tr>
        <w:trPr>
          <w:trHeight w:val="81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r>
      <w:tr>
        <w:trPr>
          <w:trHeight w:val="81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r>
      <w:tr>
        <w:trPr>
          <w:trHeight w:val="81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r>
    </w:tbl>
    <w:p>
      <w:pPr>
        <w:spacing w:after="0" w:line="479" w:lineRule="exact"/>
        <w:rPr>
          <w:sz w:val="20"/>
          <w:szCs w:val="20"/>
          <w:color w:val="auto"/>
        </w:rPr>
      </w:pPr>
    </w:p>
    <w:p>
      <w:pPr>
        <w:sectPr>
          <w:pgSz w:w="11900" w:h="16838" w:orient="portrait"/>
          <w:cols w:equalWidth="0" w:num="2">
            <w:col w:w="2700" w:space="720"/>
            <w:col w:w="782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19" w:right="339" w:bottom="1440" w:gutter="0" w:footer="0" w:header="0"/>
          <w:type w:val="continuous"/>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10.3(b)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w:t>
      </w: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2020 OMNIBUS EQUITY COMPENSATION PLAN</w:t>
      </w:r>
    </w:p>
    <w:p>
      <w:pPr>
        <w:spacing w:after="0" w:line="17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WHEREAS, International Money Express,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adopted the International Money Express, Inc. 2020 Omnibus Equity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on April 23, 2020 by board resolution, which was subsequently approved on June 26, 2020 by the stockholders;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wishes to amend the Plan as set forth herein; and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pursuant to Section 20 of the Plan, the Board of Directors of the Company (the “Board”) may amend the Plan; and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Board approved this amendment on the date set forth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Plan is hereby amended effective as of October 27, 2022, as follows:</w:t>
      </w:r>
    </w:p>
    <w:p>
      <w:pPr>
        <w:spacing w:after="0" w:line="198"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the Plan is hereby deleted in its entirety and replaced with the following:</w:t>
      </w:r>
    </w:p>
    <w:p>
      <w:pPr>
        <w:spacing w:after="0" w:line="184" w:lineRule="exact"/>
        <w:rPr>
          <w:rFonts w:ascii="Times New Roman" w:cs="Times New Roman" w:eastAsia="Times New Roman" w:hAnsi="Times New Roman"/>
          <w:sz w:val="18"/>
          <w:szCs w:val="18"/>
          <w:color w:val="auto"/>
        </w:rPr>
      </w:pPr>
    </w:p>
    <w:p>
      <w:pPr>
        <w:ind w:left="660" w:right="120"/>
        <w:spacing w:after="0" w:line="2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purpose of the Plan is to provide (i) employees of the Company or an Affiliate of the Company, (ii) any Person who provides services to the Company or an Affiliate of the Company, and (iii) members of the Board, with the opportunity to receive grants of Options, SARs, Stock Units, Performance Shares, Stock Awards, Dividend Equivalents and Other Stock-Based Awards. The Company believes that the Plan will encourage the Participants to contribute materially to the growth of the Company, thereby benefiting the Company’s stockholders, and will align the economic interests of the Participants with those of the stockholders”</w:t>
      </w:r>
    </w:p>
    <w:p>
      <w:pPr>
        <w:spacing w:after="0" w:line="172" w:lineRule="exact"/>
        <w:rPr>
          <w:sz w:val="20"/>
          <w:szCs w:val="20"/>
          <w:color w:val="auto"/>
        </w:rPr>
      </w:pPr>
    </w:p>
    <w:p>
      <w:pPr>
        <w:ind w:left="640" w:hanging="63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2(v) of the Plan is hereby deleted in its entirety and replaced with the following:</w:t>
      </w:r>
    </w:p>
    <w:p>
      <w:pPr>
        <w:spacing w:after="0" w:line="182" w:lineRule="exact"/>
        <w:rPr>
          <w:rFonts w:ascii="Times New Roman" w:cs="Times New Roman" w:eastAsia="Times New Roman" w:hAnsi="Times New Roman"/>
          <w:sz w:val="18"/>
          <w:szCs w:val="18"/>
          <w:color w:val="auto"/>
        </w:rPr>
      </w:pPr>
    </w:p>
    <w:p>
      <w:pPr>
        <w:ind w:left="660" w:right="80"/>
        <w:spacing w:after="0" w:line="22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231F20"/>
        </w:rPr>
        <w:t>Participant”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means (x) an employee of the Company or an Affiliate of the Company or a member of the Board, or (y) an individual who,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 entity which, performs bona fide services to the Company or an Affiliate of the Company and in either such case under this clause (y) may be offered securities registerable pursuant to a registration statement on Form S-8 under the Securities Act of 1933, as amended, and is, in all such cases, selected by the Administrator to receive a Grant under the Plan.”</w:t>
      </w:r>
    </w:p>
    <w:p>
      <w:pPr>
        <w:spacing w:after="0" w:line="184"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3(c) of the Plan is hereby deleted in its entirety and replaced with the following:</w:t>
      </w:r>
    </w:p>
    <w:p>
      <w:pPr>
        <w:spacing w:after="0" w:line="198" w:lineRule="exact"/>
        <w:rPr>
          <w:rFonts w:ascii="Times New Roman" w:cs="Times New Roman" w:eastAsia="Times New Roman" w:hAnsi="Times New Roman"/>
          <w:sz w:val="18"/>
          <w:szCs w:val="18"/>
          <w:color w:val="auto"/>
        </w:rPr>
      </w:pPr>
    </w:p>
    <w:p>
      <w:pPr>
        <w:ind w:left="660" w:right="80"/>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Administrator, in its discretion, may delegate to one or more officers of the Company all or part of the Administrator’s authority and duties with respect to grants and awards to Persons who are not subject to the reporting and other provisions of Section 16 of the Exchange Act. The Administrator may revoke or amend the terms of a delegation at any time but such action shall not invalidate any prior actions of the Administrator’s delegate or delegates that were consistent with the terms of the Plan and the Administrator’s prior delegation. Any delegation by the Administrator pursuant to this Section shall be subject to such conditions and limitations as may be determined by the Administrator and shall be subject to and limited by applicable law or regulation, including without limitation the rules and regulations of Nasdaq or such other securities exchange on which the Stock is then listed.”</w:t>
      </w:r>
    </w:p>
    <w:p>
      <w:pPr>
        <w:spacing w:after="0" w:line="18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Section 4 of the Plan is hereby deleted in its entirety and replaced with the following: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“Grants under the Plan may consist of Options, SARs, Stock Units, Performance Shares, Stock Awards, Dividend Equivalents and Other Stock-</w:t>
      </w:r>
    </w:p>
    <w:p>
      <w:pPr>
        <w:spacing w:after="0" w:line="2" w:lineRule="exact"/>
        <w:rPr>
          <w:sz w:val="20"/>
          <w:szCs w:val="20"/>
          <w:color w:val="auto"/>
        </w:rPr>
      </w:pPr>
    </w:p>
    <w:p>
      <w:pPr>
        <w:ind w:left="660" w:right="100"/>
        <w:spacing w:after="0" w:line="220" w:lineRule="auto"/>
        <w:rPr>
          <w:sz w:val="20"/>
          <w:szCs w:val="20"/>
          <w:color w:val="auto"/>
        </w:rPr>
      </w:pPr>
      <w:r>
        <w:rPr>
          <w:rFonts w:ascii="Times New Roman" w:cs="Times New Roman" w:eastAsia="Times New Roman" w:hAnsi="Times New Roman"/>
          <w:sz w:val="17"/>
          <w:szCs w:val="17"/>
          <w:color w:val="231F20"/>
        </w:rPr>
        <w:t>Based Awards. All Grants shall be subject to the terms and conditions set forth herein and to such other terms and conditions consistent with the Plan as the Administrator deems appropriate and as are specified in writing by the Administrator in separate guidelines or to the Participant in the Grant Instrument or an amendment to the guidelines or Grant Instrument. The Administrator shall approve the form and provisions of each Grant</w:t>
      </w:r>
    </w:p>
    <w:p>
      <w:pPr>
        <w:spacing w:after="0" w:line="2" w:lineRule="exact"/>
        <w:rPr>
          <w:sz w:val="20"/>
          <w:szCs w:val="20"/>
          <w:color w:val="auto"/>
        </w:rPr>
      </w:pPr>
    </w:p>
    <w:p>
      <w:pPr>
        <w:ind w:left="660" w:right="340"/>
        <w:spacing w:after="0" w:line="231" w:lineRule="auto"/>
        <w:rPr>
          <w:sz w:val="20"/>
          <w:szCs w:val="20"/>
          <w:color w:val="auto"/>
        </w:rPr>
      </w:pPr>
      <w:r>
        <w:rPr>
          <w:rFonts w:ascii="Times New Roman" w:cs="Times New Roman" w:eastAsia="Times New Roman" w:hAnsi="Times New Roman"/>
          <w:sz w:val="17"/>
          <w:szCs w:val="17"/>
          <w:color w:val="231F20"/>
        </w:rPr>
        <w:t>Instrument. All Grants shall be made conditional upon the Participant’s acknowledgment, in writing or by acceptance of the Grant, that all decisions and determinations of the Administrator shall be final and binding on the Participant, his or her beneficiaries, and any other person having or claiming an interest under such Grant. Grants under a particular Section of the Plan need not be uniform as among the Participants.”</w:t>
      </w:r>
    </w:p>
    <w:p>
      <w:pPr>
        <w:spacing w:after="0" w:line="158" w:lineRule="exact"/>
        <w:rPr>
          <w:sz w:val="20"/>
          <w:szCs w:val="20"/>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 of the Plan is hereby deleted in its entirety and replaced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Amendment to 2020 Omnibus Equity Compensation Plan</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04"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10.3(b)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231F20"/>
              </w:rPr>
              <w:t>Any employee of the Company or an Affiliate of the Company, any member of the Board and any Person who provides services to the</w:t>
            </w: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0560" w:type="dxa"/>
            <w:vAlign w:val="bottom"/>
            <w:gridSpan w:val="3"/>
          </w:tcPr>
          <w:p>
            <w:pPr>
              <w:ind w:left="180"/>
              <w:spacing w:after="0" w:line="184" w:lineRule="exact"/>
              <w:rPr>
                <w:sz w:val="20"/>
                <w:szCs w:val="20"/>
                <w:color w:val="auto"/>
              </w:rPr>
            </w:pPr>
            <w:r>
              <w:rPr>
                <w:rFonts w:ascii="Times New Roman" w:cs="Times New Roman" w:eastAsia="Times New Roman" w:hAnsi="Times New Roman"/>
                <w:sz w:val="18"/>
                <w:szCs w:val="18"/>
                <w:color w:val="231F20"/>
              </w:rPr>
              <w:t>Company or an Affiliate of the Company is eligible to participate in this Plan if the Administrator, in its sole discretion, determines that such</w:t>
            </w: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10560" w:type="dxa"/>
            <w:vAlign w:val="bottom"/>
            <w:gridSpan w:val="3"/>
          </w:tcPr>
          <w:p>
            <w:pPr>
              <w:ind w:left="180"/>
              <w:spacing w:after="0" w:line="181" w:lineRule="exact"/>
              <w:rPr>
                <w:sz w:val="20"/>
                <w:szCs w:val="20"/>
                <w:color w:val="auto"/>
              </w:rPr>
            </w:pPr>
            <w:r>
              <w:rPr>
                <w:rFonts w:ascii="Times New Roman" w:cs="Times New Roman" w:eastAsia="Times New Roman" w:hAnsi="Times New Roman"/>
                <w:sz w:val="18"/>
                <w:szCs w:val="18"/>
                <w:color w:val="231F20"/>
              </w:rPr>
              <w:t>person has contributed significantly or can be expected to contribute significantly to the profits or growth of the Company or an Affiliate of the</w:t>
            </w: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056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231F20"/>
                <w:w w:val="99"/>
              </w:rPr>
              <w:t>Company. Grants will be made only to Persons who are employees, directors, consultants or advisors of the Company for purposes of Form S-8</w:t>
            </w: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10560" w:type="dxa"/>
            <w:vAlign w:val="bottom"/>
            <w:gridSpan w:val="3"/>
          </w:tcPr>
          <w:p>
            <w:pPr>
              <w:ind w:left="180"/>
              <w:spacing w:after="0" w:line="184" w:lineRule="exact"/>
              <w:rPr>
                <w:sz w:val="20"/>
                <w:szCs w:val="20"/>
                <w:color w:val="auto"/>
              </w:rPr>
            </w:pPr>
            <w:r>
              <w:rPr>
                <w:rFonts w:ascii="Times New Roman" w:cs="Times New Roman" w:eastAsia="Times New Roman" w:hAnsi="Times New Roman"/>
                <w:sz w:val="18"/>
                <w:szCs w:val="18"/>
                <w:color w:val="231F20"/>
                <w:w w:val="99"/>
              </w:rPr>
              <w:t>registration under the Securities Act of 1933, as amended. Options and SARs may be granted only to persons who perform direct services to the</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231F20"/>
              </w:rPr>
              <w:t>Company on the Date of Grant, as determined under section 409A of the Code.</w:t>
            </w:r>
          </w:p>
        </w:tc>
        <w:tc>
          <w:tcPr>
            <w:tcW w:w="0" w:type="dxa"/>
            <w:vAlign w:val="bottom"/>
          </w:tcPr>
          <w:p>
            <w:pPr>
              <w:spacing w:after="0"/>
              <w:rPr>
                <w:sz w:val="1"/>
                <w:szCs w:val="1"/>
                <w:color w:val="auto"/>
              </w:rPr>
            </w:pPr>
          </w:p>
        </w:tc>
      </w:tr>
      <w:tr>
        <w:trPr>
          <w:trHeight w:val="39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VI.</w:t>
            </w:r>
          </w:p>
        </w:tc>
        <w:tc>
          <w:tcPr>
            <w:tcW w:w="10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Section 21(e) of the Plan</w:t>
            </w:r>
          </w:p>
        </w:tc>
        <w:tc>
          <w:tcPr>
            <w:tcW w:w="0" w:type="dxa"/>
            <w:vAlign w:val="bottom"/>
          </w:tcPr>
          <w:p>
            <w:pPr>
              <w:spacing w:after="0"/>
              <w:rPr>
                <w:sz w:val="1"/>
                <w:szCs w:val="1"/>
                <w:color w:val="auto"/>
              </w:rPr>
            </w:pPr>
          </w:p>
        </w:tc>
      </w:tr>
      <w:tr>
        <w:trPr>
          <w:trHeight w:val="351"/>
        </w:trPr>
        <w:tc>
          <w:tcPr>
            <w:tcW w:w="480" w:type="dxa"/>
            <w:vAlign w:val="bottom"/>
          </w:tcPr>
          <w:p>
            <w:pPr>
              <w:spacing w:after="0"/>
              <w:rPr>
                <w:sz w:val="24"/>
                <w:szCs w:val="24"/>
                <w:color w:val="auto"/>
              </w:rPr>
            </w:pPr>
          </w:p>
        </w:tc>
        <w:tc>
          <w:tcPr>
            <w:tcW w:w="105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231F20"/>
              </w:rPr>
              <w:t>“(e)  Rights of Participants. Nothing in this Plan shall entitle any Participant or other Person to any claim or right to receive a Grant under this</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vMerge w:val="restart"/>
          </w:tcPr>
          <w:p>
            <w:pPr>
              <w:ind w:left="260"/>
              <w:spacing w:after="0" w:line="176" w:lineRule="exact"/>
              <w:rPr>
                <w:sz w:val="20"/>
                <w:szCs w:val="20"/>
                <w:color w:val="auto"/>
              </w:rPr>
            </w:pPr>
            <w:r>
              <w:rPr>
                <w:rFonts w:ascii="Times New Roman" w:cs="Times New Roman" w:eastAsia="Times New Roman" w:hAnsi="Times New Roman"/>
                <w:sz w:val="18"/>
                <w:szCs w:val="18"/>
                <w:color w:val="231F20"/>
              </w:rPr>
              <w:t>Plan.</w:t>
            </w:r>
          </w:p>
        </w:tc>
        <w:tc>
          <w:tcPr>
            <w:tcW w:w="1560" w:type="dxa"/>
            <w:vAlign w:val="bottom"/>
            <w:shd w:val="clear" w:color="auto" w:fill="231F2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231F20"/>
              </w:rPr>
              <w:t>Neither this Plan nor any action taken hereunder shall be construed as giving any Person any rights to be retained by or in the</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05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231F20"/>
              </w:rPr>
              <w:t>employment or service of the Employer.”</w:t>
            </w:r>
          </w:p>
        </w:tc>
        <w:tc>
          <w:tcPr>
            <w:tcW w:w="0" w:type="dxa"/>
            <w:vAlign w:val="bottom"/>
          </w:tcPr>
          <w:p>
            <w:pPr>
              <w:spacing w:after="0"/>
              <w:rPr>
                <w:sz w:val="1"/>
                <w:szCs w:val="1"/>
                <w:color w:val="auto"/>
              </w:rPr>
            </w:pPr>
          </w:p>
        </w:tc>
      </w:tr>
      <w:tr>
        <w:trPr>
          <w:trHeight w:val="38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VII.</w:t>
            </w: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All other provisions of the Plan not amended hereby shall remain in full force and effect.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Amendment to 2020 Omnibus Equity Compensation Plan</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0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MONEY EXPRESS, INC. 2020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OMNIBUS EQUITY COMPENSATION PLAN</w:t>
      </w: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PSU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_________ (the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between International Money Express, Inc., a Delaware</w:t>
      </w:r>
    </w:p>
    <w:p>
      <w:pPr>
        <w:spacing w:after="0" w:line="219" w:lineRule="auto"/>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__________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is made pursuant and subject to the provisions of the Company’s 2020 Omnibus Equity</w:t>
      </w:r>
    </w:p>
    <w:p>
      <w:pPr>
        <w:spacing w:after="0" w:line="226" w:lineRule="auto"/>
        <w:rPr>
          <w:sz w:val="20"/>
          <w:szCs w:val="20"/>
          <w:color w:val="auto"/>
        </w:rPr>
      </w:pPr>
      <w:r>
        <w:rPr>
          <w:rFonts w:ascii="Times New Roman" w:cs="Times New Roman" w:eastAsia="Times New Roman" w:hAnsi="Times New Roman"/>
          <w:sz w:val="18"/>
          <w:szCs w:val="18"/>
          <w:color w:val="auto"/>
        </w:rPr>
        <w:t>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 copy of which has been made available to Grantee. All terms used but not defined herein shall have the meanings given them in Exhibit I, or if such term is not defined in Exhibit I, the Plan.</w:t>
      </w:r>
    </w:p>
    <w:p>
      <w:pPr>
        <w:spacing w:after="0" w:line="180" w:lineRule="exact"/>
        <w:rPr>
          <w:sz w:val="20"/>
          <w:szCs w:val="20"/>
          <w:color w:val="auto"/>
        </w:rPr>
      </w:pPr>
    </w:p>
    <w:p>
      <w:pPr>
        <w:jc w:val="both"/>
        <w:ind w:firstLine="656"/>
        <w:spacing w:after="0" w:line="225" w:lineRule="auto"/>
        <w:tabs>
          <w:tab w:leader="none" w:pos="1296"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color w:val="auto"/>
        </w:rPr>
        <w:t>Subject to the terms and conditions of the Plan and subject further to the terms and conditions herein set forth,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grants Grantee ______ Performance Shares (the “</w:t>
      </w:r>
      <w:r>
        <w:rPr>
          <w:rFonts w:ascii="Times New Roman" w:cs="Times New Roman" w:eastAsia="Times New Roman" w:hAnsi="Times New Roman"/>
          <w:sz w:val="18"/>
          <w:szCs w:val="18"/>
          <w:u w:val="single" w:color="auto"/>
          <w:color w:val="auto"/>
        </w:rPr>
        <w:t>Target Award</w:t>
      </w:r>
      <w:r>
        <w:rPr>
          <w:rFonts w:ascii="Times New Roman" w:cs="Times New Roman" w:eastAsia="Times New Roman" w:hAnsi="Times New Roman"/>
          <w:sz w:val="18"/>
          <w:szCs w:val="18"/>
          <w:color w:val="auto"/>
        </w:rPr>
        <w:t>”). Each Performance Share granted hereunder (“</w:t>
      </w:r>
      <w:r>
        <w:rPr>
          <w:rFonts w:ascii="Times New Roman" w:cs="Times New Roman" w:eastAsia="Times New Roman" w:hAnsi="Times New Roman"/>
          <w:sz w:val="18"/>
          <w:szCs w:val="18"/>
          <w:u w:val="single" w:color="auto"/>
          <w:color w:val="auto"/>
        </w:rPr>
        <w:t>PSU</w:t>
      </w:r>
      <w:r>
        <w:rPr>
          <w:rFonts w:ascii="Times New Roman" w:cs="Times New Roman" w:eastAsia="Times New Roman" w:hAnsi="Times New Roman"/>
          <w:sz w:val="18"/>
          <w:szCs w:val="18"/>
          <w:color w:val="auto"/>
        </w:rPr>
        <w:t>”) represents the right to receive (i) one share of Stock for each PSU that is vested as of the Vesting Date (as defined below), and (ii) notional dividend equivalents described in Section 5, if any, each in accordance with the terms of and subject to adjustment as provided in this Agreement and the Plan.</w:t>
      </w:r>
    </w:p>
    <w:p>
      <w:pPr>
        <w:spacing w:after="0" w:line="168"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010000"/>
        </w:rPr>
      </w:pPr>
    </w:p>
    <w:p>
      <w:pPr>
        <w:jc w:val="both"/>
        <w:ind w:firstLine="1304"/>
        <w:spacing w:after="0" w:line="216" w:lineRule="auto"/>
        <w:tabs>
          <w:tab w:leader="none" w:pos="1941" w:val="left"/>
        </w:tabs>
        <w:numPr>
          <w:ilvl w:val="1"/>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General. Subject to the achievement of the performance goals set forth in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and except as otherwise set forth in Sections 2(c), 2(d) and 2(e) herein, the PSUs granted hereby shall vest on the Vesting Date, provided that Grantee has remained in continuous Service (as defined below) through the Vesting Date. The calculation of the number of PSUs, if any, that may vest on the Vesting Date is specified in Exhibit I and is based upon performance goals achieved during the Performance Period. If the Company does not achieve the minimum threshold performance goals (as set forth in Exhibit I) during the Performance Period, the PSUs granted or otherwise eligible to vest hereunder shall be forfeited as of the date of such determination. The number of PSUs that vest on the Vesting Date shall be rounded up to the nearest whole PSU. Except as otherwise expressly provided in Sections 2(c), 2(d), and 2(e), or as otherwise determined by the Committee, if Grantee’s Service terminates for any reason at any time prior to the Vesting Date, all of the PSUs shall be automatically forfeited upon such termination of Service and neither the Company nor any Affiliate shall have any further obligation to Grantee under this Agreement.</w:t>
      </w:r>
    </w:p>
    <w:p>
      <w:pPr>
        <w:spacing w:after="0" w:line="159" w:lineRule="exact"/>
        <w:rPr>
          <w:rFonts w:ascii="Times New Roman" w:cs="Times New Roman" w:eastAsia="Times New Roman" w:hAnsi="Times New Roman"/>
          <w:sz w:val="18"/>
          <w:szCs w:val="18"/>
          <w:color w:val="010000"/>
        </w:rPr>
      </w:pPr>
    </w:p>
    <w:p>
      <w:pPr>
        <w:jc w:val="both"/>
        <w:ind w:firstLine="1304"/>
        <w:spacing w:after="0" w:line="220" w:lineRule="auto"/>
        <w:tabs>
          <w:tab w:leader="none" w:pos="1938" w:val="left"/>
        </w:tabs>
        <w:numPr>
          <w:ilvl w:val="1"/>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Committee Determinations Final. All determinations of whether performance goals have been achieved and the number of PSUs earned by Grantee, including any adjustment to be made, shall be made by the Committee in its sole discretion. Following completion of the Performance Period (generally during the first fiscal quarter following the end of the Performance Period), the Committee will review and certify (i) whether, and to what extent, the performance goals for the Performance Period have been achieved, and (ii) the number of PSUs that are eligible to vest upon the Vesting Date, if any. Such certification shall be final, conclusive and binding on Grantee, and on all other persons, to the maximum extent permitted by law.</w:t>
      </w:r>
    </w:p>
    <w:p>
      <w:pPr>
        <w:spacing w:after="0" w:line="171" w:lineRule="exact"/>
        <w:rPr>
          <w:rFonts w:ascii="Times New Roman" w:cs="Times New Roman" w:eastAsia="Times New Roman" w:hAnsi="Times New Roman"/>
          <w:sz w:val="18"/>
          <w:szCs w:val="18"/>
          <w:color w:val="010000"/>
        </w:rPr>
      </w:pPr>
    </w:p>
    <w:p>
      <w:pPr>
        <w:jc w:val="both"/>
        <w:ind w:firstLine="1304"/>
        <w:spacing w:after="0" w:line="226" w:lineRule="auto"/>
        <w:tabs>
          <w:tab w:leader="none" w:pos="1941" w:val="left"/>
        </w:tabs>
        <w:numPr>
          <w:ilvl w:val="1"/>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Termination of Service Due to Death or Disability. If Grantee’s continued employment or provision of services to the Company or its Affiliate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terminates due to Grantee’s death or disability during the Performance Period and prior to a Change of Control, then PSUs equal to 100% of the Target Award shall vest on the date of such Service termination.</w:t>
      </w:r>
    </w:p>
    <w:p>
      <w:pPr>
        <w:spacing w:after="0" w:line="171"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1"/>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Termination of Service by the Company or its Affiliate Without Cause.</w:t>
      </w:r>
    </w:p>
    <w:p>
      <w:pPr>
        <w:spacing w:after="0" w:line="184" w:lineRule="exact"/>
        <w:rPr>
          <w:rFonts w:ascii="Times New Roman" w:cs="Times New Roman" w:eastAsia="Times New Roman" w:hAnsi="Times New Roman"/>
          <w:sz w:val="18"/>
          <w:szCs w:val="18"/>
          <w:color w:val="010000"/>
        </w:rPr>
      </w:pPr>
    </w:p>
    <w:p>
      <w:pPr>
        <w:jc w:val="both"/>
        <w:ind w:left="1300" w:firstLine="652"/>
        <w:spacing w:after="0" w:line="231" w:lineRule="auto"/>
        <w:tabs>
          <w:tab w:leader="none" w:pos="2590" w:val="left"/>
        </w:tabs>
        <w:numPr>
          <w:ilvl w:val="2"/>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Grantee’s Service terminates by action of the Company or its Affiliate without Cause (as defined below) during the first twelve (12) months of the Performance Period, all PSUs granted hereunder shall be automatically forfeited upon such Service termination.</w:t>
      </w:r>
    </w:p>
    <w:p>
      <w:pPr>
        <w:spacing w:after="0" w:line="158" w:lineRule="exact"/>
        <w:rPr>
          <w:rFonts w:ascii="Times New Roman" w:cs="Times New Roman" w:eastAsia="Times New Roman" w:hAnsi="Times New Roman"/>
          <w:sz w:val="18"/>
          <w:szCs w:val="18"/>
          <w:color w:val="010000"/>
        </w:rPr>
      </w:pPr>
    </w:p>
    <w:p>
      <w:pPr>
        <w:jc w:val="both"/>
        <w:ind w:left="1300" w:firstLine="652"/>
        <w:spacing w:after="0" w:line="215" w:lineRule="auto"/>
        <w:tabs>
          <w:tab w:leader="none" w:pos="2586" w:val="left"/>
        </w:tabs>
        <w:numPr>
          <w:ilvl w:val="2"/>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Grantee’s Service terminates by action of the Company or its Affiliate without Cause after the first twelve (12) months of the Performance Period, then a pro rata portion of the PSUs, determined by multiplying the payout percentage certified by the Committee for the full Performance Period by a fraction, the numerator of which is the number of whole months between the first day of the Performance Period and the date of Grantee’s termination of Service, and the denominator of which is the number of months from the first day of the Performance Period to the Vesting Date, shall be eligible to vest as of the date of such Service termination based on attainment of performance goals during the portion of the Performance Period ending on the most recently completed fiscal year(s) as of the date of such termination (based on the targets set forth in Exhibit I). Any PSUs that are not eligible to vest in accordance with the preceding sentence shall be forfeited.</w:t>
      </w:r>
    </w:p>
    <w:p>
      <w:pPr>
        <w:sectPr>
          <w:pgSz w:w="11900" w:h="16838" w:orient="portrait"/>
          <w:cols w:equalWidth="0" w:num="1">
            <w:col w:w="11240"/>
          </w:cols>
          <w:pgMar w:left="320" w:top="104" w:right="339" w:bottom="1440" w:gutter="0" w:footer="0" w:header="0"/>
        </w:sectPr>
      </w:pPr>
    </w:p>
    <w:bookmarkStart w:id="95" w:name="page96"/>
    <w:bookmarkEnd w:id="95"/>
    <w:p>
      <w:pPr>
        <w:jc w:val="both"/>
        <w:ind w:left="1300" w:firstLine="652"/>
        <w:spacing w:after="0" w:line="222" w:lineRule="auto"/>
        <w:tabs>
          <w:tab w:leader="none" w:pos="2596" w:val="left"/>
        </w:tabs>
        <w:numPr>
          <w:ilvl w:val="1"/>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with respect to Grantee (x) if Grantee is a party to an employment agreement with the Company or its Affiliates and such agreement provides for a definition of Cause, the definition contained therein; or</w:t>
      </w:r>
    </w:p>
    <w:p>
      <w:pPr>
        <w:spacing w:after="0" w:line="1" w:lineRule="exact"/>
        <w:rPr>
          <w:rFonts w:ascii="Times New Roman" w:cs="Times New Roman" w:eastAsia="Times New Roman" w:hAnsi="Times New Roman"/>
          <w:sz w:val="18"/>
          <w:szCs w:val="18"/>
          <w:color w:val="010000"/>
        </w:rPr>
      </w:pPr>
    </w:p>
    <w:p>
      <w:pPr>
        <w:jc w:val="both"/>
        <w:ind w:left="1300" w:firstLine="4"/>
        <w:spacing w:after="0" w:line="207" w:lineRule="auto"/>
        <w:tabs>
          <w:tab w:leader="none" w:pos="15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such agreement exists, or if such agreement does not define Cause: (A) the commission of, or plea of guilty or no contest to, a felony or a crime involving moral turpitude or the commission of any other act involving willful malfeasance or material fiduciary breach with respect to the Company or an Affiliate; (B) conduct that results in or is reasonably likely to result in harm to the reputation or business of the Company or any of its Affiliates; (C) gross negligence or willful misconduct with respect to the Company or an Affiliate;</w:t>
      </w:r>
    </w:p>
    <w:p>
      <w:pPr>
        <w:spacing w:after="0" w:line="1" w:lineRule="exact"/>
        <w:rPr>
          <w:rFonts w:ascii="Times New Roman" w:cs="Times New Roman" w:eastAsia="Times New Roman" w:hAnsi="Times New Roman"/>
          <w:sz w:val="18"/>
          <w:szCs w:val="18"/>
          <w:color w:val="auto"/>
        </w:rPr>
      </w:pPr>
    </w:p>
    <w:p>
      <w:pPr>
        <w:jc w:val="both"/>
        <w:ind w:left="1300"/>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material violation of any of the Company’s written policies; or (E) material violation of state or federal securities laws. The Administrator, in its absolute discretion, shall determine the effect of all matters and questions relating to whether Grantee has been discharged for Cause.</w:t>
      </w:r>
    </w:p>
    <w:p>
      <w:pPr>
        <w:spacing w:after="0" w:line="159" w:lineRule="exact"/>
        <w:rPr>
          <w:sz w:val="20"/>
          <w:szCs w:val="20"/>
          <w:color w:val="auto"/>
        </w:rPr>
      </w:pPr>
    </w:p>
    <w:p>
      <w:pPr>
        <w:ind w:left="1940" w:hanging="636"/>
        <w:spacing w:after="0"/>
        <w:tabs>
          <w:tab w:leader="none" w:pos="1940" w:val="left"/>
        </w:tabs>
        <w:numPr>
          <w:ilvl w:val="1"/>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Change of Control.</w:t>
      </w:r>
    </w:p>
    <w:p>
      <w:pPr>
        <w:spacing w:after="0" w:line="184" w:lineRule="exact"/>
        <w:rPr>
          <w:rFonts w:ascii="Times New Roman" w:cs="Times New Roman" w:eastAsia="Times New Roman" w:hAnsi="Times New Roman"/>
          <w:sz w:val="18"/>
          <w:szCs w:val="18"/>
          <w:color w:val="010000"/>
        </w:rPr>
      </w:pPr>
    </w:p>
    <w:p>
      <w:pPr>
        <w:jc w:val="both"/>
        <w:ind w:left="1300" w:firstLine="652"/>
        <w:spacing w:after="0" w:line="224" w:lineRule="auto"/>
        <w:tabs>
          <w:tab w:leader="none" w:pos="2590" w:val="left"/>
        </w:tabs>
        <w:numPr>
          <w:ilvl w:val="2"/>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 Change of Control occurs during the first twelve (12) months of the Performance Period, 100% of the Target Award PSUs shall convert to time-vested Stock Units (such converted PSUs,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and all such RSUs shall, subject to continued Service through the Vesting Date, vest on the Vesting Date and be settled at the same time the original PSUs would have been settled in accordance with Section 3 of this Agreement. Any PSUs that are not eligible to vest as of the Change of Control shall be forfeited.</w:t>
      </w:r>
    </w:p>
    <w:p>
      <w:pPr>
        <w:spacing w:after="0" w:line="172" w:lineRule="exact"/>
        <w:rPr>
          <w:rFonts w:ascii="Times New Roman" w:cs="Times New Roman" w:eastAsia="Times New Roman" w:hAnsi="Times New Roman"/>
          <w:sz w:val="18"/>
          <w:szCs w:val="18"/>
          <w:color w:val="010000"/>
        </w:rPr>
      </w:pPr>
    </w:p>
    <w:p>
      <w:pPr>
        <w:jc w:val="both"/>
        <w:ind w:left="1300" w:firstLine="652"/>
        <w:spacing w:after="0" w:line="220" w:lineRule="auto"/>
        <w:tabs>
          <w:tab w:leader="none" w:pos="2586" w:val="left"/>
        </w:tabs>
        <w:numPr>
          <w:ilvl w:val="2"/>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 Change of Control occurs in the second or third year of the Performance Period, all PSUs eligible to vest based on performance goals achieved in the most recently completed fiscal year(s) as of the date of such Change of Control (based on the targets set forth in Exhibit I), as certified by the Committee, shall convert to time-vested RSUs and all such RSUs shall, subject to continued Service through the Vesting Date, vest on the Vesting Date and be settled at the same time the original PSUs would have been settled in accordance with Section 3 of this Agreement. Any PSUs that are not eligible to vest as of the Change of Control shall be forfeited.</w:t>
      </w:r>
    </w:p>
    <w:p>
      <w:pPr>
        <w:spacing w:after="0" w:line="158" w:lineRule="exact"/>
        <w:rPr>
          <w:rFonts w:ascii="Times New Roman" w:cs="Times New Roman" w:eastAsia="Times New Roman" w:hAnsi="Times New Roman"/>
          <w:sz w:val="18"/>
          <w:szCs w:val="18"/>
          <w:color w:val="010000"/>
        </w:rPr>
      </w:pPr>
    </w:p>
    <w:p>
      <w:pPr>
        <w:jc w:val="both"/>
        <w:ind w:left="1300" w:firstLine="652"/>
        <w:spacing w:after="0" w:line="224" w:lineRule="auto"/>
        <w:tabs>
          <w:tab w:leader="none" w:pos="2596" w:val="left"/>
        </w:tabs>
        <w:numPr>
          <w:ilvl w:val="2"/>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the foregoing, if a Change of Control occurs and, at any time prior to the Vesting Date, Grantee’s Service terminates due to Grantee’s death or disability or by action of the Company or its Affiliate without Cause, all time-vested RSUs shall become immediately vested upon such Service termination, and all such RSUs shall be settled at the same time the original PSUs would have been settled in accordance with Section 3 of this Agreement.</w:t>
      </w:r>
    </w:p>
    <w:p>
      <w:pPr>
        <w:spacing w:after="0" w:line="172" w:lineRule="exact"/>
        <w:rPr>
          <w:rFonts w:ascii="Times New Roman" w:cs="Times New Roman" w:eastAsia="Times New Roman" w:hAnsi="Times New Roman"/>
          <w:sz w:val="18"/>
          <w:szCs w:val="18"/>
          <w:color w:val="010000"/>
        </w:rPr>
      </w:pPr>
    </w:p>
    <w:p>
      <w:pPr>
        <w:jc w:val="both"/>
        <w:ind w:left="1300" w:right="20" w:firstLine="652"/>
        <w:spacing w:after="0" w:line="226" w:lineRule="auto"/>
        <w:tabs>
          <w:tab w:leader="none" w:pos="2586" w:val="left"/>
        </w:tabs>
        <w:numPr>
          <w:ilvl w:val="2"/>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the foregoing clauses (i) through (iii), if a Change of Control occurs and the surviving entity does not assume and continue the PSUs, then the PSUs shall become fully vested and settled immediately prior to the Change of Control based on the performance assumptions described in clauses (i) and (ii) above.</w:t>
      </w:r>
    </w:p>
    <w:p>
      <w:pPr>
        <w:spacing w:after="0" w:line="171"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2"/>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references to PSUs herein shall include the RSUs into which PSUs may be converted.</w:t>
      </w:r>
    </w:p>
    <w:p>
      <w:pPr>
        <w:spacing w:after="0" w:line="180"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Payment of PSUs (Settlement).</w:t>
      </w:r>
    </w:p>
    <w:p>
      <w:pPr>
        <w:spacing w:after="0" w:line="188" w:lineRule="exact"/>
        <w:rPr>
          <w:rFonts w:ascii="Times New Roman" w:cs="Times New Roman" w:eastAsia="Times New Roman" w:hAnsi="Times New Roman"/>
          <w:sz w:val="18"/>
          <w:szCs w:val="18"/>
          <w:color w:val="010000"/>
        </w:rPr>
      </w:pPr>
    </w:p>
    <w:p>
      <w:pPr>
        <w:jc w:val="both"/>
        <w:ind w:firstLine="1304"/>
        <w:spacing w:after="0" w:line="223" w:lineRule="auto"/>
        <w:tabs>
          <w:tab w:leader="none" w:pos="1941"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Payment in respect of the PSUs eligible to vest for the Performance Period (i.e., the settlement of such PSUs) shall be made in shares of Stock that shall be issued to Grantee as soon as practicable following the Vesting Date (and in any event within two and one-half (2½) months following the Vesting Date). Any PSUs that vest upon termination of Grantee’s Service, including due to death or disability, shall be settled as soon as practicable following the date of such termination of Service, and in any event within two and one-half (2½) months following the end of the calendar year in which such PSUs vest.</w:t>
      </w:r>
    </w:p>
    <w:p>
      <w:pPr>
        <w:spacing w:after="0" w:line="158" w:lineRule="exact"/>
        <w:rPr>
          <w:rFonts w:ascii="Times New Roman" w:cs="Times New Roman" w:eastAsia="Times New Roman" w:hAnsi="Times New Roman"/>
          <w:sz w:val="18"/>
          <w:szCs w:val="18"/>
          <w:color w:val="010000"/>
        </w:rPr>
      </w:pPr>
    </w:p>
    <w:p>
      <w:pPr>
        <w:jc w:val="both"/>
        <w:ind w:firstLine="1304"/>
        <w:spacing w:after="0" w:line="220" w:lineRule="auto"/>
        <w:tabs>
          <w:tab w:leader="none" w:pos="1938"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Certificates or evidence of book-entry shares representing the Stock issued upon settlement of PSUs pursuant to this Section 3 will be delivered to or otherwise made available to Grantee (or, at the discretion of Grantee, jointly in the names of Grantee and Grantee’s spouse) or, in the case of Grantee’s death, to Grantee’s beneficiary or, if none is identified in the records of the Company, Grantee’s spouse or, if none, Grantee’s estate. It is intended that delivery of shares of Stock under this Agreement will comply with all applicable laws (including, the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applicable requirements of any securities exchange or similar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96" w:name="page97"/>
    <w:bookmarkEnd w:id="96"/>
    <w:p>
      <w:pPr>
        <w:jc w:val="both"/>
        <w:ind w:firstLine="1304"/>
        <w:spacing w:after="0" w:line="231" w:lineRule="auto"/>
        <w:tabs>
          <w:tab w:leader="none" w:pos="1941" w:val="left"/>
        </w:tabs>
        <w:numPr>
          <w:ilvl w:val="1"/>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anything herein to the contrary, (i) to the extent Grantee breaches any restrictive covenants under an agreement Grantee entered into with the Company or any of its Affiliates, the PSUs may be immediately forfeited to the extent not yet settled and (ii) the PSUs are subject to forfeiture and any Stock issued hereunder subject to clawback in accordance with Section 21(g) of the Plan.</w:t>
      </w:r>
    </w:p>
    <w:p>
      <w:pPr>
        <w:spacing w:after="0" w:line="154" w:lineRule="exact"/>
        <w:rPr>
          <w:rFonts w:ascii="Times New Roman" w:cs="Times New Roman" w:eastAsia="Times New Roman" w:hAnsi="Times New Roman"/>
          <w:sz w:val="18"/>
          <w:szCs w:val="18"/>
          <w:color w:val="010000"/>
        </w:rPr>
      </w:pPr>
    </w:p>
    <w:p>
      <w:pPr>
        <w:jc w:val="both"/>
        <w:ind w:firstLine="656"/>
        <w:spacing w:after="0" w:line="218" w:lineRule="auto"/>
        <w:tabs>
          <w:tab w:leader="none" w:pos="1296" w:val="left"/>
        </w:tabs>
        <w:numPr>
          <w:ilvl w:val="0"/>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The PSUs subject to this Award or the rights relating thereto may not be assigned, alienated, pledged, attached, sold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transferred or encumbered by Grantee, except by will or the laws of descent and distribution, and upon any such transfer by will or the laws of descent and distribution, the transferee shall hold such PSUs subject to all of the terms and conditions that were applicable to Grantee immediately prior to such transfer. After such PSUs vest and are settled in accordance with this Agreement, no sale or disposition of such shares of Stock shall be made in the absence of an effective registration statement under the Securities Act with respect to such shares unless an opinion of counsel satisfactory to the Company that such sale or disposition will not constitute a violation of the Securities Act or any other applicable securities laws is first obtained or an exemption from such registration pursuant to Rule 144 under the Securities Act or otherwise is available.</w:t>
      </w:r>
    </w:p>
    <w:p>
      <w:pPr>
        <w:spacing w:after="0" w:line="155" w:lineRule="exact"/>
        <w:rPr>
          <w:rFonts w:ascii="Times New Roman" w:cs="Times New Roman" w:eastAsia="Times New Roman" w:hAnsi="Times New Roman"/>
          <w:sz w:val="18"/>
          <w:szCs w:val="18"/>
          <w:color w:val="010000"/>
        </w:rPr>
      </w:pPr>
    </w:p>
    <w:p>
      <w:pPr>
        <w:jc w:val="both"/>
        <w:ind w:firstLine="656"/>
        <w:spacing w:after="0" w:line="218" w:lineRule="auto"/>
        <w:tabs>
          <w:tab w:leader="none" w:pos="1296" w:val="left"/>
        </w:tabs>
        <w:numPr>
          <w:ilvl w:val="0"/>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Rights as Shareholder; Dividend Equivalents. </w:t>
      </w:r>
      <w:r>
        <w:rPr>
          <w:rFonts w:ascii="Times New Roman" w:cs="Times New Roman" w:eastAsia="Times New Roman" w:hAnsi="Times New Roman"/>
          <w:sz w:val="18"/>
          <w:szCs w:val="18"/>
          <w:color w:val="auto"/>
        </w:rPr>
        <w:t>Grantee shall have no rights as a stockholder with respect to the PSUs unless and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PSUs are settled by delivery of Stock in accordance with Section 3(b) of this Agreement. As of any date that the Company pays an ordinary cash dividend on its shares of Stock, the Company will increase the number of PSUs hereunder (i.e., by increasing the Target Award) by the number of shares of Stock that represent an amount equal to the per share value of dividend paid by the Company on its shares of Stock (if paid in cash or shares) multiplied by the number of target PSUs held by Grantee as of the related dividend payment record date. Any such additional PSUs shall be subject to the same vesting, forfeiture, payment, termination and other terms, conditions and restrictions as the original PSUs to which they relate. No additional PSUs shall be granted with respect to any PSUs which, as of the record date, have either been paid or terminated.</w:t>
      </w:r>
    </w:p>
    <w:p>
      <w:pPr>
        <w:spacing w:after="0" w:line="168" w:lineRule="exact"/>
        <w:rPr>
          <w:rFonts w:ascii="Times New Roman" w:cs="Times New Roman" w:eastAsia="Times New Roman" w:hAnsi="Times New Roman"/>
          <w:sz w:val="18"/>
          <w:szCs w:val="18"/>
          <w:color w:val="010000"/>
        </w:rPr>
      </w:pPr>
    </w:p>
    <w:p>
      <w:pPr>
        <w:jc w:val="both"/>
        <w:ind w:firstLine="656"/>
        <w:spacing w:after="0" w:line="227" w:lineRule="auto"/>
        <w:tabs>
          <w:tab w:leader="none" w:pos="1296" w:val="left"/>
        </w:tabs>
        <w:numPr>
          <w:ilvl w:val="0"/>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Change in Capital Structure. </w:t>
      </w:r>
      <w:r>
        <w:rPr>
          <w:rFonts w:ascii="Times New Roman" w:cs="Times New Roman" w:eastAsia="Times New Roman" w:hAnsi="Times New Roman"/>
          <w:sz w:val="18"/>
          <w:szCs w:val="18"/>
          <w:color w:val="auto"/>
        </w:rPr>
        <w:t>In accordance with Section 5(d) of the Plan, the terms of this Agreement, including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 in respect of the PSUs shall be adjusted as the Administrator determines is equitably required in the event the Company effects one or more stock dividends, stock splits, subdivisions or consolidations of shares or other similar changes in capitalization described in Section 5(d) of the Plan.</w:t>
      </w:r>
    </w:p>
    <w:p>
      <w:pPr>
        <w:spacing w:after="0" w:line="168"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Tax Liability and Withholding</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010000"/>
        </w:rPr>
      </w:pPr>
    </w:p>
    <w:p>
      <w:pPr>
        <w:jc w:val="both"/>
        <w:ind w:firstLine="1304"/>
        <w:spacing w:after="0" w:line="215" w:lineRule="auto"/>
        <w:tabs>
          <w:tab w:leader="none" w:pos="1941" w:val="left"/>
        </w:tabs>
        <w:numPr>
          <w:ilvl w:val="1"/>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Grantee understands that when the PSUs are settled in accordance with Section 4, Grantee will be obligated to recognize income, for Federal, state and local income tax purposes, as applicable, in an amount equal to the Fair Market Value of the share of Stock as of such date, and Grantee is responsible for all tax obligations that arise in connection with the PSUs. Notwithstanding any action the Company takes with respect to any or all income tax, social insurance, payroll tax, or other tax-related withholding (“</w:t>
      </w:r>
      <w:r>
        <w:rPr>
          <w:rFonts w:ascii="Times New Roman" w:cs="Times New Roman" w:eastAsia="Times New Roman" w:hAnsi="Times New Roman"/>
          <w:sz w:val="18"/>
          <w:szCs w:val="18"/>
          <w:u w:val="single" w:color="auto"/>
          <w:color w:val="auto"/>
        </w:rPr>
        <w:t>Tax-Related Items</w:t>
      </w:r>
      <w:r>
        <w:rPr>
          <w:rFonts w:ascii="Times New Roman" w:cs="Times New Roman" w:eastAsia="Times New Roman" w:hAnsi="Times New Roman"/>
          <w:sz w:val="18"/>
          <w:szCs w:val="18"/>
          <w:color w:val="auto"/>
        </w:rPr>
        <w:t>”), the ultimate liability for all Tax-Related Items is and remains Grantee’s responsibility and the Company (i) makes no representation or undertakings regarding the treatment of any Tax-Related Items in connection with the grant or vesting of the PSUs, the delivery of Stock underlying the PSUs, or the subsequent sale of any shares of the Stock underlying the PSUs; and (ii) does not commit to structure the PSUs or the delivery of Stock underlying the PSUs to reduce or eliminate Grantee’s liability for Tax-Related Items.</w:t>
      </w:r>
    </w:p>
    <w:p>
      <w:pPr>
        <w:spacing w:after="0" w:line="177" w:lineRule="exact"/>
        <w:rPr>
          <w:rFonts w:ascii="Times New Roman" w:cs="Times New Roman" w:eastAsia="Times New Roman" w:hAnsi="Times New Roman"/>
          <w:sz w:val="18"/>
          <w:szCs w:val="18"/>
          <w:color w:val="010000"/>
        </w:rPr>
      </w:pPr>
    </w:p>
    <w:p>
      <w:pPr>
        <w:jc w:val="both"/>
        <w:ind w:firstLine="1304"/>
        <w:spacing w:after="0" w:line="215" w:lineRule="auto"/>
        <w:tabs>
          <w:tab w:leader="none" w:pos="1938" w:val="left"/>
        </w:tabs>
        <w:numPr>
          <w:ilvl w:val="1"/>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anything in the Plan or this Agreement to the contrary, unless Grantee has delivered an amount necessary to satisfy the Tax-Related Items as of the settlement date for the PSUs, Grantee agrees to the following methods of satisfying the Tax-Related Items on behalf of Grantee in connection with the PSUs and the delivery of Stock underlying the PSUs, in the discretion of the Company: (i) through the automatic withholding of a sufficient number of shares of Stock that would otherwise be delivered to Grantee, applying procedures approved by the Administrator, such withheld shares having an aggregate Fair Market Value on the date of settlement that shall not exceed the minimum amount of the Tax-Related Items, rounded up for any partial share of Stock that would be withheld to satisfy such obligation (or such other amount as the Administrator determines will not result in additional compensation expense for financial accounting purposes under applicable financial accounting principles); (ii) through the deduction from any other payment otherwise due to Grantee at the time of exercise; or (iii) a combination of any or all of the foregoing.</w:t>
      </w:r>
    </w:p>
    <w:p>
      <w:pPr>
        <w:spacing w:after="0" w:line="163" w:lineRule="exact"/>
        <w:rPr>
          <w:rFonts w:ascii="Times New Roman" w:cs="Times New Roman" w:eastAsia="Times New Roman" w:hAnsi="Times New Roman"/>
          <w:sz w:val="18"/>
          <w:szCs w:val="18"/>
          <w:color w:val="010000"/>
        </w:rPr>
      </w:pPr>
    </w:p>
    <w:p>
      <w:pPr>
        <w:jc w:val="both"/>
        <w:ind w:firstLine="1304"/>
        <w:spacing w:after="0" w:line="231" w:lineRule="auto"/>
        <w:tabs>
          <w:tab w:leader="none" w:pos="1941" w:val="left"/>
        </w:tabs>
        <w:numPr>
          <w:ilvl w:val="1"/>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otherwise determined by the Administrator, Grantee may satisfy the tax withholding obligation by delivery of cash or by surrendering shares deliverable in settlement of the PSU or by delivering shares of Stock owned by Grantee (having in any case, an aggregate Fair Market Value on the date of exercise equal to the amount of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4" w:right="339" w:bottom="1440" w:gutter="0" w:footer="0" w:header="0"/>
        </w:sectPr>
      </w:pPr>
    </w:p>
    <w:bookmarkStart w:id="97" w:name="page98"/>
    <w:bookmarkEnd w:id="97"/>
    <w:p>
      <w:pPr>
        <w:ind w:firstLine="656"/>
        <w:spacing w:after="0" w:line="239" w:lineRule="auto"/>
        <w:tabs>
          <w:tab w:leader="none" w:pos="1296"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Conflicts. </w:t>
      </w:r>
      <w:r>
        <w:rPr>
          <w:rFonts w:ascii="Times New Roman" w:cs="Times New Roman" w:eastAsia="Times New Roman" w:hAnsi="Times New Roman"/>
          <w:sz w:val="18"/>
          <w:szCs w:val="18"/>
          <w:color w:val="auto"/>
        </w:rPr>
        <w:t>In the event of any conflict between the provisions of the Plan as in effect on the Date of Grant and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provisions of the Plan shall govern. All references herein to the Plan mean the Plan as in effect on the date hereof.</w:t>
      </w:r>
    </w:p>
    <w:p>
      <w:pPr>
        <w:spacing w:after="0" w:line="168" w:lineRule="exact"/>
        <w:rPr>
          <w:rFonts w:ascii="Times New Roman" w:cs="Times New Roman" w:eastAsia="Times New Roman" w:hAnsi="Times New Roman"/>
          <w:sz w:val="18"/>
          <w:szCs w:val="18"/>
          <w:color w:val="010000"/>
        </w:rPr>
      </w:pPr>
    </w:p>
    <w:p>
      <w:pPr>
        <w:jc w:val="both"/>
        <w:ind w:firstLine="656"/>
        <w:spacing w:after="0" w:line="227" w:lineRule="auto"/>
        <w:tabs>
          <w:tab w:leader="none" w:pos="1296"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No Right to Continued Service. </w:t>
      </w:r>
      <w:r>
        <w:rPr>
          <w:rFonts w:ascii="Times New Roman" w:cs="Times New Roman" w:eastAsia="Times New Roman" w:hAnsi="Times New Roman"/>
          <w:sz w:val="18"/>
          <w:szCs w:val="18"/>
          <w:color w:val="auto"/>
        </w:rPr>
        <w:t>Neither the Plan nor this Agreement shall confer upon Grantee any right to be retained in any 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employee, consultant or director of the Company or any of its subsidiaries. Further, nothing in the Plan or this Agreement shall be construed to limit the discretion of the Company to terminate Grantee’s employment at any time, with or without Cause.</w:t>
      </w:r>
    </w:p>
    <w:p>
      <w:pPr>
        <w:spacing w:after="0" w:line="168" w:lineRule="exact"/>
        <w:rPr>
          <w:rFonts w:ascii="Times New Roman" w:cs="Times New Roman" w:eastAsia="Times New Roman" w:hAnsi="Times New Roman"/>
          <w:sz w:val="18"/>
          <w:szCs w:val="18"/>
          <w:color w:val="010000"/>
        </w:rPr>
      </w:pPr>
    </w:p>
    <w:p>
      <w:pPr>
        <w:jc w:val="both"/>
        <w:ind w:firstLine="656"/>
        <w:spacing w:after="0" w:line="225" w:lineRule="auto"/>
        <w:tabs>
          <w:tab w:leader="none" w:pos="1291"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grant and settlement of the PSUs shall be subject to compliance by the Company and Grantee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requirements of federal and state securities laws and with all applicable requirements of any stock exchange on which the Company’s shares of Stock may be listed. No shares of Stock shall be issued in settlement of the PSUs unless and until any then applicable requirements of state or federal laws and regulatory agencies have been fully complied with to the satisfaction of the Company and its counsel.</w:t>
      </w:r>
    </w:p>
    <w:p>
      <w:pPr>
        <w:spacing w:after="0" w:line="155" w:lineRule="exact"/>
        <w:rPr>
          <w:rFonts w:ascii="Times New Roman" w:cs="Times New Roman" w:eastAsia="Times New Roman" w:hAnsi="Times New Roman"/>
          <w:sz w:val="18"/>
          <w:szCs w:val="18"/>
          <w:color w:val="010000"/>
        </w:rPr>
      </w:pPr>
    </w:p>
    <w:p>
      <w:pPr>
        <w:jc w:val="both"/>
        <w:ind w:firstLine="656"/>
        <w:spacing w:after="0" w:line="225" w:lineRule="auto"/>
        <w:tabs>
          <w:tab w:leader="none" w:pos="1285"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 required to be delivered to the Company under this Agreement shall be in writing and addressed to the Secretary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at the Company’s principal corporate offices. Any notice required to be delivered to Grantee under this Agreement shall be in writing and addressed to Grantee at Grantee’s address as shown in the records of the Company. Either party may designate another address in writing (or by such other method approved by the Company) from time to time.</w:t>
      </w:r>
    </w:p>
    <w:p>
      <w:pPr>
        <w:spacing w:after="0" w:line="155" w:lineRule="exact"/>
        <w:rPr>
          <w:rFonts w:ascii="Times New Roman" w:cs="Times New Roman" w:eastAsia="Times New Roman" w:hAnsi="Times New Roman"/>
          <w:sz w:val="18"/>
          <w:szCs w:val="18"/>
          <w:color w:val="010000"/>
        </w:rPr>
      </w:pPr>
    </w:p>
    <w:p>
      <w:pPr>
        <w:ind w:firstLine="656"/>
        <w:spacing w:after="0" w:line="255" w:lineRule="auto"/>
        <w:tabs>
          <w:tab w:leader="none" w:pos="1291"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Interpretation. </w:t>
      </w:r>
      <w:r>
        <w:rPr>
          <w:rFonts w:ascii="Times New Roman" w:cs="Times New Roman" w:eastAsia="Times New Roman" w:hAnsi="Times New Roman"/>
          <w:sz w:val="18"/>
          <w:szCs w:val="18"/>
          <w:color w:val="auto"/>
        </w:rPr>
        <w:t>Any dispute regarding the interpretation of this Agreement shall be submitted by Grantee or the Company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for review. The resolution of such dispute by the Administrator shall be final and binding on Grantee and the Company.</w:t>
      </w:r>
    </w:p>
    <w:p>
      <w:pPr>
        <w:spacing w:after="0" w:line="140" w:lineRule="exact"/>
        <w:rPr>
          <w:rFonts w:ascii="Times New Roman" w:cs="Times New Roman" w:eastAsia="Times New Roman" w:hAnsi="Times New Roman"/>
          <w:sz w:val="18"/>
          <w:szCs w:val="18"/>
          <w:color w:val="010000"/>
        </w:rPr>
      </w:pPr>
    </w:p>
    <w:p>
      <w:pPr>
        <w:jc w:val="both"/>
        <w:ind w:firstLine="656"/>
        <w:spacing w:after="0" w:line="225" w:lineRule="auto"/>
        <w:tabs>
          <w:tab w:leader="none" w:pos="1291"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Successors and Assigns. </w:t>
      </w:r>
      <w:r>
        <w:rPr>
          <w:rFonts w:ascii="Times New Roman" w:cs="Times New Roman" w:eastAsia="Times New Roman" w:hAnsi="Times New Roman"/>
          <w:sz w:val="18"/>
          <w:szCs w:val="18"/>
          <w:color w:val="auto"/>
        </w:rPr>
        <w:t>The Company may assign any of its rights under this Agreement. This Agreement will be binding upon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inure to the benefit of the successors and assigns of the Company. Subject to the restrictions on transfer set forth herein, this Agreement will be binding upon Grantee and Grantee’s beneficiaries, executors, administrators and the person(s) to whom this Agreement may be transferred by will or the laws of descent or distribution.</w:t>
      </w:r>
    </w:p>
    <w:p>
      <w:pPr>
        <w:spacing w:after="0" w:line="155" w:lineRule="exact"/>
        <w:rPr>
          <w:rFonts w:ascii="Times New Roman" w:cs="Times New Roman" w:eastAsia="Times New Roman" w:hAnsi="Times New Roman"/>
          <w:sz w:val="18"/>
          <w:szCs w:val="18"/>
          <w:color w:val="010000"/>
        </w:rPr>
      </w:pPr>
    </w:p>
    <w:p>
      <w:pPr>
        <w:jc w:val="both"/>
        <w:ind w:firstLine="656"/>
        <w:spacing w:after="0" w:line="232" w:lineRule="auto"/>
        <w:tabs>
          <w:tab w:leader="none" w:pos="1291"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invalidity or unenforceability of any provision of the Plan or this Agreement shall not affect the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any other provision of the Plan or this Agreement, and each provision of the Plan and this Agreement shall be severable and enforceable to the extent permitted by law.</w:t>
      </w:r>
    </w:p>
    <w:p>
      <w:pPr>
        <w:spacing w:after="0" w:line="155" w:lineRule="exact"/>
        <w:rPr>
          <w:rFonts w:ascii="Times New Roman" w:cs="Times New Roman" w:eastAsia="Times New Roman" w:hAnsi="Times New Roman"/>
          <w:sz w:val="18"/>
          <w:szCs w:val="18"/>
          <w:color w:val="010000"/>
        </w:rPr>
      </w:pPr>
    </w:p>
    <w:p>
      <w:pPr>
        <w:jc w:val="both"/>
        <w:ind w:firstLine="656"/>
        <w:spacing w:after="0" w:line="225" w:lineRule="auto"/>
        <w:tabs>
          <w:tab w:leader="none" w:pos="1291"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Discretionary Nature of Plan. </w:t>
      </w:r>
      <w:r>
        <w:rPr>
          <w:rFonts w:ascii="Times New Roman" w:cs="Times New Roman" w:eastAsia="Times New Roman" w:hAnsi="Times New Roman"/>
          <w:sz w:val="18"/>
          <w:szCs w:val="18"/>
          <w:color w:val="auto"/>
        </w:rPr>
        <w:t>The Plan is discretionary and may be amended, cancelled or terminated by the Company at any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discretion. The grant of the PSUs in this Agreement does not create any contractual right or other right to receive any Grants in the future. Future Grants, if any, will be at the sole discretion of the Company. Any amendment, modification, or termination of the Plan shall not constitute a change or impairment of the terms and conditions of Grantee’s Service to the Company.</w:t>
      </w:r>
    </w:p>
    <w:p>
      <w:pPr>
        <w:spacing w:after="0" w:line="168" w:lineRule="exact"/>
        <w:rPr>
          <w:rFonts w:ascii="Times New Roman" w:cs="Times New Roman" w:eastAsia="Times New Roman" w:hAnsi="Times New Roman"/>
          <w:sz w:val="18"/>
          <w:szCs w:val="18"/>
          <w:color w:val="010000"/>
        </w:rPr>
      </w:pPr>
    </w:p>
    <w:p>
      <w:pPr>
        <w:ind w:firstLine="656"/>
        <w:spacing w:after="0" w:line="239" w:lineRule="auto"/>
        <w:tabs>
          <w:tab w:leader="none" w:pos="1291"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The Administrator has the right to amend, alter, suspend, discontinue or cancel the PSUs, prospectively or retroactively;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no such amendment shall adversely affect Grantee’s material rights under this Agreement without Grantee’s consent.</w:t>
      </w:r>
    </w:p>
    <w:p>
      <w:pPr>
        <w:spacing w:after="0" w:line="154" w:lineRule="exact"/>
        <w:rPr>
          <w:rFonts w:ascii="Times New Roman" w:cs="Times New Roman" w:eastAsia="Times New Roman" w:hAnsi="Times New Roman"/>
          <w:sz w:val="18"/>
          <w:szCs w:val="18"/>
          <w:color w:val="010000"/>
        </w:rPr>
      </w:pPr>
    </w:p>
    <w:p>
      <w:pPr>
        <w:ind w:right="20" w:firstLine="656"/>
        <w:spacing w:after="0" w:line="255" w:lineRule="auto"/>
        <w:tabs>
          <w:tab w:leader="none" w:pos="1291"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No Impact on Other Benefits. </w:t>
      </w:r>
      <w:r>
        <w:rPr>
          <w:rFonts w:ascii="Times New Roman" w:cs="Times New Roman" w:eastAsia="Times New Roman" w:hAnsi="Times New Roman"/>
          <w:sz w:val="18"/>
          <w:szCs w:val="18"/>
          <w:color w:val="auto"/>
        </w:rPr>
        <w:t>The value of Grantee’s PSUs or the Stock underlying the PSUs is not part of his or her normal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compensation for purposes of calculating any severance, retirement, welfare, insurance or similar employee benefit.</w:t>
      </w:r>
    </w:p>
    <w:p>
      <w:pPr>
        <w:spacing w:after="0" w:line="140" w:lineRule="exact"/>
        <w:rPr>
          <w:rFonts w:ascii="Times New Roman" w:cs="Times New Roman" w:eastAsia="Times New Roman" w:hAnsi="Times New Roman"/>
          <w:sz w:val="18"/>
          <w:szCs w:val="18"/>
          <w:color w:val="010000"/>
        </w:rPr>
      </w:pPr>
    </w:p>
    <w:p>
      <w:pPr>
        <w:jc w:val="both"/>
        <w:ind w:firstLine="656"/>
        <w:spacing w:after="0" w:line="215" w:lineRule="auto"/>
        <w:tabs>
          <w:tab w:leader="none" w:pos="1291"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This Agreement is intended to comply with section 409A of the Code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or an exemption thereunder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21(b) of the Plan and shall be construed and interpreted, including any ambiguities herein, in a manner that is consistent with the requirements for avoiding additional taxes or penalties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Grantee on account of non-compliance with Section 409A. Notwithstanding the foregoing or anything herein to the contrary, if the PSUs constitute nonqualified deferred compensation within the meaning of Section 409A and if Grantee is deemed a “specified employee” within the meaning of Section 409A, each as determined by the Administrator, at a time when Grantee becomes eligible for settlement of the PSUs upon his or her “separation from service” within the meaning of Section 409A, then to the extent necessary to prevent any accelerated or additional tax under Section 409A, such settlement will be delayed until the earlier of: (a) the first day of the month following the date that is six months following Grantee’s separation from service and (b)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0" w:right="339" w:bottom="1440" w:gutter="0" w:footer="0" w:header="0"/>
        </w:sectPr>
      </w:pPr>
    </w:p>
    <w:bookmarkStart w:id="98" w:name="page99"/>
    <w:bookmarkEnd w:id="98"/>
    <w:p>
      <w:pPr>
        <w:ind w:right="20"/>
        <w:spacing w:after="0" w:line="237" w:lineRule="auto"/>
        <w:rPr>
          <w:sz w:val="20"/>
          <w:szCs w:val="20"/>
          <w:color w:val="auto"/>
        </w:rPr>
      </w:pPr>
      <w:r>
        <w:rPr>
          <w:rFonts w:ascii="Times New Roman" w:cs="Times New Roman" w:eastAsia="Times New Roman" w:hAnsi="Times New Roman"/>
          <w:sz w:val="18"/>
          <w:szCs w:val="18"/>
          <w:color w:val="auto"/>
        </w:rPr>
        <w:t>death. If the PSUs constitute nonqualified deferred compensation within the meaning of Section 409A, references in this Agreement to a termination of employment or cessation of Service or the like shall mean a “separation from service” under Section 409A.</w:t>
      </w:r>
    </w:p>
    <w:p>
      <w:pPr>
        <w:spacing w:after="0" w:line="168" w:lineRule="exact"/>
        <w:rPr>
          <w:sz w:val="20"/>
          <w:szCs w:val="20"/>
          <w:color w:val="auto"/>
        </w:rPr>
      </w:pPr>
    </w:p>
    <w:p>
      <w:pPr>
        <w:jc w:val="both"/>
        <w:ind w:firstLine="656"/>
        <w:spacing w:after="0" w:line="225" w:lineRule="auto"/>
        <w:tabs>
          <w:tab w:leader="none" w:pos="1291"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counterparts, each of which shall be deemed an original but all of which together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5" w:lineRule="exact"/>
        <w:rPr>
          <w:rFonts w:ascii="Times New Roman" w:cs="Times New Roman" w:eastAsia="Times New Roman" w:hAnsi="Times New Roman"/>
          <w:sz w:val="18"/>
          <w:szCs w:val="18"/>
          <w:color w:val="010000"/>
        </w:rPr>
      </w:pPr>
    </w:p>
    <w:p>
      <w:pPr>
        <w:ind w:firstLine="656"/>
        <w:spacing w:after="0" w:line="239" w:lineRule="auto"/>
        <w:tabs>
          <w:tab w:leader="none" w:pos="1291"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Grantee Bound by Plan. </w:t>
      </w:r>
      <w:r>
        <w:rPr>
          <w:rFonts w:ascii="Times New Roman" w:cs="Times New Roman" w:eastAsia="Times New Roman" w:hAnsi="Times New Roman"/>
          <w:sz w:val="18"/>
          <w:szCs w:val="18"/>
          <w:color w:val="auto"/>
        </w:rPr>
        <w:t>Grantee hereby acknowledges that a copy of the Plan has been made available to him or her and agrees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by all the terms and provisions thereof. The terms and conditions of the Plan are incorporated into this Agreement by reference.</w:t>
      </w:r>
    </w:p>
    <w:p>
      <w:pPr>
        <w:spacing w:after="0" w:line="168"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the laws of the State of Delaware without regard to conflict of law principles.</w:t>
      </w:r>
    </w:p>
    <w:p>
      <w:pPr>
        <w:spacing w:after="0" w:line="184" w:lineRule="exact"/>
        <w:rPr>
          <w:rFonts w:ascii="Times New Roman" w:cs="Times New Roman" w:eastAsia="Times New Roman" w:hAnsi="Times New Roman"/>
          <w:sz w:val="18"/>
          <w:szCs w:val="18"/>
          <w:color w:val="010000"/>
        </w:rPr>
      </w:pPr>
    </w:p>
    <w:p>
      <w:pPr>
        <w:jc w:val="both"/>
        <w:ind w:firstLine="656"/>
        <w:spacing w:after="0" w:line="225" w:lineRule="auto"/>
        <w:tabs>
          <w:tab w:leader="none" w:pos="1291"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Grantee hereby acknowledges receipt of a copy of the Plan and this Agreement. Grantee has read and understands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provisions thereof, and accepts the PSUs subject to all of the terms and conditions of the Plan and this Agreement. Grantee acknowledges that there may be adverse tax consequences upon grant or vesting of or settlement of the PSUs and that Grantee should consult a tax advisor prior to such vesting or settlement.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4" w:right="339" w:bottom="1440" w:gutter="0" w:footer="0" w:header="0"/>
        </w:sectPr>
      </w:pPr>
    </w:p>
    <w:bookmarkStart w:id="99" w:name="page100"/>
    <w:bookmarkEnd w:id="99"/>
    <w:p>
      <w:pPr>
        <w:spacing w:after="0" w:line="37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b w:val="1"/>
          <w:bCs w:val="1"/>
          <w:color w:val="auto"/>
        </w:rPr>
        <w:t>IN WITNESS WHEREOF, the Company has caused its duly authorized officer to execute this Agreement, and Grantee has placed his or her signature hereon, effective as of the Date of Grant.</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302577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3025775" cy="1714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3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I hereby accept this Grant of PSUs and I agree to be bound by the terms of the Plan and this Agreement. I further agree that all of the decisions and interpretations of the Company with respect thereto shall be final and binding.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 TO:</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330898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33089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371475</wp:posOffset>
            </wp:positionV>
            <wp:extent cx="342011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[Signature Page to International Money Express Inc. PSU Agreement]</w:t>
      </w:r>
    </w:p>
    <w:p>
      <w:pPr>
        <w:sectPr>
          <w:pgSz w:w="11900" w:h="16838" w:orient="portrait"/>
          <w:cols w:equalWidth="0" w:num="1">
            <w:col w:w="11000"/>
          </w:cols>
          <w:pgMar w:left="320" w:top="1440" w:right="57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I</w:t>
      </w:r>
    </w:p>
    <w:p>
      <w:pPr>
        <w:sectPr>
          <w:pgSz w:w="11900" w:h="16838" w:orient="portrait"/>
          <w:cols w:equalWidth="0" w:num="1">
            <w:col w:w="9019"/>
          </w:cols>
          <w:pgMar w:left="1440" w:top="14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1400" w:right="1440" w:bottom="1440" w:gutter="0" w:footer="0" w:header="0"/>
          <w:type w:val="continuous"/>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MONEY EXPRESS, INC. 2020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OMNIBUS EQUITY COMPENSATION PLAN</w:t>
      </w: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PSU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________ (the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between International Money Express, Inc., a Delaware</w:t>
      </w:r>
    </w:p>
    <w:p>
      <w:pPr>
        <w:spacing w:after="0" w:line="219" w:lineRule="auto"/>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Robert Lisy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is made pursuant and subject to the provisions of the Company’s 2020 Omnibus Equity</w:t>
      </w:r>
    </w:p>
    <w:p>
      <w:pPr>
        <w:spacing w:after="0" w:line="226" w:lineRule="auto"/>
        <w:rPr>
          <w:sz w:val="20"/>
          <w:szCs w:val="20"/>
          <w:color w:val="auto"/>
        </w:rPr>
      </w:pPr>
      <w:r>
        <w:rPr>
          <w:rFonts w:ascii="Times New Roman" w:cs="Times New Roman" w:eastAsia="Times New Roman" w:hAnsi="Times New Roman"/>
          <w:sz w:val="18"/>
          <w:szCs w:val="18"/>
          <w:color w:val="auto"/>
        </w:rPr>
        <w:t>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 copy of which has been made available to Grantee. All terms used but not defined herein shall have the meanings given them in Exhibit I, or if such term is not defined in Exhibit I, the Plan.</w:t>
      </w:r>
    </w:p>
    <w:p>
      <w:pPr>
        <w:spacing w:after="0" w:line="180" w:lineRule="exact"/>
        <w:rPr>
          <w:sz w:val="20"/>
          <w:szCs w:val="20"/>
          <w:color w:val="auto"/>
        </w:rPr>
      </w:pPr>
    </w:p>
    <w:p>
      <w:pPr>
        <w:jc w:val="both"/>
        <w:ind w:firstLine="656"/>
        <w:spacing w:after="0" w:line="218" w:lineRule="auto"/>
        <w:tabs>
          <w:tab w:leader="none" w:pos="1296"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color w:val="auto"/>
        </w:rPr>
        <w:t>Subject to the terms and conditions of the Plan and subject further to the terms and conditions herein set forth,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grants Grantee _______ Performance Shares (the “</w:t>
      </w:r>
      <w:r>
        <w:rPr>
          <w:rFonts w:ascii="Times New Roman" w:cs="Times New Roman" w:eastAsia="Times New Roman" w:hAnsi="Times New Roman"/>
          <w:sz w:val="18"/>
          <w:szCs w:val="18"/>
          <w:u w:val="single" w:color="auto"/>
          <w:color w:val="auto"/>
        </w:rPr>
        <w:t>Target Award</w:t>
      </w:r>
      <w:r>
        <w:rPr>
          <w:rFonts w:ascii="Times New Roman" w:cs="Times New Roman" w:eastAsia="Times New Roman" w:hAnsi="Times New Roman"/>
          <w:sz w:val="18"/>
          <w:szCs w:val="18"/>
          <w:color w:val="auto"/>
        </w:rPr>
        <w:t>”). Each Performance Share granted hereunder (each, a “</w:t>
      </w:r>
      <w:r>
        <w:rPr>
          <w:rFonts w:ascii="Times New Roman" w:cs="Times New Roman" w:eastAsia="Times New Roman" w:hAnsi="Times New Roman"/>
          <w:sz w:val="18"/>
          <w:szCs w:val="18"/>
          <w:u w:val="single" w:color="auto"/>
          <w:color w:val="auto"/>
        </w:rPr>
        <w:t>PSU</w:t>
      </w:r>
      <w:r>
        <w:rPr>
          <w:rFonts w:ascii="Times New Roman" w:cs="Times New Roman" w:eastAsia="Times New Roman" w:hAnsi="Times New Roman"/>
          <w:sz w:val="18"/>
          <w:szCs w:val="18"/>
          <w:color w:val="auto"/>
        </w:rPr>
        <w:t>”) represents the right to receive (i) one share of Stock for each PSU that is vested as of the Vesting Date (as defined below), and (ii) notional dividend equivalents described in Section 5, if any, each in accordance with the terms of and subject to adjustment as provided in this Agreement and the Plan. Grantee acknowledges and agrees that the grant of the PSUs in this Agreement satisfy the obligations of the Company and its Affiliates under Sections 2.04 and 2.05 of the employment agreement between Grantee and Intermex Holdings, Inc., an Affiliate of the Company, effective January 1, 2022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68"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010000"/>
        </w:rPr>
      </w:pPr>
    </w:p>
    <w:p>
      <w:pPr>
        <w:jc w:val="both"/>
        <w:ind w:firstLine="1304"/>
        <w:spacing w:after="0" w:line="216" w:lineRule="auto"/>
        <w:tabs>
          <w:tab w:leader="none" w:pos="1941" w:val="left"/>
        </w:tabs>
        <w:numPr>
          <w:ilvl w:val="1"/>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achievement of the performance goals set forth in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and except as otherwise set forth in Sections 2(c), 2(d), 2(e) and 2(f) herein, the PSUs granted hereby shall vest on the Vesting Date, provided that Grantee has remained in continuous Service (as defined below) through the Vesting Date. The calculation of the number of PSUs, if any, that may vest on the Vesting Date is specified in Exhibit I and is based upon performance goals achieved during the Performance Period. If the Company does not achieve the minimum threshold performance goals (as set forth in Exhibit I) during the Performance Period, the PSUs granted or otherwise eligible to vest hereunder shall be forfeited as of the date of such determination. The number of PSUs that vest on the Vesting Date shall be rounded up to the nearest whole PSU. Except as otherwise expressly provided in Sections 2(c), 2(d), 2(e) and 2(f), or as otherwise determined by the Committee, if Grantee’s Service terminates for any reason at any time prior to the Vesting Date, all of the PSUs shall be automatically forfeited upon such termination of Service and neither the Company nor any Affiliate shall have any further obligation to Grantee under this Agreement.</w:t>
      </w:r>
    </w:p>
    <w:p>
      <w:pPr>
        <w:spacing w:after="0" w:line="159" w:lineRule="exact"/>
        <w:rPr>
          <w:rFonts w:ascii="Times New Roman" w:cs="Times New Roman" w:eastAsia="Times New Roman" w:hAnsi="Times New Roman"/>
          <w:sz w:val="18"/>
          <w:szCs w:val="18"/>
          <w:color w:val="010000"/>
        </w:rPr>
      </w:pPr>
    </w:p>
    <w:p>
      <w:pPr>
        <w:jc w:val="both"/>
        <w:ind w:firstLine="1304"/>
        <w:spacing w:after="0" w:line="220" w:lineRule="auto"/>
        <w:tabs>
          <w:tab w:leader="none" w:pos="1938" w:val="left"/>
        </w:tabs>
        <w:numPr>
          <w:ilvl w:val="1"/>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Committee Determinations Final</w:t>
      </w:r>
      <w:r>
        <w:rPr>
          <w:rFonts w:ascii="Times New Roman" w:cs="Times New Roman" w:eastAsia="Times New Roman" w:hAnsi="Times New Roman"/>
          <w:sz w:val="18"/>
          <w:szCs w:val="18"/>
          <w:color w:val="auto"/>
        </w:rPr>
        <w:t>. All determinations of whether performance goals have been achieved and the number of PSUs earned by Grantee, including any adjustment to be made, shall be made by the Committee in its sole discretion. Following completion of the Performance Period (generally during the first fiscal quarter following the end of the Performance Period), the Committee will review and certify (i) whether, and to what extent, the performance goals for the Performance Period have been achieved, and (ii) the number of PSUs that are eligible to vest upon the Vesting Date, if any. Such certification shall be final, conclusive and binding on Grantee, and on all other persons, to the maximum extent permitted by law.</w:t>
      </w:r>
    </w:p>
    <w:p>
      <w:pPr>
        <w:spacing w:after="0" w:line="171"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41" w:val="left"/>
        </w:tabs>
        <w:numPr>
          <w:ilvl w:val="1"/>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Grantee’s Death or Disability</w:t>
      </w:r>
      <w:r>
        <w:rPr>
          <w:rFonts w:ascii="Times New Roman" w:cs="Times New Roman" w:eastAsia="Times New Roman" w:hAnsi="Times New Roman"/>
          <w:sz w:val="18"/>
          <w:szCs w:val="18"/>
          <w:color w:val="auto"/>
        </w:rPr>
        <w:t>. If Grantee dies or becomes “disabled” within the meaning of Section 409A(a)(2)(C)(i) or (ii) of the Code (“</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prior to the cessation of Grantee’s employment or provision of services to the Company or its Affiliate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and during the Performance Period and prior to a Change of Control, then PSUs equal to 100% of the Target Award shall vest on the date of such death or Disability (as applicable).</w:t>
      </w:r>
    </w:p>
    <w:p>
      <w:pPr>
        <w:spacing w:after="0" w:line="158" w:lineRule="exact"/>
        <w:rPr>
          <w:rFonts w:ascii="Times New Roman" w:cs="Times New Roman" w:eastAsia="Times New Roman" w:hAnsi="Times New Roman"/>
          <w:sz w:val="18"/>
          <w:szCs w:val="18"/>
          <w:color w:val="010000"/>
        </w:rPr>
      </w:pPr>
    </w:p>
    <w:p>
      <w:pPr>
        <w:jc w:val="both"/>
        <w:ind w:firstLine="1304"/>
        <w:spacing w:after="0" w:line="214" w:lineRule="auto"/>
        <w:tabs>
          <w:tab w:leader="none" w:pos="1938" w:val="left"/>
        </w:tabs>
        <w:numPr>
          <w:ilvl w:val="1"/>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Termination of Service by the Company or its Affiliate Without Cause</w:t>
      </w:r>
      <w:r>
        <w:rPr>
          <w:rFonts w:ascii="Times New Roman" w:cs="Times New Roman" w:eastAsia="Times New Roman" w:hAnsi="Times New Roman"/>
          <w:sz w:val="18"/>
          <w:szCs w:val="18"/>
          <w:color w:val="auto"/>
        </w:rPr>
        <w:t>. If Grantee’s Service terminates by action of the Company or its Affiliate without Cause (as defined in the Employment Agreement) during the first twelve (12) months of the Performance Period, all PSUs granted hereunder shall be automatically forfeited upon such Service termination. If Grantee’s Service terminates by action of the Company or its Affiliate without Cause after the first twelve (12) months of the Performance Period, then a pro rata portion of the PSUs, determined by multiplying the payout percentage certified by the Committee for the full Performance Period by a fraction, the numerator of which is the number of whole months between the first day of the Performance Period and the date of Grantee’s termination of Service, and the denominator of which is the number of months from the first day of the Performance Period to the Vesting Date, shall be eligible to vest as of the date of such Service termination based on attainment of performance goals during the portion of the Performance Period ending on the most recently completed fiscal year(s) as of the date of such termination (based on the targets set forth in Exhibit I). Any PSUs that are not eligible to vest in accordance with the preceding sentence shall be forfeited.</w:t>
      </w:r>
    </w:p>
    <w:p>
      <w:pPr>
        <w:sectPr>
          <w:pgSz w:w="11900" w:h="16838" w:orient="portrait"/>
          <w:cols w:equalWidth="0" w:num="1">
            <w:col w:w="11240"/>
          </w:cols>
          <w:pgMar w:left="320" w:top="104" w:right="339" w:bottom="1440" w:gutter="0" w:footer="0" w:header="0"/>
        </w:sectPr>
      </w:pPr>
    </w:p>
    <w:bookmarkStart w:id="102" w:name="page103"/>
    <w:bookmarkEnd w:id="102"/>
    <w:p>
      <w:pPr>
        <w:jc w:val="both"/>
        <w:ind w:firstLine="1304"/>
        <w:spacing w:after="0" w:line="224" w:lineRule="auto"/>
        <w:tabs>
          <w:tab w:leader="none" w:pos="1941" w:val="left"/>
        </w:tabs>
        <w:numPr>
          <w:ilvl w:val="1"/>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Termination of Service by Grantee for Retirement</w:t>
      </w:r>
      <w:r>
        <w:rPr>
          <w:rFonts w:ascii="Times New Roman" w:cs="Times New Roman" w:eastAsia="Times New Roman" w:hAnsi="Times New Roman"/>
          <w:sz w:val="18"/>
          <w:szCs w:val="18"/>
          <w:color w:val="auto"/>
        </w:rPr>
        <w:t>. If Grantee’s Service terminates due to Grantee’s resignation for Retirement (as defined in the Employment Agreement), then Grantee shall be eligible to vest in PSUs as determined under this Agreement as though his Service continued through the Vesting Date. Notwithstanding the foregoing, without limiting any party’s rights or obligations, all theretofore unsettled PSUs shall be forfeited immediately upon Grantee’s breach of his obligations under Section 5 of the Employment Agreement.</w:t>
      </w:r>
    </w:p>
    <w:p>
      <w:pPr>
        <w:spacing w:after="0" w:line="158"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1"/>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010000"/>
        </w:rPr>
      </w:pPr>
    </w:p>
    <w:p>
      <w:pPr>
        <w:jc w:val="both"/>
        <w:ind w:left="1300" w:firstLine="652"/>
        <w:spacing w:after="0" w:line="224" w:lineRule="auto"/>
        <w:tabs>
          <w:tab w:leader="none" w:pos="2590" w:val="left"/>
        </w:tabs>
        <w:numPr>
          <w:ilvl w:val="2"/>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 Change of Control occurs during the first twelve (12) months of the Performance Period, 100% of the Target Award PSUs shall convert to time-vested Stock Units (such converted PSUs,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and all such RSUs shall, subject to continued Service through the Vesting Date, vest on the Vesting Date and be settled at the same time the original PSUs would have been settled in accordance with Section 3 of this Agreement. Any PSUs that are not eligible to vest as of the Change of Control shall be forfeited.</w:t>
      </w:r>
    </w:p>
    <w:p>
      <w:pPr>
        <w:spacing w:after="0" w:line="158" w:lineRule="exact"/>
        <w:rPr>
          <w:rFonts w:ascii="Times New Roman" w:cs="Times New Roman" w:eastAsia="Times New Roman" w:hAnsi="Times New Roman"/>
          <w:sz w:val="18"/>
          <w:szCs w:val="18"/>
          <w:color w:val="010000"/>
        </w:rPr>
      </w:pPr>
    </w:p>
    <w:p>
      <w:pPr>
        <w:jc w:val="both"/>
        <w:ind w:left="1300" w:firstLine="652"/>
        <w:spacing w:after="0" w:line="220" w:lineRule="auto"/>
        <w:tabs>
          <w:tab w:leader="none" w:pos="2586" w:val="left"/>
        </w:tabs>
        <w:numPr>
          <w:ilvl w:val="2"/>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 Change of Control occurs in the second or third year of the Performance Period, all PSUs eligible to vest based on performance goals achieved in the most recently completed fiscal year(s) as of the date of such Change of Control (based on the targets set forth in Exhibit I), as certified by the Committee, shall convert to time-vested RSUs and all such RSUs shall, subject to continued Service through the Vesting Date, vest on the Vesting Date and be settled at the same time the original PSUs would have been settled in accordance with Section 3 of this Agreement. Any PSUs that are not eligible to vest as of the Change of Control shall be forfeited.</w:t>
      </w:r>
    </w:p>
    <w:p>
      <w:pPr>
        <w:spacing w:after="0" w:line="171" w:lineRule="exact"/>
        <w:rPr>
          <w:rFonts w:ascii="Times New Roman" w:cs="Times New Roman" w:eastAsia="Times New Roman" w:hAnsi="Times New Roman"/>
          <w:sz w:val="18"/>
          <w:szCs w:val="18"/>
          <w:color w:val="010000"/>
        </w:rPr>
      </w:pPr>
    </w:p>
    <w:p>
      <w:pPr>
        <w:jc w:val="both"/>
        <w:ind w:left="1300" w:firstLine="652"/>
        <w:spacing w:after="0" w:line="217" w:lineRule="auto"/>
        <w:tabs>
          <w:tab w:leader="none" w:pos="2596" w:val="left"/>
        </w:tabs>
        <w:numPr>
          <w:ilvl w:val="2"/>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the foregoing or anything in Section 2(e) to the contrary, if a Change of Control that qualifies as a “change in control event” within the meaning of Treasury Regulation Section 1.409A-3(i)(5) (a “</w:t>
      </w:r>
      <w:r>
        <w:rPr>
          <w:rFonts w:ascii="Times New Roman" w:cs="Times New Roman" w:eastAsia="Times New Roman" w:hAnsi="Times New Roman"/>
          <w:sz w:val="18"/>
          <w:szCs w:val="18"/>
          <w:u w:val="single" w:color="auto"/>
          <w:color w:val="auto"/>
        </w:rPr>
        <w:t>409A Change of Control</w:t>
      </w:r>
      <w:r>
        <w:rPr>
          <w:rFonts w:ascii="Times New Roman" w:cs="Times New Roman" w:eastAsia="Times New Roman" w:hAnsi="Times New Roman"/>
          <w:sz w:val="18"/>
          <w:szCs w:val="18"/>
          <w:color w:val="auto"/>
        </w:rPr>
        <w:t>”) occurs and, at any time prior to the second (2nd) anniversary of the 409A Change of Control, Grantee’s Service terminates by action of the Company or its Affiliate without Cause or due to Grantee’s Retirement, all time-vested RSUs (determined as described in Section 2(e)(i) or (ii), as applicable) shall become immediately vested upon such Service termination. [If Grantee dies or becomes Disabled prior to the cessation of Grantee’s Service and during the Performance Period and following a Change of Control, then all time-vested RSUs shall become immediately vested on the date of such death or Disability (as applicable).]</w:t>
      </w:r>
    </w:p>
    <w:p>
      <w:pPr>
        <w:spacing w:after="0" w:line="161" w:lineRule="exact"/>
        <w:rPr>
          <w:rFonts w:ascii="Times New Roman" w:cs="Times New Roman" w:eastAsia="Times New Roman" w:hAnsi="Times New Roman"/>
          <w:sz w:val="18"/>
          <w:szCs w:val="18"/>
          <w:color w:val="010000"/>
        </w:rPr>
      </w:pPr>
    </w:p>
    <w:p>
      <w:pPr>
        <w:jc w:val="both"/>
        <w:ind w:left="1300" w:firstLine="652"/>
        <w:spacing w:after="0" w:line="231" w:lineRule="auto"/>
        <w:tabs>
          <w:tab w:leader="none" w:pos="2586" w:val="left"/>
        </w:tabs>
        <w:numPr>
          <w:ilvl w:val="2"/>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the foregoing clauses (i) through (iii), if a Change of Control occurs and the surviving entity does not assume and continue the PSUs, then the PSUs shall become fully vested immediately prior to the Change of Control based on the performance assumptions described in clauses (i) and (ii) above, as applicable.</w:t>
      </w:r>
    </w:p>
    <w:p>
      <w:pPr>
        <w:spacing w:after="0" w:line="158"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2"/>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references to PSUs herein shall include the RSUs into which PSUs may be converted.</w:t>
      </w:r>
    </w:p>
    <w:p>
      <w:pPr>
        <w:spacing w:after="0" w:line="180"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Payment of PSUs (Settlement).</w:t>
      </w:r>
    </w:p>
    <w:p>
      <w:pPr>
        <w:spacing w:after="0" w:line="202" w:lineRule="exact"/>
        <w:rPr>
          <w:rFonts w:ascii="Times New Roman" w:cs="Times New Roman" w:eastAsia="Times New Roman" w:hAnsi="Times New Roman"/>
          <w:sz w:val="18"/>
          <w:szCs w:val="18"/>
          <w:color w:val="010000"/>
        </w:rPr>
      </w:pPr>
    </w:p>
    <w:p>
      <w:pPr>
        <w:jc w:val="both"/>
        <w:ind w:firstLine="1304"/>
        <w:spacing w:after="0" w:line="224" w:lineRule="auto"/>
        <w:tabs>
          <w:tab w:leader="none" w:pos="1941" w:val="left"/>
        </w:tabs>
        <w:numPr>
          <w:ilvl w:val="1"/>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Payment in respect of the PSUs eligible to vest for the Performance Period (i.e., the settlement of such PSUs) shall be made in shares of Stock that shall be issued to Grantee as soon as practicable (and in any event within two and one-half (2½) months following) following the Vesting Date, or, if earlier, (a) the date of Grantee’s death or Disability, as applicable, while in continuous Service or (b) if a 409A Change of Control occurs and Grantee’s Service terminates prior to the second (2nd) anniversary of the 409A Change of Control, the date of such termination of Service.</w:t>
      </w:r>
    </w:p>
    <w:p>
      <w:pPr>
        <w:spacing w:after="0" w:line="158" w:lineRule="exact"/>
        <w:rPr>
          <w:rFonts w:ascii="Times New Roman" w:cs="Times New Roman" w:eastAsia="Times New Roman" w:hAnsi="Times New Roman"/>
          <w:sz w:val="18"/>
          <w:szCs w:val="18"/>
          <w:color w:val="010000"/>
        </w:rPr>
      </w:pPr>
    </w:p>
    <w:p>
      <w:pPr>
        <w:jc w:val="both"/>
        <w:ind w:firstLine="1304"/>
        <w:spacing w:after="0" w:line="220" w:lineRule="auto"/>
        <w:tabs>
          <w:tab w:leader="none" w:pos="1938" w:val="left"/>
        </w:tabs>
        <w:numPr>
          <w:ilvl w:val="1"/>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Certificates or evidence of book-entry shares representing the Stock issued upon settlement of PSUs pursuant to this Section 3 will be delivered to or otherwise made available to Grantee (or, at the discretion of Grantee, jointly in the names of Grantee and Grantee’s spouse) or, in the case of Grantee’s death, to Grantee’s beneficiary or, if none is identified in the records of the Company, Grantee’s spouse or, if none, Grantee’s estate. It is intended that delivery of shares of Stock under this Agreement will comply with all applicable laws (including, the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applicable requirements of any securities exchange or similar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103" w:name="page104"/>
    <w:bookmarkEnd w:id="103"/>
    <w:p>
      <w:pPr>
        <w:jc w:val="both"/>
        <w:ind w:firstLine="1304"/>
        <w:spacing w:after="0" w:line="224" w:lineRule="auto"/>
        <w:tabs>
          <w:tab w:leader="none" w:pos="1941" w:val="left"/>
        </w:tabs>
        <w:numPr>
          <w:ilvl w:val="1"/>
          <w:numId w:val="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anything herein to the contrary, (i) to the extent Grantee breaches any restrictive covenants under an agreement Grantee entered into with the Company or any of its Affiliates, including without limitation those set forth in Section 5 of the Employment Agreement, the PSUs may be immediately forfeited to the extent not yet settled and (ii) the PSUs are subject to forfeiture and any Stock issued hereunder subject to clawback in accordance with Section 21(g) of the Plan.</w:t>
      </w:r>
    </w:p>
    <w:p>
      <w:pPr>
        <w:spacing w:after="0" w:line="154" w:lineRule="exact"/>
        <w:rPr>
          <w:rFonts w:ascii="Times New Roman" w:cs="Times New Roman" w:eastAsia="Times New Roman" w:hAnsi="Times New Roman"/>
          <w:sz w:val="18"/>
          <w:szCs w:val="18"/>
          <w:color w:val="010000"/>
        </w:rPr>
      </w:pPr>
    </w:p>
    <w:p>
      <w:pPr>
        <w:jc w:val="both"/>
        <w:ind w:firstLine="656"/>
        <w:spacing w:after="0" w:line="218" w:lineRule="auto"/>
        <w:tabs>
          <w:tab w:leader="none" w:pos="1296"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The PSUs subject to this Award or the rights relating thereto may not be assigned, alienated, pledged, attached, sold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transferred or encumbered by Grantee, except by will or the laws of descent and distribution, and upon any such transfer by will or the laws of descent and distribution, the transferee shall hold such PSUs subject to all of the terms and conditions that were applicable to Grantee immediately prior to such transfer. After such PSUs vest and are settled in accordance with this Agreement, no sale or disposition of such shares of Stock shall be made in the absence of an effective registration statement under the Securities Act with respect to such shares unless an opinion of counsel satisfactory to the Company that such sale or disposition will not constitute a violation of the Securities Act or any other applicable securities laws is first obtained or an exemption from such registration pursuant to Rule 144 under the Securities Act or otherwise is available.</w:t>
      </w:r>
    </w:p>
    <w:p>
      <w:pPr>
        <w:spacing w:after="0" w:line="168" w:lineRule="exact"/>
        <w:rPr>
          <w:rFonts w:ascii="Times New Roman" w:cs="Times New Roman" w:eastAsia="Times New Roman" w:hAnsi="Times New Roman"/>
          <w:sz w:val="18"/>
          <w:szCs w:val="18"/>
          <w:color w:val="010000"/>
        </w:rPr>
      </w:pPr>
    </w:p>
    <w:p>
      <w:pPr>
        <w:jc w:val="both"/>
        <w:ind w:firstLine="656"/>
        <w:spacing w:after="0" w:line="218" w:lineRule="auto"/>
        <w:tabs>
          <w:tab w:leader="none" w:pos="1296"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Rights as Shareholder; Dividend Equivalents. </w:t>
      </w:r>
      <w:r>
        <w:rPr>
          <w:rFonts w:ascii="Times New Roman" w:cs="Times New Roman" w:eastAsia="Times New Roman" w:hAnsi="Times New Roman"/>
          <w:sz w:val="18"/>
          <w:szCs w:val="18"/>
          <w:color w:val="auto"/>
        </w:rPr>
        <w:t>Grantee shall have no rights as a stockholder with respect to the PSUs unless and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PSUs are settled by delivery of Stock in accordance with Section 3(b) of this Agreement. As of any date that the Company pays an ordinary cash dividend on its shares of Stock, the Company will increase the number of PSUs hereunder (i.e., by increasing the Target Award) by the number of shares of Stock that represent an amount equal to the per share value of dividend paid by the Company on its shares of Stock (if paid in cash or shares) multiplied by the number of target PSUs held by Grantee as of the related dividend payment record date. Any such additional PSUs shall be subject to the same vesting, forfeiture, payment, termination and other terms, conditions and restrictions as the original PSUs to which they relate. No additional PSUs shall be granted with respect to any PSUs which, as of the record date, have either been paid or terminated.</w:t>
      </w:r>
    </w:p>
    <w:p>
      <w:pPr>
        <w:spacing w:after="0" w:line="155" w:lineRule="exact"/>
        <w:rPr>
          <w:rFonts w:ascii="Times New Roman" w:cs="Times New Roman" w:eastAsia="Times New Roman" w:hAnsi="Times New Roman"/>
          <w:sz w:val="18"/>
          <w:szCs w:val="18"/>
          <w:color w:val="010000"/>
        </w:rPr>
      </w:pPr>
    </w:p>
    <w:p>
      <w:pPr>
        <w:jc w:val="both"/>
        <w:ind w:firstLine="656"/>
        <w:spacing w:after="0" w:line="232" w:lineRule="auto"/>
        <w:tabs>
          <w:tab w:leader="none" w:pos="1296"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Change in Capital Structure. </w:t>
      </w:r>
      <w:r>
        <w:rPr>
          <w:rFonts w:ascii="Times New Roman" w:cs="Times New Roman" w:eastAsia="Times New Roman" w:hAnsi="Times New Roman"/>
          <w:sz w:val="18"/>
          <w:szCs w:val="18"/>
          <w:color w:val="auto"/>
        </w:rPr>
        <w:t>In accordance with Section 5(d) of the Plan, the terms of this Agreement, including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 in respect of the PSUs shall be adjusted as the Administrator determines is equitably required in the event the Company effects one or more stock dividends, stock splits, subdivisions or consolidations of shares or other similar changes in capitalization described in Section 5(d) of the Plan.</w:t>
      </w:r>
    </w:p>
    <w:p>
      <w:pPr>
        <w:spacing w:after="0" w:line="15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Tax Liability and Withholding</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010000"/>
        </w:rPr>
      </w:pPr>
    </w:p>
    <w:p>
      <w:pPr>
        <w:jc w:val="both"/>
        <w:ind w:firstLine="1304"/>
        <w:spacing w:after="0" w:line="217" w:lineRule="auto"/>
        <w:tabs>
          <w:tab w:leader="none" w:pos="1941" w:val="left"/>
        </w:tabs>
        <w:numPr>
          <w:ilvl w:val="1"/>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Grantee understands that when the PSUs are settled in accordance with Section 4, Grantee will be obligated to recognize income, for Federal, state and local income tax purposes, as applicable, in an amount equal to the Fair Market Value of the share of Stock as of such date, and Grantee is responsible for all tax obligations that arise in connection with the PSUs. Notwithstanding any action the Company takes with respect to any or all income tax, social insurance, payroll tax, or other tax-related withholding (“</w:t>
      </w:r>
      <w:r>
        <w:rPr>
          <w:rFonts w:ascii="Times New Roman" w:cs="Times New Roman" w:eastAsia="Times New Roman" w:hAnsi="Times New Roman"/>
          <w:sz w:val="18"/>
          <w:szCs w:val="18"/>
          <w:u w:val="single" w:color="auto"/>
          <w:color w:val="auto"/>
        </w:rPr>
        <w:t>Tax-Related Items</w:t>
      </w:r>
      <w:r>
        <w:rPr>
          <w:rFonts w:ascii="Times New Roman" w:cs="Times New Roman" w:eastAsia="Times New Roman" w:hAnsi="Times New Roman"/>
          <w:sz w:val="18"/>
          <w:szCs w:val="18"/>
          <w:color w:val="auto"/>
        </w:rPr>
        <w:t>”), the ultimate liability for all Tax-Related Items is and remains Grantee’s responsibility and the Company (i) makes no representation or undertakings regarding the treatment of any Tax-Related Items in connection with the grant or vesting of the PSUs, the delivery of Stock underlying the PSUs, or the subsequent sale of any shares of the Stock underlying the PSUs; and (ii) does not commit to structure the PSUs or the delivery of Stock underlying the PSUs to reduce or eliminate Grantee’s liability for Tax-Related Items.</w:t>
      </w:r>
    </w:p>
    <w:p>
      <w:pPr>
        <w:spacing w:after="0" w:line="163" w:lineRule="exact"/>
        <w:rPr>
          <w:rFonts w:ascii="Times New Roman" w:cs="Times New Roman" w:eastAsia="Times New Roman" w:hAnsi="Times New Roman"/>
          <w:sz w:val="18"/>
          <w:szCs w:val="18"/>
          <w:color w:val="010000"/>
        </w:rPr>
      </w:pPr>
    </w:p>
    <w:p>
      <w:pPr>
        <w:jc w:val="both"/>
        <w:ind w:firstLine="1304"/>
        <w:spacing w:after="0" w:line="215" w:lineRule="auto"/>
        <w:tabs>
          <w:tab w:leader="none" w:pos="1938" w:val="left"/>
        </w:tabs>
        <w:numPr>
          <w:ilvl w:val="1"/>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anything in the Plan or this Agreement to the contrary, unless Grantee has delivered an amount necessary to satisfy the Tax-Related Items as of the settlement date for the PSUs, Grantee agrees to the following methods of satisfying the Tax-Related Items on behalf of Grantee in connection with the PSUs and the delivery of Stock underlying the PSUs, in the discretion of the Company: (i) through the automatic withholding of a sufficient number of shares of Stock that would otherwise be delivered to Grantee, applying procedures approved by the Administrator, such withheld shares having an aggregate Fair Market Value on the date of settlement that shall not exceed the minimum amount of the Tax-Related Items, rounded up for any partial share of Stock that would be withheld to satisfy such obligation (or such other amount as the Administrator determines will not result in additional compensation expense for financial accounting purposes under applicable financial accounting principles); (ii) through the deduction from any other payment otherwise due to Grantee at the time of exercise; or (iii) a combination of any or all of the foregoing.</w:t>
      </w:r>
    </w:p>
    <w:p>
      <w:pPr>
        <w:spacing w:after="0" w:line="163" w:lineRule="exact"/>
        <w:rPr>
          <w:rFonts w:ascii="Times New Roman" w:cs="Times New Roman" w:eastAsia="Times New Roman" w:hAnsi="Times New Roman"/>
          <w:sz w:val="18"/>
          <w:szCs w:val="18"/>
          <w:color w:val="010000"/>
        </w:rPr>
      </w:pPr>
    </w:p>
    <w:p>
      <w:pPr>
        <w:jc w:val="both"/>
        <w:ind w:firstLine="1304"/>
        <w:spacing w:after="0" w:line="231" w:lineRule="auto"/>
        <w:tabs>
          <w:tab w:leader="none" w:pos="1941" w:val="left"/>
        </w:tabs>
        <w:numPr>
          <w:ilvl w:val="1"/>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otherwise determined by the Administrator, Grantee may satisfy the tax withholding obligation by delivery of cash or by surrendering shares deliverable in settlement of the PSU or by delivering shares of Stock owned by Grantee (having in any case, an aggregate Fair Market Value on the date of exercise equal to the amount of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4" w:right="339" w:bottom="1440" w:gutter="0" w:footer="0" w:header="0"/>
        </w:sectPr>
      </w:pPr>
    </w:p>
    <w:bookmarkStart w:id="104" w:name="page105"/>
    <w:bookmarkEnd w:id="104"/>
    <w:p>
      <w:pPr>
        <w:ind w:firstLine="656"/>
        <w:spacing w:after="0" w:line="239" w:lineRule="auto"/>
        <w:tabs>
          <w:tab w:leader="none" w:pos="1296"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Conflicts. </w:t>
      </w:r>
      <w:r>
        <w:rPr>
          <w:rFonts w:ascii="Times New Roman" w:cs="Times New Roman" w:eastAsia="Times New Roman" w:hAnsi="Times New Roman"/>
          <w:sz w:val="18"/>
          <w:szCs w:val="18"/>
          <w:color w:val="auto"/>
        </w:rPr>
        <w:t>In the event of any conflict between the provisions of the Plan as in effect on the Date of Grant and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provisions of the Plan shall govern. All references herein to the Plan mean the Plan as in effect on the date hereof.</w:t>
      </w:r>
    </w:p>
    <w:p>
      <w:pPr>
        <w:spacing w:after="0" w:line="168" w:lineRule="exact"/>
        <w:rPr>
          <w:rFonts w:ascii="Times New Roman" w:cs="Times New Roman" w:eastAsia="Times New Roman" w:hAnsi="Times New Roman"/>
          <w:sz w:val="18"/>
          <w:szCs w:val="18"/>
          <w:color w:val="010000"/>
        </w:rPr>
      </w:pPr>
    </w:p>
    <w:p>
      <w:pPr>
        <w:jc w:val="both"/>
        <w:ind w:firstLine="656"/>
        <w:spacing w:after="0" w:line="227" w:lineRule="auto"/>
        <w:tabs>
          <w:tab w:leader="none" w:pos="1296"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No Right to Continued Service. </w:t>
      </w:r>
      <w:r>
        <w:rPr>
          <w:rFonts w:ascii="Times New Roman" w:cs="Times New Roman" w:eastAsia="Times New Roman" w:hAnsi="Times New Roman"/>
          <w:sz w:val="18"/>
          <w:szCs w:val="18"/>
          <w:color w:val="auto"/>
        </w:rPr>
        <w:t>Neither the Plan nor this Agreement shall confer upon Grantee any right to be retained in any 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employee, consultant or director of the Company or any of its subsidiaries. Further, nothing in the Plan or this Agreement shall be construed to limit the discretion of the Company to terminate Grantee’s employment at any time, with or without Cause.</w:t>
      </w:r>
    </w:p>
    <w:p>
      <w:pPr>
        <w:spacing w:after="0" w:line="168" w:lineRule="exact"/>
        <w:rPr>
          <w:rFonts w:ascii="Times New Roman" w:cs="Times New Roman" w:eastAsia="Times New Roman" w:hAnsi="Times New Roman"/>
          <w:sz w:val="18"/>
          <w:szCs w:val="18"/>
          <w:color w:val="010000"/>
        </w:rPr>
      </w:pPr>
    </w:p>
    <w:p>
      <w:pPr>
        <w:jc w:val="both"/>
        <w:ind w:firstLine="656"/>
        <w:spacing w:after="0" w:line="225" w:lineRule="auto"/>
        <w:tabs>
          <w:tab w:leader="none" w:pos="1291"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grant and settlement of the PSUs shall be subject to compliance by the Company and Grantee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requirements of federal and state securities laws and with all applicable requirements of any stock exchange on which the Company’s shares of Stock may be listed. No shares of Stock shall be issued in settlement of the PSUs unless and until any then applicable requirements of state or federal laws and regulatory agencies have been fully complied with to the satisfaction of the Company and its counsel.</w:t>
      </w:r>
    </w:p>
    <w:p>
      <w:pPr>
        <w:spacing w:after="0" w:line="155" w:lineRule="exact"/>
        <w:rPr>
          <w:rFonts w:ascii="Times New Roman" w:cs="Times New Roman" w:eastAsia="Times New Roman" w:hAnsi="Times New Roman"/>
          <w:sz w:val="18"/>
          <w:szCs w:val="18"/>
          <w:color w:val="010000"/>
        </w:rPr>
      </w:pPr>
    </w:p>
    <w:p>
      <w:pPr>
        <w:jc w:val="both"/>
        <w:ind w:firstLine="656"/>
        <w:spacing w:after="0" w:line="225" w:lineRule="auto"/>
        <w:tabs>
          <w:tab w:leader="none" w:pos="1285"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 required to be delivered to the Company under this Agreement shall be in writing and addressed to the Secretary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at the Company’s principal corporate offices. Any notice required to be delivered to Grantee under this Agreement shall be in writing and addressed to Grantee at Grantee’s address as shown in the records of the Company. Either party may designate another address in writing (or by such other method approved by the Company) from time to time.</w:t>
      </w:r>
    </w:p>
    <w:p>
      <w:pPr>
        <w:spacing w:after="0" w:line="155" w:lineRule="exact"/>
        <w:rPr>
          <w:rFonts w:ascii="Times New Roman" w:cs="Times New Roman" w:eastAsia="Times New Roman" w:hAnsi="Times New Roman"/>
          <w:sz w:val="18"/>
          <w:szCs w:val="18"/>
          <w:color w:val="010000"/>
        </w:rPr>
      </w:pPr>
    </w:p>
    <w:p>
      <w:pPr>
        <w:ind w:firstLine="656"/>
        <w:spacing w:after="0" w:line="255" w:lineRule="auto"/>
        <w:tabs>
          <w:tab w:leader="none" w:pos="1291"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Interpretation. </w:t>
      </w:r>
      <w:r>
        <w:rPr>
          <w:rFonts w:ascii="Times New Roman" w:cs="Times New Roman" w:eastAsia="Times New Roman" w:hAnsi="Times New Roman"/>
          <w:sz w:val="18"/>
          <w:szCs w:val="18"/>
          <w:color w:val="auto"/>
        </w:rPr>
        <w:t>Any dispute regarding the interpretation of this Agreement shall be submitted by Grantee or the Company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for review. The resolution of such dispute by the Administrator shall be final and binding on Grantee and the Company.</w:t>
      </w:r>
    </w:p>
    <w:p>
      <w:pPr>
        <w:spacing w:after="0" w:line="140" w:lineRule="exact"/>
        <w:rPr>
          <w:rFonts w:ascii="Times New Roman" w:cs="Times New Roman" w:eastAsia="Times New Roman" w:hAnsi="Times New Roman"/>
          <w:sz w:val="18"/>
          <w:szCs w:val="18"/>
          <w:color w:val="010000"/>
        </w:rPr>
      </w:pPr>
    </w:p>
    <w:p>
      <w:pPr>
        <w:jc w:val="both"/>
        <w:ind w:firstLine="656"/>
        <w:spacing w:after="0" w:line="225" w:lineRule="auto"/>
        <w:tabs>
          <w:tab w:leader="none" w:pos="1291"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Successors and Assigns. </w:t>
      </w:r>
      <w:r>
        <w:rPr>
          <w:rFonts w:ascii="Times New Roman" w:cs="Times New Roman" w:eastAsia="Times New Roman" w:hAnsi="Times New Roman"/>
          <w:sz w:val="18"/>
          <w:szCs w:val="18"/>
          <w:color w:val="auto"/>
        </w:rPr>
        <w:t>The Company may assign any of its rights under this Agreement. This Agreement will be binding upon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inure to the benefit of the successors and assigns of the Company. Subject to the restrictions on transfer set forth herein, this Agreement will be binding upon Grantee and Grantee’s beneficiaries, executors, administrators and the person(s) to whom this Agreement may be transferred by will or the laws of descent or distribution.</w:t>
      </w:r>
    </w:p>
    <w:p>
      <w:pPr>
        <w:spacing w:after="0" w:line="155" w:lineRule="exact"/>
        <w:rPr>
          <w:rFonts w:ascii="Times New Roman" w:cs="Times New Roman" w:eastAsia="Times New Roman" w:hAnsi="Times New Roman"/>
          <w:sz w:val="18"/>
          <w:szCs w:val="18"/>
          <w:color w:val="010000"/>
        </w:rPr>
      </w:pPr>
    </w:p>
    <w:p>
      <w:pPr>
        <w:jc w:val="both"/>
        <w:ind w:firstLine="656"/>
        <w:spacing w:after="0" w:line="232" w:lineRule="auto"/>
        <w:tabs>
          <w:tab w:leader="none" w:pos="1291"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invalidity or unenforceability of any provision of the Plan or this Agreement shall not affect the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any other provision of the Plan or this Agreement, and each provision of the Plan and this Agreement shall be severable and enforceable to the extent permitted by law.</w:t>
      </w:r>
    </w:p>
    <w:p>
      <w:pPr>
        <w:spacing w:after="0" w:line="155" w:lineRule="exact"/>
        <w:rPr>
          <w:rFonts w:ascii="Times New Roman" w:cs="Times New Roman" w:eastAsia="Times New Roman" w:hAnsi="Times New Roman"/>
          <w:sz w:val="18"/>
          <w:szCs w:val="18"/>
          <w:color w:val="010000"/>
        </w:rPr>
      </w:pPr>
    </w:p>
    <w:p>
      <w:pPr>
        <w:jc w:val="both"/>
        <w:ind w:firstLine="656"/>
        <w:spacing w:after="0" w:line="225" w:lineRule="auto"/>
        <w:tabs>
          <w:tab w:leader="none" w:pos="1291"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Discretionary Nature of Plan. </w:t>
      </w:r>
      <w:r>
        <w:rPr>
          <w:rFonts w:ascii="Times New Roman" w:cs="Times New Roman" w:eastAsia="Times New Roman" w:hAnsi="Times New Roman"/>
          <w:sz w:val="18"/>
          <w:szCs w:val="18"/>
          <w:color w:val="auto"/>
        </w:rPr>
        <w:t>The Plan is discretionary and may be amended, cancelled or terminated by the Company at any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discretion. The grant of the PSUs in this Agreement does not create any contractual right or other right to receive any Grants in the future. Future Grants, if any, will be at the sole discretion of the Company. Any amendment, modification, or termination of the Plan shall not constitute a change or impairment of the terms and conditions of Grantee’s Service to the Company.</w:t>
      </w:r>
    </w:p>
    <w:p>
      <w:pPr>
        <w:spacing w:after="0" w:line="168" w:lineRule="exact"/>
        <w:rPr>
          <w:rFonts w:ascii="Times New Roman" w:cs="Times New Roman" w:eastAsia="Times New Roman" w:hAnsi="Times New Roman"/>
          <w:sz w:val="18"/>
          <w:szCs w:val="18"/>
          <w:color w:val="010000"/>
        </w:rPr>
      </w:pPr>
    </w:p>
    <w:p>
      <w:pPr>
        <w:ind w:firstLine="656"/>
        <w:spacing w:after="0" w:line="239" w:lineRule="auto"/>
        <w:tabs>
          <w:tab w:leader="none" w:pos="1291"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The Administrator has the right to amend, alter, suspend, discontinue or cancel the PSUs, prospectively or retroactively;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no such amendment shall adversely affect Grantee’s material rights under this Agreement without Grantee’s consent.</w:t>
      </w:r>
    </w:p>
    <w:p>
      <w:pPr>
        <w:spacing w:after="0" w:line="154" w:lineRule="exact"/>
        <w:rPr>
          <w:rFonts w:ascii="Times New Roman" w:cs="Times New Roman" w:eastAsia="Times New Roman" w:hAnsi="Times New Roman"/>
          <w:sz w:val="18"/>
          <w:szCs w:val="18"/>
          <w:color w:val="010000"/>
        </w:rPr>
      </w:pPr>
    </w:p>
    <w:p>
      <w:pPr>
        <w:ind w:right="20" w:firstLine="656"/>
        <w:spacing w:after="0" w:line="255" w:lineRule="auto"/>
        <w:tabs>
          <w:tab w:leader="none" w:pos="1291"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No Impact on Other Benefits. </w:t>
      </w:r>
      <w:r>
        <w:rPr>
          <w:rFonts w:ascii="Times New Roman" w:cs="Times New Roman" w:eastAsia="Times New Roman" w:hAnsi="Times New Roman"/>
          <w:sz w:val="18"/>
          <w:szCs w:val="18"/>
          <w:color w:val="auto"/>
        </w:rPr>
        <w:t>The value of Grantee’s PSUs or the Stock underlying the PSUs is not part of his or her normal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compensation for purposes of calculating any severance, retirement, welfare, insurance or similar employee benefit.</w:t>
      </w:r>
    </w:p>
    <w:p>
      <w:pPr>
        <w:spacing w:after="0" w:line="140" w:lineRule="exact"/>
        <w:rPr>
          <w:rFonts w:ascii="Times New Roman" w:cs="Times New Roman" w:eastAsia="Times New Roman" w:hAnsi="Times New Roman"/>
          <w:sz w:val="18"/>
          <w:szCs w:val="18"/>
          <w:color w:val="010000"/>
        </w:rPr>
      </w:pPr>
    </w:p>
    <w:p>
      <w:pPr>
        <w:jc w:val="both"/>
        <w:ind w:firstLine="656"/>
        <w:spacing w:after="0" w:line="215" w:lineRule="auto"/>
        <w:tabs>
          <w:tab w:leader="none" w:pos="1291"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This Agreement is intended to comply with section 409A of the Code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or an exemption thereunder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21(b) of the Plan and shall be construed and interpreted, including any ambiguities herein, in a manner that is consistent with the requirements for avoiding additional taxes or penalties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Grantee on account of non-compliance with Section 409A. Notwithstanding the foregoing or anything herein to the contrary, if the PSUs constitute nonqualified deferred compensation within the meaning of Section 409A and if Grantee is deemed a “specified employee” within the meaning of Section 409A, each as determined by the Administrator, at a time when Grantee becomes eligible for settlement of the PSUs upon his or her “separation from service” within the meaning of Section 409A, then to the extent necessary to prevent any accelerated or additional tax under Section 409A, such settlement will be delayed until the earlier of: (a) the first day of the month following the date that is six months following Grantee’s separation from service and (b)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0" w:right="339" w:bottom="1440" w:gutter="0" w:footer="0" w:header="0"/>
        </w:sectPr>
      </w:pPr>
    </w:p>
    <w:bookmarkStart w:id="105" w:name="page106"/>
    <w:bookmarkEnd w:id="105"/>
    <w:p>
      <w:pPr>
        <w:ind w:right="20"/>
        <w:spacing w:after="0" w:line="237" w:lineRule="auto"/>
        <w:rPr>
          <w:sz w:val="20"/>
          <w:szCs w:val="20"/>
          <w:color w:val="auto"/>
        </w:rPr>
      </w:pPr>
      <w:r>
        <w:rPr>
          <w:rFonts w:ascii="Times New Roman" w:cs="Times New Roman" w:eastAsia="Times New Roman" w:hAnsi="Times New Roman"/>
          <w:sz w:val="18"/>
          <w:szCs w:val="18"/>
          <w:color w:val="auto"/>
        </w:rPr>
        <w:t>death. If the PSUs constitute nonqualified deferred compensation within the meaning of Section 409A, references in this Agreement to a termination of employment or cessation of Service or the like shall mean a “separation from service” under Section 409A.</w:t>
      </w:r>
    </w:p>
    <w:p>
      <w:pPr>
        <w:spacing w:after="0" w:line="168" w:lineRule="exact"/>
        <w:rPr>
          <w:sz w:val="20"/>
          <w:szCs w:val="20"/>
          <w:color w:val="auto"/>
        </w:rPr>
      </w:pPr>
    </w:p>
    <w:p>
      <w:pPr>
        <w:jc w:val="both"/>
        <w:ind w:firstLine="656"/>
        <w:spacing w:after="0" w:line="225" w:lineRule="auto"/>
        <w:tabs>
          <w:tab w:leader="none" w:pos="1291" w:val="left"/>
        </w:tabs>
        <w:numPr>
          <w:ilvl w:val="0"/>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counterparts, each of which shall be deemed an original but all of which together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5" w:lineRule="exact"/>
        <w:rPr>
          <w:rFonts w:ascii="Times New Roman" w:cs="Times New Roman" w:eastAsia="Times New Roman" w:hAnsi="Times New Roman"/>
          <w:sz w:val="18"/>
          <w:szCs w:val="18"/>
          <w:color w:val="010000"/>
        </w:rPr>
      </w:pPr>
    </w:p>
    <w:p>
      <w:pPr>
        <w:ind w:firstLine="656"/>
        <w:spacing w:after="0" w:line="239" w:lineRule="auto"/>
        <w:tabs>
          <w:tab w:leader="none" w:pos="1291" w:val="left"/>
        </w:tabs>
        <w:numPr>
          <w:ilvl w:val="0"/>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Grantee Bound by Plan. </w:t>
      </w:r>
      <w:r>
        <w:rPr>
          <w:rFonts w:ascii="Times New Roman" w:cs="Times New Roman" w:eastAsia="Times New Roman" w:hAnsi="Times New Roman"/>
          <w:sz w:val="18"/>
          <w:szCs w:val="18"/>
          <w:color w:val="auto"/>
        </w:rPr>
        <w:t>Grantee hereby acknowledges that a copy of the Plan has been made available to him or her and agrees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by all the terms and provisions thereof. The terms and conditions of the Plan are incorporated into this Agreement by reference.</w:t>
      </w:r>
    </w:p>
    <w:p>
      <w:pPr>
        <w:spacing w:after="0" w:line="168"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the laws of the State of Delaware without regard to conflict of law principles.</w:t>
      </w:r>
    </w:p>
    <w:p>
      <w:pPr>
        <w:spacing w:after="0" w:line="184" w:lineRule="exact"/>
        <w:rPr>
          <w:rFonts w:ascii="Times New Roman" w:cs="Times New Roman" w:eastAsia="Times New Roman" w:hAnsi="Times New Roman"/>
          <w:sz w:val="18"/>
          <w:szCs w:val="18"/>
          <w:color w:val="010000"/>
        </w:rPr>
      </w:pPr>
    </w:p>
    <w:p>
      <w:pPr>
        <w:jc w:val="both"/>
        <w:ind w:firstLine="656"/>
        <w:spacing w:after="0" w:line="225" w:lineRule="auto"/>
        <w:tabs>
          <w:tab w:leader="none" w:pos="1291" w:val="left"/>
        </w:tabs>
        <w:numPr>
          <w:ilvl w:val="0"/>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Grantee hereby acknowledges receipt of a copy of the Plan and this Agreement. Grantee has read and understands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provisions thereof, and accepts the PSUs subject to all of the terms and conditions of the Plan and this Agreement. Grantee acknowledges that there may be adverse tax consequences upon grant or vesting of or settlement of the PSUs and that Grantee should consult a tax advisor prior to such vesting or settlement.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4" w:right="339" w:bottom="1440" w:gutter="0" w:footer="0" w:header="0"/>
        </w:sectPr>
      </w:pPr>
    </w:p>
    <w:bookmarkStart w:id="106" w:name="page107"/>
    <w:bookmarkEnd w:id="106"/>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its duly authorized officer to execute this Agreement, and Grantee has placed his or her signature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hereon, effective as of the Date of Grant.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MONEY EXPRESS, INC.</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302577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3025775" cy="1714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Ernesto Luciano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General Counsel | Chief Legal Officer</w:t>
      </w:r>
    </w:p>
    <w:p>
      <w:pPr>
        <w:spacing w:after="0" w:line="315"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I hereby accept this Grant of PSUs and I agree to be bound by the terms of the Plan and this Agreement. I further agree that all of the decisions and interpretations of the Company with respect thereto shall be final and binding.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330898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Robert W.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42011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i w:val="1"/>
          <w:iCs w:val="1"/>
          <w:color w:val="auto"/>
        </w:rPr>
        <w:t>[Signature Page to International Money Express Inc. PSU Agreement]</w:t>
      </w:r>
    </w:p>
    <w:p>
      <w:pPr>
        <w:sectPr>
          <w:pgSz w:w="11900" w:h="16838" w:orient="portrait"/>
          <w:cols w:equalWidth="0" w:num="1">
            <w:col w:w="10940"/>
          </w:cols>
          <w:pgMar w:left="320" w:top="1440" w:right="6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1"/>
          <w:szCs w:val="21"/>
          <w:b w:val="1"/>
          <w:bCs w:val="1"/>
          <w:color w:val="auto"/>
        </w:rPr>
        <w:t>EXHIBIT I</w:t>
      </w:r>
    </w:p>
    <w:p>
      <w:pPr>
        <w:sectPr>
          <w:pgSz w:w="11900" w:h="16838" w:orient="portrait"/>
          <w:cols w:equalWidth="0" w:num="1">
            <w:col w:w="9019"/>
          </w:cols>
          <w:pgMar w:left="1440" w:top="13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1391" w:right="1440" w:bottom="1440" w:gutter="0" w:footer="0" w:header="0"/>
          <w:type w:val="continuous"/>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10.19(b)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EMPLOYMENT AGREEMENT</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Amendment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Employment Agreement dated as of September 23, 2019, between INTERNATIONAL MONEY EXPRESS, INC., a Delaware corporation and Joseph Aguilar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effective January 16, 2023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Capitalized terms used herein and not otherwise defined shall have the meaning set forth in the Employment Agreement.</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Employer and Executive desire to enter into this Amendment to the Agreement and hereby agree to the following as of the Amendment Effective Date:</w:t>
      </w:r>
    </w:p>
    <w:p>
      <w:pPr>
        <w:spacing w:after="0" w:line="189" w:lineRule="exact"/>
        <w:rPr>
          <w:sz w:val="20"/>
          <w:szCs w:val="20"/>
          <w:color w:val="auto"/>
        </w:rPr>
      </w:pPr>
    </w:p>
    <w:p>
      <w:pPr>
        <w:ind w:left="660" w:hanging="328"/>
        <w:spacing w:after="0" w:line="250"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1.02 of the Agreement is hereby amended by replacing the phrase “Chief Operating Officer” with the phrase “President and General Manager, Latin America.”</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2.01 of the Agreement is hereby amended by replacing the Base Salary referenced therein from “$315,000” to “$440,000”, which change to Base Salary was effective January 1, 2023.</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acknowledges and agrees to the change in title described in Section 1.02 and that such change, and any related changes in duties and other actions of the Company, does not and shall not constitute “Good Reason” as defined in the Agreement.</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Agreement not amended hereby shall remain in full force and effect.</w:t>
      </w: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200" w:lineRule="exact"/>
        <w:rPr>
          <w:sz w:val="20"/>
          <w:szCs w:val="20"/>
          <w:color w:val="auto"/>
        </w:rPr>
      </w:pPr>
    </w:p>
    <w:p>
      <w:pPr>
        <w:spacing w:after="0" w:line="259" w:lineRule="exact"/>
        <w:rPr>
          <w:sz w:val="20"/>
          <w:szCs w:val="20"/>
          <w:color w:val="auto"/>
        </w:rPr>
      </w:pPr>
    </w:p>
    <w:tbl>
      <w:tblPr>
        <w:tblLayout w:type="fixed"/>
        <w:tblInd w:w="39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Lisy</w:t>
            </w:r>
          </w:p>
        </w:tc>
      </w:tr>
      <w:tr>
        <w:trPr>
          <w:trHeight w:val="218"/>
        </w:trPr>
        <w:tc>
          <w:tcPr>
            <w:tcW w:w="8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Robert Lisy</w:t>
            </w:r>
          </w:p>
        </w:tc>
      </w:tr>
      <w:tr>
        <w:trPr>
          <w:trHeight w:val="189"/>
        </w:trPr>
        <w:tc>
          <w:tcPr>
            <w:tcW w:w="820" w:type="dxa"/>
            <w:vAlign w:val="bottom"/>
          </w:tcPr>
          <w:p>
            <w:pPr>
              <w:spacing w:after="0"/>
              <w:rPr>
                <w:sz w:val="16"/>
                <w:szCs w:val="16"/>
                <w:color w:val="auto"/>
              </w:rPr>
            </w:pPr>
          </w:p>
        </w:tc>
        <w:tc>
          <w:tcPr>
            <w:tcW w:w="2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Title: Chief Executive Officer &amp;</w:t>
            </w:r>
          </w:p>
        </w:tc>
      </w:tr>
      <w:tr>
        <w:trPr>
          <w:trHeight w:val="234"/>
        </w:trPr>
        <w:tc>
          <w:tcPr>
            <w:tcW w:w="8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w:t>
            </w:r>
          </w:p>
        </w:tc>
      </w:tr>
      <w:tr>
        <w:trPr>
          <w:trHeight w:val="500"/>
        </w:trPr>
        <w:tc>
          <w:tcPr>
            <w:tcW w:w="8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January 16, 2023</w:t>
            </w:r>
          </w:p>
        </w:tc>
      </w:tr>
    </w:tbl>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Accepted and Agreed to:</w:t>
      </w:r>
    </w:p>
    <w:p>
      <w:pPr>
        <w:spacing w:after="0" w:line="200" w:lineRule="exact"/>
        <w:rPr>
          <w:sz w:val="20"/>
          <w:szCs w:val="20"/>
          <w:color w:val="auto"/>
        </w:rPr>
      </w:pPr>
    </w:p>
    <w:p>
      <w:pPr>
        <w:spacing w:after="0" w:line="33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 Joseph Aguilar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17145</wp:posOffset>
            </wp:positionV>
            <wp:extent cx="22885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Joseph Aguilar</w:t>
      </w:r>
    </w:p>
    <w:p>
      <w:pPr>
        <w:spacing w:after="0" w:line="5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Date: January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i w:val="1"/>
          <w:iCs w:val="1"/>
          <w:color w:val="auto"/>
        </w:rPr>
        <w:t>Amendment to Aguilar Employment Agreement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0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13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THIS AMENDED AND RESTATED EMPLOYMENT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between</w:t>
      </w:r>
    </w:p>
    <w:p>
      <w:pPr>
        <w:jc w:val="both"/>
        <w:spacing w:after="0" w:line="199" w:lineRule="auto"/>
        <w:rPr>
          <w:sz w:val="20"/>
          <w:szCs w:val="20"/>
          <w:color w:val="auto"/>
        </w:rPr>
      </w:pPr>
      <w:r>
        <w:rPr>
          <w:rFonts w:ascii="Times New Roman" w:cs="Times New Roman" w:eastAsia="Times New Roman" w:hAnsi="Times New Roman"/>
          <w:sz w:val="18"/>
          <w:szCs w:val="18"/>
          <w:b w:val="1"/>
          <w:bCs w:val="1"/>
          <w:color w:val="auto"/>
        </w:rPr>
        <w:t>INTERNATIONAL MONEY EXPRESS,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ERNESTO LUCIANO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shall replace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 in its entirety, as of the Effective Date, Executive’s prior employment agreement dated as November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2020 (the “Prior Employment Agreement”).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WHEREAS, Executive was originally hired to serve in the position of General Counsel and Chief Compliance Officer of Employer; and</w:t>
      </w:r>
    </w:p>
    <w:p>
      <w:pPr>
        <w:spacing w:after="0" w:line="185" w:lineRule="exact"/>
        <w:rPr>
          <w:sz w:val="20"/>
          <w:szCs w:val="20"/>
          <w:color w:val="auto"/>
        </w:rPr>
      </w:pPr>
    </w:p>
    <w:p>
      <w:pPr>
        <w:jc w:val="both"/>
        <w:ind w:right="20" w:firstLine="262"/>
        <w:spacing w:after="0" w:line="237" w:lineRule="auto"/>
        <w:rPr>
          <w:sz w:val="20"/>
          <w:szCs w:val="20"/>
          <w:color w:val="auto"/>
        </w:rPr>
      </w:pPr>
      <w:r>
        <w:rPr>
          <w:rFonts w:ascii="Times New Roman" w:cs="Times New Roman" w:eastAsia="Times New Roman" w:hAnsi="Times New Roman"/>
          <w:sz w:val="18"/>
          <w:szCs w:val="18"/>
          <w:color w:val="auto"/>
        </w:rPr>
        <w:t>WHEREAS, as of January 2022, the Executive has since been appointed and assumed the position of General Counsel and Chief Legal Officer of Employer; and</w:t>
      </w:r>
    </w:p>
    <w:p>
      <w:pPr>
        <w:spacing w:after="0" w:line="172"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WHEREAS, the Executive and the Employer desire that Executive’s employment with Employer continue pursuant to the terms of this Agreement, which replaces and supersedes the Prior Employment Agreement primarily to reflect the current terms of employment as agreed upon by the Executive and the Employer.</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agreements hereinafter set forth, Employer and Executive have agreed and do hereby agree as follows:</w:t>
      </w:r>
    </w:p>
    <w:p>
      <w:pPr>
        <w:spacing w:after="0" w:line="1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Article I</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u w:val="single" w:color="auto"/>
          <w:color w:val="auto"/>
        </w:rPr>
        <w:t>Employment</w:t>
      </w:r>
    </w:p>
    <w:p>
      <w:pPr>
        <w:spacing w:after="0" w:line="185"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Executive’s employment under this Agreement shall commence on the Effective Date and, unless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Employer and Executive otherwise agree in writing, shall continue until it terminates pursuant to Article IV. Executive’s employment with Employer will be “at will” and, subject to the provisions of Article IV, Executive’s employment under this Agreement may be terminated by either party at any time and for any reason. Executive’s employment under this Agreement shall terminate automatically upon Executive’s death.</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Executive shall, during the term of employment under this Agreement, perform the services and duties as General Counsel and Chief Legal Officer of Employer plus such other services and duties as determined from time to time by the Board of Directors of Employer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such other person or persons as may be designated from time to time by the Board. Executive shall perform such</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services and duties in accordance with the policies, practices and bylaws of Employer. Executive shall also serve as the Corporate Secretary of Employer without any additional compensation or other benefits being payable therefore. If requested, Executive shall also serve as a member of the Board and its committees, and the board of directors or other managing body of Employer’s affiliates and their committees, without additional compensation.</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Time and Effort</w:t>
      </w:r>
      <w:r>
        <w:rPr>
          <w:rFonts w:ascii="Times New Roman" w:cs="Times New Roman" w:eastAsia="Times New Roman" w:hAnsi="Times New Roman"/>
          <w:sz w:val="18"/>
          <w:szCs w:val="18"/>
          <w:color w:val="auto"/>
        </w:rPr>
        <w:t>. Executive shall serve Employer faithfully, loyally, honestly and to the best of Executive’s ability. Executive shall devote all Executive’s business time and best efforts to the performance of Executive’s duties on behalf of Employer. During Executive’s term of employment, Executive shall not at any time or place or to any extent whatsoever, either directly or indirectly, without the express written consent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 the Board, engage in any outside employment or in any activity that, in the judgment of Employer, is competitive with or adverse to the business, practice or affairs of Employer or any of its affiliates, whether or not such activity is pursued for gain, profit or other pecuniary advantage.</w:t>
      </w:r>
    </w:p>
    <w:p>
      <w:pPr>
        <w:spacing w:after="0" w:line="15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Article II</w:t>
      </w:r>
    </w:p>
    <w:p>
      <w:pPr>
        <w:spacing w:after="0" w:line="1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Compensation</w:t>
      </w:r>
    </w:p>
    <w:p>
      <w:pPr>
        <w:spacing w:after="0" w:line="18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term of Executive’s employment under this Agreement, Employer shall, as compensation for the obligations set forth herein and for all services rendered by Executive in any capacity during Executive’s employment under this Agreement, including</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services as an officer, employee, director or member of any governing body, or committee thereof, of Employer or any of their affiliates, pay Executive a base salary (herein “</w:t>
      </w: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at the annual rate of $275,000 per year in 2021 and $286,000 in 2022, payable in accordance with Employer’s standard payroll practices as in effect from time to time. Beginning in 2022, Executive’s Base Salary shall be reviewed annually in January, and may be subject to an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increase, as determined in the reasonable discretion of the Board. In the event that sickness or disability payments under any insurance programs of Employer or otherwise shall become payable to Executive in respect of any period of</w:t>
      </w:r>
    </w:p>
    <w:p>
      <w:pPr>
        <w:sectPr>
          <w:pgSz w:w="11900" w:h="16838" w:orient="portrait"/>
          <w:cols w:equalWidth="0" w:num="1">
            <w:col w:w="11240"/>
          </w:cols>
          <w:pgMar w:left="320" w:top="96" w:right="339" w:bottom="1440" w:gutter="0" w:footer="0" w:header="0"/>
        </w:sectPr>
      </w:pPr>
    </w:p>
    <w:bookmarkStart w:id="110" w:name="page111"/>
    <w:bookmarkEnd w:id="110"/>
    <w:p>
      <w:pPr>
        <w:jc w:val="both"/>
        <w:spacing w:after="0" w:line="222" w:lineRule="auto"/>
        <w:rPr>
          <w:sz w:val="20"/>
          <w:szCs w:val="20"/>
          <w:color w:val="auto"/>
        </w:rPr>
      </w:pPr>
      <w:r>
        <w:rPr>
          <w:rFonts w:ascii="Times New Roman" w:cs="Times New Roman" w:eastAsia="Times New Roman" w:hAnsi="Times New Roman"/>
          <w:sz w:val="18"/>
          <w:szCs w:val="18"/>
          <w:color w:val="auto"/>
        </w:rPr>
        <w:t>Executive’s employment under this Agreement, the salary installment payable to Executive hereunder on the next succeeding salary installment payment date shall be an amount computed by subtracting (a) the amount of such sickness or disability payments that shall have become payable during the period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between such date and the immediately preceding salary installment date from (b) the salary installment otherwise payable to Executive hereunder on such date.</w:t>
      </w:r>
    </w:p>
    <w:p>
      <w:pPr>
        <w:spacing w:after="0" w:line="157"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During the term of Executive’s employment under this Agreement, Executive shall be eligible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participate in Employer’s annual incentive compensation plan, as may be continued or established by the Board, in its discretion, from time to time (the “</w:t>
      </w:r>
      <w:r>
        <w:rPr>
          <w:rFonts w:ascii="Times New Roman" w:cs="Times New Roman" w:eastAsia="Times New Roman" w:hAnsi="Times New Roman"/>
          <w:sz w:val="18"/>
          <w:szCs w:val="18"/>
          <w:u w:val="single" w:color="auto"/>
          <w:color w:val="auto"/>
        </w:rPr>
        <w:t>Bonus Plan</w:t>
      </w:r>
      <w:r>
        <w:rPr>
          <w:rFonts w:ascii="Times New Roman" w:cs="Times New Roman" w:eastAsia="Times New Roman" w:hAnsi="Times New Roman"/>
          <w:sz w:val="18"/>
          <w:szCs w:val="18"/>
          <w:color w:val="auto"/>
        </w:rPr>
        <w:t>”) and shall have the opportunity to earn a performance based bonus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with a target Annual Bonus opportunity of forty-five percent (45%) of Base Salary, based 25% on achievement of personal objectives and 75% on achievement of certain EBITDA results or other objective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performance measures established by the Board. The amount of any Annual Bonus actually payable to Executive shall be determined by the Board in its discretion and shall be payable in accordance with Employer’s practices as of the date hereof or pursuant to such other procedures as may be agreed to between the Chief Executive Officer of Employer and the Board. Executive acknowledges that the Board may amend or modify from time to time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Bonus Plan, including modifying the performance requirements, target levels and participation terms thereof, and the Board reserves the right to terminate the Bonus Plan at any time and for any reason.</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Award of Restricted Stock Units</w:t>
      </w:r>
      <w:r>
        <w:rPr>
          <w:rFonts w:ascii="Times New Roman" w:cs="Times New Roman" w:eastAsia="Times New Roman" w:hAnsi="Times New Roman"/>
          <w:sz w:val="18"/>
          <w:szCs w:val="18"/>
          <w:color w:val="auto"/>
        </w:rPr>
        <w:t>. Subject to the terms and conditions of the Company’s 2020 Omnibus Equity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Executive shall receive 8,000 in 2021 and 9,340 in 2022 restricted stock units (“RSUs”), which shall vest with respect to twenty-five percent (25%) of the RSUs on the first anniversary of the date of the grant and thereafter shall vest with respect to an additional twenty-five percent on an annual basis through the fourth anniversary of the date of the grant until the RSUs are fully-vested. The RSUs shall be granted under the Plan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at the regularly scheduled meeting of the Compensation Committee of the Board (the “Committee”) in February, 2021 and 2022, respectively (and in no event later than March 15, 2021 and 2022, respectively).</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Award of Performance Stock Units</w:t>
      </w:r>
      <w:r>
        <w:rPr>
          <w:rFonts w:ascii="Times New Roman" w:cs="Times New Roman" w:eastAsia="Times New Roman" w:hAnsi="Times New Roman"/>
          <w:sz w:val="18"/>
          <w:szCs w:val="18"/>
          <w:color w:val="auto"/>
        </w:rPr>
        <w:t>. Subject to terms and conditions of the Plan, Executive shall receive a grant of 11,000</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performance stock units (“PSUs”) in 2021 and 6,993 PSUs in 2022, which shall be granted under the Plan at the regularly scheduled meeting of the Committee in February 2021 and 2022, respectively (and in no event later than March 15, 2021 and 2022, respectively), and which shall vest in the amounts and upon attainment of the performance goals as determined by the Committee at the time of such grant.</w:t>
      </w:r>
    </w:p>
    <w:p>
      <w:pPr>
        <w:spacing w:after="0" w:line="17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Article III</w:t>
      </w:r>
    </w:p>
    <w:p>
      <w:pPr>
        <w:spacing w:after="0" w:line="1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u w:val="single" w:color="auto"/>
          <w:color w:val="auto"/>
        </w:rPr>
        <w:t>Executive Benefits</w:t>
      </w:r>
    </w:p>
    <w:p>
      <w:pPr>
        <w:spacing w:after="0" w:line="198" w:lineRule="exact"/>
        <w:rPr>
          <w:sz w:val="20"/>
          <w:szCs w:val="20"/>
          <w:color w:val="auto"/>
        </w:rPr>
      </w:pPr>
    </w:p>
    <w:p>
      <w:pPr>
        <w:jc w:val="both"/>
        <w:ind w:firstLine="1296"/>
        <w:spacing w:after="0" w:line="229"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Benefit Plans</w:t>
      </w:r>
      <w:r>
        <w:rPr>
          <w:rFonts w:ascii="Times New Roman" w:cs="Times New Roman" w:eastAsia="Times New Roman" w:hAnsi="Times New Roman"/>
          <w:sz w:val="17"/>
          <w:szCs w:val="17"/>
          <w:color w:val="auto"/>
        </w:rPr>
        <w:t>. During the term of Executive’s employment under this Agreement, Executive shall be entitled to participate in any benefit plans (excluding severance, bonus, incentive or profit sharing plans) offered by Employer as in effect from time to time (collectively, “</w:t>
      </w:r>
      <w:r>
        <w:rPr>
          <w:rFonts w:ascii="Times New Roman" w:cs="Times New Roman" w:eastAsia="Times New Roman" w:hAnsi="Times New Roman"/>
          <w:sz w:val="17"/>
          <w:szCs w:val="17"/>
          <w:u w:val="single" w:color="auto"/>
          <w:color w:val="auto"/>
        </w:rPr>
        <w:t>Benefit Plans</w:t>
      </w:r>
      <w:r>
        <w:rPr>
          <w:rFonts w:ascii="Times New Roman" w:cs="Times New Roman" w:eastAsia="Times New Roman" w:hAnsi="Times New Roman"/>
          <w:sz w:val="17"/>
          <w:szCs w:val="17"/>
          <w:color w:val="auto"/>
        </w:rPr>
        <w:t>”) on the same basis as that generally made available to other employees of Employer to the extent Executive may be eligible to</w:t>
      </w: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do so under the terms of any such Benefit Plan. Executive understands that any such Benefit Plans may be terminated or amended from time to time by Employer in their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Benefit Plans cease to include medical and dental plans, Executive shall be eligible to receive medical and dental benefits substantially comparable to such benefits provided by Employer to Executive under Employer’s medical and dental plans as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date hereof. Notwithstanding the first sentence of this Section 3.01, nothing shall preclude Executive from participating during the term of Executive’s employment under this Agreement in any present or future bonus, incentive or profit sharing plan or other plan of Employer for the benefit of its employees, in each case as and to the extent approved or determined by the Board in its discretion and subject to Section 2.02.</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Employer will reimburse Executive for all reasonably incurred business expenses, subject to the travel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expense policy established by Employer from time to time, incurred by Executive during the term of Executive’s employment under this Agreement in the performance of Executive’s duties hereunder, provided that Executive furnishes to Employer adequate records and other documentary evidence required to substantiate such expenditures.</w:t>
      </w:r>
    </w:p>
    <w:p>
      <w:pPr>
        <w:spacing w:after="0" w:line="172"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During the term of Executive’s employment under this Agreement, Executive shall receive 20 paid vacation days per year, which shall be accrued and taken in accordance with Employer’s vacation policy.</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In addition to the foregoing, Executive received a one-time sign on bonus of $30,000 (“</w:t>
      </w:r>
      <w:r>
        <w:rPr>
          <w:rFonts w:ascii="Times New Roman" w:cs="Times New Roman" w:eastAsia="Times New Roman" w:hAnsi="Times New Roman"/>
          <w:sz w:val="18"/>
          <w:szCs w:val="18"/>
          <w:u w:val="single" w:color="auto"/>
          <w:color w:val="auto"/>
        </w:rPr>
        <w:t>Signing Bonus</w:t>
      </w:r>
      <w:r>
        <w:rPr>
          <w:rFonts w:ascii="Times New Roman" w:cs="Times New Roman" w:eastAsia="Times New Roman" w:hAnsi="Times New Roman"/>
          <w:sz w:val="18"/>
          <w:szCs w:val="18"/>
          <w:color w:val="auto"/>
        </w:rPr>
        <w:t>”), payable at the end of his initial pay period in 2020.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acknowledged receiving payment of the Signing Bonus and understands that the Signing Bonus was a one-time non-reoccurring compensation payment.</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Article IV</w:t>
      </w:r>
    </w:p>
    <w:p>
      <w:pPr>
        <w:spacing w:after="0" w:line="1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Exclusive Rights</w:t>
      </w:r>
      <w:r>
        <w:rPr>
          <w:rFonts w:ascii="Times New Roman" w:cs="Times New Roman" w:eastAsia="Times New Roman" w:hAnsi="Times New Roman"/>
          <w:sz w:val="18"/>
          <w:szCs w:val="18"/>
          <w:color w:val="auto"/>
        </w:rPr>
        <w:t>. The amounts payable under this Article IV are intended to be, and are, exclusive and in lieu of any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other rights or remedies to which Executive may otherwise be entitled, including under common, tort or contract law, under policies of Employer and its affiliates in effect from time to time, under this Agreement or otherwise, in the event of Executive’s termination of employment with Employer and its affiliates.</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Termination by Employer for Cause</w:t>
      </w:r>
      <w:r>
        <w:rPr>
          <w:rFonts w:ascii="Times New Roman" w:cs="Times New Roman" w:eastAsia="Times New Roman" w:hAnsi="Times New Roman"/>
          <w:sz w:val="18"/>
          <w:szCs w:val="18"/>
          <w:color w:val="auto"/>
        </w:rPr>
        <w:t>. (a) If Employer terminates Executive for Cause (as defined below), Executive shall be entitled to receive (i) Base Salary earned through the date of termination that remains unpaid as of the date of Executive’s termination, (ii) any accrued and unpaid bonus for any previously completed bonus period that Executive is entitled to receive as of the date of termination that remains unpaid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of the date of Executive’s termination, (iii) reimbursement for any unreimbursed business expenses properly incurred by Executive prior to the date of Executive’s termination to the extent such expenses are reimbursable under Section 3.02 and (iv) such benefits (excluding benefits under any severance plan, program or policy then in effect), if any, to which Executive may be entitled under the Benefit Plans as of the date of Executive’s termination, which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benefits shall be payable in accordance with the terms of such Benefits Plans (the amounts described in clauses (i) through (iv) of this Section 4.02(a) being referred to herein as the “</w:t>
      </w:r>
      <w:r>
        <w:rPr>
          <w:rFonts w:ascii="Times New Roman" w:cs="Times New Roman" w:eastAsia="Times New Roman" w:hAnsi="Times New Roman"/>
          <w:sz w:val="18"/>
          <w:szCs w:val="18"/>
          <w:u w:val="single" w:color="auto"/>
          <w:color w:val="auto"/>
        </w:rPr>
        <w:t>Accrued Rights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both"/>
        <w:ind w:firstLine="1304"/>
        <w:spacing w:after="0" w:line="217" w:lineRule="auto"/>
        <w:tabs>
          <w:tab w:leader="none" w:pos="194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Executive’s (i) willful failure to perform those duties that Executive is required to perform as an employee under this Agreement, (ii) conviction of, or a plea of guilty or nolo contendere to, a misdemeanor involving moral turpitude, dishonesty, theft, unethical business conduct or conduct that significantly impairs the reputation of Employer or any of its subsidiaries or affiliates or a felony (or the equivalent thereof in a jurisdiction other than the United States), (iii) gross negligence, malfeasance or willful misconduct in connection with Executive’s duties hereunder (either by an act of commission or omission) that is significantly injurious to the financial condition or business reputation of Employer or any of its subsidiaries or affiliates, (iv) breach of the provisions of Section 5.03 or 5.04 or (v) a breach of the provisions of Article V (other than Section 5.03 or 5.04) that either (A) is materially damaging to the business or reputation of Employer or any of its affiliates or (B) occurs after Employer has notified Executive of a prior breach of such Article V (other than Section 5.03 or 5.04).</w:t>
      </w:r>
    </w:p>
    <w:p>
      <w:pPr>
        <w:spacing w:after="0" w:line="163"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Employer desires to terminate Executive’s employment for Cause in the case of clauses (i), (ii) and (iii) of Section 4.02(b) and the basis for Cause, by its nature, is capable of being cured, Employer shall first provide Executive with written notice of the applicable event that constitutes the basis for Cause (a “</w:t>
      </w:r>
      <w:r>
        <w:rPr>
          <w:rFonts w:ascii="Times New Roman" w:cs="Times New Roman" w:eastAsia="Times New Roman" w:hAnsi="Times New Roman"/>
          <w:sz w:val="18"/>
          <w:szCs w:val="18"/>
          <w:u w:val="single" w:color="auto"/>
          <w:color w:val="auto"/>
        </w:rPr>
        <w:t>Cause Notice</w:t>
      </w:r>
      <w:r>
        <w:rPr>
          <w:rFonts w:ascii="Times New Roman" w:cs="Times New Roman" w:eastAsia="Times New Roman" w:hAnsi="Times New Roman"/>
          <w:sz w:val="18"/>
          <w:szCs w:val="18"/>
          <w:color w:val="auto"/>
        </w:rPr>
        <w:t>”) within ten days of the Board’s becoming aware of such event. Such notice shall specifically identify such claimed breach. Executive shall have 15 days following receipt of such Cause Notice (the “</w:t>
      </w:r>
      <w:r>
        <w:rPr>
          <w:rFonts w:ascii="Times New Roman" w:cs="Times New Roman" w:eastAsia="Times New Roman" w:hAnsi="Times New Roman"/>
          <w:sz w:val="18"/>
          <w:szCs w:val="18"/>
          <w:u w:val="single" w:color="auto"/>
          <w:color w:val="auto"/>
        </w:rPr>
        <w:t>Cause Cure Period</w:t>
      </w:r>
      <w:r>
        <w:rPr>
          <w:rFonts w:ascii="Times New Roman" w:cs="Times New Roman" w:eastAsia="Times New Roman" w:hAnsi="Times New Roman"/>
          <w:sz w:val="18"/>
          <w:szCs w:val="18"/>
          <w:color w:val="auto"/>
        </w:rPr>
        <w:t>”) to cure such basis for Cause, and Employer shall be entitled at the end of such Cause Cure Period to terminate Executive’s employment under this Agreement for Cause, provided, however, that, if such breach is cured within the Cause Cure Period or if Employer does not terminate Executive’s employment with Employer within ten days after the end of the Cause Cure Period, Employer’s termination of Executive’s employment shall not be deemed to be a termination for Cause.</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u w:val="single" w:color="auto"/>
          <w:color w:val="auto"/>
        </w:rPr>
        <w:t>Termination by Employer Other Than for Cause, Disability or Death; Termination by Executive for Good Reason</w:t>
      </w:r>
      <w:r>
        <w:rPr>
          <w:rFonts w:ascii="Times New Roman" w:cs="Times New Roman" w:eastAsia="Times New Roman" w:hAnsi="Times New Roman"/>
          <w:sz w:val="17"/>
          <w:szCs w:val="17"/>
          <w:color w:val="auto"/>
        </w:rPr>
        <w:t>. (a) If</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Employer elects to terminate Executive’s employment for any reason other than Cause, Disability (as defined below) or death or if Executive elects to terminate Executive’s employment with Employer for Good Reason (as defined below), (i) Employer shall continue to pay Executive’s Base Salary through the period of time ending nine (9) months after the date of Executive’s termination of employment, payable in installments at the same times at which and in the same manner in which such Base Salary would have been payable to Executive had a termination of employment not occurred, (ii) Executive shall be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entitled to receive an amount equal to (A) the product of (1) Executive’s target bonus for the calendar year in which Executive’s termination of employment hereunder occurs and (2) a fraction equal to (I) the number of days elapsed in such calendar year prior to Executive’s termination of employment hereunder, divided by (II) 365, less (B) any bonus for such calendar year paid to Executive (1) prior to his termination of employment with Employer or (2) pursuant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to clause (ii) of the definition of Accrued Rights set forth above, payable in equal installments during the six (6) month period following such termination of employment at the same times as Employer’s payroll applicable to the other employees of Employer is paid, and (iii) Executive shall be entitled to the Accrued Rights; provided, however, that, in the case of clauses (i) and (ii), Employer shall not be obligated to (x) commence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sectPr>
      </w:pPr>
    </w:p>
    <w:bookmarkStart w:id="112" w:name="page113"/>
    <w:bookmarkEnd w:id="112"/>
    <w:p>
      <w:pPr>
        <w:jc w:val="both"/>
        <w:spacing w:after="0" w:line="222" w:lineRule="auto"/>
        <w:rPr>
          <w:sz w:val="20"/>
          <w:szCs w:val="20"/>
          <w:color w:val="auto"/>
        </w:rPr>
      </w:pPr>
      <w:r>
        <w:rPr>
          <w:rFonts w:ascii="Times New Roman" w:cs="Times New Roman" w:eastAsia="Times New Roman" w:hAnsi="Times New Roman"/>
          <w:sz w:val="18"/>
          <w:szCs w:val="18"/>
          <w:color w:val="auto"/>
        </w:rPr>
        <w:t>until such time as Executive has provided a general release in favor of Employer its subsidiaries and affiliates, and its respective directors, officers, employees, agents and representatives in form and substance acceptable to Employer and such general release has become effective and irrevocable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date, the “</w:t>
      </w:r>
      <w:r>
        <w:rPr>
          <w:rFonts w:ascii="Times New Roman" w:cs="Times New Roman" w:eastAsia="Times New Roman" w:hAnsi="Times New Roman"/>
          <w:sz w:val="18"/>
          <w:szCs w:val="18"/>
          <w:u w:val="single" w:color="auto"/>
          <w:color w:val="auto"/>
        </w:rPr>
        <w:t>Release Effective Date</w:t>
      </w:r>
      <w:r>
        <w:rPr>
          <w:rFonts w:ascii="Times New Roman" w:cs="Times New Roman" w:eastAsia="Times New Roman" w:hAnsi="Times New Roman"/>
          <w:sz w:val="18"/>
          <w:szCs w:val="18"/>
          <w:color w:val="auto"/>
        </w:rPr>
        <w:t>”), except that any payments that would have otherwise been paid to Executive following the date of the termination of employment and prior to the Release Effective Date shall be accumulated and paid to Executive in a lump sum on the first payment date following the Release Effective Date, and (y) continue such payments at any time following a breach of the provisions of Section 5.03 or 5.04 or a breach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provisions of Article V (other than Section 5.03 or 5.04) that either (A) is materially damaging to the business or reputation of Employer or any of its affiliates or (B) occurs after Employer has notified Executive of a prior breach of such Article V (other than Section 5.03 or 5.04);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if the Release Effective Date does not occur within sixty (60) days of the date of termination of employment, Employer shall not be obligated to make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under clauses (i) and (ii) above.</w:t>
      </w:r>
    </w:p>
    <w:p>
      <w:pPr>
        <w:spacing w:after="0" w:line="165" w:lineRule="exact"/>
        <w:rPr>
          <w:sz w:val="20"/>
          <w:szCs w:val="20"/>
          <w:color w:val="auto"/>
        </w:rPr>
      </w:pPr>
    </w:p>
    <w:p>
      <w:pPr>
        <w:jc w:val="both"/>
        <w:ind w:firstLine="1304"/>
        <w:spacing w:after="0" w:line="220" w:lineRule="auto"/>
        <w:tabs>
          <w:tab w:leader="none" w:pos="194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(i) (A) the assignment to Executive of any duties inconsistent in any material adverse respect with the Executive’s authority, duties or responsibilities as contemplated by Section 1.02 or (B) a reduction in Executive’s title; (ii) any material breach by Employer of any material provisions of this Agreement; (iii) any reduction in Executive’s Base Salary; (iv) a material reduction in employee benefits, other than a change which results from an amendment or alteration of Employer’s Benefit Plans that affects its salaried employees generally; or (vi) in the event of a transfer (for consideration or otherwise) of substantially all of the business operations of Employer, this Agreement is not assigned pursuant to Section 6.01.</w:t>
      </w:r>
    </w:p>
    <w:p>
      <w:pPr>
        <w:spacing w:after="0" w:line="157"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provide Employer with written notice of the applicable event that constitutes the basis for Good Reason within ten (10) days of such event. Such notice shall specifically identify such claimed breach and shall inform Employer what must be done to cure such breach. If Employer fails to cure such basis for Good Reason within thirty (30) calendar days after the receipt of such notice (the “</w:t>
      </w:r>
      <w:r>
        <w:rPr>
          <w:rFonts w:ascii="Times New Roman" w:cs="Times New Roman" w:eastAsia="Times New Roman" w:hAnsi="Times New Roman"/>
          <w:sz w:val="18"/>
          <w:szCs w:val="18"/>
          <w:u w:val="single" w:color="auto"/>
          <w:color w:val="auto"/>
        </w:rPr>
        <w:t>Good Reason Cure Period</w:t>
      </w:r>
      <w:r>
        <w:rPr>
          <w:rFonts w:ascii="Times New Roman" w:cs="Times New Roman" w:eastAsia="Times New Roman" w:hAnsi="Times New Roman"/>
          <w:sz w:val="18"/>
          <w:szCs w:val="18"/>
          <w:color w:val="auto"/>
        </w:rPr>
        <w:t>”), Executive shall be entitled at the end of the Good Reason Cure Period to terminate his employment under this Agreement for Good Reason, whereupon Executive shall provide written notice of such termination to Employer. Notwithstanding the foregoing, if such breach is cured within such thirty (30) day period or if Executive does not terminate Executive’s employment with Employer within ten days after the end of the Good Reason Cure Period, any termination of employment by Executive shall not be deemed to be a termination for Good Reason.</w:t>
      </w:r>
    </w:p>
    <w:p>
      <w:pPr>
        <w:spacing w:after="0" w:line="161"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8"/>
          <w:szCs w:val="18"/>
          <w:u w:val="single" w:color="auto"/>
          <w:color w:val="auto"/>
        </w:rPr>
        <w:t>Termination for Disability or Death</w:t>
      </w:r>
      <w:r>
        <w:rPr>
          <w:rFonts w:ascii="Times New Roman" w:cs="Times New Roman" w:eastAsia="Times New Roman" w:hAnsi="Times New Roman"/>
          <w:sz w:val="18"/>
          <w:szCs w:val="18"/>
          <w:color w:val="auto"/>
        </w:rPr>
        <w:t>. Executive’s employment shall terminate automatically upon Executive’s death.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Employer may terminate Executive’s employment upon the occurrence of Executive’s Disability. In the event of Executive’s termination due to death or Disability, Executive, or Executive’s estate, as the case may be, shall be entitled to receive the Accrued Rights. For purposes of this Agreement, the term “Disability” shall mean (a) the inability of Executive, due to illness, accident or any other physical or mental incapacity, to perform Executive’s duties in a</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normal manner for a period of one hundred twenty (120) days (whether or not consecutive) in any twelve (12) month period during the term of Executive’s employment under this Agreement or (b) the Executive’s being accepted for long-term disability benefits under any long-term disability plan in which he is then participating. The Board shall determine, according to the facts then available, whether and when the Disability of Executive has occurred. Such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determination shall not be arbitrary or unreasonable and the Board will take into consideration the expert medical opinion of a physician chosen by Employer, after such physician has completed an examination of Executive. Executive agrees to make himself available for such examination upon the reasonable request of Employer.</w:t>
      </w:r>
    </w:p>
    <w:p>
      <w:pPr>
        <w:spacing w:after="0" w:line="172" w:lineRule="exact"/>
        <w:rPr>
          <w:sz w:val="20"/>
          <w:szCs w:val="20"/>
          <w:color w:val="auto"/>
        </w:rPr>
      </w:pPr>
    </w:p>
    <w:p>
      <w:pPr>
        <w:jc w:val="both"/>
        <w:ind w:right="20" w:firstLine="1296"/>
        <w:spacing w:after="0" w:line="226"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Termination of Employment by Executive Without Good Reason</w:t>
      </w:r>
      <w:r>
        <w:rPr>
          <w:rFonts w:ascii="Times New Roman" w:cs="Times New Roman" w:eastAsia="Times New Roman" w:hAnsi="Times New Roman"/>
          <w:sz w:val="18"/>
          <w:szCs w:val="18"/>
          <w:color w:val="auto"/>
        </w:rPr>
        <w:t>. If Executive terminates Executive’s employment with Employer for any reason other than for Good Reason, Executive shall provide written notice to Employer at least sixty (60) days prior to the effective date of Executive’s resignation from employment and Executive shall be entitled to receive the Accrued Rights.</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8"/>
          <w:szCs w:val="18"/>
          <w:u w:val="single" w:color="auto"/>
          <w:color w:val="auto"/>
        </w:rPr>
        <w:t>Board Resignation</w:t>
      </w:r>
      <w:r>
        <w:rPr>
          <w:rFonts w:ascii="Times New Roman" w:cs="Times New Roman" w:eastAsia="Times New Roman" w:hAnsi="Times New Roman"/>
          <w:sz w:val="18"/>
          <w:szCs w:val="18"/>
          <w:color w:val="auto"/>
        </w:rPr>
        <w:t>. Upon termination of Executive’s employment for any reason, Executive agrees to resign, as of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date of such termination and to the extent applicable, as an officer of Employer and its affiliates and from the Board and its committees and the Board of Directors or other managing body of Employer or Employer’s other affiliates and their committees.</w:t>
      </w:r>
    </w:p>
    <w:p>
      <w:pPr>
        <w:spacing w:after="0" w:line="15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Article V</w:t>
      </w:r>
    </w:p>
    <w:p>
      <w:pPr>
        <w:spacing w:after="0" w:line="15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u w:val="single" w:color="auto"/>
          <w:color w:val="auto"/>
        </w:rPr>
        <w:t>Executive Covenants</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Employer Interests</w:t>
      </w:r>
      <w:r>
        <w:rPr>
          <w:rFonts w:ascii="Times New Roman" w:cs="Times New Roman" w:eastAsia="Times New Roman" w:hAnsi="Times New Roman"/>
          <w:sz w:val="18"/>
          <w:szCs w:val="18"/>
          <w:color w:val="auto"/>
        </w:rPr>
        <w:t>. (a) Executive acknowledges that Employer has expended substantial amounts of time, money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effort to develop business strategies, customer relationships, employee relationships, trade secrets and goodwill and to build an effective organization and that Employer has a legitimate business interest and right in protecting those assets as well as any similar assets that Employer may develop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113" w:name="page114"/>
    <w:bookmarkEnd w:id="113"/>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obtain. Executive acknowledges that Employer is entitled to protect and preserve the going concern value of Employer and its business and trade secrets to the extent permitted by law. Executive acknowledges that Employer’s business is worldwide in nature and international in scope. Executive acknowledges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agrees that the restrictions imposed upon Executive under this Agreement are reasonable and necessary for the protection of Employer’s goodwill, confidential information, trade secrets and customer relationships and that the restrictions set forth in this Agreement will not prevent Executive from earning a livelihood without violating any provision of this Agreement.</w:t>
      </w:r>
    </w:p>
    <w:p>
      <w:pPr>
        <w:spacing w:after="0" w:line="160" w:lineRule="exact"/>
        <w:rPr>
          <w:sz w:val="20"/>
          <w:szCs w:val="20"/>
          <w:color w:val="auto"/>
        </w:rPr>
      </w:pPr>
    </w:p>
    <w:p>
      <w:pPr>
        <w:ind w:left="1940" w:hanging="636"/>
        <w:spacing w:after="0"/>
        <w:tabs>
          <w:tab w:leader="none" w:pos="1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Article V, the term “Employer” includes Employer’s subsidiaries and affiliates, and its and their predecessors,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and assigns.</w:t>
      </w:r>
    </w:p>
    <w:p>
      <w:pPr>
        <w:spacing w:after="0" w:line="165"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u w:val="single" w:color="auto"/>
          <w:color w:val="auto"/>
        </w:rPr>
        <w:t>Consideration to Executive</w:t>
      </w:r>
      <w:r>
        <w:rPr>
          <w:rFonts w:ascii="Times New Roman" w:cs="Times New Roman" w:eastAsia="Times New Roman" w:hAnsi="Times New Roman"/>
          <w:sz w:val="18"/>
          <w:szCs w:val="18"/>
          <w:color w:val="auto"/>
        </w:rPr>
        <w:t>. In consideration of Employer’s entering into this Agreement and Employer’s obligations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hereunder and other good and valuable consideration, the receipt of which is hereby acknowledged, and acknowledging hereby that Employer would not have entered into this Agreement without the covenants contained in this Article V, Executive hereby agrees to be bound by the provisions and covenants contained in this Article V.</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Executive agrees that, for the period commencing on the date hereof and terminating two (2) years after the date of Executive’s termination of employment with Employer, Executive shall not, and shall cause each of Executive’s affiliates (other than Employer) not to, directly or indirectly: (a) solicit any person or entity that is or was a sending agent, paying agent or otherwise a customer (or prospective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customer) of Employer to (i) purchase any goods or services related to any Competitive Business from anyone other than Employer or (ii) reduce its volume of goods or services purchased from Employer, (b) interfere with, or attempt to interfere with, business relationships (whether formed before, on or after the date of this Agreement) between Employer and suppliers, partners, members or investors of Employer, (c) other than on behalf of Employer,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solicit, recruit or hire any employee or consultant of Employer or any person who has, at any time within two (2) years prior to such solicitation, recruitment or hiring, worked for or provided services to Employer, provided, however, that this clause (c) shall not preclude Executive from making solicitations of employment targeted to the general public or from hiring any employee who responds to such general solicitation, (d) solicit or encourage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any employee or consultant of Employer to leave the employment of, or to cease providing services to, Employer or (e) assist any person or entity in any way to do, or attempt to do, anything prohibited by this Section 5.03.</w:t>
      </w:r>
    </w:p>
    <w:p>
      <w:pPr>
        <w:spacing w:after="0" w:line="157"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(a) Executive agrees that, for the period commencing on the date hereof and terminating nine (9)</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months after the date of Executive’s termination of employment with Employer, Executive shall not, and shall cause each of Executive’s affiliates (other than Employer) not to, directly or indirectly: (i) engage in or establish any Competitive Business (as defined below), including selling goods or services relating to any Competitive Business that are of the type sold by Employer, (ii) assist any person or entity in any way to engage in or establish, or attempt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engage in or establish, any Competitive Business, (iii) except as provided in Section 5.04(c), be employed by, consult with, advise, permit his or her name to be used by, or be connected in any manner with the ownership, management, operation or control of any person or entity that directly or indirectly engages in any Competitive Business, (iv) engage in any course of conduct that involves any Competitive Business that is substantially detrimental to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business reputation of Employer or (v) engage in or establish any Tier II Business (as defined below) using any sending agent of Employer if either (A) prior to such use of such sending agent, Employer is using such sending agent in the conduct of Employer of the same Tier II Business, or (B) the conduct of Executive or Executive’s affiliates of such Tier II Business, directly or indirectly, restricts or materially impairs the ability of such sending agent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participate with Employer in Employer’s conduct of a Tier II Business.</w:t>
      </w:r>
    </w:p>
    <w:p>
      <w:pPr>
        <w:spacing w:after="0" w:line="165" w:lineRule="exact"/>
        <w:rPr>
          <w:sz w:val="20"/>
          <w:szCs w:val="20"/>
          <w:color w:val="auto"/>
        </w:rPr>
      </w:pPr>
    </w:p>
    <w:p>
      <w:pPr>
        <w:jc w:val="both"/>
        <w:ind w:firstLine="1304"/>
        <w:spacing w:after="0" w:line="217" w:lineRule="auto"/>
        <w:tabs>
          <w:tab w:leader="none" w:pos="194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“Competitive Business” shall mean the money order services industry, money transfer services industry and money remittance services industry located anywhere in, or providing services to customers or payees in, the United States of America, or Latin America/Caribbean and any other region in which Employer operates (now or in the future), all in any manner, including, but not limited to, by way of wire, telephone, courier, ATM, prepaid or stored value card or otherwise). The term “Tier II Business” shall mean any business or industry located in, or providing services to customers or payees in, the United States or Latin America/Caribbean and any other region in which Employer operates (now or in the future) in the fields of check cashing services, pay-day loan services, prepaid or stored value card services or any form of foreign exchange or money exchange services.</w:t>
      </w:r>
    </w:p>
    <w:p>
      <w:pPr>
        <w:spacing w:after="0" w:line="161" w:lineRule="exact"/>
        <w:rPr>
          <w:rFonts w:ascii="Times New Roman" w:cs="Times New Roman" w:eastAsia="Times New Roman" w:hAnsi="Times New Roman"/>
          <w:sz w:val="18"/>
          <w:szCs w:val="18"/>
          <w:color w:val="auto"/>
        </w:rPr>
      </w:pPr>
    </w:p>
    <w:p>
      <w:pPr>
        <w:jc w:val="both"/>
        <w:ind w:firstLine="1304"/>
        <w:spacing w:after="0" w:line="222" w:lineRule="auto"/>
        <w:tabs>
          <w:tab w:leader="none" w:pos="193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5.04 shall be deemed not breached solely as a result of the ownership by Executive or any of Executive’s affiliates of: (i) less than an aggregate of five percent (5%) of any class of stock of a public company engaged, directly or indirectly, in any Competitive Business;</w:t>
      </w:r>
    </w:p>
    <w:p>
      <w:pPr>
        <w:spacing w:after="0" w:line="1" w:lineRule="exact"/>
        <w:rPr>
          <w:rFonts w:ascii="Times New Roman" w:cs="Times New Roman" w:eastAsia="Times New Roman" w:hAnsi="Times New Roman"/>
          <w:sz w:val="18"/>
          <w:szCs w:val="18"/>
          <w:color w:val="auto"/>
        </w:rPr>
      </w:pPr>
    </w:p>
    <w:p>
      <w:pPr>
        <w:jc w:val="both"/>
        <w:ind w:right="20" w:firstLine="8"/>
        <w:spacing w:after="0" w:line="218" w:lineRule="auto"/>
        <w:tabs>
          <w:tab w:leader="none" w:pos="2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five percent (5%) in value of any instrument of indebtedness of a public company engaged, directly or indirectly, in any Competitive Business; or (iii) a public company that engages, directly or indirectly, in any Competitive Business if such Competitive Business account for less than five percent (5%) of such person’s or entity’s consolidated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4" w:right="339" w:bottom="1440" w:gutter="0" w:footer="0" w:header="0"/>
        </w:sectPr>
      </w:pPr>
    </w:p>
    <w:bookmarkStart w:id="114" w:name="page115"/>
    <w:bookmarkEnd w:id="114"/>
    <w:p>
      <w:pPr>
        <w:jc w:val="both"/>
        <w:spacing w:after="0" w:line="237" w:lineRule="auto"/>
        <w:rPr>
          <w:sz w:val="20"/>
          <w:szCs w:val="20"/>
          <w:color w:val="auto"/>
        </w:rPr>
      </w:pPr>
      <w:r>
        <w:rPr>
          <w:rFonts w:ascii="Times New Roman" w:cs="Times New Roman" w:eastAsia="Times New Roman" w:hAnsi="Times New Roman"/>
          <w:sz w:val="18"/>
          <w:szCs w:val="18"/>
          <w:color w:val="auto"/>
        </w:rPr>
        <w:t>revenues. A “public company” for purposes of this Section 5.04(c) shall mean an entity whose common stock is traded on a nationally recognized securities exchange.</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Executive hereby acknowledges that (a) in the performance of Executive’s duties and services prior to entering into, and pursuant to this Agreement, Executive has received, and may be given access to, Confidential Information and (b) all Confidential Information is or will be the property of Employer. For purposes of this Agreement, “Confidential Information” shall mean information,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knowledge and data that is or will be used, developed, obtained or owned by Employer relating to the business, products and/or services of Employer or the business, products and/or services of any customer, sales officer, sales associate or independent contractor thereof, including products, services, fees, pricing, designs, marketing plans, strategies, analyses, forecasts, formulas, drawings, photographs, reports, records, computer software (whether or not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owned by, or designed for, Employer), other operating systems, applications, program listings, flow charts, manuals, documentation, data, databases, specifications, technology, inventions, new developments and methods, improvements, techniques, trade secrets, devices, products, methods, know-how, processes, financial data, customer lists, contact persons, cost information, executive information, regulatory matters, personnel matters, accounting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business methods, copyrightable works and information with respect to any vendor, customer, sales officer, sales associate or independent contractor of Employer, in each case whether patentable or unpatentable and whether or not reduced to practice, and all similar and related information in whatever form, and all such items of any vendor, customer, sales officer, sales associate or independent contractor of Employer; provided, however, that Confidential</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Information shall not include information that is generally known to the public other than as a result of disclosure by Executive in breach of this Agreement or in breach of any similar covenant made by Executive prior to entering into this Agreement.</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(a) Except as otherwise specifically provided in Section 5.07, Executive will not, directly or indirectly,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disclose or cause or permit to be disclosed, to any person or entity whatsoever, or utilize or cause or permit to be utilized, by any person or to any entity whatsoever, any Confidential Information acquired pursuant to Executive’s employment with Employer (whether acquired prior to or subsequent to the execution of this Agreement) under this Agreement or otherwise.</w:t>
      </w:r>
    </w:p>
    <w:p>
      <w:pPr>
        <w:spacing w:after="0" w:line="172" w:lineRule="exact"/>
        <w:rPr>
          <w:sz w:val="20"/>
          <w:szCs w:val="20"/>
          <w:color w:val="auto"/>
        </w:rPr>
      </w:pPr>
    </w:p>
    <w:p>
      <w:pPr>
        <w:jc w:val="both"/>
        <w:ind w:firstLine="1304"/>
        <w:spacing w:after="0" w:line="224" w:lineRule="auto"/>
        <w:tabs>
          <w:tab w:leader="none" w:pos="194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not disclose to anyone, other than Executive’s immediate family and legal or financial advisors, the existence or contents of this Agreement, except to the extent permitted in Section 5.07 or to comply with Section 5.14, and, to the extent such information is disclosed to Executive’s immediate family or legal or financial advisors, will instruct those parties to comply with the non-disclosure requirements of this Section 5.06(b).</w:t>
      </w:r>
    </w:p>
    <w:p>
      <w:pPr>
        <w:spacing w:after="0" w:line="15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Permitted Disclosure</w:t>
      </w:r>
      <w:r>
        <w:rPr>
          <w:rFonts w:ascii="Times New Roman" w:cs="Times New Roman" w:eastAsia="Times New Roman" w:hAnsi="Times New Roman"/>
          <w:sz w:val="18"/>
          <w:szCs w:val="18"/>
          <w:color w:val="auto"/>
        </w:rPr>
        <w:t>. Executive may (a) utilize and disclose the Confidential Information only to the extent reasonably necessary and required in the discharge of Executive’s duties as an employee of Employer and (b) disclose Confidential Information only to the extent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Executive (i) is obligated to disclose such Confidential Information pursuant to any confidentiality agreement executed by or on behalf of Employer or Executive prior to the date hereof, (ii) is compelled to disclose such Confidential Information or else stand liable for contempt or suffer other censure or penalty, (iii) is required to disclose such Confidential Information by law, (iv) discloses such information in the context of litigation between Employer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or (v) is permitted to disclose such Confidential Information under any applicable “whistle blower” or similar law.</w:t>
      </w:r>
    </w:p>
    <w:p>
      <w:pPr>
        <w:spacing w:after="0" w:line="16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Prior Inventions</w:t>
      </w:r>
      <w:r>
        <w:rPr>
          <w:rFonts w:ascii="Times New Roman" w:cs="Times New Roman" w:eastAsia="Times New Roman" w:hAnsi="Times New Roman"/>
          <w:sz w:val="18"/>
          <w:szCs w:val="18"/>
          <w:color w:val="auto"/>
        </w:rPr>
        <w:t xml:space="preserve">. Executive has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 list describing all inventions, works of authorship (including software, related items, databases, documentation, site content, text or graphics), developments, improvements and trade secrets (“</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w:t>
      </w:r>
    </w:p>
    <w:p>
      <w:pPr>
        <w:jc w:val="both"/>
        <w:spacing w:after="0" w:line="207" w:lineRule="auto"/>
        <w:rPr>
          <w:sz w:val="20"/>
          <w:szCs w:val="20"/>
          <w:color w:val="auto"/>
        </w:rPr>
      </w:pPr>
      <w:r>
        <w:rPr>
          <w:rFonts w:ascii="Times New Roman" w:cs="Times New Roman" w:eastAsia="Times New Roman" w:hAnsi="Times New Roman"/>
          <w:sz w:val="18"/>
          <w:szCs w:val="18"/>
          <w:color w:val="auto"/>
        </w:rPr>
        <w:t>that were created or contributed to by Executive, either solely or jointly with others, prior to the date hereof (collectively referred to as “</w:t>
      </w:r>
      <w:r>
        <w:rPr>
          <w:rFonts w:ascii="Times New Roman" w:cs="Times New Roman" w:eastAsia="Times New Roman" w:hAnsi="Times New Roman"/>
          <w:sz w:val="18"/>
          <w:szCs w:val="18"/>
          <w:u w:val="single" w:color="auto"/>
          <w:color w:val="auto"/>
        </w:rPr>
        <w:t>Prior Inventions</w:t>
      </w:r>
      <w:r>
        <w:rPr>
          <w:rFonts w:ascii="Times New Roman" w:cs="Times New Roman" w:eastAsia="Times New Roman" w:hAnsi="Times New Roman"/>
          <w:sz w:val="18"/>
          <w:szCs w:val="18"/>
          <w:color w:val="auto"/>
        </w:rPr>
        <w:t>”) that relate to the current business, services, products or research and development of Employer or, if no such list is attached, Executive represents that there are no such Prior Inventions. To the fullest extent permissible by law, Executive hereby grants Employer or its designee a non-exclusive royalty-free, irrevocable, perpetual, worldwide license under all Executive’s Prior Inventions to make, have made, copy, modify, distribute, use and sell inventions,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works of authorship, developments, improvements, trade secrets, products, services, processes, machines and other property and to otherwise operate the current and future business of Employer.</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1.09</w:t>
      </w:r>
      <w:r>
        <w:rPr>
          <w:sz w:val="20"/>
          <w:szCs w:val="20"/>
          <w:color w:val="auto"/>
        </w:rPr>
        <w:tab/>
      </w:r>
      <w:r>
        <w:rPr>
          <w:rFonts w:ascii="Times New Roman" w:cs="Times New Roman" w:eastAsia="Times New Roman" w:hAnsi="Times New Roman"/>
          <w:sz w:val="18"/>
          <w:szCs w:val="18"/>
          <w:u w:val="single" w:color="auto"/>
          <w:color w:val="auto"/>
        </w:rPr>
        <w:t>Ownership of Inventions</w:t>
      </w:r>
      <w:r>
        <w:rPr>
          <w:rFonts w:ascii="Times New Roman" w:cs="Times New Roman" w:eastAsia="Times New Roman" w:hAnsi="Times New Roman"/>
          <w:sz w:val="18"/>
          <w:szCs w:val="18"/>
          <w:color w:val="auto"/>
        </w:rPr>
        <w:t>. Executive will promptly make full written disclosure to Employer of, and hereby assigns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Employer or its designee all Executive’s rights, title and interest in and to, any and all Inventions, whether or not patentable, that Executive may solely or jointly conceive or develop or reduce to practice, or cause to be conceived or developed or reduced to practice, during the term of Executive’s employment with Employer that relate to the proposed or current business, services, products or research and development of Employer (whether before or after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execution of this Agreement)(collectively referred to as “</w:t>
      </w:r>
      <w:r>
        <w:rPr>
          <w:rFonts w:ascii="Times New Roman" w:cs="Times New Roman" w:eastAsia="Times New Roman" w:hAnsi="Times New Roman"/>
          <w:sz w:val="18"/>
          <w:szCs w:val="18"/>
          <w:u w:val="single" w:color="auto"/>
          <w:color w:val="auto"/>
        </w:rPr>
        <w:t>Employer Inventions</w:t>
      </w:r>
      <w:r>
        <w:rPr>
          <w:rFonts w:ascii="Times New Roman" w:cs="Times New Roman" w:eastAsia="Times New Roman" w:hAnsi="Times New Roman"/>
          <w:sz w:val="18"/>
          <w:szCs w:val="18"/>
          <w:color w:val="auto"/>
        </w:rPr>
        <w:t>”). Executive further acknowledges that all original works of authorship that are created or contributed to by Executive (solely or jointly with others) within the scope of, and during the period of, Executive’s employment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4" w:right="339" w:bottom="1440" w:gutter="0" w:footer="0" w:header="0"/>
        </w:sectPr>
      </w:pPr>
    </w:p>
    <w:bookmarkStart w:id="115" w:name="page116"/>
    <w:bookmarkEnd w:id="115"/>
    <w:p>
      <w:pPr>
        <w:jc w:val="both"/>
        <w:spacing w:after="0" w:line="222" w:lineRule="auto"/>
        <w:rPr>
          <w:sz w:val="20"/>
          <w:szCs w:val="20"/>
          <w:color w:val="auto"/>
        </w:rPr>
      </w:pPr>
      <w:r>
        <w:rPr>
          <w:rFonts w:ascii="Times New Roman" w:cs="Times New Roman" w:eastAsia="Times New Roman" w:hAnsi="Times New Roman"/>
          <w:sz w:val="18"/>
          <w:szCs w:val="18"/>
          <w:color w:val="auto"/>
        </w:rPr>
        <w:t>before or after execution of this Agreement) with Employer are to be deemed “works made for hire”, as that term is defined in the United States Copyright Act, and the copyright and all intellectual property rights therein shall be the sole property of Employer or its designee. To the extent any of such works are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deemed not to be “works for hire”, Executive hereby assigns the copyright and all other intellectual property rights in such works to Employer or its designee.</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1.10</w:t>
      </w:r>
      <w:r>
        <w:rPr>
          <w:sz w:val="20"/>
          <w:szCs w:val="20"/>
          <w:color w:val="auto"/>
        </w:rPr>
        <w:tab/>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Executive shall take all requested actions and execute all requested documents to assist Employer,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its designee, at Employer’s expense, in every way to secure Employer’s or its designee’s above rights in the Prior Inventions and Employer Inventions and any copyrights, patents, mask work rights or other intellectual property rights relating thereto in any and all countries, and to pursue any patents or registrations with respect thereto. This covenant shall survive the termination of this Agreement. If Employer or its designee is unable for any other reason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to secure Executive’s signature on any document for this purpose, then Executive hereby irrevocably designates and appoints Employer or its designee and their duly authorized officers and agents, as the case may be, as Executive’s agent and attorney in fact, to act for and in Executive’s behalf and stead to execute any documents and to do all other lawfully permitted acts in connection with the foregoing.</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All memoranda, books, records, documents, papers, plans, information, letters and other data relating to Confidential Information or the business and customer accounts of Employer, whether prepared by Executive or otherwise, coming into Executive’s possession shall be and remain the exclusive property of Employer and Executive shall not, during the term of Executive’s employment with Employer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thereafter, directly or indirectly assert any interest or property rights therein. Upon termination of employment with Employer for any reason, Executive will immediately return to Employer all such memoranda, books, records, documents, papers, plans, information, letters and other data, and all copies thereof or therefrom, and Executive will not retain, or cause or permit to be retained, any copies or other embodiments of the materials so returned.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Executive further agrees that he will not retain or use for Executive’s account at any time any trade names, trademark or other proprietary business designation used or owned in connection with the business of Employer.</w:t>
      </w:r>
    </w:p>
    <w:p>
      <w:pPr>
        <w:spacing w:after="0" w:line="157"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1.12</w:t>
      </w:r>
      <w:r>
        <w:rPr>
          <w:sz w:val="20"/>
          <w:szCs w:val="20"/>
          <w:color w:val="auto"/>
        </w:rPr>
        <w:tab/>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has not prior to the date hereof, whether in writing or orally, criticized or disparaged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Employer, nor shall Executive at any time following the date hereof, unless in the context of litigation between Employer and Executive or under penalty of perjury, whether in writing or orally, criticize or disparage Employer or any of its affiliates or any of their respective current or former affiliates, directors, officers, employees, members, partners, agents or representatives.</w:t>
      </w:r>
    </w:p>
    <w:p>
      <w:pPr>
        <w:spacing w:after="0" w:line="172" w:lineRule="exact"/>
        <w:rPr>
          <w:sz w:val="20"/>
          <w:szCs w:val="20"/>
          <w:color w:val="auto"/>
        </w:rPr>
      </w:pPr>
    </w:p>
    <w:p>
      <w:pPr>
        <w:jc w:val="both"/>
        <w:ind w:right="20"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Executive agrees that any breach by Executive of any of the provisions of this Article V shall cause irreparable harm to Employer that could not be made whole by monetary damages and that, in the event of such a breach, Executive shall waive the defense in any action for specific performance that a remedy at law would be adequate, and Employer shall be entitled to specifically enforce the terms and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provisions of this Article V without the necessity of proving actual damages or posting any bond or providing prior notice, in addition to any other remedy to which Employer may be entitled at law or in equity.</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1.14</w:t>
      </w:r>
      <w:r>
        <w:rPr>
          <w:sz w:val="20"/>
          <w:szCs w:val="20"/>
          <w:color w:val="auto"/>
        </w:rPr>
        <w:tab/>
      </w:r>
      <w:r>
        <w:rPr>
          <w:rFonts w:ascii="Times New Roman" w:cs="Times New Roman" w:eastAsia="Times New Roman" w:hAnsi="Times New Roman"/>
          <w:sz w:val="18"/>
          <w:szCs w:val="18"/>
          <w:u w:val="single" w:color="auto"/>
          <w:color w:val="auto"/>
        </w:rPr>
        <w:t>Notification of Subsequent Employer</w:t>
      </w:r>
      <w:r>
        <w:rPr>
          <w:rFonts w:ascii="Times New Roman" w:cs="Times New Roman" w:eastAsia="Times New Roman" w:hAnsi="Times New Roman"/>
          <w:sz w:val="18"/>
          <w:szCs w:val="18"/>
          <w:color w:val="auto"/>
        </w:rPr>
        <w:t>. Prior to accepting employment with any other person or entity during any period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during which Executive remains subject to any of the covenants set forth in Section 5.03 or Section 5.04, Executive shall provide such prospective employer with written notice of the provisions of this Agreement, with a copy of such notice delivered simultaneously to Employer in accordance with Section 6.05.</w:t>
      </w:r>
    </w:p>
    <w:p>
      <w:pPr>
        <w:spacing w:after="0" w:line="17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Article VI</w:t>
      </w:r>
    </w:p>
    <w:p>
      <w:pPr>
        <w:spacing w:after="0" w:line="1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185" w:lineRule="exact"/>
        <w:rPr>
          <w:sz w:val="20"/>
          <w:szCs w:val="20"/>
          <w:color w:val="auto"/>
        </w:rPr>
      </w:pPr>
    </w:p>
    <w:p>
      <w:pPr>
        <w:jc w:val="right"/>
        <w:spacing w:after="0"/>
        <w:tabs>
          <w:tab w:leader="none" w:pos="86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not be assignable by Executive. The parties agree that any attempt by Executive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delegate Executive’s duties hereunder shall be null and void. This Agreement may be assigned by Employer to a person or entity that is an affiliate or a successor in interest to substantially all the business operations of Employer. Upon such assignment, the rights and obligations of Employer hereunder shall become the rights and obligations of such affiliate or successor person or entity. As used in this Agreement, the term “Employer” shall mean Employer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hereinbefore defined in the recital to this Agreement and any permitted assignee to which this Agreement is assigned.</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shall be binding upon and shall inure to the benefit of the successors and permitted assigns of Employer and the personal or legal representatives, executors, administrators, successors, distributees, devisees and legatees of Executive. Executive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acknowledges and agrees that all Executive’s covenants and obligations to Employer, as well as the rights of Employer under this Agreement, shall run in favor of and will be enforceable by Employer, its subsidiaries and its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4" w:right="339" w:bottom="1440" w:gutter="0" w:footer="0" w:header="0"/>
        </w:sectPr>
      </w:pPr>
    </w:p>
    <w:bookmarkStart w:id="116" w:name="page117"/>
    <w:bookmarkEnd w:id="116"/>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understanding of the parties with respect to the transactions contemplated hereby and the subject matter hereof and supersedes and replaces any and all prior agreements, understandings, statements,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representations and warranties, written or oral, express or implied and/or whenever and howsoever made, directly or indirectly relating to the subject matter hereof, including the offer letter between Employer and Executive dated as of February 20, 2018. Notwithstanding the above, the Executive’s covenants set forth in Article V shall operate independently of, and shall be in addition to, any similar covenants to which Executive is subject pursuant to any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Employer or any of Employer’s affiliates.</w:t>
      </w:r>
    </w:p>
    <w:p>
      <w:pPr>
        <w:spacing w:after="0" w:line="15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not be altered, modified, or amended except by written instrument signed by the</w:t>
      </w:r>
    </w:p>
    <w:p>
      <w:pPr>
        <w:spacing w:after="0"/>
        <w:rPr>
          <w:sz w:val="20"/>
          <w:szCs w:val="20"/>
          <w:color w:val="auto"/>
        </w:rPr>
      </w:pPr>
      <w:r>
        <w:rPr>
          <w:rFonts w:ascii="Times New Roman" w:cs="Times New Roman" w:eastAsia="Times New Roman" w:hAnsi="Times New Roman"/>
          <w:sz w:val="18"/>
          <w:szCs w:val="18"/>
          <w:color w:val="auto"/>
        </w:rPr>
        <w:t>parties hereto.</w:t>
      </w:r>
    </w:p>
    <w:p>
      <w:pPr>
        <w:spacing w:after="0" w:line="178" w:lineRule="exact"/>
        <w:rPr>
          <w:sz w:val="20"/>
          <w:szCs w:val="20"/>
          <w:color w:val="auto"/>
        </w:rPr>
      </w:pPr>
    </w:p>
    <w:p>
      <w:pPr>
        <w:ind w:right="500" w:firstLine="1296"/>
        <w:spacing w:after="0" w:line="237"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documents, notices, requests, demands and other communications that are required or permitted to be delivered or given under this Agreement shall be in writing and shall be deemed to have been duly delivered or given when received.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If to Employer:</w:t>
        <w:tab/>
        <w:t>International Money Express, Inc.</w:t>
      </w:r>
    </w:p>
    <w:p>
      <w:pPr>
        <w:ind w:left="2600"/>
        <w:spacing w:after="0" w:line="205" w:lineRule="auto"/>
        <w:rPr>
          <w:sz w:val="20"/>
          <w:szCs w:val="20"/>
          <w:color w:val="auto"/>
        </w:rPr>
      </w:pPr>
      <w:r>
        <w:rPr>
          <w:rFonts w:ascii="Times New Roman" w:cs="Times New Roman" w:eastAsia="Times New Roman" w:hAnsi="Times New Roman"/>
          <w:sz w:val="18"/>
          <w:szCs w:val="18"/>
          <w:color w:val="auto"/>
        </w:rPr>
        <w:t>9480 S. Dixie Hwy.</w:t>
      </w:r>
    </w:p>
    <w:p>
      <w:pPr>
        <w:ind w:left="2600"/>
        <w:spacing w:after="0" w:line="204" w:lineRule="auto"/>
        <w:rPr>
          <w:sz w:val="20"/>
          <w:szCs w:val="20"/>
          <w:color w:val="auto"/>
        </w:rPr>
      </w:pPr>
      <w:r>
        <w:rPr>
          <w:rFonts w:ascii="Times New Roman" w:cs="Times New Roman" w:eastAsia="Times New Roman" w:hAnsi="Times New Roman"/>
          <w:sz w:val="18"/>
          <w:szCs w:val="18"/>
          <w:color w:val="auto"/>
        </w:rPr>
        <w:t>Miami, FL 33156</w:t>
      </w:r>
    </w:p>
    <w:p>
      <w:pPr>
        <w:ind w:left="2600"/>
        <w:spacing w:after="0" w:line="235" w:lineRule="auto"/>
        <w:rPr>
          <w:sz w:val="20"/>
          <w:szCs w:val="20"/>
          <w:color w:val="auto"/>
        </w:rPr>
      </w:pPr>
      <w:r>
        <w:rPr>
          <w:rFonts w:ascii="Times New Roman" w:cs="Times New Roman" w:eastAsia="Times New Roman" w:hAnsi="Times New Roman"/>
          <w:sz w:val="18"/>
          <w:szCs w:val="18"/>
          <w:color w:val="auto"/>
        </w:rPr>
        <w:t>Attention: Margaret Schlozen</w:t>
      </w:r>
    </w:p>
    <w:p>
      <w:pPr>
        <w:ind w:left="2600"/>
        <w:spacing w:after="0" w:line="234" w:lineRule="auto"/>
        <w:rPr>
          <w:sz w:val="20"/>
          <w:szCs w:val="20"/>
          <w:color w:val="auto"/>
        </w:rPr>
      </w:pPr>
      <w:r>
        <w:rPr>
          <w:rFonts w:ascii="Times New Roman" w:cs="Times New Roman" w:eastAsia="Times New Roman" w:hAnsi="Times New Roman"/>
          <w:sz w:val="18"/>
          <w:szCs w:val="18"/>
          <w:color w:val="auto"/>
        </w:rPr>
        <w:t>Telephone: (305) 671-8000 x 1414</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563C1"/>
        </w:rPr>
        <w:t>mailto:</w:t>
      </w:r>
      <w:r>
        <w:rPr>
          <w:rFonts w:ascii="Times New Roman" w:cs="Times New Roman" w:eastAsia="Times New Roman" w:hAnsi="Times New Roman"/>
          <w:sz w:val="18"/>
          <w:szCs w:val="18"/>
          <w:color w:val="auto"/>
        </w:rPr>
        <w:t xml:space="preserve"> pschlozen@intermexusa.com</w:t>
      </w:r>
    </w:p>
    <w:p>
      <w:pPr>
        <w:spacing w:after="0" w:line="19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color w:val="auto"/>
        </w:rPr>
        <w:t>with copies to:</w:t>
      </w:r>
      <w:r>
        <w:rPr>
          <w:sz w:val="20"/>
          <w:szCs w:val="20"/>
          <w:color w:val="auto"/>
        </w:rPr>
        <w:tab/>
      </w:r>
      <w:r>
        <w:rPr>
          <w:rFonts w:ascii="Times New Roman" w:cs="Times New Roman" w:eastAsia="Times New Roman" w:hAnsi="Times New Roman"/>
          <w:sz w:val="17"/>
          <w:szCs w:val="17"/>
          <w:color w:val="auto"/>
        </w:rPr>
        <w:t>Brenner Kaprosy Mitchell, L.L.P.</w:t>
      </w:r>
    </w:p>
    <w:p>
      <w:pPr>
        <w:ind w:left="2600"/>
        <w:spacing w:after="0" w:line="237" w:lineRule="auto"/>
        <w:rPr>
          <w:sz w:val="20"/>
          <w:szCs w:val="20"/>
          <w:color w:val="auto"/>
        </w:rPr>
      </w:pPr>
      <w:r>
        <w:rPr>
          <w:rFonts w:ascii="Times New Roman" w:cs="Times New Roman" w:eastAsia="Times New Roman" w:hAnsi="Times New Roman"/>
          <w:sz w:val="18"/>
          <w:szCs w:val="18"/>
          <w:color w:val="auto"/>
        </w:rPr>
        <w:t>30050 Chagrin Blvd., Suite 100</w:t>
      </w:r>
    </w:p>
    <w:p>
      <w:pPr>
        <w:ind w:left="2600"/>
        <w:spacing w:after="0" w:line="203" w:lineRule="auto"/>
        <w:rPr>
          <w:sz w:val="20"/>
          <w:szCs w:val="20"/>
          <w:color w:val="auto"/>
        </w:rPr>
      </w:pPr>
      <w:r>
        <w:rPr>
          <w:rFonts w:ascii="Times New Roman" w:cs="Times New Roman" w:eastAsia="Times New Roman" w:hAnsi="Times New Roman"/>
          <w:sz w:val="18"/>
          <w:szCs w:val="18"/>
          <w:color w:val="auto"/>
        </w:rPr>
        <w:t>Pepper Pike, Ohio 44124-5704</w:t>
      </w:r>
    </w:p>
    <w:p>
      <w:pPr>
        <w:ind w:left="2600"/>
        <w:spacing w:after="0" w:line="204" w:lineRule="auto"/>
        <w:rPr>
          <w:sz w:val="20"/>
          <w:szCs w:val="20"/>
          <w:color w:val="auto"/>
        </w:rPr>
      </w:pPr>
      <w:r>
        <w:rPr>
          <w:rFonts w:ascii="Times New Roman" w:cs="Times New Roman" w:eastAsia="Times New Roman" w:hAnsi="Times New Roman"/>
          <w:sz w:val="18"/>
          <w:szCs w:val="18"/>
          <w:color w:val="auto"/>
        </w:rPr>
        <w:t>Attention: T. David Mitchell</w:t>
      </w:r>
    </w:p>
    <w:p>
      <w:pPr>
        <w:ind w:left="2600"/>
        <w:spacing w:after="0" w:line="219" w:lineRule="auto"/>
        <w:rPr>
          <w:sz w:val="20"/>
          <w:szCs w:val="20"/>
          <w:color w:val="auto"/>
        </w:rPr>
      </w:pPr>
      <w:r>
        <w:rPr>
          <w:rFonts w:ascii="Times New Roman" w:cs="Times New Roman" w:eastAsia="Times New Roman" w:hAnsi="Times New Roman"/>
          <w:sz w:val="18"/>
          <w:szCs w:val="18"/>
          <w:color w:val="auto"/>
        </w:rPr>
        <w:t>Telephone: (216) 292-5511</w:t>
      </w:r>
    </w:p>
    <w:p>
      <w:pPr>
        <w:ind w:left="2600"/>
        <w:spacing w:after="0" w:line="203" w:lineRule="auto"/>
        <w:rPr>
          <w:sz w:val="20"/>
          <w:szCs w:val="20"/>
          <w:color w:val="auto"/>
        </w:rPr>
      </w:pPr>
      <w:r>
        <w:rPr>
          <w:rFonts w:ascii="Times New Roman" w:cs="Times New Roman" w:eastAsia="Times New Roman" w:hAnsi="Times New Roman"/>
          <w:sz w:val="18"/>
          <w:szCs w:val="18"/>
          <w:color w:val="auto"/>
        </w:rPr>
        <w:t>Facsimile: (216) 292-5555</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563C1"/>
        </w:rPr>
        <w:t>TDMitchell@brenner-law.com</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if to Executive, to the Executive’s last address on file with the Company.</w:t>
      </w:r>
    </w:p>
    <w:p>
      <w:pPr>
        <w:spacing w:after="0" w:line="198"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18"/>
          <w:szCs w:val="18"/>
          <w:color w:val="auto"/>
        </w:rPr>
        <w:t>The parties may change the address to which notices under this Agreement shall be sent by providing written notice to the other in the manner specified above.</w:t>
      </w:r>
    </w:p>
    <w:p>
      <w:pPr>
        <w:spacing w:after="0" w:line="158"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(a) This Agreement and any disputes arising under or related hereto (whether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breach of contract, tortious conduct or otherwise) shall be governed and construed in accordance with the laws of the State of Florida, without reference to its conflicts of law principles. Each party irrevocably agrees that any legal action, suit or proceeding against them arising out of or in connection with this Agreement or the transactions contemplated by this Agreement or disputes relating hereto (whether for breach of contract, tortuous conduct or otherwise)</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shall be brought exclusively in the United States District Court for the Southern District of Florida, or, if such court does not have subject matter jurisdiction, the state courts of Florida located in Dade County and hereby irrevocably accepts and submits to the exclusive jurisdiction and venue of the aforesaid courts in personam, with respect to any such action, suit or proceeding.</w:t>
      </w:r>
    </w:p>
    <w:p>
      <w:pPr>
        <w:spacing w:after="0" w:line="172" w:lineRule="exact"/>
        <w:rPr>
          <w:sz w:val="20"/>
          <w:szCs w:val="20"/>
          <w:color w:val="auto"/>
        </w:rPr>
      </w:pPr>
    </w:p>
    <w:p>
      <w:pPr>
        <w:jc w:val="both"/>
        <w:ind w:firstLine="1304"/>
        <w:spacing w:after="0" w:line="220" w:lineRule="auto"/>
        <w:tabs>
          <w:tab w:leader="none" w:pos="19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waives, to the fullest extent permitted by applicable law, any right it may have to a trial by jury in respect to any litigation directly or indirectly arising out of, under or in connection with this Agreement. Each party (i) certifies that no representative, agent or attorney of any other party has represented, expressly or otherwise, that such other party would not, in the event of litigation, seek to enforce the foregoing waiver and (ii) acknowledges that it and the other parties hereto have been induced to enter into this Agreement by, among other things, the mutual waivers and certifications in this Section 6.06(b).</w:t>
      </w:r>
    </w:p>
    <w:p>
      <w:pPr>
        <w:spacing w:after="0" w:line="158" w:lineRule="exact"/>
        <w:rPr>
          <w:rFonts w:ascii="Times New Roman" w:cs="Times New Roman" w:eastAsia="Times New Roman" w:hAnsi="Times New Roman"/>
          <w:sz w:val="18"/>
          <w:szCs w:val="18"/>
          <w:color w:val="auto"/>
        </w:rPr>
      </w:pPr>
    </w:p>
    <w:p>
      <w:pPr>
        <w:ind w:firstLine="1304"/>
        <w:spacing w:after="0" w:line="250" w:lineRule="auto"/>
        <w:tabs>
          <w:tab w:leader="none" w:pos="19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party in any dispute or legal action arising under this Agreement shall be entitled to recover its reasonable expenses, attorneys’ fees and costs from the non-prevailing party.</w:t>
      </w:r>
    </w:p>
    <w:p>
      <w:pPr>
        <w:spacing w:after="0" w:line="149"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condition of this Agreement is held by a court of competent jurisdiction to be invalid, illegal, void or unenforceable in any jurisdiction, then such provision, covenant or condition shall, as to such jurisdiction, be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modified or restricted to the extent necessary to make such provision valid, binding and enforceable, or, if such provision cannot be modified or restricted, then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4" w:right="339" w:bottom="1440" w:gutter="0" w:footer="0" w:header="0"/>
        </w:sectPr>
      </w:pPr>
    </w:p>
    <w:bookmarkStart w:id="117" w:name="page118"/>
    <w:bookmarkEnd w:id="117"/>
    <w:p>
      <w:pPr>
        <w:jc w:val="both"/>
        <w:spacing w:after="0" w:line="222" w:lineRule="auto"/>
        <w:rPr>
          <w:sz w:val="20"/>
          <w:szCs w:val="20"/>
          <w:color w:val="auto"/>
        </w:rPr>
      </w:pPr>
      <w:r>
        <w:rPr>
          <w:rFonts w:ascii="Times New Roman" w:cs="Times New Roman" w:eastAsia="Times New Roman" w:hAnsi="Times New Roman"/>
          <w:sz w:val="18"/>
          <w:szCs w:val="18"/>
          <w:color w:val="auto"/>
        </w:rPr>
        <w:t>provision shall, as to such jurisdiction, be deemed to be excised from this Agreement and any such invalidity, illegality or unenforceability with respect to such provision shall not invalidate or render unenforceable such provision in any other jurisdiction, and the remainder of the provisions hereof shall remain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full force and effect and shall in no way be affected, impaired or invalidated.</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rights and obligations of Employer and Executive under the provisions of this Agreement, including Articles V and VI, shall survive and remain binding and enforceable, notwithstanding any termination of Executive’s employment with Employer,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necessary to preserve the intended benefits of such provisions.</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Executive shall provide Executive’s reasonable cooperation to Employer in connection with any suit, action or proceeding (or any appeal therefrom) that relates to events occurring during Executive’s employment with Employer or any of its affiliates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than a suit between Executive, on the one hand, and Employer, on the other hand, provided that Employer shall reimburse Executive for expenses reasonably incurred in connection with such cooperation.</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1.10</w:t>
      </w:r>
      <w:r>
        <w:rPr>
          <w:sz w:val="20"/>
          <w:szCs w:val="20"/>
          <w:color w:val="auto"/>
        </w:rPr>
        <w:tab/>
      </w:r>
      <w:r>
        <w:rPr>
          <w:rFonts w:ascii="Times New Roman" w:cs="Times New Roman" w:eastAsia="Times New Roman" w:hAnsi="Times New Roman"/>
          <w:sz w:val="18"/>
          <w:szCs w:val="18"/>
          <w:u w:val="single" w:color="auto"/>
          <w:color w:val="auto"/>
        </w:rPr>
        <w:t>Executive Representation</w:t>
      </w:r>
      <w:r>
        <w:rPr>
          <w:rFonts w:ascii="Times New Roman" w:cs="Times New Roman" w:eastAsia="Times New Roman" w:hAnsi="Times New Roman"/>
          <w:sz w:val="18"/>
          <w:szCs w:val="18"/>
          <w:color w:val="auto"/>
        </w:rPr>
        <w:t>. Executive hereby represents to Employer that the execution and delivery of this Agreement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by Executive and Employer and the performance by Executive of Executive’s duties hereunder shall not constitute a breach of, or otherwise contravene, or be prevented, interfered with or hindered by, the terms of any employment agreement or other agreement or policy to which Executive is a party or otherwise bound.</w:t>
      </w:r>
    </w:p>
    <w:p>
      <w:pPr>
        <w:spacing w:after="0" w:line="172"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provisions of this Agreement may be waived only in writing signed by the party or parties entitled to the benefit thereof. A waiver or any breach or failure to enforce any provision of this Agreement shall not in any way affect, limit or waive a party’s rights hereunder at any time to enforce strict compliance thereafter with every provision of this Agreement.</w:t>
      </w:r>
    </w:p>
    <w:p>
      <w:pPr>
        <w:spacing w:after="0" w:line="171" w:lineRule="exact"/>
        <w:rPr>
          <w:sz w:val="20"/>
          <w:szCs w:val="20"/>
          <w:color w:val="auto"/>
        </w:rPr>
      </w:pPr>
    </w:p>
    <w:p>
      <w:pPr>
        <w:jc w:val="both"/>
        <w:ind w:right="20" w:firstLine="1296"/>
        <w:spacing w:after="0" w:line="237"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Set Off</w:t>
      </w:r>
      <w:r>
        <w:rPr>
          <w:rFonts w:ascii="Times New Roman" w:cs="Times New Roman" w:eastAsia="Times New Roman" w:hAnsi="Times New Roman"/>
          <w:sz w:val="18"/>
          <w:szCs w:val="18"/>
          <w:color w:val="auto"/>
        </w:rPr>
        <w:t>. Employer’s obligation to pay Executive the amounts provided and to make the arrangements provided hereunder shall be subject to set-off, counterclaim or recoupment of amounts owed by Executive to Employer or its affiliates.</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Employer may withhold from any amounts payable under this Agreement such Federal, state, local and foreign taxes as may be required to be withheld pursuant to any applicable law or regulation.</w:t>
      </w:r>
    </w:p>
    <w:p>
      <w:pPr>
        <w:spacing w:after="0" w:line="14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 It is intended that the provisions of this Agreement comply with Section 409A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of the Internal Revenue Code of 1986, as amended, and all provisions of this Agreement shall be construed and interpreted in a manner consistent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for avoiding taxes or penalties under Section 409A.</w:t>
      </w:r>
    </w:p>
    <w:p>
      <w:pPr>
        <w:spacing w:after="0" w:line="165" w:lineRule="exact"/>
        <w:rPr>
          <w:sz w:val="20"/>
          <w:szCs w:val="20"/>
          <w:color w:val="auto"/>
        </w:rPr>
      </w:pPr>
    </w:p>
    <w:p>
      <w:pPr>
        <w:jc w:val="both"/>
        <w:ind w:firstLine="1304"/>
        <w:spacing w:after="0" w:line="220" w:lineRule="auto"/>
        <w:tabs>
          <w:tab w:leader="none" w:pos="19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Executive nor any of his creditors or beneficiaries shall have the right to subject any deferred compensation (within the meaning of Section 409A) payable under this Agreement or under any other plan, policy, arrangement or agreement of or with Employer or any of its affiliates (this Agreement and such other plans, policies, arrangements and agreements, the “</w:t>
      </w:r>
      <w:r>
        <w:rPr>
          <w:rFonts w:ascii="Times New Roman" w:cs="Times New Roman" w:eastAsia="Times New Roman" w:hAnsi="Times New Roman"/>
          <w:sz w:val="18"/>
          <w:szCs w:val="18"/>
          <w:u w:val="single" w:color="auto"/>
          <w:color w:val="auto"/>
        </w:rPr>
        <w:t>Company Plans</w:t>
      </w:r>
      <w:r>
        <w:rPr>
          <w:rFonts w:ascii="Times New Roman" w:cs="Times New Roman" w:eastAsia="Times New Roman" w:hAnsi="Times New Roman"/>
          <w:sz w:val="18"/>
          <w:szCs w:val="18"/>
          <w:color w:val="auto"/>
        </w:rPr>
        <w:t>”) to any anticipation, alienation, sale, transfer, assignment, pledge, encumbrance, attachment or garnishment. Except as permitted under Section 409A, any deferred compensation (within the meaning of Section 409A) payable to Executive or for Executive’s benefit under any Company Plan may not be reduced by, or offset against, any amount owing by Executive to Employer or any of its affiliates.</w:t>
      </w:r>
    </w:p>
    <w:p>
      <w:pPr>
        <w:spacing w:after="0" w:line="157"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Executive’s separation from service (within the meaning of Section 409A), (i) Executive shall be a specified employee (within the meaning of Section 409A and using the identification methodology selected by Employer from time to time) and (ii) Employer shall make a good faith determination that an amount payable under a Company Plan constitutes deferred compensation (within the meaning of Section 409A) the payment of which is required to be delayed pursuant to the six-month delay rule set forth in Section 409A in order to avoid taxes or penalties under Section 409A, then the Employer (or its affiliate, as applicable) shall not pay such amount on the otherwise scheduled payment date but shall instead accumulate such amount and pay it on the first business day after such six-month period.</w:t>
      </w:r>
    </w:p>
    <w:p>
      <w:pPr>
        <w:spacing w:after="0" w:line="173"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or any Company Plan to the contrary, in light of the uncertainty with respect to the proper application of Section 409A, Employer reserves the right to make amendments to any Company Plan as Employer deems necessary or desirable to avoid the imposition of taxes or penalties under Section 409A. In any case, Executive is solely responsible and liable for the satisfaction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4" w:right="339" w:bottom="1440" w:gutter="0" w:footer="0" w:header="0"/>
        </w:sectPr>
      </w:pPr>
    </w:p>
    <w:bookmarkStart w:id="118" w:name="page119"/>
    <w:bookmarkEnd w:id="118"/>
    <w:p>
      <w:pPr>
        <w:spacing w:after="0" w:line="222" w:lineRule="auto"/>
        <w:rPr>
          <w:sz w:val="20"/>
          <w:szCs w:val="20"/>
          <w:color w:val="auto"/>
        </w:rPr>
      </w:pPr>
      <w:r>
        <w:rPr>
          <w:rFonts w:ascii="Times New Roman" w:cs="Times New Roman" w:eastAsia="Times New Roman" w:hAnsi="Times New Roman"/>
          <w:sz w:val="18"/>
          <w:szCs w:val="18"/>
          <w:color w:val="auto"/>
        </w:rPr>
        <w:t>taxes and penalties that may be imposed on Executive or for Executive’s account in connection with any Company Plan (including any taxes and penalties under Section 409A), and neither the Employer nor any affiliate shall have any obligation to indemnify or otherwise hold Executive harmless from any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such taxes or penalties.</w:t>
      </w:r>
    </w:p>
    <w:p>
      <w:pPr>
        <w:spacing w:after="0" w:line="165" w:lineRule="exact"/>
        <w:rPr>
          <w:sz w:val="20"/>
          <w:szCs w:val="20"/>
          <w:color w:val="auto"/>
        </w:rPr>
      </w:pPr>
    </w:p>
    <w:p>
      <w:pPr>
        <w:ind w:firstLine="1304"/>
        <w:spacing w:after="0" w:line="237" w:lineRule="auto"/>
        <w:tabs>
          <w:tab w:leader="none" w:pos="193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409A, each payment hereunder will be deemed to be a separate payment as permitted under Treasury Regulation Section 1.409A-2(b)(2)(iii).</w:t>
      </w:r>
    </w:p>
    <w:p>
      <w:pPr>
        <w:spacing w:after="0" w:line="171"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permitted by Section 409A, any benefits and reimbursements provided to Executive under this Agreement during any calendar year shall not affect any benefits and reimbursements to be provided to Executive under this Agreement in any other calendar year, and the right to such benefits and reimbursements cannot be liquidated or exchanged for any other benefit. Furthermore, reimbursement payments shall be made to Executive as soon as practicable following the date that the applicable expense is incurred, but in no event later than the last day of the calendar year following the calendar year in which the underlying expense is incurred.</w:t>
      </w:r>
    </w:p>
    <w:p>
      <w:pPr>
        <w:spacing w:after="0" w:line="158"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18"/>
          <w:szCs w:val="18"/>
          <w:color w:val="auto"/>
        </w:rPr>
        <w:t>SECTION 1.15</w:t>
      </w:r>
      <w:r>
        <w:rPr>
          <w:sz w:val="20"/>
          <w:szCs w:val="20"/>
          <w:color w:val="auto"/>
        </w:rPr>
        <w:tab/>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In consideration of Employer’s entering into this Agreement and except with respect to Employer’s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obligations hereunder, Executive hereby irrevocably waives, releases and forever discharges Employer and its affiliates and their predecessors, successors, current and former employees, shareholders, members, partners, directors, officers, representatives and agents from any and all actions, causes of action, claims, demands for general or specific or punitive damages, attorney’s fees, or expenses, known or unknown, that in any way relate to or arise out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Executive’s employment with Employer through and including the date of this Agreement which Executive may now or hereafter have, including claims under any Federal, state or local statute, rule or regulation or principle of common, tort or contract law.</w:t>
      </w:r>
    </w:p>
    <w:p>
      <w:pPr>
        <w:spacing w:after="0" w:line="157"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Determinations</w:t>
      </w:r>
      <w:r>
        <w:rPr>
          <w:rFonts w:ascii="Times New Roman" w:cs="Times New Roman" w:eastAsia="Times New Roman" w:hAnsi="Times New Roman"/>
          <w:sz w:val="18"/>
          <w:szCs w:val="18"/>
          <w:color w:val="auto"/>
        </w:rPr>
        <w:t>. Unless otherwise expressly provided in this Agreement, all determinations of Employer or the Board shall be in the sole discretion of Employer or the Board, as applicable.</w:t>
      </w:r>
    </w:p>
    <w:p>
      <w:pPr>
        <w:spacing w:after="0" w:line="149"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instrument and all of which together shall constitute a single instrument.</w:t>
      </w:r>
    </w:p>
    <w:p>
      <w:pPr>
        <w:spacing w:after="0" w:line="172"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(a) The headings in this Agreement are for convenience only and shall not control or affect the meaning or construction of any provision of this Agreement.</w:t>
      </w:r>
    </w:p>
    <w:p>
      <w:pPr>
        <w:spacing w:after="0" w:line="158" w:lineRule="exact"/>
        <w:rPr>
          <w:sz w:val="20"/>
          <w:szCs w:val="20"/>
          <w:color w:val="auto"/>
        </w:rPr>
      </w:pPr>
    </w:p>
    <w:p>
      <w:pPr>
        <w:jc w:val="both"/>
        <w:ind w:firstLine="1304"/>
        <w:spacing w:after="0" w:line="231" w:lineRule="auto"/>
        <w:tabs>
          <w:tab w:leader="none" w:pos="19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words such as “herein,” “hereinafter,” “hereby” and “hereunder,” and words of like import refer to this Agreement, unless the context requires otherwise. The words “include,” “includes” and “including” shall be deemed to be followed by the phrase “without limitation”.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4" w:right="339" w:bottom="1440" w:gutter="0" w:footer="0" w:header="0"/>
        </w:sectPr>
      </w:pPr>
    </w:p>
    <w:bookmarkStart w:id="119" w:name="page120"/>
    <w:bookmarkEnd w:id="119"/>
    <w:p>
      <w:pPr>
        <w:spacing w:after="0" w:line="207" w:lineRule="exact"/>
        <w:rPr>
          <w:sz w:val="20"/>
          <w:szCs w:val="20"/>
          <w:color w:val="auto"/>
        </w:rPr>
      </w:pPr>
    </w:p>
    <w:p>
      <w:pPr>
        <w:ind w:right="1099" w:firstLine="216"/>
        <w:spacing w:after="0" w:line="459" w:lineRule="auto"/>
        <w:rPr>
          <w:sz w:val="20"/>
          <w:szCs w:val="20"/>
          <w:color w:val="auto"/>
        </w:rPr>
      </w:pPr>
      <w:r>
        <w:rPr>
          <w:rFonts w:ascii="Times New Roman" w:cs="Times New Roman" w:eastAsia="Times New Roman" w:hAnsi="Times New Roman"/>
          <w:sz w:val="18"/>
          <w:szCs w:val="18"/>
          <w:color w:val="auto"/>
        </w:rPr>
        <w:t>IN WITNESS WHEREOF, the parties have duly executed this Agreement as of the date first written above. “Employer”</w:t>
      </w:r>
    </w:p>
    <w:p>
      <w:pPr>
        <w:spacing w:after="0" w:line="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200" w:lineRule="exact"/>
        <w:rPr>
          <w:sz w:val="20"/>
          <w:szCs w:val="20"/>
          <w:color w:val="auto"/>
        </w:rPr>
      </w:pPr>
    </w:p>
    <w:p>
      <w:pPr>
        <w:spacing w:after="0" w:line="259" w:lineRule="exact"/>
        <w:rPr>
          <w:sz w:val="20"/>
          <w:szCs w:val="20"/>
          <w:color w:val="auto"/>
        </w:rPr>
      </w:pPr>
    </w:p>
    <w:p>
      <w:pPr>
        <w:ind w:left="2840"/>
        <w:spacing w:after="0"/>
        <w:tabs>
          <w:tab w:leader="none" w:pos="3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17145</wp:posOffset>
            </wp:positionV>
            <wp:extent cx="16891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1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Name: Robert Lisy</w:t>
      </w:r>
    </w:p>
    <w:p>
      <w:pPr>
        <w:spacing w:after="0" w:line="1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Title: Chief Executive Officer &amp;</w:t>
      </w:r>
    </w:p>
    <w:p>
      <w:pPr>
        <w:ind w:left="3780"/>
        <w:spacing w:after="0"/>
        <w:rPr>
          <w:sz w:val="20"/>
          <w:szCs w:val="20"/>
          <w:color w:val="auto"/>
        </w:rPr>
      </w:pPr>
      <w:r>
        <w:rPr>
          <w:rFonts w:ascii="Times New Roman" w:cs="Times New Roman" w:eastAsia="Times New Roman" w:hAnsi="Times New Roman"/>
          <w:sz w:val="18"/>
          <w:szCs w:val="18"/>
          <w:color w:val="auto"/>
        </w:rPr>
        <w:t>Chairman</w:t>
      </w:r>
    </w:p>
    <w:p>
      <w:pPr>
        <w:spacing w:after="0" w:line="200" w:lineRule="exact"/>
        <w:rPr>
          <w:sz w:val="20"/>
          <w:szCs w:val="20"/>
          <w:color w:val="auto"/>
        </w:rPr>
      </w:pPr>
    </w:p>
    <w:p>
      <w:pPr>
        <w:spacing w:after="0" w:line="35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“Employee”</w:t>
      </w:r>
    </w:p>
    <w:p>
      <w:pPr>
        <w:spacing w:after="0" w:line="200" w:lineRule="exact"/>
        <w:rPr>
          <w:sz w:val="20"/>
          <w:szCs w:val="20"/>
          <w:color w:val="auto"/>
        </w:rPr>
      </w:pPr>
    </w:p>
    <w:p>
      <w:pPr>
        <w:spacing w:after="0" w:line="30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/s/ Ernesto Luciano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22885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Ernesto Luciano</w:t>
      </w:r>
    </w:p>
    <w:p>
      <w:pPr>
        <w:sectPr>
          <w:pgSz w:w="11900" w:h="16838" w:orient="portrait"/>
          <w:cols w:equalWidth="0" w:num="1">
            <w:col w:w="9059"/>
          </w:cols>
          <w:pgMar w:left="1400" w:top="1440" w:right="1440" w:bottom="1440" w:gutter="0" w:footer="0" w:header="0"/>
        </w:sectPr>
      </w:pPr>
    </w:p>
    <w:bookmarkStart w:id="120" w:name="page121"/>
    <w:bookmarkEnd w:id="120"/>
    <w:p>
      <w:pPr>
        <w:spacing w:after="0" w:line="203" w:lineRule="exact"/>
        <w:rPr>
          <w:sz w:val="20"/>
          <w:szCs w:val="20"/>
          <w:color w:val="auto"/>
        </w:rPr>
      </w:pPr>
    </w:p>
    <w:p>
      <w:pPr>
        <w:jc w:val="right"/>
        <w:ind w:right="40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Inventions: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139"/>
          </w:cols>
          <w:pgMar w:left="320" w:top="1440"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76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Subsidiaries of International Money Express, Inc.</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Entity</w:t>
            </w:r>
          </w:p>
        </w:tc>
        <w:tc>
          <w:tcPr>
            <w:tcW w:w="100" w:type="dxa"/>
            <w:vAlign w:val="bottom"/>
          </w:tcPr>
          <w:p>
            <w:pPr>
              <w:spacing w:after="0"/>
              <w:rPr>
                <w:sz w:val="24"/>
                <w:szCs w:val="24"/>
                <w:color w:val="auto"/>
              </w:rPr>
            </w:pPr>
          </w:p>
        </w:tc>
        <w:tc>
          <w:tcPr>
            <w:tcW w:w="7520" w:type="dxa"/>
            <w:vAlign w:val="bottom"/>
            <w:gridSpan w:val="4"/>
          </w:tcPr>
          <w:p>
            <w:pPr>
              <w:ind w:left="3600"/>
              <w:spacing w:after="0"/>
              <w:rPr>
                <w:sz w:val="20"/>
                <w:szCs w:val="20"/>
                <w:color w:val="auto"/>
              </w:rPr>
            </w:pPr>
            <w:r>
              <w:rPr>
                <w:rFonts w:ascii="Times New Roman" w:cs="Times New Roman" w:eastAsia="Times New Roman" w:hAnsi="Times New Roman"/>
                <w:sz w:val="18"/>
                <w:szCs w:val="18"/>
                <w:color w:val="auto"/>
              </w:rPr>
              <w:t>State of Organization</w:t>
            </w: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Money Express Sub 2, LLC</w:t>
            </w:r>
          </w:p>
        </w:tc>
        <w:tc>
          <w:tcPr>
            <w:tcW w:w="100" w:type="dxa"/>
            <w:vAlign w:val="bottom"/>
            <w:shd w:val="clear" w:color="auto" w:fill="CCEEFF"/>
          </w:tcPr>
          <w:p>
            <w:pPr>
              <w:spacing w:after="0"/>
              <w:rPr>
                <w:sz w:val="19"/>
                <w:szCs w:val="19"/>
                <w:color w:val="auto"/>
              </w:rPr>
            </w:pPr>
          </w:p>
        </w:tc>
        <w:tc>
          <w:tcPr>
            <w:tcW w:w="7520" w:type="dxa"/>
            <w:vAlign w:val="bottom"/>
            <w:gridSpan w:val="4"/>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Intermex Holdings, Inc.</w:t>
            </w:r>
          </w:p>
        </w:tc>
        <w:tc>
          <w:tcPr>
            <w:tcW w:w="100" w:type="dxa"/>
            <w:vAlign w:val="bottom"/>
          </w:tcPr>
          <w:p>
            <w:pPr>
              <w:spacing w:after="0"/>
              <w:rPr>
                <w:sz w:val="19"/>
                <w:szCs w:val="19"/>
                <w:color w:val="auto"/>
              </w:rPr>
            </w:pPr>
          </w:p>
        </w:tc>
        <w:tc>
          <w:tcPr>
            <w:tcW w:w="7520" w:type="dxa"/>
            <w:vAlign w:val="bottom"/>
            <w:gridSpan w:val="4"/>
          </w:tcPr>
          <w:p>
            <w:pPr>
              <w:ind w:left="3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Intermex Wire Transfer, LLC</w:t>
            </w:r>
          </w:p>
        </w:tc>
        <w:tc>
          <w:tcPr>
            <w:tcW w:w="100" w:type="dxa"/>
            <w:vAlign w:val="bottom"/>
            <w:shd w:val="clear" w:color="auto" w:fill="CCEEFF"/>
          </w:tcPr>
          <w:p>
            <w:pPr>
              <w:spacing w:after="0"/>
              <w:rPr>
                <w:sz w:val="19"/>
                <w:szCs w:val="19"/>
                <w:color w:val="auto"/>
              </w:rPr>
            </w:pPr>
          </w:p>
        </w:tc>
        <w:tc>
          <w:tcPr>
            <w:tcW w:w="7520" w:type="dxa"/>
            <w:vAlign w:val="bottom"/>
            <w:gridSpan w:val="4"/>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Florida</w:t>
            </w:r>
          </w:p>
        </w:tc>
      </w:tr>
      <w:tr>
        <w:trPr>
          <w:trHeight w:val="230"/>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Intermex Wire Transfer Corp.</w:t>
            </w:r>
          </w:p>
        </w:tc>
        <w:tc>
          <w:tcPr>
            <w:tcW w:w="100" w:type="dxa"/>
            <w:vAlign w:val="bottom"/>
          </w:tcPr>
          <w:p>
            <w:pPr>
              <w:spacing w:after="0"/>
              <w:rPr>
                <w:sz w:val="19"/>
                <w:szCs w:val="19"/>
                <w:color w:val="auto"/>
              </w:rPr>
            </w:pPr>
          </w:p>
        </w:tc>
        <w:tc>
          <w:tcPr>
            <w:tcW w:w="7520" w:type="dxa"/>
            <w:vAlign w:val="bottom"/>
            <w:gridSpan w:val="4"/>
          </w:tcPr>
          <w:p>
            <w:pPr>
              <w:ind w:left="3600"/>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Intermex Wire Transfer II, LLC</w:t>
            </w:r>
          </w:p>
        </w:tc>
        <w:tc>
          <w:tcPr>
            <w:tcW w:w="100" w:type="dxa"/>
            <w:vAlign w:val="bottom"/>
            <w:shd w:val="clear" w:color="auto" w:fill="CCEEFF"/>
          </w:tcPr>
          <w:p>
            <w:pPr>
              <w:spacing w:after="0"/>
              <w:rPr>
                <w:sz w:val="19"/>
                <w:szCs w:val="19"/>
                <w:color w:val="auto"/>
              </w:rPr>
            </w:pPr>
          </w:p>
        </w:tc>
        <w:tc>
          <w:tcPr>
            <w:tcW w:w="7520" w:type="dxa"/>
            <w:vAlign w:val="bottom"/>
            <w:gridSpan w:val="4"/>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Intermex Transfers de Mexico S.A. de C.V.</w:t>
            </w:r>
          </w:p>
        </w:tc>
        <w:tc>
          <w:tcPr>
            <w:tcW w:w="100" w:type="dxa"/>
            <w:vAlign w:val="bottom"/>
          </w:tcPr>
          <w:p>
            <w:pPr>
              <w:spacing w:after="0"/>
              <w:rPr>
                <w:sz w:val="19"/>
                <w:szCs w:val="19"/>
                <w:color w:val="auto"/>
              </w:rPr>
            </w:pPr>
          </w:p>
        </w:tc>
        <w:tc>
          <w:tcPr>
            <w:tcW w:w="7520" w:type="dxa"/>
            <w:vAlign w:val="bottom"/>
            <w:gridSpan w:val="4"/>
          </w:tcPr>
          <w:p>
            <w:pPr>
              <w:ind w:left="360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Intermex Wire Transfer de Mexico S.A. de C.V.</w:t>
            </w:r>
          </w:p>
        </w:tc>
        <w:tc>
          <w:tcPr>
            <w:tcW w:w="100" w:type="dxa"/>
            <w:vAlign w:val="bottom"/>
            <w:shd w:val="clear" w:color="auto" w:fill="CCEEFF"/>
          </w:tcPr>
          <w:p>
            <w:pPr>
              <w:spacing w:after="0"/>
              <w:rPr>
                <w:sz w:val="19"/>
                <w:szCs w:val="19"/>
                <w:color w:val="auto"/>
              </w:rPr>
            </w:pPr>
          </w:p>
        </w:tc>
        <w:tc>
          <w:tcPr>
            <w:tcW w:w="7520" w:type="dxa"/>
            <w:vAlign w:val="bottom"/>
            <w:gridSpan w:val="4"/>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Intermex Wire Transfers de Guatemala S.A.</w:t>
            </w:r>
          </w:p>
        </w:tc>
        <w:tc>
          <w:tcPr>
            <w:tcW w:w="100" w:type="dxa"/>
            <w:vAlign w:val="bottom"/>
          </w:tcPr>
          <w:p>
            <w:pPr>
              <w:spacing w:after="0"/>
              <w:rPr>
                <w:sz w:val="19"/>
                <w:szCs w:val="19"/>
                <w:color w:val="auto"/>
              </w:rPr>
            </w:pPr>
          </w:p>
        </w:tc>
        <w:tc>
          <w:tcPr>
            <w:tcW w:w="7520" w:type="dxa"/>
            <w:vAlign w:val="bottom"/>
            <w:gridSpan w:val="4"/>
          </w:tcPr>
          <w:p>
            <w:pPr>
              <w:ind w:left="3600"/>
              <w:spacing w:after="0"/>
              <w:rPr>
                <w:sz w:val="20"/>
                <w:szCs w:val="20"/>
                <w:color w:val="auto"/>
              </w:rPr>
            </w:pPr>
            <w:r>
              <w:rPr>
                <w:rFonts w:ascii="Times New Roman" w:cs="Times New Roman" w:eastAsia="Times New Roman" w:hAnsi="Times New Roman"/>
                <w:sz w:val="18"/>
                <w:szCs w:val="18"/>
                <w:color w:val="auto"/>
              </w:rPr>
              <w:t>Guatemala</w:t>
            </w: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Intermex Servicios Integrales S. de R.L. de C.V.</w:t>
            </w:r>
          </w:p>
        </w:tc>
        <w:tc>
          <w:tcPr>
            <w:tcW w:w="100" w:type="dxa"/>
            <w:vAlign w:val="bottom"/>
            <w:shd w:val="clear" w:color="auto" w:fill="CCEEFF"/>
          </w:tcPr>
          <w:p>
            <w:pPr>
              <w:spacing w:after="0"/>
              <w:rPr>
                <w:sz w:val="19"/>
                <w:szCs w:val="19"/>
                <w:color w:val="auto"/>
              </w:rPr>
            </w:pPr>
          </w:p>
        </w:tc>
        <w:tc>
          <w:tcPr>
            <w:tcW w:w="7520" w:type="dxa"/>
            <w:vAlign w:val="bottom"/>
            <w:gridSpan w:val="4"/>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Intermex Central de Servicios S. de R.L. de C.V.</w:t>
            </w:r>
          </w:p>
        </w:tc>
        <w:tc>
          <w:tcPr>
            <w:tcW w:w="100" w:type="dxa"/>
            <w:vAlign w:val="bottom"/>
          </w:tcPr>
          <w:p>
            <w:pPr>
              <w:spacing w:after="0"/>
              <w:rPr>
                <w:sz w:val="19"/>
                <w:szCs w:val="19"/>
                <w:color w:val="auto"/>
              </w:rPr>
            </w:pPr>
          </w:p>
        </w:tc>
        <w:tc>
          <w:tcPr>
            <w:tcW w:w="7520" w:type="dxa"/>
            <w:vAlign w:val="bottom"/>
            <w:gridSpan w:val="4"/>
          </w:tcPr>
          <w:p>
            <w:pPr>
              <w:ind w:left="360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 International Transfers Corp.</w:t>
            </w:r>
          </w:p>
        </w:tc>
        <w:tc>
          <w:tcPr>
            <w:tcW w:w="100" w:type="dxa"/>
            <w:vAlign w:val="bottom"/>
            <w:shd w:val="clear" w:color="auto" w:fill="CCEEFF"/>
          </w:tcPr>
          <w:p>
            <w:pPr>
              <w:spacing w:after="0"/>
              <w:rPr>
                <w:sz w:val="19"/>
                <w:szCs w:val="19"/>
                <w:color w:val="auto"/>
              </w:rPr>
            </w:pPr>
          </w:p>
        </w:tc>
        <w:tc>
          <w:tcPr>
            <w:tcW w:w="7520" w:type="dxa"/>
            <w:vAlign w:val="bottom"/>
            <w:gridSpan w:val="4"/>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34"/>
        </w:trPr>
        <w:tc>
          <w:tcPr>
            <w:tcW w:w="2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Envios de Valores La Nacional Corp.</w:t>
            </w:r>
          </w:p>
        </w:tc>
        <w:tc>
          <w:tcPr>
            <w:tcW w:w="100" w:type="dxa"/>
            <w:vAlign w:val="bottom"/>
          </w:tcPr>
          <w:p>
            <w:pPr>
              <w:spacing w:after="0"/>
              <w:rPr>
                <w:sz w:val="20"/>
                <w:szCs w:val="20"/>
                <w:color w:val="auto"/>
              </w:rPr>
            </w:pPr>
          </w:p>
        </w:tc>
        <w:tc>
          <w:tcPr>
            <w:tcW w:w="7520" w:type="dxa"/>
            <w:vAlign w:val="bottom"/>
            <w:gridSpan w:val="4"/>
          </w:tcPr>
          <w:p>
            <w:pPr>
              <w:ind w:left="3600"/>
              <w:spacing w:after="0"/>
              <w:rPr>
                <w:sz w:val="20"/>
                <w:szCs w:val="20"/>
                <w:color w:val="auto"/>
              </w:rPr>
            </w:pPr>
            <w:r>
              <w:rPr>
                <w:rFonts w:ascii="Times New Roman" w:cs="Times New Roman" w:eastAsia="Times New Roman" w:hAnsi="Times New Roman"/>
                <w:sz w:val="18"/>
                <w:szCs w:val="18"/>
                <w:color w:val="auto"/>
              </w:rPr>
              <w:t>New York</w:t>
            </w:r>
          </w:p>
        </w:tc>
      </w:tr>
    </w:tbl>
    <w:p>
      <w:pPr>
        <w:sectPr>
          <w:pgSz w:w="11900" w:h="16838" w:orient="portrait"/>
          <w:cols w:equalWidth="0" w:num="1">
            <w:col w:w="11240"/>
          </w:cols>
          <w:pgMar w:left="320" w:top="17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Money Express,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333-248902) and Form S-8 (Nos. 333-233392 and 333-248563) of International Money Express, Inc. of our reports dated March 15, 2023 relating to the consolidated financial statements, and the effectiveness of International Money Express, Inc.’s internal control over financial reporting, which appear in this Form 10K.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2023</w:t>
      </w:r>
    </w:p>
    <w:p>
      <w:pPr>
        <w:sectPr>
          <w:pgSz w:w="11900" w:h="16838" w:orient="portrait"/>
          <w:cols w:equalWidth="0" w:num="1">
            <w:col w:w="11240"/>
          </w:cols>
          <w:pgMar w:left="320" w:top="158"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Lisy, certify that:</w:t>
      </w:r>
    </w:p>
    <w:p>
      <w:pPr>
        <w:spacing w:after="0" w:line="293"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International Money Express, Inc.;</w:t>
      </w:r>
    </w:p>
    <w:p>
      <w:pPr>
        <w:spacing w:after="0" w:line="292" w:lineRule="exact"/>
        <w:rPr>
          <w:rFonts w:ascii="Times New Roman" w:cs="Times New Roman" w:eastAsia="Times New Roman" w:hAnsi="Times New Roman"/>
          <w:sz w:val="18"/>
          <w:szCs w:val="18"/>
          <w:color w:val="auto"/>
        </w:rPr>
      </w:pPr>
    </w:p>
    <w:p>
      <w:pPr>
        <w:jc w:val="both"/>
        <w:ind w:left="660" w:hanging="652"/>
        <w:spacing w:after="0" w:line="407"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423"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399"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8"/>
          <w:szCs w:val="18"/>
          <w:color w:val="auto"/>
        </w:rPr>
      </w:pPr>
    </w:p>
    <w:p>
      <w:pPr>
        <w:jc w:val="both"/>
        <w:ind w:left="1300" w:hanging="644"/>
        <w:spacing w:after="0" w:line="407" w:lineRule="auto"/>
        <w:tabs>
          <w:tab w:leader="none" w:pos="129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407"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423" w:lineRule="auto"/>
        <w:tabs>
          <w:tab w:leader="none" w:pos="129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407"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Times New Roman" w:cs="Times New Roman" w:eastAsia="Times New Roman" w:hAnsi="Times New Roman"/>
          <w:sz w:val="18"/>
          <w:szCs w:val="18"/>
          <w:color w:val="auto"/>
        </w:rPr>
      </w:pPr>
    </w:p>
    <w:p>
      <w:pPr>
        <w:ind w:left="660" w:right="20" w:hanging="652"/>
        <w:spacing w:after="0" w:line="423"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266"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80" w:hanging="644"/>
        <w:spacing w:after="0" w:line="423" w:lineRule="auto"/>
        <w:tabs>
          <w:tab w:leader="none" w:pos="127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280" w:hanging="644"/>
        <w:spacing w:after="0" w:line="423" w:lineRule="auto"/>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2023</w:t>
      </w:r>
    </w:p>
    <w:p>
      <w:pPr>
        <w:spacing w:after="0" w:line="63" w:lineRule="exact"/>
        <w:rPr>
          <w:sz w:val="20"/>
          <w:szCs w:val="20"/>
          <w:color w:val="auto"/>
        </w:rPr>
      </w:pPr>
    </w:p>
    <w:tbl>
      <w:tblPr>
        <w:tblLayout w:type="fixed"/>
        <w:tblInd w:w="560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Lisy</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Lisy</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20"/>
          </w:cols>
          <w:pgMar w:left="340" w:top="266"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Andras Bende, certify that:</w:t>
      </w:r>
    </w:p>
    <w:p>
      <w:pPr>
        <w:spacing w:after="0" w:line="293"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International Money Express, Inc.;</w:t>
      </w:r>
    </w:p>
    <w:p>
      <w:pPr>
        <w:spacing w:after="0" w:line="292" w:lineRule="exact"/>
        <w:rPr>
          <w:rFonts w:ascii="Times New Roman" w:cs="Times New Roman" w:eastAsia="Times New Roman" w:hAnsi="Times New Roman"/>
          <w:sz w:val="18"/>
          <w:szCs w:val="18"/>
          <w:color w:val="auto"/>
        </w:rPr>
      </w:pPr>
    </w:p>
    <w:p>
      <w:pPr>
        <w:jc w:val="both"/>
        <w:ind w:left="660" w:hanging="652"/>
        <w:spacing w:after="0" w:line="407"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423"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399"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8"/>
          <w:szCs w:val="18"/>
          <w:color w:val="auto"/>
        </w:rPr>
      </w:pPr>
    </w:p>
    <w:p>
      <w:pPr>
        <w:jc w:val="both"/>
        <w:ind w:left="1300" w:hanging="644"/>
        <w:spacing w:after="0" w:line="407" w:lineRule="auto"/>
        <w:tabs>
          <w:tab w:leader="none" w:pos="129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407"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423" w:lineRule="auto"/>
        <w:tabs>
          <w:tab w:leader="none" w:pos="129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407"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Times New Roman" w:cs="Times New Roman" w:eastAsia="Times New Roman" w:hAnsi="Times New Roman"/>
          <w:sz w:val="18"/>
          <w:szCs w:val="18"/>
          <w:color w:val="auto"/>
        </w:rPr>
      </w:pPr>
    </w:p>
    <w:p>
      <w:pPr>
        <w:ind w:left="660" w:hanging="652"/>
        <w:spacing w:after="0" w:line="423"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320"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53" w:lineRule="exact"/>
        <w:rPr>
          <w:sz w:val="20"/>
          <w:szCs w:val="20"/>
          <w:color w:val="auto"/>
        </w:rPr>
      </w:pPr>
    </w:p>
    <w:p>
      <w:pPr>
        <w:ind w:left="1280" w:hanging="644"/>
        <w:spacing w:after="0" w:line="423" w:lineRule="auto"/>
        <w:tabs>
          <w:tab w:leader="none" w:pos="12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280" w:hanging="644"/>
        <w:spacing w:after="0" w:line="423" w:lineRule="auto"/>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2023</w:t>
      </w:r>
    </w:p>
    <w:p>
      <w:pPr>
        <w:spacing w:after="0" w:line="63" w:lineRule="exact"/>
        <w:rPr>
          <w:sz w:val="20"/>
          <w:szCs w:val="20"/>
          <w:color w:val="auto"/>
        </w:rPr>
      </w:pPr>
    </w:p>
    <w:tbl>
      <w:tblPr>
        <w:tblLayout w:type="fixed"/>
        <w:tblInd w:w="560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Andras Bende</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Andras Bende</w:t>
            </w: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20"/>
          </w:cols>
          <w:pgMar w:left="340" w:top="32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spacing w:after="0" w:line="485" w:lineRule="auto"/>
        <w:rPr>
          <w:sz w:val="20"/>
          <w:szCs w:val="20"/>
          <w:color w:val="auto"/>
        </w:rPr>
      </w:pPr>
      <w:r>
        <w:rPr>
          <w:rFonts w:ascii="Times New Roman" w:cs="Times New Roman" w:eastAsia="Times New Roman" w:hAnsi="Times New Roman"/>
          <w:sz w:val="18"/>
          <w:szCs w:val="18"/>
          <w:color w:val="auto"/>
        </w:rPr>
        <w:t>I, Robert Lisy, Chief Executive Officer and President of International Money Express, Inc. (the “Company”), certify, pursuant to 18 U.S.C. Section 1350, that, to my knowledge:</w:t>
      </w:r>
    </w:p>
    <w:p>
      <w:pPr>
        <w:spacing w:after="0" w:line="162" w:lineRule="exact"/>
        <w:rPr>
          <w:sz w:val="20"/>
          <w:szCs w:val="20"/>
          <w:color w:val="auto"/>
        </w:rPr>
      </w:pPr>
    </w:p>
    <w:p>
      <w:pPr>
        <w:ind w:left="660" w:right="20" w:hanging="652"/>
        <w:spacing w:after="0" w:line="485"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2022 (the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15, 2023</w:t>
      </w:r>
    </w:p>
    <w:p>
      <w:pPr>
        <w:spacing w:after="0" w:line="23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Lisy</w:t>
            </w:r>
          </w:p>
        </w:tc>
      </w:tr>
      <w:tr>
        <w:trPr>
          <w:trHeight w:val="22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Lisy</w:t>
            </w:r>
          </w:p>
        </w:tc>
      </w:tr>
      <w:tr>
        <w:trPr>
          <w:trHeight w:val="22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20"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spacing w:after="0" w:line="485" w:lineRule="auto"/>
        <w:rPr>
          <w:sz w:val="20"/>
          <w:szCs w:val="20"/>
          <w:color w:val="auto"/>
        </w:rPr>
      </w:pPr>
      <w:r>
        <w:rPr>
          <w:rFonts w:ascii="Times New Roman" w:cs="Times New Roman" w:eastAsia="Times New Roman" w:hAnsi="Times New Roman"/>
          <w:sz w:val="18"/>
          <w:szCs w:val="18"/>
          <w:color w:val="auto"/>
        </w:rPr>
        <w:t>I, Andras Bende, Chief Financial Officer of International Money Express, Inc. (the “Company”), certify, pursuant to 18 U.S.C. Section 1350, that, to my knowledge:</w:t>
      </w:r>
    </w:p>
    <w:p>
      <w:pPr>
        <w:spacing w:after="0" w:line="162" w:lineRule="exact"/>
        <w:rPr>
          <w:sz w:val="20"/>
          <w:szCs w:val="20"/>
          <w:color w:val="auto"/>
        </w:rPr>
      </w:pPr>
    </w:p>
    <w:p>
      <w:pPr>
        <w:ind w:left="660" w:right="20" w:hanging="652"/>
        <w:spacing w:after="0" w:line="485"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2022 (the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15, 2023</w:t>
      </w:r>
    </w:p>
    <w:p>
      <w:pPr>
        <w:spacing w:after="0" w:line="320" w:lineRule="exact"/>
        <w:rPr>
          <w:sz w:val="20"/>
          <w:szCs w:val="20"/>
          <w:color w:val="auto"/>
        </w:rPr>
      </w:pPr>
    </w:p>
    <w:tbl>
      <w:tblPr>
        <w:tblLayout w:type="fixed"/>
        <w:tblInd w:w="558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Andras Bende</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Andras Bende</w:t>
            </w: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lvl w:ilvl="1">
      <w:lvlJc w:val="left"/>
      <w:lvlText w:val="☒"/>
      <w:numFmt w:val="bullet"/>
      <w:start w:val="1"/>
    </w:lvl>
  </w:abstractNum>
  <w:abstractNum w:abstractNumId="1">
    <w:nsid w:val="7724C67E"/>
    <w:multiLevelType w:val="hybridMultilevel"/>
    <w:lvl w:ilvl="0">
      <w:lvlJc w:val="left"/>
      <w:lvlText w:val="•"/>
      <w:numFmt w:val="bullet"/>
      <w:start w:val="1"/>
    </w:lvl>
    <w:lvl w:ilvl="1">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lowerLetter"/>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1)"/>
      <w:numFmt w:val="lowerLetter"/>
      <w:start w:val="1"/>
    </w:lvl>
  </w:abstractNum>
  <w:abstractNum w:abstractNumId="23">
    <w:nsid w:val="32FFF902"/>
    <w:multiLevelType w:val="hybridMultilevel"/>
    <w:lvl w:ilvl="0">
      <w:lvlJc w:val="left"/>
      <w:lvlText w:val="(%1)"/>
      <w:numFmt w:val="lowerLetter"/>
      <w:start w:val="1"/>
    </w:lvl>
  </w:abstractNum>
  <w:abstractNum w:abstractNumId="24">
    <w:nsid w:val="684A481A"/>
    <w:multiLevelType w:val="hybridMultilevel"/>
    <w:lvl w:ilvl="0">
      <w:lvlJc w:val="left"/>
      <w:lvlText w:val="•"/>
      <w:numFmt w:val="bullet"/>
      <w:start w:val="1"/>
    </w:lvl>
    <w:lvl w:ilvl="1">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1)"/>
      <w:numFmt w:val="lowerRoman"/>
      <w:start w:val="3"/>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lowerLetter"/>
      <w:start w:val="1"/>
    </w:lvl>
    <w:lvl w:ilvl="1">
      <w:lvlJc w:val="left"/>
      <w:lvlText w:val="%2."/>
      <w:numFmt w:val="decimal"/>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1."/>
      <w:numFmt w:val="upperLetter"/>
      <w:start w:val="9"/>
    </w:lvl>
  </w:abstractNum>
  <w:abstractNum w:abstractNumId="37">
    <w:nsid w:val="649BB77C"/>
    <w:multiLevelType w:val="hybridMultilevel"/>
    <w:lvl w:ilvl="0">
      <w:lvlJc w:val="left"/>
      <w:lvlText w:val="%1."/>
      <w:numFmt w:val="upperLetter"/>
      <w:start w:val="35"/>
    </w:lvl>
  </w:abstractNum>
  <w:abstractNum w:abstractNumId="38">
    <w:nsid w:val="275AC794"/>
    <w:multiLevelType w:val="hybridMultilevel"/>
    <w:lvl w:ilvl="0">
      <w:lvlJc w:val="left"/>
      <w:lvlText w:val="%1."/>
      <w:numFmt w:val="upperLetter"/>
      <w:start w:val="61"/>
    </w:lvl>
  </w:abstractNum>
  <w:abstractNum w:abstractNumId="39">
    <w:nsid w:val="39386575"/>
    <w:multiLevelType w:val="hybridMultilevel"/>
    <w:lvl w:ilvl="0">
      <w:lvlJc w:val="left"/>
      <w:lvlText w:val="%1."/>
      <w:numFmt w:val="upperLetter"/>
      <w:start w:val="22"/>
    </w:lvl>
  </w:abstractNum>
  <w:abstractNum w:abstractNumId="40">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
    <w:nsid w:val="180115BE"/>
    <w:multiLevelType w:val="hybridMultilevel"/>
    <w:lvl w:ilvl="0">
      <w:lvlJc w:val="left"/>
      <w:lvlText w:val="%1"/>
      <w:numFmt w:val="lowerLetter"/>
      <w:start w:val="1"/>
    </w:lvl>
    <w:lvl w:ilvl="1">
      <w:lvlJc w:val="left"/>
      <w:lvlText w:val="(%2)"/>
      <w:numFmt w:val="lowerLetter"/>
      <w:start w:val="61"/>
    </w:lvl>
  </w:abstractNum>
  <w:abstractNum w:abstractNumId="42">
    <w:nsid w:val="235BA861"/>
    <w:multiLevelType w:val="hybridMultilevel"/>
    <w:lvl w:ilvl="0">
      <w:lvlJc w:val="left"/>
      <w:lvlText w:val="(%1)"/>
      <w:numFmt w:val="lowerLetter"/>
      <w:start w:val="25"/>
    </w:lvl>
    <w:lvl w:ilvl="1">
      <w:lvlJc w:val="left"/>
      <w:lvlText w:val="%2"/>
      <w:numFmt w:val="lowerLetter"/>
      <w:start w:val="1"/>
    </w:lvl>
  </w:abstractNum>
  <w:abstractNum w:abstractNumId="43">
    <w:nsid w:val="47398C8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4">
    <w:nsid w:val="354FE9F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5">
    <w:nsid w:val="15B5AF5C"/>
    <w:multiLevelType w:val="hybridMultilevel"/>
    <w:lvl w:ilvl="0">
      <w:lvlJc w:val="left"/>
      <w:lvlText w:val="%1"/>
      <w:numFmt w:val="decimal"/>
      <w:start w:val="1"/>
    </w:lvl>
    <w:lvl w:ilvl="1">
      <w:lvlJc w:val="left"/>
      <w:lvlText w:val="(%2)"/>
      <w:numFmt w:val="lowerLetter"/>
      <w:start w:val="3"/>
    </w:lvl>
  </w:abstractNum>
  <w:abstractNum w:abstractNumId="46">
    <w:nsid w:val="741226BB"/>
    <w:multiLevelType w:val="hybridMultilevel"/>
    <w:lvl w:ilvl="0">
      <w:lvlJc w:val="left"/>
      <w:lvlText w:val="%1."/>
      <w:numFmt w:val="decimal"/>
      <w:start w:val="4"/>
    </w:lvl>
    <w:lvl w:ilvl="1">
      <w:lvlJc w:val="left"/>
      <w:lvlText w:val="(%2)"/>
      <w:numFmt w:val="lowerLetter"/>
      <w:start w:val="1"/>
    </w:lvl>
  </w:abstractNum>
  <w:abstractNum w:abstractNumId="47">
    <w:nsid w:val="D34B6A8"/>
    <w:multiLevelType w:val="hybridMultilevel"/>
    <w:lvl w:ilvl="0">
      <w:lvlJc w:val="left"/>
      <w:lvlText w:val="%1."/>
      <w:numFmt w:val="decimal"/>
      <w:start w:val="8"/>
    </w:lvl>
  </w:abstractNum>
  <w:abstractNum w:abstractNumId="48">
    <w:nsid w:val="10233C99"/>
    <w:multiLevelType w:val="hybridMultilevel"/>
    <w:lvl w:ilvl="0">
      <w:lvlJc w:val="left"/>
      <w:lvlText w:val="%1."/>
      <w:numFmt w:val="decimal"/>
      <w:start w:val="19"/>
    </w:lvl>
  </w:abstractNum>
  <w:abstractNum w:abstractNumId="49">
    <w:nsid w:val="3F6AB60F"/>
    <w:multiLevelType w:val="hybridMultilevel"/>
    <w:lvl w:ilvl="0">
      <w:lvlJc w:val="left"/>
      <w:lvlText w:val="%1."/>
      <w:numFmt w:val="decimal"/>
      <w:start w:val="1"/>
    </w:lvl>
    <w:lvl w:ilvl="1">
      <w:lvlJc w:val="left"/>
      <w:lvlText w:val="(%2)"/>
      <w:numFmt w:val="lowerLetter"/>
      <w:start w:val="1"/>
    </w:lvl>
  </w:abstractNum>
  <w:abstractNum w:abstractNumId="50">
    <w:nsid w:val="6157409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1">
    <w:nsid w:val="7E0C57B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2">
    <w:nsid w:val="77AE35EB"/>
    <w:multiLevelType w:val="hybridMultilevel"/>
    <w:lvl w:ilvl="0">
      <w:lvlJc w:val="left"/>
      <w:lvlText w:val="%1"/>
      <w:numFmt w:val="decimal"/>
      <w:start w:val="1"/>
    </w:lvl>
    <w:lvl w:ilvl="1">
      <w:lvlJc w:val="left"/>
      <w:lvlText w:val="(%2)"/>
      <w:numFmt w:val="lowerLetter"/>
      <w:start w:val="3"/>
    </w:lvl>
  </w:abstractNum>
  <w:abstractNum w:abstractNumId="53">
    <w:nsid w:val="579BE4F1"/>
    <w:multiLevelType w:val="hybridMultilevel"/>
    <w:lvl w:ilvl="0">
      <w:lvlJc w:val="left"/>
      <w:lvlText w:val="%1."/>
      <w:numFmt w:val="decimal"/>
      <w:start w:val="4"/>
    </w:lvl>
    <w:lvl w:ilvl="1">
      <w:lvlJc w:val="left"/>
      <w:lvlText w:val="(%2)"/>
      <w:numFmt w:val="lowerLetter"/>
      <w:start w:val="1"/>
    </w:lvl>
  </w:abstractNum>
  <w:abstractNum w:abstractNumId="54">
    <w:nsid w:val="310C50B3"/>
    <w:multiLevelType w:val="hybridMultilevel"/>
    <w:lvl w:ilvl="0">
      <w:lvlJc w:val="left"/>
      <w:lvlText w:val="%1."/>
      <w:numFmt w:val="decimal"/>
      <w:start w:val="8"/>
    </w:lvl>
  </w:abstractNum>
  <w:abstractNum w:abstractNumId="55">
    <w:nsid w:val="5FF87E05"/>
    <w:multiLevelType w:val="hybridMultilevel"/>
    <w:lvl w:ilvl="0">
      <w:lvlJc w:val="left"/>
      <w:lvlText w:val="%1."/>
      <w:numFmt w:val="decimal"/>
      <w:start w:val="19"/>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1"/>
      <w:numFmt w:val="lowerLetter"/>
      <w:start w:val="1"/>
    </w:lvl>
    <w:lvl w:ilvl="1">
      <w:lvlJc w:val="left"/>
      <w:lvlText w:val="(%2)"/>
      <w:numFmt w:val="lowerLetter"/>
      <w:start w:val="1"/>
    </w:lvl>
  </w:abstractNum>
  <w:abstractNum w:abstractNumId="61">
    <w:nsid w:val="1381823A"/>
    <w:multiLevelType w:val="hybridMultilevel"/>
    <w:lvl w:ilvl="0">
      <w:lvlJc w:val="left"/>
      <w:lvlText w:val="(%1)"/>
      <w:numFmt w:val="lowerLetter"/>
      <w:start w:val="35"/>
    </w:lvl>
    <w:lvl w:ilvl="1">
      <w:lvlJc w:val="left"/>
      <w:lvlText w:val="%2"/>
      <w:numFmt w:val="lowerLetter"/>
      <w:start w:val="1"/>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lowerLetter"/>
      <w:start w:val="4"/>
    </w:lvl>
  </w:abstractNum>
  <w:abstractNum w:abstractNumId="66">
    <w:nsid w:val="5F5E7FD0"/>
    <w:multiLevelType w:val="hybridMultilevel"/>
    <w:lvl w:ilvl="0">
      <w:lvlJc w:val="left"/>
      <w:lvlText w:val="(%1)"/>
      <w:numFmt w:val="lowerLetter"/>
      <w:start w:val="6"/>
    </w:lvl>
  </w:abstractNum>
  <w:abstractNum w:abstractNumId="67">
    <w:nsid w:val="98A3148"/>
    <w:multiLevelType w:val="hybridMultilevel"/>
    <w:lvl w:ilvl="0">
      <w:lvlJc w:val="left"/>
      <w:lvlText w:val="%1."/>
      <w:numFmt w:val="decimal"/>
      <w:start w:val="1"/>
    </w:lvl>
    <w:lvl w:ilvl="1">
      <w:lvlJc w:val="left"/>
      <w:lvlText w:val="%2."/>
      <w:numFmt w:val="lowerLetter"/>
      <w:start w:val="1"/>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33"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16" Type="http://schemas.openxmlformats.org/officeDocument/2006/relationships/hyperlink" Target="http://www.sec.gov/Archives/edgar/data/1683695/000114036118039596/ex3_1.htm" TargetMode="External"/><Relationship Id="rId117" Type="http://schemas.openxmlformats.org/officeDocument/2006/relationships/hyperlink" Target="http://www.sec.gov/Archives/edgar/data/1683695/000114036118039596/ex3_2.htm" TargetMode="External"/><Relationship Id="rId118" Type="http://schemas.openxmlformats.org/officeDocument/2006/relationships/hyperlink" Target="http://www.sec.gov/Archives/edgar/data/1683695/000114036118039596/ex4_2.htm" TargetMode="External"/><Relationship Id="rId119" Type="http://schemas.openxmlformats.org/officeDocument/2006/relationships/hyperlink" Target="http://www.sec.gov/Archives/edgar/data/1683695/000114036119007957/ntp10000642x2_ex10-1.htm" TargetMode="External"/><Relationship Id="rId120" Type="http://schemas.openxmlformats.org/officeDocument/2006/relationships/hyperlink" Target="http://www.sec.gov/Archives/edgar/data/1683695/000162828020003396/exhibit46.htm" TargetMode="External"/><Relationship Id="rId121" Type="http://schemas.openxmlformats.org/officeDocument/2006/relationships/hyperlink" Target="http://www.sec.gov/Archives/edgar/data/1683695/000114036121022415/brhc10026271_ex10-1.htm" TargetMode="External"/><Relationship Id="rId122" Type="http://schemas.openxmlformats.org/officeDocument/2006/relationships/hyperlink" Target="http://www.sec.gov/Archives/edgar/data/1683695/000114036122041129/brhc10043885_ex10-1.htm" TargetMode="External"/><Relationship Id="rId123" Type="http://schemas.openxmlformats.org/officeDocument/2006/relationships/hyperlink" Target="http://www.sec.gov/Archives/edgar/data/1683695/000114036120006235/ex10_1.htm" TargetMode="External"/><Relationship Id="rId124" Type="http://schemas.openxmlformats.org/officeDocument/2006/relationships/hyperlink" Target="http://www.sec.gov/Archives/edgar/data/1683695/000114036118039596/ex10_3a.htm" TargetMode="External"/><Relationship Id="rId125" Type="http://schemas.openxmlformats.org/officeDocument/2006/relationships/hyperlink" Target="http://www.sec.gov/Archives/edgar/data/1683695/000114036118039596/ex10_4b.htm" TargetMode="External"/><Relationship Id="rId126" Type="http://schemas.openxmlformats.org/officeDocument/2006/relationships/hyperlink" Target="http://www.sec.gov/Archives/edgar/data/1683695/000114036118039596/ex10_4a.htm" TargetMode="External"/><Relationship Id="rId127" Type="http://schemas.openxmlformats.org/officeDocument/2006/relationships/hyperlink" Target="http://www.sec.gov/Archives/edgar/data/1683695/000114036120011750/nc10011882x1_def14a.htm" TargetMode="External"/><Relationship Id="rId128" Type="http://schemas.openxmlformats.org/officeDocument/2006/relationships/hyperlink" Target="http://www.sec.gov/Archives/edgar/data/1683695/000168369520000013/exhibit103formofnqsoag.htm" TargetMode="External"/><Relationship Id="rId129" Type="http://schemas.openxmlformats.org/officeDocument/2006/relationships/hyperlink" Target="http://www.sec.gov/Archives/edgar/data/1683695/000168369520000013/exhibit104formofrsuagr.htm" TargetMode="External"/><Relationship Id="rId130" Type="http://schemas.openxmlformats.org/officeDocument/2006/relationships/hyperlink" Target="http://www.sec.gov/Archives/edgar/data/1683695/000168369521000005/exhibit1017-formofrsuagree.htm" TargetMode="External"/><Relationship Id="rId131" Type="http://schemas.openxmlformats.org/officeDocument/2006/relationships/hyperlink" Target="http://www.sec.gov/Archives/edgar/data/1683695/000168369521000005/exhibit1018-formofpsuagree.htm" TargetMode="External"/><Relationship Id="rId132" Type="http://schemas.openxmlformats.org/officeDocument/2006/relationships/hyperlink" Target="http://www.sec.gov/Archives/edgar/data/1683695/000168369521000005/exhibit1019-formofpsuagree.htm" TargetMode="External"/><Relationship Id="rId134" Type="http://schemas.openxmlformats.org/officeDocument/2006/relationships/hyperlink" Target="http://www.sec.gov/Archives/edgar/data/1683695/000168369521000005/exhibit10ormofrestrictedst.htm" TargetMode="External"/><Relationship Id="rId135" Type="http://schemas.openxmlformats.org/officeDocument/2006/relationships/hyperlink" Target="http://www.sec.gov/Archives/edgar/data/0001683695/000114036121038168/brhc10030921_ex10-1.htm" TargetMode="External"/><Relationship Id="rId136" Type="http://schemas.openxmlformats.org/officeDocument/2006/relationships/hyperlink" Target="http://www.sec.gov/Archives/edgar/data/1683695/000114036120027563/brhc10017690_ex10-1.htm" TargetMode="External"/><Relationship Id="rId137" Type="http://schemas.openxmlformats.org/officeDocument/2006/relationships/hyperlink" Target="http://www.sec.gov/Archives/edgar/data/1683695/000114036118039596/ex10_5e.htm" TargetMode="External"/><Relationship Id="rId138" Type="http://schemas.openxmlformats.org/officeDocument/2006/relationships/hyperlink" Target="http://www.sec.gov/Archives/edgar/data/1683695/000114036119017939/ex10_1.htm" TargetMode="External"/><Relationship Id="rId139" Type="http://schemas.openxmlformats.org/officeDocument/2006/relationships/hyperlink" Target="http://www.sec.gov/Archives/edgar/data/1683695/000114036118039596/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2023-03-15T19:32:55Z</dcterms:created>
  <dcterms:modified xsi:type="dcterms:W3CDTF">2023-03-15T19:32:55Z</dcterms:modified>
</cp:coreProperties>
</file>