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b w:val="1"/>
                <w:bCs w:val="1"/>
                <w:color w:val="auto"/>
                <w:w w:val="89"/>
              </w:rPr>
              <w:t>Commission File No. 001-37986</w:t>
            </w:r>
          </w:p>
        </w:tc>
        <w:tc>
          <w:tcPr>
            <w:tcW w:w="0" w:type="dxa"/>
            <w:vAlign w:val="bottom"/>
          </w:tcPr>
          <w:p>
            <w:pPr>
              <w:spacing w:after="0"/>
              <w:rPr>
                <w:sz w:val="1"/>
                <w:szCs w:val="1"/>
                <w:color w:val="auto"/>
              </w:rPr>
            </w:pPr>
          </w:p>
        </w:tc>
      </w:tr>
      <w:tr>
        <w:trPr>
          <w:trHeight w:val="396"/>
        </w:trPr>
        <w:tc>
          <w:tcPr>
            <w:tcW w:w="11240" w:type="dxa"/>
            <w:vAlign w:val="bottom"/>
            <w:gridSpan w:val="8"/>
          </w:tcPr>
          <w:p>
            <w:pPr>
              <w:jc w:val="center"/>
              <w:spacing w:after="0"/>
              <w:rPr>
                <w:sz w:val="20"/>
                <w:szCs w:val="20"/>
                <w:color w:val="auto"/>
              </w:rPr>
            </w:pPr>
            <w:r>
              <w:rPr>
                <w:rFonts w:ascii="Arial" w:cs="Arial" w:eastAsia="Arial" w:hAnsi="Arial"/>
                <w:sz w:val="29"/>
                <w:szCs w:val="29"/>
                <w:b w:val="1"/>
                <w:bCs w:val="1"/>
                <w:color w:val="auto"/>
              </w:rPr>
              <w:t>INTERNATIONAL MONEY EXPRESS, INC.</w:t>
            </w:r>
          </w:p>
        </w:tc>
        <w:tc>
          <w:tcPr>
            <w:tcW w:w="0" w:type="dxa"/>
            <w:vAlign w:val="bottom"/>
          </w:tcPr>
          <w:p>
            <w:pPr>
              <w:spacing w:after="0"/>
              <w:rPr>
                <w:sz w:val="1"/>
                <w:szCs w:val="1"/>
                <w:color w:val="auto"/>
              </w:rPr>
            </w:pPr>
          </w:p>
        </w:tc>
      </w:tr>
      <w:tr>
        <w:trPr>
          <w:trHeight w:val="29"/>
        </w:trPr>
        <w:tc>
          <w:tcPr>
            <w:tcW w:w="3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99"/>
        </w:trPr>
        <w:tc>
          <w:tcPr>
            <w:tcW w:w="3380" w:type="dxa"/>
            <w:vAlign w:val="bottom"/>
          </w:tcPr>
          <w:p>
            <w:pPr>
              <w:jc w:val="center"/>
              <w:ind w:left="1943"/>
              <w:spacing w:after="0"/>
              <w:rPr>
                <w:sz w:val="20"/>
                <w:szCs w:val="20"/>
                <w:color w:val="auto"/>
              </w:rPr>
            </w:pPr>
            <w:r>
              <w:rPr>
                <w:rFonts w:ascii="Arial" w:cs="Arial" w:eastAsia="Arial" w:hAnsi="Arial"/>
                <w:sz w:val="18"/>
                <w:szCs w:val="18"/>
                <w:b w:val="1"/>
                <w:bCs w:val="1"/>
                <w:color w:val="auto"/>
                <w:w w:val="93"/>
              </w:rPr>
              <w:t>Delaware</w:t>
            </w: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80" w:type="dxa"/>
            <w:vAlign w:val="bottom"/>
            <w:gridSpan w:val="5"/>
          </w:tcPr>
          <w:p>
            <w:pPr>
              <w:jc w:val="center"/>
              <w:ind w:right="1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56"/>
        </w:trPr>
        <w:tc>
          <w:tcPr>
            <w:tcW w:w="668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w w:val="90"/>
              </w:rPr>
              <w:t>9480 South Dixie Highway</w:t>
            </w:r>
          </w:p>
        </w:tc>
        <w:tc>
          <w:tcPr>
            <w:tcW w:w="4560" w:type="dxa"/>
            <w:vAlign w:val="bottom"/>
            <w:gridSpan w:val="3"/>
            <w:vMerge w:val="restart"/>
          </w:tcPr>
          <w:p>
            <w:pPr>
              <w:jc w:val="right"/>
              <w:ind w:right="2390"/>
              <w:spacing w:after="0"/>
              <w:rPr>
                <w:sz w:val="20"/>
                <w:szCs w:val="20"/>
                <w:color w:val="auto"/>
              </w:rPr>
            </w:pPr>
            <w:r>
              <w:rPr>
                <w:rFonts w:ascii="Arial" w:cs="Arial" w:eastAsia="Arial" w:hAnsi="Arial"/>
                <w:sz w:val="18"/>
                <w:szCs w:val="18"/>
                <w:b w:val="1"/>
                <w:bCs w:val="1"/>
                <w:color w:val="auto"/>
              </w:rPr>
              <w:t>33156</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tcPr>
          <w:p>
            <w:pPr>
              <w:jc w:val="center"/>
              <w:ind w:left="1943"/>
              <w:spacing w:after="0"/>
              <w:rPr>
                <w:sz w:val="20"/>
                <w:szCs w:val="20"/>
                <w:color w:val="auto"/>
              </w:rPr>
            </w:pPr>
            <w:r>
              <w:rPr>
                <w:rFonts w:ascii="Arial" w:cs="Arial" w:eastAsia="Arial" w:hAnsi="Arial"/>
                <w:sz w:val="18"/>
                <w:szCs w:val="18"/>
                <w:b w:val="1"/>
                <w:bCs w:val="1"/>
                <w:color w:val="auto"/>
                <w:w w:val="97"/>
              </w:rPr>
              <w:t>Miami, Florida</w:t>
            </w:r>
          </w:p>
        </w:tc>
        <w:tc>
          <w:tcPr>
            <w:tcW w:w="20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350"/>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0"/>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63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70"/>
        </w:trPr>
        <w:tc>
          <w:tcPr>
            <w:tcW w:w="3380" w:type="dxa"/>
            <w:vAlign w:val="bottom"/>
          </w:tcPr>
          <w:p>
            <w:pPr>
              <w:jc w:val="center"/>
              <w:ind w:left="463"/>
              <w:spacing w:after="0"/>
              <w:rPr>
                <w:sz w:val="20"/>
                <w:szCs w:val="20"/>
                <w:color w:val="auto"/>
              </w:rPr>
            </w:pPr>
            <w:r>
              <w:rPr>
                <w:rFonts w:ascii="Arial" w:cs="Arial" w:eastAsia="Arial" w:hAnsi="Arial"/>
                <w:sz w:val="18"/>
                <w:szCs w:val="18"/>
                <w:b w:val="1"/>
                <w:bCs w:val="1"/>
                <w:color w:val="auto"/>
                <w:w w:val="86"/>
              </w:rPr>
              <w:t>Title of each class</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3380" w:type="dxa"/>
            <w:vAlign w:val="bottom"/>
          </w:tcPr>
          <w:p>
            <w:pPr>
              <w:jc w:val="center"/>
              <w:ind w:left="443"/>
              <w:spacing w:after="0"/>
              <w:rPr>
                <w:sz w:val="20"/>
                <w:szCs w:val="20"/>
                <w:color w:val="auto"/>
              </w:rPr>
            </w:pPr>
            <w:r>
              <w:rPr>
                <w:rFonts w:ascii="Arial" w:cs="Arial" w:eastAsia="Arial" w:hAnsi="Arial"/>
                <w:sz w:val="18"/>
                <w:szCs w:val="18"/>
                <w:color w:val="auto"/>
                <w:w w:val="91"/>
              </w:rPr>
              <w:t>Common stock ($0.0001 par value)</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color w:val="auto"/>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Arial" w:cs="Arial" w:eastAsia="Arial" w:hAnsi="Arial"/>
                <w:sz w:val="18"/>
                <w:szCs w:val="18"/>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1320" w:type="dxa"/>
        <w:tblCellMar>
          <w:top w:w="0" w:type="dxa"/>
          <w:left w:w="0" w:type="dxa"/>
          <w:bottom w:w="0" w:type="dxa"/>
          <w:right w:w="0" w:type="dxa"/>
        </w:tblCellMar>
      </w:tblPr>
      <w:tr>
        <w:trPr>
          <w:trHeight w:val="283"/>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rPr>
              <w:t>Accelerated filer</w:t>
            </w:r>
          </w:p>
        </w:tc>
      </w:tr>
      <w:tr>
        <w:trPr>
          <w:trHeight w:val="378"/>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rPr>
              <w:t>Non-accelerated filer</w:t>
            </w: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w w:val="91"/>
              </w:rPr>
              <w:t>Smaller reporting company</w:t>
            </w:r>
          </w:p>
        </w:tc>
      </w:tr>
      <w:tr>
        <w:trPr>
          <w:trHeight w:val="378"/>
        </w:trPr>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w w:val="91"/>
              </w:rPr>
              <w:t>Emerging growth company</w:t>
            </w:r>
          </w:p>
        </w:tc>
      </w:tr>
    </w:tbl>
    <w:p>
      <w:pPr>
        <w:spacing w:after="0" w:line="31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01"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As of October 29, 2021, there were 38,613,689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455" w:gutter="0" w:footer="0" w:header="0"/>
        </w:sectPr>
      </w:pPr>
    </w:p>
    <w:p>
      <w:pPr>
        <w:spacing w:after="0" w:line="224" w:lineRule="exact"/>
        <w:rPr>
          <w:sz w:val="24"/>
          <w:szCs w:val="24"/>
          <w:color w:val="auto"/>
        </w:rPr>
      </w:pPr>
    </w:p>
    <w:p>
      <w:pPr>
        <w:ind w:left="590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455" w:gutter="0" w:footer="0" w:header="0"/>
          <w:type w:val="continuous"/>
        </w:sectPr>
      </w:pPr>
    </w:p>
    <w:bookmarkStart w:id="1" w:name="page2"/>
    <w:bookmarkEnd w:id="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32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INDEX TO FINANCIAL STATEMENTS</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7680" w:type="dxa"/>
            <w:vAlign w:val="bottom"/>
            <w:gridSpan w:val="23"/>
            <w:shd w:val="clear" w:color="auto" w:fill="CCEEFF"/>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SPECIAL NOTE REGARDING FORWARD-LOOKING STATEMENTS</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20" w:type="dxa"/>
            <w:vAlign w:val="bottom"/>
            <w:tcBorders>
              <w:top w:val="single" w:sz="8" w:color="0000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19"/>
                <w:szCs w:val="19"/>
                <w:color w:val="auto"/>
              </w:rPr>
            </w:pPr>
          </w:p>
        </w:tc>
        <w:tc>
          <w:tcPr>
            <w:tcW w:w="7680" w:type="dxa"/>
            <w:vAlign w:val="bottom"/>
            <w:gridSpan w:val="23"/>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Balance Sheets as of September 30, 2021 and December 31, 2020</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Operations and Comprehensive Income for the</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10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80" w:type="dxa"/>
            <w:vAlign w:val="bottom"/>
            <w:gridSpan w:val="17"/>
            <w:shd w:val="clear" w:color="auto" w:fill="CCEEFF"/>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Three and Nine Months Ended September 30, 2021 and 2020</w:t>
              </w:r>
            </w:hyperlink>
          </w:p>
        </w:tc>
        <w:tc>
          <w:tcPr>
            <w:tcW w:w="22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20" w:type="dxa"/>
            <w:vAlign w:val="bottom"/>
            <w:vMerge w:val="continue"/>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540" w:type="dxa"/>
            <w:vAlign w:val="bottom"/>
            <w:tcBorders>
              <w:bottom w:val="single" w:sz="8" w:color="0000FF"/>
            </w:tcBorders>
            <w:gridSpan w:val="18"/>
            <w:shd w:val="clear" w:color="auto" w:fill="CCEEFF"/>
          </w:tcPr>
          <w:p>
            <w:pPr>
              <w:spacing w:after="0" w:line="189"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Changes in Stockholders’ Equity for the Three and</w:t>
              </w:r>
            </w:hyperlink>
          </w:p>
        </w:tc>
        <w:tc>
          <w:tcPr>
            <w:tcW w:w="120" w:type="dxa"/>
            <w:vAlign w:val="bottom"/>
            <w:tcBorders>
              <w:bottom w:val="single" w:sz="8" w:color="CCEEFF"/>
            </w:tcBorders>
            <w:gridSpan w:val="3"/>
            <w:shd w:val="clear" w:color="auto" w:fill="CCEEFF"/>
          </w:tcPr>
          <w:p>
            <w:pPr>
              <w:spacing w:after="0"/>
              <w:rPr>
                <w:sz w:val="16"/>
                <w:szCs w:val="16"/>
                <w:color w:val="auto"/>
              </w:rPr>
            </w:pPr>
          </w:p>
        </w:tc>
        <w:tc>
          <w:tcPr>
            <w:tcW w:w="1060" w:type="dxa"/>
            <w:vAlign w:val="bottom"/>
            <w:tcBorders>
              <w:bottom w:val="single" w:sz="8" w:color="CCEEFF"/>
            </w:tcBorders>
            <w:vMerge w:val="restart"/>
            <w:shd w:val="clear" w:color="auto" w:fill="CCEEFF"/>
          </w:tcPr>
          <w:p>
            <w:pPr>
              <w:jc w:val="center"/>
              <w:ind w:left="5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180" w:type="dxa"/>
            <w:vAlign w:val="bottom"/>
            <w:gridSpan w:val="19"/>
            <w:shd w:val="clear" w:color="auto" w:fill="CCEEFF"/>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Nine Months Ended September 30, 2021 and 2020</w:t>
              </w:r>
            </w:hyperlink>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30, 2021</w:t>
              </w:r>
            </w:hyperlink>
          </w:p>
        </w:tc>
        <w:tc>
          <w:tcPr>
            <w:tcW w:w="6660" w:type="dxa"/>
            <w:vAlign w:val="bottom"/>
            <w:gridSpan w:val="21"/>
            <w:shd w:val="clear" w:color="auto" w:fill="CCEEFF"/>
          </w:tcPr>
          <w:p>
            <w:pPr>
              <w:spacing w:after="0" w:line="189" w:lineRule="exact"/>
              <w:rPr>
                <w:rFonts w:ascii="Arial" w:cs="Arial" w:eastAsia="Arial" w:hAnsi="Arial"/>
                <w:sz w:val="18"/>
                <w:szCs w:val="18"/>
                <w:color w:val="0000FF"/>
                <w:w w:val="91"/>
              </w:rPr>
            </w:pPr>
            <w:hyperlink w:anchor="page7">
              <w:r>
                <w:rPr>
                  <w:rFonts w:ascii="Arial" w:cs="Arial" w:eastAsia="Arial" w:hAnsi="Arial"/>
                  <w:sz w:val="18"/>
                  <w:szCs w:val="18"/>
                  <w:color w:val="0000FF"/>
                  <w:w w:val="91"/>
                </w:rPr>
                <w:t>Condensed Consolidated Statements of Cash Flows for the Nine Months Ended September</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0" w:type="dxa"/>
            <w:vAlign w:val="bottom"/>
          </w:tcPr>
          <w:p>
            <w:pPr>
              <w:spacing w:after="0"/>
              <w:rPr>
                <w:sz w:val="1"/>
                <w:szCs w:val="1"/>
                <w:color w:val="auto"/>
              </w:rPr>
            </w:pPr>
          </w:p>
        </w:tc>
      </w:tr>
      <w:tr>
        <w:trPr>
          <w:trHeight w:val="176"/>
        </w:trPr>
        <w:tc>
          <w:tcPr>
            <w:tcW w:w="6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vMerge w:val="continue"/>
            <w:shd w:val="clear" w:color="auto" w:fill="CCEEFF"/>
          </w:tcPr>
          <w:p>
            <w:pPr>
              <w:spacing w:after="0"/>
              <w:rPr>
                <w:sz w:val="15"/>
                <w:szCs w:val="15"/>
                <w:color w:val="auto"/>
              </w:rPr>
            </w:pPr>
          </w:p>
        </w:tc>
        <w:tc>
          <w:tcPr>
            <w:tcW w:w="6560" w:type="dxa"/>
            <w:vAlign w:val="bottom"/>
            <w:tcBorders>
              <w:top w:val="single" w:sz="8" w:color="0000FF"/>
            </w:tcBorders>
            <w:gridSpan w:val="19"/>
            <w:shd w:val="clear" w:color="auto" w:fill="CCEEFF"/>
          </w:tcPr>
          <w:p>
            <w:pPr>
              <w:ind w:left="40"/>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and 2020</w:t>
              </w:r>
            </w:hyperlink>
          </w:p>
        </w:tc>
        <w:tc>
          <w:tcPr>
            <w:tcW w:w="100" w:type="dxa"/>
            <w:vAlign w:val="bottom"/>
            <w:tcBorders>
              <w:top w:val="single" w:sz="8" w:color="CCEEFF"/>
            </w:tcBorders>
            <w:gridSpan w:val="2"/>
            <w:shd w:val="clear" w:color="auto" w:fill="CCEEFF"/>
          </w:tcPr>
          <w:p>
            <w:pPr>
              <w:spacing w:after="0"/>
              <w:rPr>
                <w:sz w:val="15"/>
                <w:szCs w:val="15"/>
                <w:color w:val="auto"/>
              </w:rPr>
            </w:pPr>
          </w:p>
        </w:tc>
        <w:tc>
          <w:tcPr>
            <w:tcW w:w="106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060" w:type="dxa"/>
            <w:vAlign w:val="bottom"/>
            <w:shd w:val="clear" w:color="auto" w:fill="CCEEFF"/>
          </w:tcPr>
          <w:p>
            <w:pPr>
              <w:jc w:val="center"/>
              <w:ind w:left="550"/>
              <w:spacing w:after="0" w:line="189"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w w:val="93"/>
              </w:rPr>
            </w:pPr>
            <w:hyperlink w:anchor="page22">
              <w:r>
                <w:rPr>
                  <w:rFonts w:ascii="Arial" w:cs="Arial" w:eastAsia="Arial" w:hAnsi="Arial"/>
                  <w:sz w:val="18"/>
                  <w:szCs w:val="18"/>
                  <w:color w:val="0000FF"/>
                  <w:w w:val="93"/>
                </w:rPr>
                <w:t>Management’s Discussion and Analysis of Financial Condition and Results of Operations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8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16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8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spacing w:after="0"/>
              <w:rPr>
                <w:sz w:val="19"/>
                <w:szCs w:val="19"/>
                <w:color w:val="auto"/>
              </w:rPr>
            </w:pPr>
          </w:p>
        </w:tc>
        <w:tc>
          <w:tcPr>
            <w:tcW w:w="7680" w:type="dxa"/>
            <w:vAlign w:val="bottom"/>
            <w:gridSpan w:val="23"/>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1A.</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jc w:val="center"/>
              <w:ind w:left="550"/>
              <w:spacing w:after="0" w:line="19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8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1"/>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7680" w:type="dxa"/>
            <w:vAlign w:val="bottom"/>
            <w:gridSpan w:val="23"/>
            <w:shd w:val="clear" w:color="auto" w:fill="CCEEFF"/>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1060" w:type="dxa"/>
            <w:vAlign w:val="bottom"/>
            <w:shd w:val="clear" w:color="auto" w:fill="CCEEFF"/>
          </w:tcPr>
          <w:p>
            <w:pPr>
              <w:jc w:val="center"/>
              <w:ind w:left="550"/>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2" w:name="page3"/>
    <w:bookmarkEnd w:id="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Section 27A of the Securities Act of 1933, as amended, and Section 21E of the Securities Exchange Act of 1934, as amended, which reflect our current views with respect to certain events that could have an effect on our future performance, including but without limitation, statements regarding our plans, objectives, financial performance, business strategies, expectations for our business and the business of the Company.</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These statements relate to expectations concerning matters that are not historical fact and may include the words or phrases such as “would,” “will,” “should,” “expects,” “believes,” “anticipates,” “continues,” “could,” “may,” “might,” “plans,” “possible,” “potential,” “predicts,” “projects,” “forecasts,” “intends,” “assumes,” “estimates,” “approximately,” “shall,” “our planning assumptions,” “future outlook” and similar expressions, but the absence of these words does not mean that a statement is not forward-looking. Except for historical information, matters discussed in this Form 10-Q are forward-looking statements. These forward-looking statements are based largely on information currently available to our management and on our current expectations, assumptions, plans, estimates, judgments and projections about our business and our industry, as well as macroeconomic conditions, and are subject to various risks and uncertainties that could cause actual results to differ materially from historical results or those currently anticipated. Although we believe our expectations are based on reasonable estimates and assumptions, they are not guarantees of performance and there are a number of known and unknown risks, uncertainties, contingencies and other factors (many of which are outside our control) that could cause actual results to differ materially from those expressed or implied by such forward-looking statements. Accordingly, there is no assurance that our expectations will, in fact, occur or that our estimates or assumptions will be correct, and we caution investors and all others not to place undue reliance on such forward-looking statements. Some factors that could cause or contribute to such differences include, but are not limited to, the following:</w:t>
      </w:r>
    </w:p>
    <w:p>
      <w:pPr>
        <w:spacing w:after="0" w:line="1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1300" w:right="44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inflation, recovery from related adverse economic effects, and increased capital markets volatility;</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right="52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environment,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risk from elimination of the London Inter-bank Offered Rate (“LIBOR”) as a benchmark interest 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38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U.S. tax laws;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9" w:lineRule="exact"/>
        <w:rPr>
          <w:rFonts w:ascii="Arial" w:cs="Arial" w:eastAsia="Arial" w:hAnsi="Arial"/>
          <w:sz w:val="18"/>
          <w:szCs w:val="18"/>
          <w:color w:val="auto"/>
        </w:rPr>
      </w:pPr>
    </w:p>
    <w:p>
      <w:pPr>
        <w:ind w:left="660" w:right="1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sections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080" w:type="dxa"/>
            <w:vAlign w:val="bottom"/>
          </w:tcPr>
          <w:p>
            <w:pPr>
              <w:spacing w:after="0"/>
              <w:rPr>
                <w:sz w:val="20"/>
                <w:szCs w:val="20"/>
                <w:color w:val="auto"/>
              </w:rPr>
            </w:pPr>
          </w:p>
        </w:tc>
        <w:tc>
          <w:tcPr>
            <w:tcW w:w="2400" w:type="dxa"/>
            <w:vAlign w:val="bottom"/>
            <w:gridSpan w:val="3"/>
          </w:tcPr>
          <w:p>
            <w:pPr>
              <w:ind w:left="740"/>
              <w:spacing w:after="0"/>
              <w:rPr>
                <w:sz w:val="20"/>
                <w:szCs w:val="20"/>
                <w:color w:val="auto"/>
              </w:rPr>
            </w:pPr>
            <w:r>
              <w:rPr>
                <w:rFonts w:ascii="Arial" w:cs="Arial" w:eastAsia="Arial" w:hAnsi="Arial"/>
                <w:sz w:val="18"/>
                <w:szCs w:val="18"/>
                <w:color w:val="auto"/>
              </w:rPr>
              <w:t>September 30, 2021</w:t>
            </w:r>
          </w:p>
        </w:tc>
        <w:tc>
          <w:tcPr>
            <w:tcW w:w="76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30"/>
        </w:trPr>
        <w:tc>
          <w:tcPr>
            <w:tcW w:w="5080" w:type="dxa"/>
            <w:vAlign w:val="bottom"/>
          </w:tcPr>
          <w:p>
            <w:pPr>
              <w:ind w:left="2600"/>
              <w:spacing w:after="0"/>
              <w:rPr>
                <w:sz w:val="20"/>
                <w:szCs w:val="20"/>
                <w:color w:val="auto"/>
              </w:rPr>
            </w:pPr>
            <w:r>
              <w:rPr>
                <w:rFonts w:ascii="Arial" w:cs="Arial" w:eastAsia="Arial" w:hAnsi="Arial"/>
                <w:sz w:val="14"/>
                <w:szCs w:val="14"/>
                <w:color w:val="auto"/>
              </w:rPr>
              <w:t>ASSETS</w:t>
            </w:r>
          </w:p>
        </w:tc>
        <w:tc>
          <w:tcPr>
            <w:tcW w:w="9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assets:</w:t>
            </w:r>
          </w:p>
        </w:tc>
        <w:tc>
          <w:tcPr>
            <w:tcW w:w="9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780"/>
              <w:spacing w:after="0"/>
              <w:rPr>
                <w:sz w:val="20"/>
                <w:szCs w:val="20"/>
                <w:color w:val="auto"/>
              </w:rPr>
            </w:pPr>
            <w:r>
              <w:rPr>
                <w:rFonts w:ascii="Arial" w:cs="Arial" w:eastAsia="Arial" w:hAnsi="Arial"/>
                <w:sz w:val="18"/>
                <w:szCs w:val="18"/>
                <w:color w:val="auto"/>
              </w:rPr>
              <w:t>Cash</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125,132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74,907</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Accounts receivable, net of allowance of $2,156 and</w:t>
            </w:r>
          </w:p>
        </w:tc>
        <w:tc>
          <w:tcPr>
            <w:tcW w:w="9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97,406</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55,017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$1,503, respectively</w:t>
            </w:r>
          </w:p>
        </w:tc>
        <w:tc>
          <w:tcPr>
            <w:tcW w:w="9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Prepaid wires, net</w:t>
            </w:r>
          </w:p>
        </w:tc>
        <w:tc>
          <w:tcPr>
            <w:tcW w:w="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14,355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53,281</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7"/>
        </w:trPr>
        <w:tc>
          <w:tcPr>
            <w:tcW w:w="5080" w:type="dxa"/>
            <w:vAlign w:val="bottom"/>
          </w:tcPr>
          <w:p>
            <w:pPr>
              <w:ind w:left="980"/>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243,262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186,726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rPr>
              <w:t>Property and equipment, net</w:t>
            </w:r>
          </w:p>
        </w:tc>
        <w:tc>
          <w:tcPr>
            <w:tcW w:w="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14,051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13,021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Goodwill</w:t>
            </w:r>
          </w:p>
        </w:tc>
        <w:tc>
          <w:tcPr>
            <w:tcW w:w="9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29"/>
        </w:trPr>
        <w:tc>
          <w:tcPr>
            <w:tcW w:w="5080" w:type="dxa"/>
            <w:vAlign w:val="bottom"/>
          </w:tcPr>
          <w:p>
            <w:pPr>
              <w:ind w:left="660"/>
              <w:spacing w:after="0"/>
              <w:rPr>
                <w:sz w:val="20"/>
                <w:szCs w:val="20"/>
                <w:color w:val="auto"/>
              </w:rPr>
            </w:pPr>
            <w:r>
              <w:rPr>
                <w:rFonts w:ascii="Arial" w:cs="Arial" w:eastAsia="Arial" w:hAnsi="Arial"/>
                <w:sz w:val="18"/>
                <w:szCs w:val="18"/>
                <w:color w:val="auto"/>
              </w:rPr>
              <w:t>Intangible assets, net</w:t>
            </w:r>
          </w:p>
        </w:tc>
        <w:tc>
          <w:tcPr>
            <w:tcW w:w="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16,560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29"/>
        </w:trPr>
        <w:tc>
          <w:tcPr>
            <w:tcW w:w="5080" w:type="dxa"/>
            <w:vAlign w:val="bottom"/>
          </w:tcPr>
          <w:p>
            <w:pPr>
              <w:ind w:left="98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318,106</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259,473</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020"/>
              <w:spacing w:after="0"/>
              <w:rPr>
                <w:sz w:val="20"/>
                <w:szCs w:val="20"/>
                <w:color w:val="auto"/>
              </w:rPr>
            </w:pPr>
            <w:r>
              <w:rPr>
                <w:rFonts w:ascii="Arial" w:cs="Arial" w:eastAsia="Arial" w:hAnsi="Arial"/>
                <w:sz w:val="18"/>
                <w:szCs w:val="18"/>
                <w:color w:val="auto"/>
              </w:rPr>
              <w:t>LIABILITIES AND STOCKHOLDERS’ EQUITY</w:t>
            </w: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780"/>
              <w:spacing w:after="0"/>
              <w:rPr>
                <w:sz w:val="20"/>
                <w:szCs w:val="20"/>
                <w:color w:val="auto"/>
              </w:rPr>
            </w:pPr>
            <w:r>
              <w:rPr>
                <w:rFonts w:ascii="Arial" w:cs="Arial" w:eastAsia="Arial" w:hAnsi="Arial"/>
                <w:sz w:val="18"/>
                <w:szCs w:val="18"/>
                <w:color w:val="auto"/>
              </w:rPr>
              <w:t>Current portion of long-term debt, net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Wire transfers and money orders payable, net</w:t>
            </w:r>
          </w:p>
        </w:tc>
        <w:tc>
          <w:tcPr>
            <w:tcW w:w="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59,520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41,746</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Accrued and other liabilities</w:t>
            </w:r>
          </w:p>
        </w:tc>
        <w:tc>
          <w:tcPr>
            <w:tcW w:w="9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0" w:type="dxa"/>
            <w:vAlign w:val="bottom"/>
          </w:tcPr>
          <w:p>
            <w:pPr>
              <w:spacing w:after="0"/>
              <w:rPr>
                <w:sz w:val="1"/>
                <w:szCs w:val="1"/>
                <w:color w:val="auto"/>
              </w:rPr>
            </w:pPr>
          </w:p>
        </w:tc>
      </w:tr>
      <w:tr>
        <w:trPr>
          <w:trHeight w:val="216"/>
        </w:trPr>
        <w:tc>
          <w:tcPr>
            <w:tcW w:w="5080" w:type="dxa"/>
            <w:vAlign w:val="bottom"/>
          </w:tcPr>
          <w:p>
            <w:pPr>
              <w:ind w:left="980"/>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104,206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Long-term liabilities:</w:t>
            </w:r>
          </w:p>
        </w:tc>
        <w:tc>
          <w:tcPr>
            <w:tcW w:w="9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Debt, net</w:t>
            </w:r>
          </w:p>
        </w:tc>
        <w:tc>
          <w:tcPr>
            <w:tcW w:w="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80,181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80,579</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Deferred tax liability, net</w:t>
            </w:r>
          </w:p>
        </w:tc>
        <w:tc>
          <w:tcPr>
            <w:tcW w:w="9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7"/>
        </w:trPr>
        <w:tc>
          <w:tcPr>
            <w:tcW w:w="5080" w:type="dxa"/>
            <w:vAlign w:val="bottom"/>
          </w:tcPr>
          <w:p>
            <w:pPr>
              <w:ind w:left="980"/>
              <w:spacing w:after="0"/>
              <w:rPr>
                <w:sz w:val="20"/>
                <w:szCs w:val="20"/>
                <w:color w:val="auto"/>
              </w:rPr>
            </w:pPr>
            <w:r>
              <w:rPr>
                <w:rFonts w:ascii="Arial" w:cs="Arial" w:eastAsia="Arial" w:hAnsi="Arial"/>
                <w:sz w:val="18"/>
                <w:szCs w:val="18"/>
                <w:color w:val="auto"/>
              </w:rPr>
              <w:t>Total long-term liabilities</w:t>
            </w:r>
          </w:p>
        </w:tc>
        <w:tc>
          <w:tcPr>
            <w:tcW w:w="9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81,546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81,271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rPr>
              <w:t>Commitments and contingencies, see Note 15</w:t>
            </w: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rPr>
              <w:t>Stockholders’ equity:</w:t>
            </w: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Common stock $0.0001 par value; 230,000,000 shares authorized,</w:t>
            </w:r>
          </w:p>
        </w:tc>
        <w:tc>
          <w:tcPr>
            <w:tcW w:w="9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38,739,480 and 38,217,125 shares issued and 38,669,040 and</w:t>
            </w:r>
          </w:p>
        </w:tc>
        <w:tc>
          <w:tcPr>
            <w:tcW w:w="9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38,217,125 shares outstanding as of September 30, 2021 and</w:t>
            </w:r>
          </w:p>
        </w:tc>
        <w:tc>
          <w:tcPr>
            <w:tcW w:w="9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December 31, 2020, respectively.</w:t>
            </w:r>
          </w:p>
        </w:tc>
        <w:tc>
          <w:tcPr>
            <w:tcW w:w="9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78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65,036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59,310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Retained earnings</w:t>
            </w:r>
          </w:p>
        </w:tc>
        <w:tc>
          <w:tcPr>
            <w:tcW w:w="9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0" w:type="dxa"/>
            <w:vAlign w:val="bottom"/>
          </w:tcPr>
          <w:p>
            <w:pPr>
              <w:spacing w:after="0"/>
              <w:rPr>
                <w:sz w:val="1"/>
                <w:szCs w:val="1"/>
                <w:color w:val="auto"/>
              </w:rPr>
            </w:pPr>
          </w:p>
        </w:tc>
      </w:tr>
      <w:tr>
        <w:trPr>
          <w:trHeight w:val="230"/>
        </w:trPr>
        <w:tc>
          <w:tcPr>
            <w:tcW w:w="5080" w:type="dxa"/>
            <w:vAlign w:val="bottom"/>
          </w:tcPr>
          <w:p>
            <w:pPr>
              <w:ind w:left="780"/>
              <w:spacing w:after="0"/>
              <w:rPr>
                <w:sz w:val="20"/>
                <w:szCs w:val="20"/>
                <w:color w:val="auto"/>
              </w:rPr>
            </w:pPr>
            <w:r>
              <w:rPr>
                <w:rFonts w:ascii="Arial" w:cs="Arial" w:eastAsia="Arial" w:hAnsi="Arial"/>
                <w:sz w:val="18"/>
                <w:szCs w:val="18"/>
                <w:color w:val="auto"/>
              </w:rPr>
              <w:t>Accumulated other comprehensive loss</w:t>
            </w:r>
          </w:p>
        </w:tc>
        <w:tc>
          <w:tcPr>
            <w:tcW w:w="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0"/>
              </w:rPr>
              <w:t>Treasury stock, at cost; 70,440 shares as of September 30,</w:t>
            </w:r>
          </w:p>
        </w:tc>
        <w:tc>
          <w:tcPr>
            <w:tcW w:w="9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2021 (none as of December 31, 2020)</w:t>
            </w:r>
          </w:p>
        </w:tc>
        <w:tc>
          <w:tcPr>
            <w:tcW w:w="9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Total stockholders’ equity</w:t>
            </w:r>
          </w:p>
        </w:tc>
        <w:tc>
          <w:tcPr>
            <w:tcW w:w="9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132,354</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54"/>
        </w:trPr>
        <w:tc>
          <w:tcPr>
            <w:tcW w:w="50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318,106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259,473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960" w:type="dxa"/>
            <w:vAlign w:val="bottom"/>
          </w:tcPr>
          <w:p>
            <w:pPr>
              <w:spacing w:after="0"/>
              <w:rPr>
                <w:sz w:val="20"/>
                <w:szCs w:val="20"/>
                <w:color w:val="auto"/>
              </w:rPr>
            </w:pPr>
          </w:p>
        </w:tc>
        <w:tc>
          <w:tcPr>
            <w:tcW w:w="3260" w:type="dxa"/>
            <w:vAlign w:val="bottom"/>
            <w:gridSpan w:val="4"/>
          </w:tcPr>
          <w:p>
            <w:pPr>
              <w:jc w:val="right"/>
              <w:ind w:right="43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140" w:type="dxa"/>
            <w:vAlign w:val="bottom"/>
          </w:tcPr>
          <w:p>
            <w:pPr>
              <w:ind w:left="660"/>
              <w:spacing w:after="0"/>
              <w:rPr>
                <w:sz w:val="20"/>
                <w:szCs w:val="20"/>
                <w:color w:val="auto"/>
              </w:rPr>
            </w:pPr>
            <w:r>
              <w:rPr>
                <w:rFonts w:ascii="Arial" w:cs="Arial" w:eastAsia="Arial" w:hAnsi="Arial"/>
                <w:sz w:val="18"/>
                <w:szCs w:val="18"/>
                <w:color w:val="auto"/>
              </w:rPr>
              <w:t>Revenues: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7"/>
              </w:rPr>
              <w:t>Wire transfer and</w:t>
            </w: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104,191</w:t>
            </w:r>
          </w:p>
        </w:tc>
        <w:tc>
          <w:tcPr>
            <w:tcW w:w="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82,646</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284,409</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222,534</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order fees, net</w:t>
            </w:r>
          </w:p>
        </w:tc>
        <w:tc>
          <w:tcPr>
            <w:tcW w:w="9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780"/>
              <w:spacing w:after="0" w:line="176" w:lineRule="exact"/>
              <w:rPr>
                <w:sz w:val="20"/>
                <w:szCs w:val="20"/>
                <w:color w:val="auto"/>
              </w:rPr>
            </w:pPr>
            <w:r>
              <w:rPr>
                <w:rFonts w:ascii="Arial" w:cs="Arial" w:eastAsia="Arial" w:hAnsi="Arial"/>
                <w:sz w:val="18"/>
                <w:szCs w:val="18"/>
                <w:color w:val="auto"/>
                <w:w w:val="92"/>
              </w:rPr>
              <w:t>Foreign exchange</w:t>
            </w:r>
          </w:p>
        </w:tc>
        <w:tc>
          <w:tcPr>
            <w:tcW w:w="9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15,643</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12,296</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45,347</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33,510</w:t>
            </w:r>
          </w:p>
        </w:tc>
        <w:tc>
          <w:tcPr>
            <w:tcW w:w="0" w:type="dxa"/>
            <w:vAlign w:val="bottom"/>
          </w:tcPr>
          <w:p>
            <w:pPr>
              <w:spacing w:after="0"/>
              <w:rPr>
                <w:sz w:val="1"/>
                <w:szCs w:val="1"/>
                <w:color w:val="auto"/>
              </w:rPr>
            </w:pPr>
          </w:p>
        </w:tc>
      </w:tr>
      <w:tr>
        <w:trPr>
          <w:trHeight w:val="229"/>
        </w:trPr>
        <w:tc>
          <w:tcPr>
            <w:tcW w:w="2140" w:type="dxa"/>
            <w:vAlign w:val="bottom"/>
          </w:tcPr>
          <w:p>
            <w:pPr>
              <w:ind w:left="140"/>
              <w:spacing w:after="0"/>
              <w:rPr>
                <w:sz w:val="20"/>
                <w:szCs w:val="20"/>
                <w:color w:val="auto"/>
              </w:rPr>
            </w:pPr>
            <w:r>
              <w:rPr>
                <w:rFonts w:ascii="Arial" w:cs="Arial" w:eastAsia="Arial" w:hAnsi="Arial"/>
                <w:sz w:val="18"/>
                <w:szCs w:val="18"/>
                <w:color w:val="auto"/>
              </w:rPr>
              <w:t>gain, net</w:t>
            </w:r>
          </w:p>
        </w:tc>
        <w:tc>
          <w:tcPr>
            <w:tcW w:w="9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Other income</w:t>
            </w:r>
          </w:p>
        </w:tc>
        <w:tc>
          <w:tcPr>
            <w:tcW w:w="9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6"/>
        </w:trPr>
        <w:tc>
          <w:tcPr>
            <w:tcW w:w="214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w w:val="95"/>
              </w:rPr>
              <w:t>Total revenues</w:t>
            </w:r>
          </w:p>
        </w:tc>
        <w:tc>
          <w:tcPr>
            <w:tcW w:w="9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120,707</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95,594</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332,031</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257,907</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660"/>
              <w:spacing w:after="0" w:line="176" w:lineRule="exact"/>
              <w:rPr>
                <w:sz w:val="20"/>
                <w:szCs w:val="20"/>
                <w:color w:val="auto"/>
              </w:rPr>
            </w:pPr>
            <w:r>
              <w:rPr>
                <w:rFonts w:ascii="Arial" w:cs="Arial" w:eastAsia="Arial" w:hAnsi="Arial"/>
                <w:sz w:val="18"/>
                <w:szCs w:val="18"/>
                <w:color w:val="auto"/>
              </w:rPr>
              <w:t>Operating</w:t>
            </w: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expenses:</w:t>
            </w: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Service charges</w:t>
            </w:r>
          </w:p>
        </w:tc>
        <w:tc>
          <w:tcPr>
            <w:tcW w:w="9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63,904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222,654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172,403</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from agents and banks</w:t>
            </w:r>
          </w:p>
        </w:tc>
        <w:tc>
          <w:tcPr>
            <w:tcW w:w="9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780"/>
              <w:spacing w:after="0" w:line="176" w:lineRule="exact"/>
              <w:rPr>
                <w:sz w:val="20"/>
                <w:szCs w:val="20"/>
                <w:color w:val="auto"/>
              </w:rPr>
            </w:pPr>
            <w:r>
              <w:rPr>
                <w:rFonts w:ascii="Arial" w:cs="Arial" w:eastAsia="Arial" w:hAnsi="Arial"/>
                <w:sz w:val="18"/>
                <w:szCs w:val="18"/>
                <w:color w:val="auto"/>
              </w:rPr>
              <w:t>Salaries and</w:t>
            </w:r>
          </w:p>
        </w:tc>
        <w:tc>
          <w:tcPr>
            <w:tcW w:w="9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10,859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8,084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30,909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29"/>
        </w:trPr>
        <w:tc>
          <w:tcPr>
            <w:tcW w:w="2140" w:type="dxa"/>
            <w:vAlign w:val="bottom"/>
          </w:tcPr>
          <w:p>
            <w:pPr>
              <w:ind w:left="140"/>
              <w:spacing w:after="0"/>
              <w:rPr>
                <w:sz w:val="20"/>
                <w:szCs w:val="20"/>
                <w:color w:val="auto"/>
              </w:rPr>
            </w:pPr>
            <w:r>
              <w:rPr>
                <w:rFonts w:ascii="Arial" w:cs="Arial" w:eastAsia="Arial" w:hAnsi="Arial"/>
                <w:sz w:val="18"/>
                <w:szCs w:val="18"/>
                <w:color w:val="auto"/>
              </w:rPr>
              <w:t>benefits</w:t>
            </w:r>
          </w:p>
        </w:tc>
        <w:tc>
          <w:tcPr>
            <w:tcW w:w="9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Other selling, general and</w:t>
            </w:r>
          </w:p>
        </w:tc>
        <w:tc>
          <w:tcPr>
            <w:tcW w:w="9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administrative expenses</w:t>
            </w:r>
          </w:p>
        </w:tc>
        <w:tc>
          <w:tcPr>
            <w:tcW w:w="9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780"/>
              <w:spacing w:after="0" w:line="176" w:lineRule="exact"/>
              <w:rPr>
                <w:sz w:val="20"/>
                <w:szCs w:val="20"/>
                <w:color w:val="auto"/>
              </w:rPr>
            </w:pPr>
            <w:r>
              <w:rPr>
                <w:rFonts w:ascii="Arial" w:cs="Arial" w:eastAsia="Arial" w:hAnsi="Arial"/>
                <w:sz w:val="18"/>
                <w:szCs w:val="18"/>
                <w:color w:val="auto"/>
                <w:w w:val="98"/>
              </w:rPr>
              <w:t>Depreciation and</w:t>
            </w:r>
          </w:p>
        </w:tc>
        <w:tc>
          <w:tcPr>
            <w:tcW w:w="9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2,362</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2,698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7,041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980"/>
              <w:spacing w:after="0" w:line="162" w:lineRule="exact"/>
              <w:rPr>
                <w:sz w:val="20"/>
                <w:szCs w:val="20"/>
                <w:color w:val="auto"/>
              </w:rPr>
            </w:pPr>
            <w:r>
              <w:rPr>
                <w:rFonts w:ascii="Arial" w:cs="Arial" w:eastAsia="Arial" w:hAnsi="Arial"/>
                <w:sz w:val="18"/>
                <w:szCs w:val="18"/>
                <w:color w:val="auto"/>
                <w:w w:val="94"/>
              </w:rPr>
              <w:t>Total operating</w:t>
            </w:r>
          </w:p>
        </w:tc>
        <w:tc>
          <w:tcPr>
            <w:tcW w:w="9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104,603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81,022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283,153</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219,821</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9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38,086</w:t>
            </w: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980"/>
              <w:spacing w:after="0" w:line="176" w:lineRule="exact"/>
              <w:rPr>
                <w:sz w:val="20"/>
                <w:szCs w:val="20"/>
                <w:color w:val="auto"/>
              </w:rPr>
            </w:pPr>
            <w:r>
              <w:rPr>
                <w:rFonts w:ascii="Arial" w:cs="Arial" w:eastAsia="Arial" w:hAnsi="Arial"/>
                <w:sz w:val="18"/>
                <w:szCs w:val="18"/>
                <w:color w:val="auto"/>
                <w:w w:val="99"/>
              </w:rPr>
              <w:t>Income before</w:t>
            </w:r>
          </w:p>
        </w:tc>
        <w:tc>
          <w:tcPr>
            <w:tcW w:w="9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33,053</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Income tax</w:t>
            </w:r>
          </w:p>
        </w:tc>
        <w:tc>
          <w:tcPr>
            <w:tcW w:w="9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9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comprehensive (loss) income</w:t>
            </w:r>
          </w:p>
        </w:tc>
        <w:tc>
          <w:tcPr>
            <w:tcW w:w="9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980"/>
              <w:spacing w:after="0" w:line="176" w:lineRule="exact"/>
              <w:rPr>
                <w:sz w:val="20"/>
                <w:szCs w:val="20"/>
                <w:color w:val="auto"/>
              </w:rPr>
            </w:pPr>
            <w:r>
              <w:rPr>
                <w:rFonts w:ascii="Arial" w:cs="Arial" w:eastAsia="Arial" w:hAnsi="Arial"/>
                <w:sz w:val="18"/>
                <w:szCs w:val="18"/>
                <w:color w:val="auto"/>
                <w:w w:val="90"/>
              </w:rPr>
              <w:t>Comprehensive</w:t>
            </w: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33,572</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24,037</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Earnings per</w:t>
            </w: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98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Weighted-average</w:t>
            </w: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common shares outstanding:</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tcPr>
          <w:p>
            <w:pPr>
              <w:ind w:left="98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38,647,931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38,050,610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38,441,767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38,040,339</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39,336,051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38,652,707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39,071,622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38,246,429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0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11"/>
          </w:tcPr>
          <w:p>
            <w:pPr>
              <w:ind w:left="640"/>
              <w:spacing w:after="0"/>
              <w:rPr>
                <w:sz w:val="20"/>
                <w:szCs w:val="20"/>
                <w:color w:val="auto"/>
              </w:rPr>
            </w:pPr>
            <w:r>
              <w:rPr>
                <w:rFonts w:ascii="Arial" w:cs="Arial" w:eastAsia="Arial" w:hAnsi="Arial"/>
                <w:sz w:val="14"/>
                <w:szCs w:val="14"/>
                <w:b w:val="1"/>
                <w:bCs w:val="1"/>
                <w:color w:val="auto"/>
              </w:rPr>
              <w:t>Three Months Ended September 30, 2021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920" w:type="dxa"/>
            <w:vAlign w:val="bottom"/>
            <w:gridSpan w:val="5"/>
          </w:tcPr>
          <w:p>
            <w:pPr>
              <w:ind w:left="4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
                <w:szCs w:val="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2"/>
                <w:szCs w:val="2"/>
                <w:color w:val="auto"/>
              </w:rPr>
            </w:pPr>
          </w:p>
        </w:tc>
        <w:tc>
          <w:tcPr>
            <w:tcW w:w="86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
                <w:szCs w:val="2"/>
                <w:color w:val="auto"/>
              </w:rPr>
            </w:pPr>
          </w:p>
        </w:tc>
        <w:tc>
          <w:tcPr>
            <w:tcW w:w="740" w:type="dxa"/>
            <w:vAlign w:val="bottom"/>
            <w:vMerge w:val="restart"/>
          </w:tcPr>
          <w:p>
            <w:pPr>
              <w:jc w:val="right"/>
              <w:ind w:right="214"/>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38,585,724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121,176</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11,507</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Issuance of common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140"/>
              <w:spacing w:after="0" w:line="176" w:lineRule="exact"/>
              <w:rPr>
                <w:sz w:val="20"/>
                <w:szCs w:val="20"/>
                <w:color w:val="auto"/>
              </w:rPr>
            </w:pPr>
            <w:r>
              <w:rPr>
                <w:rFonts w:ascii="Arial" w:cs="Arial" w:eastAsia="Arial" w:hAnsi="Arial"/>
                <w:sz w:val="18"/>
                <w:szCs w:val="18"/>
                <w:color w:val="auto"/>
                <w:w w:val="92"/>
              </w:rPr>
              <w:t>Exercise of stock options,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Arial" w:cs="Arial" w:eastAsia="Arial" w:hAnsi="Arial"/>
                <w:sz w:val="18"/>
                <w:szCs w:val="18"/>
                <w:color w:val="auto"/>
                <w:w w:val="93"/>
              </w:rPr>
              <w:t>net of shares withheld for</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152,678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taxes</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Fully vested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w w:val="90"/>
              </w:rPr>
              <w:t>Share-based compensation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net</w:t>
            </w: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Arial" w:cs="Arial" w:eastAsia="Arial" w:hAnsi="Arial"/>
                <w:sz w:val="18"/>
                <w:szCs w:val="18"/>
                <w:color w:val="auto"/>
              </w:rPr>
              <w:t>Acquisition of treasury</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(70,440)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w w:val="94"/>
              </w:rPr>
              <w:t>(1,205)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stock, at cost</w:t>
            </w: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September 30,</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38,739,480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(70,440)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8"/>
                <w:szCs w:val="18"/>
                <w:color w:val="auto"/>
                <w:w w:val="94"/>
              </w:rPr>
              <w:t>(1,205)</w:t>
            </w: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65,036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68,671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132,354</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19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 2020</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060" w:type="dxa"/>
            <w:vAlign w:val="bottom"/>
            <w:gridSpan w:val="5"/>
          </w:tcPr>
          <w:p>
            <w:pPr>
              <w:ind w:left="520"/>
              <w:spacing w:after="0" w:line="149"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9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4"/>
                <w:szCs w:val="4"/>
                <w:color w:val="auto"/>
              </w:rPr>
            </w:pPr>
          </w:p>
        </w:tc>
        <w:tc>
          <w:tcPr>
            <w:tcW w:w="80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4"/>
                <w:szCs w:val="4"/>
                <w:color w:val="auto"/>
              </w:rPr>
            </w:pPr>
          </w:p>
        </w:tc>
        <w:tc>
          <w:tcPr>
            <w:tcW w:w="740" w:type="dxa"/>
            <w:vAlign w:val="bottom"/>
            <w:vMerge w:val="restart"/>
          </w:tcPr>
          <w:p>
            <w:pPr>
              <w:jc w:val="center"/>
              <w:ind w:right="94"/>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1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7"/>
                <w:szCs w:val="17"/>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7"/>
                <w:szCs w:val="17"/>
                <w:color w:val="auto"/>
              </w:rPr>
            </w:pPr>
          </w:p>
        </w:tc>
        <w:tc>
          <w:tcPr>
            <w:tcW w:w="74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38,035,279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w w:val="93"/>
              </w:rPr>
              <w:t>(48)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center"/>
              <w:ind w:left="254"/>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80" w:type="dxa"/>
            <w:vAlign w:val="bottom"/>
          </w:tcPr>
          <w:p>
            <w:pPr>
              <w:ind w:left="140"/>
              <w:spacing w:after="0" w:line="176" w:lineRule="exact"/>
              <w:rPr>
                <w:sz w:val="20"/>
                <w:szCs w:val="20"/>
                <w:color w:val="auto"/>
              </w:rPr>
            </w:pPr>
            <w:r>
              <w:rPr>
                <w:rFonts w:ascii="Arial" w:cs="Arial" w:eastAsia="Arial" w:hAnsi="Arial"/>
                <w:sz w:val="18"/>
                <w:szCs w:val="18"/>
                <w:color w:val="auto"/>
              </w:rPr>
              <w:t>Exercise of stock</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10,607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800" w:type="dxa"/>
            <w:vAlign w:val="bottom"/>
            <w:gridSpan w:val="2"/>
            <w:vMerge w:val="restart"/>
          </w:tcPr>
          <w:p>
            <w:pPr>
              <w:jc w:val="center"/>
              <w:ind w:left="254"/>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1980" w:type="dxa"/>
            <w:vAlign w:val="bottom"/>
          </w:tcPr>
          <w:p>
            <w:pPr>
              <w:ind w:left="140"/>
              <w:spacing w:after="0"/>
              <w:rPr>
                <w:sz w:val="20"/>
                <w:szCs w:val="20"/>
                <w:color w:val="auto"/>
              </w:rPr>
            </w:pPr>
            <w:r>
              <w:rPr>
                <w:rFonts w:ascii="Arial" w:cs="Arial" w:eastAsia="Arial" w:hAnsi="Arial"/>
                <w:sz w:val="18"/>
                <w:szCs w:val="18"/>
                <w:color w:val="auto"/>
              </w:rPr>
              <w:t>options</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Arial" w:cs="Arial" w:eastAsia="Arial" w:hAnsi="Arial"/>
                <w:sz w:val="18"/>
                <w:szCs w:val="18"/>
                <w:color w:val="auto"/>
                <w:w w:val="88"/>
              </w:rPr>
              <w:t>Share-based compensation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gridSpan w:val="2"/>
          </w:tcPr>
          <w:p>
            <w:pPr>
              <w:jc w:val="center"/>
              <w:ind w:left="254"/>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176"/>
        </w:trPr>
        <w:tc>
          <w:tcPr>
            <w:tcW w:w="1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ind w:left="334"/>
              <w:spacing w:after="0"/>
              <w:rPr>
                <w:sz w:val="20"/>
                <w:szCs w:val="20"/>
                <w:color w:val="auto"/>
              </w:rPr>
            </w:pPr>
            <w:r>
              <w:rPr>
                <w:rFonts w:ascii="Arial" w:cs="Arial" w:eastAsia="Arial" w:hAnsi="Arial"/>
                <w:sz w:val="18"/>
                <w:szCs w:val="18"/>
                <w:color w:val="auto"/>
                <w:w w:val="89"/>
              </w:rPr>
              <w:t>14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6"/>
        </w:trPr>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currency translation, net</w:t>
            </w:r>
          </w:p>
        </w:tc>
        <w:tc>
          <w:tcPr>
            <w:tcW w:w="11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980" w:type="dxa"/>
            <w:vAlign w:val="bottom"/>
            <w:tcBorders>
              <w:top w:val="single" w:sz="8" w:color="CCEEFF"/>
            </w:tcBorders>
          </w:tcPr>
          <w:p>
            <w:pPr>
              <w:ind w:left="20"/>
              <w:spacing w:after="0" w:line="149" w:lineRule="exact"/>
              <w:rPr>
                <w:sz w:val="20"/>
                <w:szCs w:val="20"/>
                <w:color w:val="auto"/>
              </w:rPr>
            </w:pPr>
            <w:r>
              <w:rPr>
                <w:rFonts w:ascii="Arial" w:cs="Arial" w:eastAsia="Arial" w:hAnsi="Arial"/>
                <w:sz w:val="17"/>
                <w:szCs w:val="17"/>
                <w:color w:val="auto"/>
              </w:rPr>
              <w:t>Balance, September 30,</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38,059,737</w:t>
            </w: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56,793</w:t>
            </w: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25,340</w:t>
            </w: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tcPr>
          <w:p>
            <w:pPr>
              <w:jc w:val="center"/>
              <w:ind w:left="294"/>
              <w:spacing w:after="0"/>
              <w:rPr>
                <w:sz w:val="20"/>
                <w:szCs w:val="20"/>
                <w:color w:val="auto"/>
              </w:rPr>
            </w:pPr>
            <w:r>
              <w:rPr>
                <w:rFonts w:ascii="Arial" w:cs="Arial" w:eastAsia="Arial" w:hAnsi="Arial"/>
                <w:sz w:val="18"/>
                <w:szCs w:val="18"/>
                <w:color w:val="auto"/>
                <w:w w:val="93"/>
              </w:rPr>
              <w:t>(34)</w:t>
            </w: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82,103</w:t>
            </w:r>
          </w:p>
        </w:tc>
        <w:tc>
          <w:tcPr>
            <w:tcW w:w="0" w:type="dxa"/>
            <w:vAlign w:val="bottom"/>
          </w:tcPr>
          <w:p>
            <w:pPr>
              <w:spacing w:after="0"/>
              <w:rPr>
                <w:sz w:val="1"/>
                <w:szCs w:val="1"/>
                <w:color w:val="auto"/>
              </w:rPr>
            </w:pPr>
          </w:p>
        </w:tc>
      </w:tr>
      <w:tr>
        <w:trPr>
          <w:trHeight w:val="208"/>
        </w:trPr>
        <w:tc>
          <w:tcPr>
            <w:tcW w:w="198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0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11"/>
          </w:tcPr>
          <w:p>
            <w:pPr>
              <w:ind w:left="660"/>
              <w:spacing w:after="0"/>
              <w:rPr>
                <w:sz w:val="20"/>
                <w:szCs w:val="20"/>
                <w:color w:val="auto"/>
              </w:rPr>
            </w:pPr>
            <w:r>
              <w:rPr>
                <w:rFonts w:ascii="Arial" w:cs="Arial" w:eastAsia="Arial" w:hAnsi="Arial"/>
                <w:sz w:val="14"/>
                <w:szCs w:val="14"/>
                <w:b w:val="1"/>
                <w:bCs w:val="1"/>
                <w:color w:val="auto"/>
              </w:rPr>
              <w:t>Nine Months Ended September 30, 2021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920" w:type="dxa"/>
            <w:vAlign w:val="bottom"/>
            <w:gridSpan w:val="5"/>
          </w:tcPr>
          <w:p>
            <w:pPr>
              <w:ind w:left="4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
                <w:szCs w:val="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2"/>
                <w:szCs w:val="2"/>
                <w:color w:val="auto"/>
              </w:rPr>
            </w:pPr>
          </w:p>
        </w:tc>
        <w:tc>
          <w:tcPr>
            <w:tcW w:w="86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
                <w:szCs w:val="2"/>
                <w:color w:val="auto"/>
              </w:rPr>
            </w:pPr>
          </w:p>
        </w:tc>
        <w:tc>
          <w:tcPr>
            <w:tcW w:w="740" w:type="dxa"/>
            <w:vAlign w:val="bottom"/>
            <w:vMerge w:val="restart"/>
          </w:tcPr>
          <w:p>
            <w:pPr>
              <w:jc w:val="right"/>
              <w:ind w:right="213"/>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0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1"/>
                <w:szCs w:val="11"/>
                <w:color w:val="auto"/>
              </w:rPr>
            </w:pP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December 31,</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38,217,125</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59,310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33,711</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Issuance of common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Arial" w:cs="Arial" w:eastAsia="Arial" w:hAnsi="Arial"/>
                <w:sz w:val="18"/>
                <w:szCs w:val="18"/>
                <w:color w:val="auto"/>
                <w:w w:val="92"/>
              </w:rPr>
              <w:t>Exercise of stock options,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140"/>
              <w:spacing w:after="0" w:line="176" w:lineRule="exact"/>
              <w:rPr>
                <w:sz w:val="20"/>
                <w:szCs w:val="20"/>
                <w:color w:val="auto"/>
              </w:rPr>
            </w:pPr>
            <w:r>
              <w:rPr>
                <w:rFonts w:ascii="Arial" w:cs="Arial" w:eastAsia="Arial" w:hAnsi="Arial"/>
                <w:sz w:val="18"/>
                <w:szCs w:val="18"/>
                <w:color w:val="auto"/>
                <w:w w:val="93"/>
              </w:rPr>
              <w:t>net of shares withheld for</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397,585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2,344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Arial" w:cs="Arial" w:eastAsia="Arial" w:hAnsi="Arial"/>
                <w:sz w:val="18"/>
                <w:szCs w:val="18"/>
                <w:color w:val="auto"/>
              </w:rPr>
              <w:t>taxes</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w w:val="98"/>
              </w:rPr>
              <w:t>Restricted stock awards</w:t>
            </w:r>
          </w:p>
        </w:tc>
        <w:tc>
          <w:tcPr>
            <w:tcW w:w="1020" w:type="dxa"/>
            <w:vAlign w:val="bottom"/>
          </w:tcPr>
          <w:p>
            <w:pPr>
              <w:jc w:val="right"/>
              <w:spacing w:after="0"/>
              <w:rPr>
                <w:sz w:val="20"/>
                <w:szCs w:val="20"/>
                <w:color w:val="auto"/>
              </w:rPr>
            </w:pPr>
            <w:r>
              <w:rPr>
                <w:rFonts w:ascii="Arial" w:cs="Arial" w:eastAsia="Arial" w:hAnsi="Arial"/>
                <w:sz w:val="18"/>
                <w:szCs w:val="18"/>
                <w:color w:val="auto"/>
              </w:rPr>
              <w:t>88,215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Fully vested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w w:val="90"/>
              </w:rPr>
              <w:t>Share-based compensation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net</w:t>
            </w: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Arial" w:cs="Arial" w:eastAsia="Arial" w:hAnsi="Arial"/>
                <w:sz w:val="18"/>
                <w:szCs w:val="18"/>
                <w:color w:val="auto"/>
              </w:rPr>
              <w:t>Acquisition of treasury</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(70,440)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w w:val="94"/>
              </w:rPr>
              <w:t>(1,205)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stock, at cost</w:t>
            </w: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September 30,</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38,739,480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(70,440)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8"/>
                <w:szCs w:val="18"/>
                <w:color w:val="auto"/>
                <w:w w:val="94"/>
              </w:rPr>
              <w:t>(1,205)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65,036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68,671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132,354</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19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 2020</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2060" w:type="dxa"/>
            <w:vAlign w:val="bottom"/>
            <w:gridSpan w:val="5"/>
          </w:tcPr>
          <w:p>
            <w:pPr>
              <w:ind w:left="520"/>
              <w:spacing w:after="0" w:line="149"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9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4"/>
                <w:szCs w:val="4"/>
                <w:color w:val="auto"/>
              </w:rPr>
            </w:pPr>
          </w:p>
        </w:tc>
        <w:tc>
          <w:tcPr>
            <w:tcW w:w="820" w:type="dxa"/>
            <w:vAlign w:val="bottom"/>
            <w:gridSpan w:val="2"/>
            <w:vMerge w:val="restart"/>
          </w:tcPr>
          <w:p>
            <w:pPr>
              <w:jc w:val="center"/>
              <w:ind w:right="36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4"/>
                <w:szCs w:val="4"/>
                <w:color w:val="auto"/>
              </w:rPr>
            </w:pPr>
          </w:p>
        </w:tc>
        <w:tc>
          <w:tcPr>
            <w:tcW w:w="740" w:type="dxa"/>
            <w:vAlign w:val="bottom"/>
            <w:vMerge w:val="restart"/>
          </w:tcPr>
          <w:p>
            <w:pPr>
              <w:jc w:val="center"/>
              <w:ind w:right="94"/>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1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(Loss) Income</w:t>
            </w:r>
          </w:p>
        </w:tc>
        <w:tc>
          <w:tcPr>
            <w:tcW w:w="200" w:type="dxa"/>
            <w:vAlign w:val="bottom"/>
          </w:tcPr>
          <w:p>
            <w:pPr>
              <w:spacing w:after="0"/>
              <w:rPr>
                <w:sz w:val="17"/>
                <w:szCs w:val="17"/>
                <w:color w:val="auto"/>
              </w:rPr>
            </w:pPr>
          </w:p>
        </w:tc>
        <w:tc>
          <w:tcPr>
            <w:tcW w:w="74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2"/>
        </w:trPr>
        <w:tc>
          <w:tcPr>
            <w:tcW w:w="19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December 31,</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38,034,389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80" w:type="dxa"/>
            <w:vAlign w:val="bottom"/>
          </w:tcPr>
          <w:p>
            <w:pPr>
              <w:ind w:left="140"/>
              <w:spacing w:after="0" w:line="176" w:lineRule="exact"/>
              <w:rPr>
                <w:sz w:val="20"/>
                <w:szCs w:val="20"/>
                <w:color w:val="auto"/>
              </w:rPr>
            </w:pPr>
            <w:r>
              <w:rPr>
                <w:rFonts w:ascii="Arial" w:cs="Arial" w:eastAsia="Arial" w:hAnsi="Arial"/>
                <w:sz w:val="18"/>
                <w:szCs w:val="18"/>
                <w:color w:val="auto"/>
              </w:rPr>
              <w:t>Exercise of stock</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11,497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1980" w:type="dxa"/>
            <w:vAlign w:val="bottom"/>
          </w:tcPr>
          <w:p>
            <w:pPr>
              <w:ind w:left="140"/>
              <w:spacing w:after="0"/>
              <w:rPr>
                <w:sz w:val="20"/>
                <w:szCs w:val="20"/>
                <w:color w:val="auto"/>
              </w:rPr>
            </w:pPr>
            <w:r>
              <w:rPr>
                <w:rFonts w:ascii="Arial" w:cs="Arial" w:eastAsia="Arial" w:hAnsi="Arial"/>
                <w:sz w:val="18"/>
                <w:szCs w:val="18"/>
                <w:color w:val="auto"/>
              </w:rPr>
              <w:t>options</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w w:val="88"/>
              </w:rPr>
              <w:t>Share-based compensation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6"/>
        </w:trPr>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currency translation, net</w:t>
            </w:r>
          </w:p>
        </w:tc>
        <w:tc>
          <w:tcPr>
            <w:tcW w:w="11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980" w:type="dxa"/>
            <w:vAlign w:val="bottom"/>
            <w:tcBorders>
              <w:top w:val="single" w:sz="8" w:color="CCEEFF"/>
            </w:tcBorders>
          </w:tcPr>
          <w:p>
            <w:pPr>
              <w:ind w:left="20"/>
              <w:spacing w:after="0" w:line="149" w:lineRule="exact"/>
              <w:rPr>
                <w:sz w:val="20"/>
                <w:szCs w:val="20"/>
                <w:color w:val="auto"/>
              </w:rPr>
            </w:pPr>
            <w:r>
              <w:rPr>
                <w:rFonts w:ascii="Arial" w:cs="Arial" w:eastAsia="Arial" w:hAnsi="Arial"/>
                <w:sz w:val="17"/>
                <w:szCs w:val="17"/>
                <w:color w:val="auto"/>
              </w:rPr>
              <w:t>Balance, September 30,</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38,059,737</w:t>
            </w: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56,793</w:t>
            </w: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25,340</w:t>
            </w: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82,103</w:t>
            </w:r>
          </w:p>
        </w:tc>
        <w:tc>
          <w:tcPr>
            <w:tcW w:w="0" w:type="dxa"/>
            <w:vAlign w:val="bottom"/>
          </w:tcPr>
          <w:p>
            <w:pPr>
              <w:spacing w:after="0"/>
              <w:rPr>
                <w:sz w:val="1"/>
                <w:szCs w:val="1"/>
                <w:color w:val="auto"/>
              </w:rPr>
            </w:pPr>
          </w:p>
        </w:tc>
      </w:tr>
      <w:tr>
        <w:trPr>
          <w:trHeight w:val="208"/>
        </w:trPr>
        <w:tc>
          <w:tcPr>
            <w:tcW w:w="198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140" w:right="2100"/>
        <w:spacing w:after="0" w:line="266"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(in thousands, unaudited)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Nine Months Ended September 30,</w:t>
            </w:r>
          </w:p>
        </w:tc>
      </w:tr>
      <w:tr>
        <w:trPr>
          <w:trHeight w:val="237"/>
        </w:trPr>
        <w:tc>
          <w:tcPr>
            <w:tcW w:w="5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216"/>
        </w:trPr>
        <w:tc>
          <w:tcPr>
            <w:tcW w:w="5100" w:type="dxa"/>
            <w:vAlign w:val="bottom"/>
          </w:tcPr>
          <w:p>
            <w:pPr>
              <w:ind w:left="660"/>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5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w:t>
            </w:r>
          </w:p>
        </w:tc>
      </w:tr>
      <w:tr>
        <w:trPr>
          <w:trHeight w:val="176"/>
        </w:trPr>
        <w:tc>
          <w:tcPr>
            <w:tcW w:w="5100" w:type="dxa"/>
            <w:vAlign w:val="bottom"/>
          </w:tcPr>
          <w:p>
            <w:pPr>
              <w:ind w:left="140"/>
              <w:spacing w:after="0" w:line="176" w:lineRule="exact"/>
              <w:rPr>
                <w:sz w:val="20"/>
                <w:szCs w:val="20"/>
                <w:color w:val="auto"/>
              </w:rPr>
            </w:pPr>
            <w:r>
              <w:rPr>
                <w:rFonts w:ascii="Arial" w:cs="Arial" w:eastAsia="Arial" w:hAnsi="Arial"/>
                <w:sz w:val="18"/>
                <w:szCs w:val="18"/>
                <w:color w:val="auto"/>
              </w:rPr>
              <w:t>Adjustments to reconcile net income to net cash provided by</w:t>
            </w: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5100" w:type="dxa"/>
            <w:vAlign w:val="bottom"/>
          </w:tcPr>
          <w:p>
            <w:pPr>
              <w:ind w:left="300"/>
              <w:spacing w:after="0"/>
              <w:rPr>
                <w:sz w:val="20"/>
                <w:szCs w:val="20"/>
                <w:color w:val="auto"/>
              </w:rPr>
            </w:pPr>
            <w:r>
              <w:rPr>
                <w:rFonts w:ascii="Arial" w:cs="Arial" w:eastAsia="Arial" w:hAnsi="Arial"/>
                <w:sz w:val="18"/>
                <w:szCs w:val="18"/>
                <w:color w:val="auto"/>
              </w:rPr>
              <w:t>operating activities: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r>
      <w:tr>
        <w:trPr>
          <w:trHeight w:val="229"/>
        </w:trPr>
        <w:tc>
          <w:tcPr>
            <w:tcW w:w="5100" w:type="dxa"/>
            <w:vAlign w:val="bottom"/>
          </w:tcPr>
          <w:p>
            <w:pPr>
              <w:ind w:left="980"/>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2,209</w:t>
            </w:r>
          </w:p>
        </w:tc>
      </w:tr>
      <w:tr>
        <w:trPr>
          <w:trHeight w:val="229"/>
        </w:trPr>
        <w:tc>
          <w:tcPr>
            <w:tcW w:w="51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Provision for credit losses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5100" w:type="dxa"/>
            <w:vAlign w:val="bottom"/>
          </w:tcPr>
          <w:p>
            <w:pPr>
              <w:ind w:left="980"/>
              <w:spacing w:after="0"/>
              <w:rPr>
                <w:sz w:val="20"/>
                <w:szCs w:val="20"/>
                <w:color w:val="auto"/>
              </w:rPr>
            </w:pPr>
            <w:r>
              <w:rPr>
                <w:rFonts w:ascii="Arial" w:cs="Arial" w:eastAsia="Arial" w:hAnsi="Arial"/>
                <w:sz w:val="18"/>
                <w:szCs w:val="18"/>
                <w:color w:val="auto"/>
              </w:rPr>
              <w:t>Debt origination costs amortization</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51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income tax provision, net</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r>
      <w:tr>
        <w:trPr>
          <w:trHeight w:val="237"/>
        </w:trPr>
        <w:tc>
          <w:tcPr>
            <w:tcW w:w="510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Loss on disposal of property and equipment</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51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Total adjustments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r>
      <w:tr>
        <w:trPr>
          <w:trHeight w:val="230"/>
        </w:trPr>
        <w:tc>
          <w:tcPr>
            <w:tcW w:w="5100" w:type="dxa"/>
            <w:vAlign w:val="bottom"/>
          </w:tcPr>
          <w:p>
            <w:pPr>
              <w:ind w:left="9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1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r>
      <w:tr>
        <w:trPr>
          <w:trHeight w:val="229"/>
        </w:trPr>
        <w:tc>
          <w:tcPr>
            <w:tcW w:w="5100" w:type="dxa"/>
            <w:vAlign w:val="bottom"/>
          </w:tcPr>
          <w:p>
            <w:pPr>
              <w:ind w:left="1100"/>
              <w:spacing w:after="0"/>
              <w:rPr>
                <w:sz w:val="20"/>
                <w:szCs w:val="20"/>
                <w:color w:val="auto"/>
              </w:rPr>
            </w:pPr>
            <w:r>
              <w:rPr>
                <w:rFonts w:ascii="Arial" w:cs="Arial" w:eastAsia="Arial" w:hAnsi="Arial"/>
                <w:sz w:val="18"/>
                <w:szCs w:val="18"/>
                <w:color w:val="auto"/>
              </w:rPr>
              <w:t>Prepaid wires,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38,561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7,773</w:t>
            </w:r>
          </w:p>
        </w:tc>
      </w:tr>
      <w:tr>
        <w:trPr>
          <w:trHeight w:val="230"/>
        </w:trPr>
        <w:tc>
          <w:tcPr>
            <w:tcW w:w="51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29"/>
        </w:trPr>
        <w:tc>
          <w:tcPr>
            <w:tcW w:w="5100" w:type="dxa"/>
            <w:vAlign w:val="bottom"/>
          </w:tcPr>
          <w:p>
            <w:pPr>
              <w:ind w:left="1100"/>
              <w:spacing w:after="0"/>
              <w:rPr>
                <w:sz w:val="20"/>
                <w:szCs w:val="20"/>
                <w:color w:val="auto"/>
              </w:rPr>
            </w:pPr>
            <w:r>
              <w:rPr>
                <w:rFonts w:ascii="Arial" w:cs="Arial" w:eastAsia="Arial" w:hAnsi="Arial"/>
                <w:sz w:val="18"/>
                <w:szCs w:val="18"/>
                <w:color w:val="auto"/>
              </w:rPr>
              <w:t>Wire transfers and money orders payable, net</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18,136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9,465</w:t>
            </w:r>
          </w:p>
        </w:tc>
      </w:tr>
      <w:tr>
        <w:trPr>
          <w:trHeight w:val="237"/>
        </w:trPr>
        <w:tc>
          <w:tcPr>
            <w:tcW w:w="51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Accounts payable and accrued and other liabilities</w:t>
            </w: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37"/>
        </w:trPr>
        <w:tc>
          <w:tcPr>
            <w:tcW w:w="51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60,705</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31,597</w:t>
            </w:r>
          </w:p>
        </w:tc>
      </w:tr>
      <w:tr>
        <w:trPr>
          <w:trHeight w:val="148"/>
        </w:trPr>
        <w:tc>
          <w:tcPr>
            <w:tcW w:w="5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30"/>
        </w:trPr>
        <w:tc>
          <w:tcPr>
            <w:tcW w:w="5100" w:type="dxa"/>
            <w:vAlign w:val="bottom"/>
          </w:tcPr>
          <w:p>
            <w:pPr>
              <w:ind w:left="660"/>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9"/>
        </w:trPr>
        <w:tc>
          <w:tcPr>
            <w:tcW w:w="5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r>
      <w:tr>
        <w:trPr>
          <w:trHeight w:val="217"/>
        </w:trPr>
        <w:tc>
          <w:tcPr>
            <w:tcW w:w="510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162"/>
        </w:trPr>
        <w:tc>
          <w:tcPr>
            <w:tcW w:w="5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29"/>
        </w:trPr>
        <w:tc>
          <w:tcPr>
            <w:tcW w:w="5100" w:type="dxa"/>
            <w:vAlign w:val="bottom"/>
          </w:tcPr>
          <w:p>
            <w:pPr>
              <w:ind w:left="660"/>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Repayments of term loan facility</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r>
      <w:tr>
        <w:trPr>
          <w:trHeight w:val="230"/>
        </w:trPr>
        <w:tc>
          <w:tcPr>
            <w:tcW w:w="5100" w:type="dxa"/>
            <w:vAlign w:val="bottom"/>
          </w:tcPr>
          <w:p>
            <w:pPr>
              <w:ind w:left="780"/>
              <w:spacing w:after="0"/>
              <w:rPr>
                <w:sz w:val="20"/>
                <w:szCs w:val="20"/>
                <w:color w:val="auto"/>
              </w:rPr>
            </w:pPr>
            <w:r>
              <w:rPr>
                <w:rFonts w:ascii="Arial" w:cs="Arial" w:eastAsia="Arial" w:hAnsi="Arial"/>
                <w:sz w:val="18"/>
                <w:szCs w:val="18"/>
                <w:color w:val="auto"/>
              </w:rPr>
              <w:t>Borrowings under term loan facility</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40,158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Debt origination costs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ind w:left="78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Payments for stock-based awards</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10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Repurchases of common stock</w:t>
            </w: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r>
      <w:tr>
        <w:trPr>
          <w:trHeight w:val="149"/>
        </w:trPr>
        <w:tc>
          <w:tcPr>
            <w:tcW w:w="5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36"/>
        </w:trPr>
        <w:tc>
          <w:tcPr>
            <w:tcW w:w="5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Effect of exchange rate changes on cash</w:t>
            </w: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149"/>
        </w:trPr>
        <w:tc>
          <w:tcPr>
            <w:tcW w:w="5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29"/>
        </w:trPr>
        <w:tc>
          <w:tcPr>
            <w:tcW w:w="5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increase in cash</w:t>
            </w: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r>
      <w:tr>
        <w:trPr>
          <w:trHeight w:val="162"/>
        </w:trPr>
        <w:tc>
          <w:tcPr>
            <w:tcW w:w="5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7"/>
        </w:trPr>
        <w:tc>
          <w:tcPr>
            <w:tcW w:w="5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beginning of period</w:t>
            </w: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86,117</w:t>
            </w:r>
          </w:p>
        </w:tc>
      </w:tr>
      <w:tr>
        <w:trPr>
          <w:trHeight w:val="148"/>
        </w:trPr>
        <w:tc>
          <w:tcPr>
            <w:tcW w:w="5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5"/>
        </w:trPr>
        <w:tc>
          <w:tcPr>
            <w:tcW w:w="5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end of period</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109,067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140" w:right="146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Nine Months Ended September 30,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6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Cash paid for income taxes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12,567</w:t>
            </w:r>
          </w:p>
        </w:tc>
        <w:tc>
          <w:tcPr>
            <w:tcW w:w="1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660"/>
              <w:spacing w:after="0"/>
              <w:rPr>
                <w:sz w:val="20"/>
                <w:szCs w:val="20"/>
                <w:color w:val="auto"/>
              </w:rPr>
            </w:pPr>
            <w:r>
              <w:rPr>
                <w:rFonts w:ascii="Arial" w:cs="Arial" w:eastAsia="Arial" w:hAnsi="Arial"/>
                <w:sz w:val="18"/>
                <w:szCs w:val="18"/>
                <w:b w:val="1"/>
                <w:bCs w:val="1"/>
                <w:color w:val="auto"/>
                <w:w w:val="93"/>
              </w:rPr>
              <w:t>Supplemental disclosure of non-cash financing activity:</w:t>
            </w: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5"/>
              </w:rPr>
              <w:t>Issuance of common stock for cashless exercise of stock</w:t>
            </w:r>
          </w:p>
        </w:tc>
        <w:tc>
          <w:tcPr>
            <w:tcW w:w="10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34"/>
        <w:spacing w:after="0" w:line="26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34 Company-operated stores throughout the United States and Canada.</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Although the worst effects of the pandemic appear to have subsided in the United States, the pandemic has had and continues to have a significant effect on economic conditions in the United States, and continues to cause significant uncertainties in the U.S. and global economies, particularly as a result of new Delta and other variants of COVID-19, which appear to be causing an increase in COVID-19 cases in certain places around the world. Public health officials and medical professionals have warned that COVID-19 resurgences may continue to occur due to a variety of factors, including the extent of economic activity, social interaction, vaccination rates and the emergence of potent variants. It is unclear how long any resurgence will last, how severe it will be, and what safety measures governments and businesses will impose in response.</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extent to which the COVID-19 pandemic affects our business, operations and financial results depends, and will continue to depend, on numerous evolving factors that we may not be able to accurately predict.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or resurgence of the pandemic and the related extent of its severity, as well as its impact on the economic conditions, particularly the level of unemployment of our customers, inflation, interest rate levels and foreign exchange volatility, all of which remain uncertain and cannot be predicted at this time. If the global response to contain and remedy the COVID-19 pandemic escalates further or is unsuccessful, or if governmental decisions to ease pandemic related restrictions are ineffective, premature or counterproductive, or if an escalation in the global response to contain the COVID-19 pandemic is required or is unsuccessful, the Company could experience a material adverse effect on its financial condition, results of operations and cash flows.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condensed consolidated financial statements of the Company include Intermex Holdings, Inc., its wholly-owned indirect subsidiary, Intermex Wire Transfer, LLC (“LLC”), Intermex Wire Transfers de Guatemala, S.A. (“Intermex Guatemala”) - 100% owned by LLC, Intermex Wire Transfer de Mexico, S.A. and Intermex Transfers de Mexico, S.A. (“Intermex Mexico”) - 98% owned by LLC, Intermex Wire Transfer Corp. - 100% owned by LLC, Intermex Wire Transfer II, LLC - 100% owned by LLC and Canada International Transfers Corp. - 100% owned by LLC.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condensed consolidated financial statements are prepared in accordance with accounting principles generally accepted in the United States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condensed consolidated financial statements.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Financial Accounting Standards Board (“FASB”) issued amended guidance, </w:t>
      </w:r>
      <w:r>
        <w:rPr>
          <w:rFonts w:ascii="Arial" w:cs="Arial" w:eastAsia="Arial" w:hAnsi="Arial"/>
          <w:sz w:val="18"/>
          <w:szCs w:val="18"/>
          <w:i w:val="1"/>
          <w:iCs w:val="1"/>
          <w:color w:val="auto"/>
        </w:rPr>
        <w:t>Intangibles – 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The amended standard simplifies how an entity tests goodwill by eliminating Step 2 of the goodwill impairment test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an impairment charge. Instead, impairment will be recorded for the amount that the carrying amount of a reporting unit exceeds its fair value. This guidance was adopted by the Company on January 1, 2021. The adoption of this guidance did not have a material impact on the condensed consolidated financial statements.</w:t>
      </w:r>
    </w:p>
    <w:p>
      <w:pPr>
        <w:spacing w:after="0" w:line="26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amended guidance,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The amended standard requires implementation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by customers in cloud computing arrangements to be deferred and recognized over the term of the arrangement if those costs would be capitalized by the customers in a software licensing arrangement. This guidance was adopted by the Company on January 1, 2021. The adoption of this guidance did not have a material impact on the condensed consolidated financial statements.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removes certain exceptions to the general principles in Topic 740 and improves consistent application of and simplifies GAAP for other areas of Topic 740 by clarifying and amending existing guidance. This guidance was adopted by the Company on January 1, 2021. The adoption of this guidance did not have a material impact on the condensed consolidated financial statements.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guidance, </w:t>
      </w:r>
      <w:r>
        <w:rPr>
          <w:rFonts w:ascii="Arial" w:cs="Arial" w:eastAsia="Arial" w:hAnsi="Arial"/>
          <w:sz w:val="17"/>
          <w:szCs w:val="17"/>
          <w:i w:val="1"/>
          <w:iCs w:val="1"/>
          <w:color w:val="auto"/>
        </w:rPr>
        <w:t>Leases (Topic 842)</w:t>
      </w:r>
      <w:r>
        <w:rPr>
          <w:rFonts w:ascii="Arial" w:cs="Arial" w:eastAsia="Arial" w:hAnsi="Arial"/>
          <w:sz w:val="17"/>
          <w:szCs w:val="17"/>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right-of-use asset representing its right to use the underlying asset for the lease term on the balance sheet. This guidance is required to be adopted by the Company on January 1, 2022 using the modified retrospective approach. The Company is currently evaluating the impact this guidance will have on the condensed consolidated financial statements.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required to adopt the new guidance on January 1, 2023. The Company is currently evaluating the impact this guidance will have on the condensed consolidated financial statements.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FASB issued guidance, </w:t>
      </w:r>
      <w:r>
        <w:rPr>
          <w:rFonts w:ascii="Arial" w:cs="Arial" w:eastAsia="Arial" w:hAnsi="Arial"/>
          <w:sz w:val="16"/>
          <w:szCs w:val="16"/>
          <w:i w:val="1"/>
          <w:iCs w:val="1"/>
          <w:color w:val="auto"/>
        </w:rPr>
        <w:t>Reference Rate Reform (Topic 848): Facilitation of the Effects of Reference Rate Reform on Financial Reporting</w:t>
      </w:r>
      <w:r>
        <w:rPr>
          <w:rFonts w:ascii="Arial" w:cs="Arial" w:eastAsia="Arial" w:hAnsi="Arial"/>
          <w:sz w:val="16"/>
          <w:szCs w:val="16"/>
          <w:color w:val="auto"/>
        </w:rPr>
        <w:t>, which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(“IBORs”) and, particularly, the risk of cessation of the LIBOR, regulators in several jurisdictions around the world have undertaken reference rate reform initiatives to identify alternative reference rates that are more observable or transaction based and less susceptible to manipulation. This accounting standards update provides companies with optional guidance to ease the potential accounting burden associated with transitioning away from reference rates that are expected to be discontinued. This new guidance may be adopted by the Company no later than December 1, 2022, with early adoption permitted. The potential adoption of this guidance is not expected to have a material impact on the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revenues from contracts with customers for the three and nine months ended September 30, 2021 and 2020,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5"/>
          </w:tcPr>
          <w:p>
            <w:pPr>
              <w:ind w:left="8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Pr>
          <w:p>
            <w:pPr>
              <w:spacing w:after="0"/>
              <w:rPr>
                <w:sz w:val="20"/>
                <w:szCs w:val="20"/>
                <w:color w:val="auto"/>
              </w:rPr>
            </w:pPr>
          </w:p>
        </w:tc>
        <w:tc>
          <w:tcPr>
            <w:tcW w:w="2920" w:type="dxa"/>
            <w:vAlign w:val="bottom"/>
            <w:gridSpan w:val="4"/>
          </w:tcPr>
          <w:p>
            <w:pPr>
              <w:jc w:val="right"/>
              <w:ind w:right="210"/>
              <w:spacing w:after="0"/>
              <w:rPr>
                <w:sz w:val="20"/>
                <w:szCs w:val="20"/>
                <w:color w:val="auto"/>
              </w:rPr>
            </w:pPr>
            <w:r>
              <w:rPr>
                <w:rFonts w:ascii="Arial" w:cs="Arial" w:eastAsia="Arial" w:hAnsi="Arial"/>
                <w:sz w:val="18"/>
                <w:szCs w:val="18"/>
                <w:color w:val="auto"/>
                <w:w w:val="92"/>
              </w:rPr>
              <w:t>Nine Months Ended September 30,</w:t>
            </w:r>
          </w:p>
        </w:tc>
      </w:tr>
      <w:tr>
        <w:trPr>
          <w:trHeight w:val="237"/>
        </w:trPr>
        <w:tc>
          <w:tcPr>
            <w:tcW w:w="42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223,171</w:t>
            </w:r>
          </w:p>
        </w:tc>
      </w:tr>
      <w:tr>
        <w:trPr>
          <w:trHeight w:val="23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 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222,534</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33,510</w:t>
            </w: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120,707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257,907</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8) and a corresponding loyalty program expense is recorded as contra revenue. Revenue from this performance obligation is recognized upon customers redeeming points or upon expiration of any points outstanding.</w:t>
      </w:r>
    </w:p>
    <w:p>
      <w:pPr>
        <w:spacing w:after="0" w:line="25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3 – ACCOUNTS RECEIVABLE AND NOTES RECEIVABLE, NET OF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represents outstanding balances from sending agents for pending wire transfers or money orders from our customers. The outstanding balance of accounts receivable, net of allowance for credit losses, consists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20"/>
                <w:szCs w:val="20"/>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w w:val="98"/>
              </w:rPr>
              <w:t>December 31, 2020</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99,562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56,520</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(2,156)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(1,503)</w:t>
            </w: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97,406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55,017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notes receivable, net of allowance for credit losses, from sending agents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20"/>
                <w:szCs w:val="20"/>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w w:val="98"/>
              </w:rPr>
              <w:t>December 31, 2020</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current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86"/>
              </w:rPr>
              <w:t>710</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(17)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0"/>
              </w:rPr>
              <w:t>(244)</w:t>
            </w: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86"/>
              </w:rPr>
              <w:t>466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long-term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6"/>
              </w:rPr>
              <w:t>816</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(33)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0"/>
              </w:rPr>
              <w:t>(295)</w:t>
            </w: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long-term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86"/>
              </w:rPr>
              <w:t>521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current portion of notes receivable is included in prepaid expenses and other current assets (see Note 4), and the net long-term portion is included in other assets in the condensed consolidated balance sheets. The notes have interest rates ranging from 0% to 16% per annum. At September 30, 2021 and December 31, 2020, there were $1.7 million and $1.5 million, respectively, of notes collateralized by personal guarantees from the sending agents and assets from their businesses in case of a default by the agent.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The maturities of notes receivable at September 30, 2021 are as follows (in thousands):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3"/>
        </w:trPr>
        <w:tc>
          <w:tcPr>
            <w:tcW w:w="8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7"/>
              </w:rPr>
              <w:t>Unpaid Principal</w:t>
            </w:r>
          </w:p>
        </w:tc>
      </w:tr>
      <w:tr>
        <w:trPr>
          <w:trHeight w:val="236"/>
        </w:trPr>
        <w:tc>
          <w:tcPr>
            <w:tcW w:w="8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Balance</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 1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Between 1 and 2 years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r>
      <w:tr>
        <w:trPr>
          <w:trHeight w:val="25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credit losses related to accounts receivable and notes receivable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3540" w:type="dxa"/>
            <w:vAlign w:val="bottom"/>
            <w:gridSpan w:val="6"/>
          </w:tcPr>
          <w:p>
            <w:pPr>
              <w:ind w:left="44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80" w:type="dxa"/>
            <w:vAlign w:val="bottom"/>
            <w:gridSpan w:val="4"/>
          </w:tcPr>
          <w:p>
            <w:pPr>
              <w:jc w:val="right"/>
              <w:ind w:right="370"/>
              <w:spacing w:after="0"/>
              <w:rPr>
                <w:sz w:val="20"/>
                <w:szCs w:val="20"/>
                <w:color w:val="auto"/>
              </w:rPr>
            </w:pPr>
            <w:r>
              <w:rPr>
                <w:rFonts w:ascii="Arial" w:cs="Arial" w:eastAsia="Arial" w:hAnsi="Arial"/>
                <w:sz w:val="18"/>
                <w:szCs w:val="18"/>
                <w:color w:val="auto"/>
                <w:w w:val="96"/>
              </w:rPr>
              <w:t>Nine Months Ended September 30,</w:t>
            </w:r>
          </w:p>
        </w:tc>
      </w:tr>
      <w:tr>
        <w:trPr>
          <w:trHeight w:val="249"/>
        </w:trPr>
        <w:tc>
          <w:tcPr>
            <w:tcW w:w="42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2021</w:t>
            </w: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2020</w:t>
            </w:r>
          </w:p>
        </w:tc>
      </w:tr>
      <w:tr>
        <w:trPr>
          <w:trHeight w:val="217"/>
        </w:trPr>
        <w:tc>
          <w:tcPr>
            <w:tcW w:w="424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r>
      <w:tr>
        <w:trPr>
          <w:trHeight w:val="23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Estimate to Calculate the Allowance for Credit Losses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and notes receivable are recorded at their net realizable value, which is net of an allowance for credit losses. The current accounting policy for the allowance for credit losses considers a number of factors, predominantly collection experience and historical net loss rates, but also other qualitative considerations.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third quarter of 2021, the Company modified its estimate of the allowance for credit losses and made refinements to the related calculation methodology of net historical loss rates for the different pools of accounts and notes receivable grouped based on similar characteristics.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change was treated as a change in accounting estimate for accounting purposes and applied prospectively beginning August 2021. The impact of the change in estimate and any effect in comparability to prior periods are not material. Further, the change is not expected to materially impact any financial statement line items or the Company’s results from operations in a future period.</w:t>
      </w:r>
    </w:p>
    <w:p>
      <w:pPr>
        <w:spacing w:after="0" w:line="200" w:lineRule="exact"/>
        <w:rPr>
          <w:sz w:val="20"/>
          <w:szCs w:val="20"/>
          <w:color w:val="auto"/>
        </w:rPr>
      </w:pPr>
    </w:p>
    <w:p>
      <w:pPr>
        <w:spacing w:after="0" w:line="30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i w:val="1"/>
                <w:iCs w:val="1"/>
                <w:color w:val="0000FF"/>
              </w:rPr>
            </w:pPr>
            <w:hyperlink w:anchor="page1">
              <w:r>
                <w:rPr>
                  <w:rFonts w:ascii="Arial" w:cs="Arial" w:eastAsia="Arial" w:hAnsi="Arial"/>
                  <w:sz w:val="18"/>
                  <w:szCs w:val="18"/>
                  <w:i w:val="1"/>
                  <w:iCs w:val="1"/>
                  <w:color w:val="0000FF"/>
                </w:rPr>
                <w:t>Index</w:t>
              </w:r>
            </w:hyperlink>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240" w:type="dxa"/>
            <w:vAlign w:val="bottom"/>
            <w:gridSpan w:val="2"/>
          </w:tcPr>
          <w:p>
            <w:pPr>
              <w:spacing w:after="0"/>
              <w:rPr>
                <w:sz w:val="20"/>
                <w:szCs w:val="20"/>
                <w:color w:val="auto"/>
              </w:rPr>
            </w:pPr>
            <w:r>
              <w:rPr>
                <w:rFonts w:ascii="Arial" w:cs="Arial" w:eastAsia="Arial" w:hAnsi="Arial"/>
                <w:sz w:val="18"/>
                <w:szCs w:val="18"/>
                <w:color w:val="auto"/>
              </w:rPr>
              <w:t>NOTE 4 – PREPAID EXPENSES AND OTHER ASSETS</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29"/>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Prepaid fees and services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receivable, net of allowance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Assets pending settlement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income taxes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Prepaid expenses and current assets - other</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54"/>
        </w:trPr>
        <w:tc>
          <w:tcPr>
            <w:tcW w:w="40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Other assets consisted of the following (in thousands):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line origination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Agent incentives advances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receivable, net of allowance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Funds held by seized banking entities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September 2021, local banking regulators in Mexico resolved to close and liquidate a local financial institution, citing a lack of compliance with minimum capital requirements. The Company had approximately $5.2 million on deposit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As of September 30, 2021, the Company recognized a pre-tax provision of $2.0 million in connection with the closure of the financial institution, which is included in other selling, general and administrative expenses in the condensed consolidated statements of operations and comprehensive income.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NOTE 5 – GOODWILL AND INTANGIBLE ASSETS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Intangible assets on the condensed consolidated balance sheets of the Company consist of goodwill, agent relationships, trade name, developed technology and other intangible assets. Agent relationships, trade name and developed technology are all amortized over 15 years using an accelerated method that correlates with the projected realization of the benefit. The agent relationships intangible represents the network of independent sending agents; trade name refers to the Intermex name, branded on all agent locations and well recognized in the market; and developed technology includes the state-of-the-art system that the Company has continued to develop and improve over the past 20 years. Other intangible assets primarily relate to the acquisition of Company-operated stores, which are amortized on a straight line basis over 10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and nine months ended September 30,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Intangibles</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20,430</w:t>
            </w:r>
          </w:p>
        </w:tc>
      </w:tr>
      <w:tr>
        <w:trPr>
          <w:trHeight w:val="236"/>
        </w:trPr>
        <w:tc>
          <w:tcPr>
            <w:tcW w:w="626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w w:val="91"/>
              </w:rPr>
              <w:t>(3,870)</w:t>
            </w:r>
          </w:p>
        </w:tc>
      </w:tr>
      <w:tr>
        <w:trPr>
          <w:trHeight w:val="254"/>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16,560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next five years and thereafter is as follows (in thousands):</w:t>
      </w:r>
    </w:p>
    <w:p>
      <w:pPr>
        <w:sectPr>
          <w:pgSz w:w="11900" w:h="16838" w:orient="portrait"/>
          <w:cols w:equalWidth="0" w:num="1">
            <w:col w:w="11240"/>
          </w:cols>
          <w:pgMar w:left="320" w:top="108" w:right="339" w:bottom="1440" w:gutter="0" w:footer="0" w:header="0"/>
        </w:sectPr>
      </w:pP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rFonts w:ascii="Arial" w:cs="Arial" w:eastAsia="Arial" w:hAnsi="Arial"/>
                <w:sz w:val="18"/>
                <w:szCs w:val="18"/>
                <w:i w:val="1"/>
                <w:iCs w:val="1"/>
                <w:color w:val="0000FF"/>
              </w:rPr>
            </w:pPr>
            <w:hyperlink w:anchor="page1">
              <w:r>
                <w:rPr>
                  <w:rFonts w:ascii="Arial" w:cs="Arial" w:eastAsia="Arial" w:hAnsi="Arial"/>
                  <w:sz w:val="18"/>
                  <w:szCs w:val="18"/>
                  <w:i w:val="1"/>
                  <w:iCs w:val="1"/>
                  <w:color w:val="0000FF"/>
                </w:rPr>
                <w:t>Index</w:t>
              </w:r>
            </w:hyperlink>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18"/>
        </w:trPr>
        <w:tc>
          <w:tcPr>
            <w:tcW w:w="400" w:type="dxa"/>
            <w:vAlign w:val="bottom"/>
            <w:tcBorders>
              <w:top w:val="single" w:sz="8" w:color="0000FF"/>
            </w:tcBorders>
          </w:tcPr>
          <w:p>
            <w:pPr>
              <w:spacing w:after="0"/>
              <w:rPr>
                <w:sz w:val="24"/>
                <w:szCs w:val="24"/>
                <w:color w:val="auto"/>
              </w:rPr>
            </w:pPr>
          </w:p>
        </w:tc>
        <w:tc>
          <w:tcPr>
            <w:tcW w:w="7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78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2022</w:t>
            </w:r>
          </w:p>
        </w:tc>
        <w:tc>
          <w:tcPr>
            <w:tcW w:w="7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3,997</w:t>
            </w: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2023</w:t>
            </w:r>
          </w:p>
        </w:tc>
        <w:tc>
          <w:tcPr>
            <w:tcW w:w="7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2024</w:t>
            </w:r>
          </w:p>
        </w:tc>
        <w:tc>
          <w:tcPr>
            <w:tcW w:w="7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2025</w:t>
            </w:r>
          </w:p>
        </w:tc>
        <w:tc>
          <w:tcPr>
            <w:tcW w:w="7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37"/>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r>
      <w:tr>
        <w:trPr>
          <w:trHeight w:val="254"/>
        </w:trPr>
        <w:tc>
          <w:tcPr>
            <w:tcW w:w="40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16,560</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 6 – PROPERTY AND EQUIPMENT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amounted to $14.1 million and $13.0 million as of September 30, 2021 and December 31, 2020, respectively, net of $13.6 million and $10.9 million of accumulated depreciation, respectively. During the three months ended September 30, 2021, the Company wrote-off $1.0 million in software development expenditures, which is included in other selling, general and administrative expenses in the condensed consolidated statements of operations and comprehensive income.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NOTE 7 – WIRE TRANSFERS AND MONEY ORDERS PAYABLE,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Wire transfers and money orders payable, net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2020</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13,374</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16,566</w:t>
            </w:r>
          </w:p>
        </w:tc>
      </w:tr>
      <w:tr>
        <w:trPr>
          <w:trHeight w:val="229"/>
        </w:trPr>
        <w:tc>
          <w:tcPr>
            <w:tcW w:w="6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41,746</w:t>
            </w: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NOTE 8 – ACCRUED AND OTHER LIABILITIES</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6"/>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2020</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2,957</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bank charges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Accrued legal fees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professional fees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loyalty program</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255"/>
        </w:trPr>
        <w:tc>
          <w:tcPr>
            <w:tcW w:w="6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deferred revenue loyalty program liability (in thousands):</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rFonts w:ascii="Arial" w:cs="Arial" w:eastAsia="Arial" w:hAnsi="Arial"/>
                <w:sz w:val="18"/>
                <w:szCs w:val="18"/>
                <w:i w:val="1"/>
                <w:iCs w:val="1"/>
                <w:color w:val="0000FF"/>
              </w:rPr>
            </w:pPr>
            <w:hyperlink w:anchor="page1">
              <w:r>
                <w:rPr>
                  <w:rFonts w:ascii="Arial" w:cs="Arial" w:eastAsia="Arial" w:hAnsi="Arial"/>
                  <w:sz w:val="18"/>
                  <w:szCs w:val="18"/>
                  <w:i w:val="1"/>
                  <w:iCs w:val="1"/>
                  <w:color w:val="0000FF"/>
                </w:rPr>
                <w:t>Index</w:t>
              </w:r>
            </w:hyperlink>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00" w:type="dxa"/>
            <w:vAlign w:val="bottom"/>
            <w:tcBorders>
              <w:top w:val="single" w:sz="8" w:color="0000FF"/>
            </w:tcBorders>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7"/>
              </w:rPr>
              <w:t>2,750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Revenue deferred during the period</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ind w:left="1080"/>
              <w:spacing w:after="0"/>
              <w:rPr>
                <w:sz w:val="20"/>
                <w:szCs w:val="20"/>
                <w:color w:val="auto"/>
              </w:rPr>
            </w:pPr>
            <w:r>
              <w:rPr>
                <w:rFonts w:ascii="Arial" w:cs="Arial" w:eastAsia="Arial" w:hAnsi="Arial"/>
                <w:sz w:val="18"/>
                <w:szCs w:val="18"/>
                <w:color w:val="auto"/>
                <w:w w:val="97"/>
              </w:rPr>
              <w:t>1,657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 during the period</w:t>
            </w:r>
          </w:p>
        </w:tc>
        <w:tc>
          <w:tcPr>
            <w:tcW w:w="1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1"/>
              </w:rPr>
              <w:t>(1,226)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Balance, September 30, 2021</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97"/>
              </w:rPr>
              <w:t>3,181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NOTE 9 – DEBT</w:t>
            </w: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Debt consisted of the following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September 30, 2021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w w:val="98"/>
              </w:rPr>
              <w:t>December 31, 2020</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86,406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7"/>
              </w:rPr>
              <w:t>89,383</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ind w:left="1040"/>
              <w:spacing w:after="0"/>
              <w:rPr>
                <w:sz w:val="20"/>
                <w:szCs w:val="20"/>
                <w:color w:val="auto"/>
              </w:rPr>
            </w:pPr>
            <w:r>
              <w:rPr>
                <w:rFonts w:ascii="Arial" w:cs="Arial" w:eastAsia="Arial" w:hAnsi="Arial"/>
                <w:sz w:val="18"/>
                <w:szCs w:val="18"/>
                <w:color w:val="auto"/>
              </w:rPr>
              <w:t>86,406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auto"/>
                <w:w w:val="87"/>
              </w:rPr>
              <w:t>89,383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(3,882)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4"/>
              </w:rPr>
              <w:t>(7,044)</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Debt origination costs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(2,343)</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w w:val="94"/>
              </w:rPr>
              <w:t>(1,760)</w:t>
            </w:r>
          </w:p>
        </w:tc>
        <w:tc>
          <w:tcPr>
            <w:tcW w:w="0" w:type="dxa"/>
            <w:vAlign w:val="bottom"/>
          </w:tcPr>
          <w:p>
            <w:pPr>
              <w:spacing w:after="0"/>
              <w:rPr>
                <w:sz w:val="1"/>
                <w:szCs w:val="1"/>
                <w:color w:val="auto"/>
              </w:rPr>
            </w:pPr>
          </w:p>
        </w:tc>
      </w:tr>
      <w:tr>
        <w:trPr>
          <w:trHeight w:val="255"/>
        </w:trPr>
        <w:tc>
          <w:tcPr>
            <w:tcW w:w="4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80,181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7"/>
              </w:rPr>
              <w:t>80,579</w:t>
            </w: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portion of long-term debt is net of debt origination costs of approximately $0.5 million and $0.6 million at September 30, 2021 and December 31, 2020, respectively.</w:t>
      </w:r>
    </w:p>
    <w:p>
      <w:pPr>
        <w:spacing w:after="0" w:line="2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certain of its domestic subsidiaries as borrowers and the other guarantors from time to time party thereto (collectively, the “Loan Parties”) entered into a financing agreement with a group of banking institutions, dated November 7, 2018 and further amended on December 7, 2018 (the “Original Credit Agreement”). The Original Credit Agreement provided for a $35.0 million revolving credit facility, a $90.0 million term loan facility and an up to $30.0 million incremental facility of which $12.0 million was utilized in 2019 for the term loan facility and $10.0 million was utilized in May of 2021 for the revolving credit facility (see below). The Original Credit Agreement also provided for the issuance of letters of credit, which would reduce availability under the revolving credit facility. The maturity date of the Original Credit Agreement was November 7, 2023.</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as of May 12, 2021, the Company amended the Original Credit Agreement by entering into Increase Joinder No. 2 (the “Joinder No. 2”) to the Original Credit Agreement, which was accounted for as a debt modification, under which the revolving line of credit commitment under the Original Credit Agreement was increased by $10.0 million to an aggregate of $45.0 million. The Joinder No. 2 did not have any impact to any of the terms of the term loan facility under the Original Credit Agreement. The Company incurred debt origination costs of $76.8 thousand in the second quarter of 2021 which were capitalized and will be amortized over the remaining life of the revolving line of credit facility, as described below, using the straight-line method, as it is not significantly different than the effective interest method.</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24, 2021, the Loan Parties entered into an Amended and Restated Credit Agreement (the “A&amp;R Credit Agreement”) with a group of banking institutions. The A&amp;R Credit Agreement amended and restated in its entirety the Original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$87.5 million principal amount of the existing term loan facility under the Original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refinancing was accounted for as a debt modification. The balance of the unamortized debt origination costs of $1.8 million under the Original Credit Agreement, the origination costs paid to the Loan Parties of $1.0 million in connection with the term loan facility of the A&amp;R Credit Agreement and debt origination costs paid to the Loan Parties and third-party costs of $1.8 million incurred in connection with the revolving credit facility of the A&amp;R Credit Agreement will be associated with the new arrangement, and therefore, they will be amortized over the remaining life of the A&amp;R Credit Agreement using the straight-line method, as it is not significantly different than the effective interest method. Debt origination costs paid to third parties related to a portion of the term loan facility in connection with the A&amp;R Credit Agreement were expensed as incurred during the second quarter of 2021.</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nine months ended September 30, 2021 for the term loan facility and revolving credit facility, which substantially related to the Original Credit Agreement, were 4.58% and 0.82%, respectively.</w:t>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is payable (x)(i) generally on the last day of each interest period selected for LIBOR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A&amp;R Credit Agreement contains financial covenants that require the Company to maintain a quarterly minimum fixed charge coverage ratio of 1.25:1.00 and a quarterly maximum consolidated leverage ratio of 3.25:1.00.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10 – FAIR VALUE MEASUREMENTS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fair value in accordance with the provisions of FASB guidance,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non-financial assets measured at fair value on a nonrecurring basis include goodwill and intangibles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balances are representative of their fair values as these balances are comprised of deposits available on demand. The carrying amounts of accounts receivable, prepaid wires, accounts payable and wire transfers and money orders payable are representative of their fair values because of the short turnover of these instruments.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11 –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26, 2020, at the 2020 Annual Meeting of Stockholders, the Company’s stockholders approved the International Money Express, Inc. 2020 Omnibus Equity Compensation Plan (the “2020 Plan”), which provides for the granting of stock-based incentive awards, including stock options, restricted stock units (“RSUs”), restricted stock awards (“RSAs”) and performance stock units (“PSUs”) to employees and independent directors of the Company. There are 3.4 million shares of the Company’s common stock available for issuance under the 2020 Plan, including 0.4 million shares that were available for grant under the International Money Express, Inc. 2018 Omnibus</w:t>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Compensation Plan (the “2018 Plan” and together with the 2020 Plan, the “Plans”). As of September 30, 2021, 3.6 million shares remained available for future awards under the 2020 Plan. The 2018 Plan was terminated effective June 26,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value of each option grant is estimated on the grant date using the Black-Scholes option pricing model (“BSM”). The option pricing model requires the input of highly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$0.5 million and $0.7 million for the three months ended September 30, 2021 and 2020, respectively, and $1.8 million and $1.9 million for the nine months ended September 30, 2021 and 2020, respectively, which are included in salaries and benefits in the condensed consolidated statements of operations and comprehensive income. As of September 30, 2021, unrecognized compensation expense related to stock options of approximately $3.5 million is expected to be recognized over a weighted-average period of 1.5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Plans during the nine months ended September 30,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7"/>
                <w:szCs w:val="17"/>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Weighted-</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(120,125)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1,973,695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 and Share Awards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RSUs granted under the Plans to the Company’s employees generally vest in four equal annual installments beginning one year after the date of the grant, while RSUs issued to the Company’s independent directors vest on the one-year anniversary from the grant date. The Company recognized compensation expense for RSUs of approximately $0.3 million and $0.1 million for the three months ended September 30, 2021 and 2020, respectively, and $0.8 million and $0.2 million for the nine months ended September 30, 2021 and 2020, respectively, which are included in salaries and benefits in the condensed consolidated statements of operations and comprehensive</w:t>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As of September 30, 2021, unrecognized compensation expense related to RSUs of approximately $3.0 million is expected to be recognized over a weighted-average period of 2.0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activity during the nine months ended September 30,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2"/>
              </w:rPr>
              <w:t>Number of RSUs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281,602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(43,554)</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245,548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2020 Plan and effective October 1, 2020, the Lead Independent Director and Chairs of the Committees of the Board of Directors are granted, in aggregate, $64.0 thousand in awards of fully vested shares of the Company’s common stock, payable on a quarterly basis at the end of each quarter in payment of fees earned in such capacities. During the three and nine months ended September 30, 2021, 1,078 and 3,174 fully vested shares were granted to the Lead Independent Director and Chairs of the Committees of the Board of Directors resulting in compensation expense of $16.0 thousand and $48.0 thousand, respectively, recorded in the condensed consolidated statements of operations and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RSAs issued under the Plans to the Company’s employees generally vest in four equal annual installments beginning one year after the date of grant. The Company recognized compensation expense for RSAs granted of $78.8 thousand and $179.8 thousand for the three and nine months ended September 30, 2021, respectively, which are included in salaries and benefits in the condensed consolidated statements of operations and comprehensive income. No compensation expense was recognized for the three and nine months ended September 30, 2020. As of September 30, 2021, there was $1.1 million of unrecognized compensation expense related to RSAs, which is expected to be recognized over a weighted-average period of 2.2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RSA activity during the nine months ended September 30,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3"/>
              </w:rPr>
              <w:t>Number of RSAs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88,215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Stock Units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PSUs granted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parameters for a period of two years combined with a service period of three years. Compensation cost is recognized over the requisite service period when it is probable that the performance condition will be satisfied. The Company recognized compensation expense for PSUs of $0.2 million and $0.5 million for the three and nine months ended September 30, 2021, which are included in salaries and benefits in the condensed consolidated statements of operations and comprehensive income. There was no compensation expense recognized for the three and nine months ended September 30, 2020. As of September 30, 2021, there was $1.9</w:t>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million of unrecognized compensation expense related to PSUs, which is expected to be recognized over a weighted-average period of 2.3 years.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PSU activity during the nine months ended September 30, 2021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5"/>
                <w:szCs w:val="15"/>
                <w:color w:val="auto"/>
              </w:rPr>
            </w:pPr>
          </w:p>
        </w:tc>
        <w:tc>
          <w:tcPr>
            <w:tcW w:w="1160" w:type="dxa"/>
            <w:vAlign w:val="bottom"/>
            <w:vMerge w:val="restart"/>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3"/>
              </w:rPr>
              <w:t>Number of PSUs</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18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171,500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 12 – EQUITY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2021, the Company's Board of Directors approved a stock repurchase program (the “Repurchase Program”) that authorizes the Company to purchase up to $40.0 million of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program does not have an expiration date. Under the terms of the A&amp;R Credit Agreement, the Company has restrictions that limit the maximum amount of repurchases to (i) $40.0 million in the aggregate (plus the Available Amount as defined in the A&amp;R Credit Agreement) and (ii) $10.0 million annually for shares held by any current or former officer, director, employee or consultant (or any spouses, ex-spouses or estates of the foregoing) of the Company or its subsidiaries.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purchases of treasury stock under the cost method. Any direct costs incurred to acquire treasury stock are considered stock issue costs and added to the cost of the treasury stock. During the three and nine months ended September 30, 2021, the Company purchased 70,440 shares for an aggregate purchase price totaling $1.2 million. As of September 30, 2021, the remaining amount available for future share repurchases under the Repurchase Program was $38.8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13 –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is calculated by dividing net income for the year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earnings per share for the periods indicated (in thousands, except for share data):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rFonts w:ascii="Arial" w:cs="Arial" w:eastAsia="Arial" w:hAnsi="Arial"/>
                <w:sz w:val="18"/>
                <w:szCs w:val="18"/>
                <w:i w:val="1"/>
                <w:iCs w:val="1"/>
                <w:color w:val="0000FF"/>
              </w:rPr>
            </w:pPr>
            <w:hyperlink w:anchor="page1">
              <w:r>
                <w:rPr>
                  <w:rFonts w:ascii="Arial" w:cs="Arial" w:eastAsia="Arial" w:hAnsi="Arial"/>
                  <w:sz w:val="18"/>
                  <w:szCs w:val="18"/>
                  <w:i w:val="1"/>
                  <w:iCs w:val="1"/>
                  <w:color w:val="0000FF"/>
                </w:rPr>
                <w:t>Index</w:t>
              </w:r>
            </w:hyperlink>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97"/>
        </w:trPr>
        <w:tc>
          <w:tcPr>
            <w:tcW w:w="400" w:type="dxa"/>
            <w:vAlign w:val="bottom"/>
            <w:tcBorders>
              <w:top w:val="single" w:sz="8" w:color="0000FF"/>
            </w:tcBorders>
          </w:tcPr>
          <w:p>
            <w:pPr>
              <w:spacing w:after="0"/>
              <w:rPr>
                <w:sz w:val="24"/>
                <w:szCs w:val="24"/>
                <w:color w:val="auto"/>
              </w:rPr>
            </w:pP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Pr>
          <w:p>
            <w:pPr>
              <w:spacing w:after="0"/>
              <w:rPr>
                <w:sz w:val="24"/>
                <w:szCs w:val="24"/>
                <w:color w:val="auto"/>
              </w:rPr>
            </w:pPr>
          </w:p>
        </w:tc>
        <w:tc>
          <w:tcPr>
            <w:tcW w:w="2900" w:type="dxa"/>
            <w:vAlign w:val="bottom"/>
            <w:gridSpan w:val="4"/>
          </w:tcPr>
          <w:p>
            <w:pPr>
              <w:jc w:val="right"/>
              <w:ind w:right="190"/>
              <w:spacing w:after="0"/>
              <w:rPr>
                <w:sz w:val="20"/>
                <w:szCs w:val="20"/>
                <w:color w:val="auto"/>
              </w:rPr>
            </w:pPr>
            <w:r>
              <w:rPr>
                <w:rFonts w:ascii="Arial" w:cs="Arial" w:eastAsia="Arial" w:hAnsi="Arial"/>
                <w:sz w:val="18"/>
                <w:szCs w:val="18"/>
                <w:color w:val="auto"/>
                <w:w w:val="92"/>
              </w:rPr>
              <w:t>Nine Months Ended September 30,</w:t>
            </w:r>
          </w:p>
        </w:tc>
      </w:tr>
      <w:tr>
        <w:trPr>
          <w:trHeight w:val="236"/>
        </w:trPr>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57"/>
        </w:trPr>
        <w:tc>
          <w:tcPr>
            <w:tcW w:w="4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24,164</w:t>
            </w:r>
          </w:p>
        </w:tc>
      </w:tr>
      <w:tr>
        <w:trPr>
          <w:trHeight w:val="257"/>
        </w:trPr>
        <w:tc>
          <w:tcPr>
            <w:tcW w:w="4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38,647,931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38,050,610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38,441,767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38,040,339</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RSUs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9,570</w:t>
            </w:r>
          </w:p>
        </w:tc>
      </w:tr>
      <w:tr>
        <w:trPr>
          <w:trHeight w:val="23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196,520</w:t>
            </w: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RSAs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PSUs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39,336,051</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38,652,707</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39,071,622</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38,246,429</w:t>
            </w:r>
          </w:p>
        </w:tc>
      </w:tr>
      <w:tr>
        <w:trPr>
          <w:trHeight w:val="257"/>
        </w:trPr>
        <w:tc>
          <w:tcPr>
            <w:tcW w:w="4940" w:type="dxa"/>
            <w:vAlign w:val="bottom"/>
            <w:gridSpan w:val="2"/>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common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2021, there were 0.4 million options excluded from the diluted earnings per share calculation because, under the treasury stock method, the inclusion of these would be anti-dilutive.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there were 0.7 million options excluded from the diluted earnings per share calculation because, under the treasury stock method, the inclusion of these would be anti-dilutive.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12, during the third quarter of 2021 the Company’s Board of Directors authorized the Repurchase Program, under which the Company repurchased 70,440 shares of treasury stock for $1.2 million in the three and nine months ended September 30, 2021. The effect of these repurchases on the Company’s weighted average shares outstanding for the three and nine months ended September 30, 2021 was a reduction of 14,578 shares and 4,913 shares, respectively, due to the timing of the repurchases.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operations and comprehensive income is below (in thousands, except for tax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ind w:left="54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3100" w:type="dxa"/>
            <w:vAlign w:val="bottom"/>
            <w:gridSpan w:val="4"/>
            <w:vMerge w:val="restart"/>
          </w:tcPr>
          <w:p>
            <w:pPr>
              <w:jc w:val="right"/>
              <w:ind w:right="31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45,316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33,053</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3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Credits</w:t>
            </w:r>
          </w:p>
        </w:tc>
        <w:tc>
          <w:tcPr>
            <w:tcW w:w="3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Total tax provision</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3,544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11,605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ectPr>
          <w:pgSz w:w="11900" w:h="16838" w:orient="portrait"/>
          <w:cols w:equalWidth="0" w:num="1">
            <w:col w:w="11240"/>
          </w:cols>
          <w:pgMar w:left="320" w:top="108" w:right="339" w:bottom="1440" w:gutter="0" w:footer="0" w:header="0"/>
        </w:sect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presented in the income tax reconciliation above, the tax provision recognized on the condensed consolidated statements of operations and comprehensive income was affected by state taxes, non-deductible expenses, share-based compensation expense and foreign tax rates applicable to the Company’s foreign subsidiaries that are higher or lower than the U.S. statutory rate.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27, 2020, the United States enacted the Coronavirus Aid, Relief, and Economic Security (“CARES”) Act. The CARES Act is an emergency economic stimulus package that includes spending and tax breaks to strengthen the United States economy and fund a nationwide effort to curtail the effects of COVID-19. The CARES Act provides various tax law changes in response to the COVID-19 pandemic, including increasing the ability to deduct interest expense, providing for deferral on tax deposits, and amending certain provisions of the previously enacted Tax Cuts and Jobs Act. After considering the provisions of the CARES Act, the Company determined that the CARES Act did not have a material effect on its annual effective tax rate and the income tax provision for the three and nine months ended on September 30, 2021 or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leases for office space, warehouses and Company-operated store locations. Rent expense under all operating leases, included in other selling, general and administrative expenses in the condensed consolidated statements of operations and comprehensive income, amounted to approximately $0.6 million for both the three months ended September 30, 2021 and 2020, and $1.8 million and $1.6 million for the nine months ended September 30, 2021 and 2020, respectively.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2021, future minimum rental payments required under operating leases for the remainder of 2021 and thereafter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3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5"/>
        </w:trPr>
        <w:tc>
          <w:tcPr>
            <w:tcW w:w="7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all 50 states in the United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September 30, 2021, the Company’s subsidiaries were in compliance with these two requirements.</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2020.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had and continues to have a significant effect on economic conditions in the United States of America (“United States” or “U.S.”), as the efforts of federal, state, local and foreign governments to react to the public health crisis with mitigation measures have created and continue to cause significant uncertainties in the U.S. and global economy, particularly as new Delta and other variants of COVID-19 appear to be causing an increase in COVID-19 cases in certain places around the world. The extent to which the COVID-19 pandemic affects our business, operations and financial results depends, and will continue to depend, on numerous evolving factors that we may not be able to accurately predict such as the reduction or reimposition by government and health authorities of restrictions and progress in and effectiveness of vaccination efforts in the United States or in the countries in which we operate and conduct business.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response to the pandemic, our top priority continues being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distancing programs, employee temperature monitoring, frequent testing and requiring use of certain personal protective equipment at our call centers in Mexico and Guatemala. As of September 30, 2021, all of our facilities are open and operating with adjustments to ensure compliance with social distancing and facial covering recommendations and requirements established by state and local regulations.</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operational challenges created by the pandemic, our business continues to function and, to date, our customer service has not been adversely affected in any material respect. Nevertheless, the COVID-19 pandemic continues to pose the risk that we or our employees, sending and paying agents, as well as consumers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w:t>
      </w:r>
    </w:p>
    <w:p>
      <w:pPr>
        <w:spacing w:after="0" w:line="2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Although certain measures that restrict the normal course of operations of businesses and consumers were still in place for the three and nine months ended September 30, 2021, such measures did not have a material adverse effect on the Company’s financial condition, results of operations and cash flows for the three and nine months ended September 30, 2021. Notwithstanding the foregoing,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subject to future developments, including the duration of the pandemic and the related extent of its severity, as well as its impact on the economic conditions, particularly the level of unemployment of our customers, inflation, interest rate levels and foreign exchange volatility, all of which remain uncertain and cannot be predicted at this time. If the global response to contain and remedy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20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Further quantification and discussion of these pandemic related effects, to the extent relevant and material, are included in the discussion of results of operations below.</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rapidly growing and leading money remittance services company focused primarily on the United States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seven countries in Africa and two countries in Asia. Our services are accessible in person through over 100,000 independent sending and paying agents and 34 Company-operated stores, as well as online and via Internet-enabled mobile devices.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2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20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money remittance services enable our customers to send funds through our broad network of locations in the United States and Canada that are primarily operated by third-party businesses, as well as through our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Since January 2020 through September 30, 2021, we have grown our agent network by approximately 20.9%. For the three and nine months ended September 30, 2021, principal amount sent increased by approximately 36.5% and 40.0%, respectively, as compared to the same periods in 2020 and total remittances processed were approximately 10.5 million and 29.0 million, representing approximately a 23.4% and 25.4% increase, respectively, as compared to the same periods in 2020.</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non-bank financial institution in the United States, we are regulated by the Department of Treasury, the Internal Revenue Service, FinCEN, the Consumer Financial Protection Bureau, the Department of Banking and Finance of the State of Florida and additionally by the various regulatory institutions of those states in which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Graham-Leach-Bliley Act; and consumer disclosure and consumer protection laws, such as the California Consumer Privacy 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97" w:lineRule="exact"/>
        <w:rPr>
          <w:sz w:val="20"/>
          <w:szCs w:val="20"/>
          <w:color w:val="auto"/>
        </w:rPr>
      </w:pPr>
    </w:p>
    <w:p>
      <w:pPr>
        <w:ind w:left="740" w:right="340" w:hanging="246"/>
        <w:spacing w:after="0" w:line="277"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inflation, recovery from related adverse economic effects, and increased capital market volatility;</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environment, computer network systems and data centers;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of the jurisdictions in which we operate or plan to operate;</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tax laws;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 and</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Throughout 2021, Latin American political and economic conditions have remained unstable, as evidenced by high unemployment rates in key markets, currency reserves, currency controls, restricted lending activity, weak currencies and low consumer confidence, some of which reflects the impact of the COVID-19 pandemic,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and future enhancements will continue to result in changes to certain of our business practices and may result in increased costs.</w:t>
      </w:r>
    </w:p>
    <w:p>
      <w:pPr>
        <w:spacing w:after="0" w:line="222"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Regulatory Affairs Officer, whose responsibility is to manage regulatory affairs and licensing.</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w:t>
      </w:r>
    </w:p>
    <w:p>
      <w:pPr>
        <w:sectPr>
          <w:pgSz w:w="11900" w:h="16838" w:orient="portrait"/>
          <w:cols w:equalWidth="0" w:num="1">
            <w:col w:w="11240"/>
          </w:cols>
          <w:pgMar w:left="320" w:top="125" w:right="339" w:bottom="1440" w:gutter="0" w:footer="0" w:header="0"/>
        </w:sectPr>
      </w:pPr>
    </w:p>
    <w:p>
      <w:pPr>
        <w:spacing w:after="0" w:line="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typical for the industry. We compete for money remittance customers on the basis of trust, convenience, service, efficiency of outlets, value, technology and brand recognition.</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encountered and continue to expect to encounter increasing competition as new electronic platforms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which are experiencing customer adoption.</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211" w:lineRule="exact"/>
        <w:rPr>
          <w:sz w:val="20"/>
          <w:szCs w:val="20"/>
          <w:color w:val="auto"/>
        </w:rPr>
      </w:pPr>
    </w:p>
    <w:p>
      <w:pPr>
        <w:ind w:left="500" w:right="20" w:hanging="249"/>
        <w:spacing w:after="0" w:line="277"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97" w:lineRule="exact"/>
        <w:rPr>
          <w:rFonts w:ascii="Arial" w:cs="Arial" w:eastAsia="Arial" w:hAnsi="Arial"/>
          <w:sz w:val="18"/>
          <w:szCs w:val="18"/>
          <w:color w:val="auto"/>
        </w:rPr>
      </w:pPr>
    </w:p>
    <w:p>
      <w:pPr>
        <w:ind w:left="480" w:hanging="229"/>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52" w:lineRule="exact"/>
        <w:rPr>
          <w:rFonts w:ascii="Arial" w:cs="Arial" w:eastAsia="Arial" w:hAnsi="Arial"/>
          <w:sz w:val="18"/>
          <w:szCs w:val="18"/>
          <w:color w:val="auto"/>
        </w:rPr>
      </w:pPr>
    </w:p>
    <w:p>
      <w:pPr>
        <w:jc w:val="both"/>
        <w:ind w:left="500" w:hanging="249"/>
        <w:spacing w:after="0" w:line="301" w:lineRule="auto"/>
        <w:tabs>
          <w:tab w:leader="none" w:pos="495"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exemption from compliance with any new requirements adopted by the Public Company Accounting Oversight Board requiring mandatory audit firm rotation or communication of Critical Audit Matters (“CAMs”) in the auditor’s report. A CAM is defined as any matter arising from the audit of the financial statements that was communicated or required to be communicated to the audit committee and that (1) relates to accounts or disclosures that are material to the financial statements; and (2) involves especially challenging, subjective, or complex auditor judgment.</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2021, the market value of our common stock that is held by non-affiliates approximated $488.5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Service charges primarily consist of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customer selects to send the transfer and the payer organization that facilitates the transaction.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ectPr>
          <w:pgSz w:w="11900" w:h="16838" w:orient="portrait"/>
          <w:cols w:equalWidth="0" w:num="1">
            <w:col w:w="11240"/>
          </w:cols>
          <w:pgMar w:left="320" w:top="125" w:right="339" w:bottom="1440" w:gutter="0" w:footer="0" w:header="0"/>
        </w:sectPr>
      </w:pP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and human resources. Our sales team, located throughout the United States and Canada, is focused on supporting and growing our sending agent network. Share-based compensation is recognized as an expense on a straight-line basis over the requisite service period; unrecognized compensation expense related to options, restricted stock units (“RSUs”), restricted stock awards (“RSAs”) and performance stock units (“PSUs”) of approximately $9.6 million is expected to be recognized over a weighted-average period of 1.9 years.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expenses primarily consist of fixed overhead expenses associated with our operations, such as information technology, telecommunications, rent, insurance, professional services, non-income taxes, facilities maintenance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provision for credit losses and expenses associated with increasing our network of agents. These expenses are expected to continue to increase at a slower pace than the increase in our revenues.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largely consists of depreciation of computer equipment and software that supports our technology platform. Amortization of intangible assets is primarily related to our agent relationships, trade name and developed technology.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Interest expense consists primarily of interest associated with our debt, which consists of a term loan facility and a revolving credit facility. The effective interest rates for the nine months ended September 30, 2021 for the term loan facility and revolving credit facility, which substantially related to the Original Credit Agreement, were 4.58% and 0.82%, respectively. Interest on the term loan and revolving credit facilities is determined by reference to either LIBOR (subject to replacement) or a “base rate”, in each case plus an applicable margin, under the amended and restated credit agreement, of between 2.50% and 3.00% per annum for LIBOR loans and between 1.50% and 2.00% per annum for base rate loans depending on the level of our consolidated leverage ratio. The Company is also required to pay a fee on the unused portion of the revolving credit facility equal to 0.35% per annum.</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2029 through 2037. After consideration of all evidence, both positive and negative, management has determined that no valuation allowance is required at September 30, 2021 on the Company’s U.S. federal or state deferred tax assets; however, a valuation allowance has been recorded as of September 30, 2021 on deferred tax assets associated with Canadian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restricted stock units, restricted stock awards and performance stock units have vested, using the treasury stock method. Treasury stock shares that have been repurchased are not considered outstanding and therefore are excluded from the weighted average number of common shares outstanding calculation.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w:t>
      </w: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various unaffiliated retail establishments and 34 Company-operated stores throughout the United States and Canada. This is based on the objectives of the business and how our chief operating decision maker, the CEO and President, monitors operating performance and allocates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5"/>
          </w:tcPr>
          <w:p>
            <w:pPr>
              <w:ind w:left="8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Pr>
          <w:p>
            <w:pPr>
              <w:spacing w:after="0"/>
              <w:rPr>
                <w:sz w:val="20"/>
                <w:szCs w:val="20"/>
                <w:color w:val="auto"/>
              </w:rPr>
            </w:pPr>
          </w:p>
        </w:tc>
        <w:tc>
          <w:tcPr>
            <w:tcW w:w="2900" w:type="dxa"/>
            <w:vAlign w:val="bottom"/>
            <w:gridSpan w:val="4"/>
          </w:tcPr>
          <w:p>
            <w:pPr>
              <w:jc w:val="right"/>
              <w:ind w:right="190"/>
              <w:spacing w:after="0"/>
              <w:rPr>
                <w:sz w:val="20"/>
                <w:szCs w:val="20"/>
                <w:color w:val="auto"/>
              </w:rPr>
            </w:pPr>
            <w:r>
              <w:rPr>
                <w:rFonts w:ascii="Arial" w:cs="Arial" w:eastAsia="Arial" w:hAnsi="Arial"/>
                <w:sz w:val="18"/>
                <w:szCs w:val="18"/>
                <w:color w:val="auto"/>
                <w:w w:val="92"/>
              </w:rPr>
              <w:t>Nine Months Ended September 30,</w:t>
            </w:r>
          </w:p>
        </w:tc>
      </w:tr>
      <w:tr>
        <w:trPr>
          <w:trHeight w:val="23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104,191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82,646</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284,409</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222,534</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33,510</w:t>
            </w:r>
          </w:p>
        </w:tc>
      </w:tr>
      <w:tr>
        <w:trPr>
          <w:trHeight w:val="237"/>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r>
      <w:tr>
        <w:trPr>
          <w:trHeight w:val="229"/>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257,907</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172,403</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22,512</w:t>
            </w: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w:t>
            </w:r>
          </w:p>
        </w:tc>
      </w:tr>
      <w:tr>
        <w:trPr>
          <w:trHeight w:val="236"/>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219,821</w:t>
            </w:r>
          </w:p>
        </w:tc>
      </w:tr>
      <w:tr>
        <w:trPr>
          <w:trHeight w:val="257"/>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38,086</w:t>
            </w: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r>
      <w:tr>
        <w:trPr>
          <w:trHeight w:val="257"/>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33,053</w:t>
            </w: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w:t>
            </w:r>
          </w:p>
        </w:tc>
      </w:tr>
      <w:tr>
        <w:trPr>
          <w:trHeight w:val="257"/>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w w:val="90"/>
              </w:rPr>
              <w:t>Three Months Ended</w:t>
            </w:r>
          </w:p>
        </w:tc>
        <w:tc>
          <w:tcPr>
            <w:tcW w:w="2660" w:type="dxa"/>
            <w:vAlign w:val="bottom"/>
            <w:gridSpan w:val="2"/>
          </w:tcPr>
          <w:p>
            <w:pPr>
              <w:jc w:val="center"/>
              <w:ind w:right="1280"/>
              <w:spacing w:after="0"/>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1"/>
              </w:rPr>
              <w:t>September 30, 2021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Revenues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1"/>
              </w:rPr>
              <w:t>September 30, 2020</w:t>
            </w:r>
          </w:p>
        </w:tc>
        <w:tc>
          <w:tcPr>
            <w:tcW w:w="2660" w:type="dxa"/>
            <w:vAlign w:val="bottom"/>
            <w:gridSpan w:val="2"/>
          </w:tcPr>
          <w:p>
            <w:pPr>
              <w:jc w:val="center"/>
              <w:ind w:right="1280"/>
              <w:spacing w:after="0"/>
              <w:rPr>
                <w:sz w:val="20"/>
                <w:szCs w:val="20"/>
                <w:color w:val="auto"/>
              </w:rPr>
            </w:pPr>
            <w:r>
              <w:rPr>
                <w:rFonts w:ascii="Arial" w:cs="Arial" w:eastAsia="Arial" w:hAnsi="Arial"/>
                <w:sz w:val="18"/>
                <w:szCs w:val="18"/>
                <w:color w:val="auto"/>
                <w:w w:val="86"/>
              </w:rPr>
              <w:t>Revenues</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104,191</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82,646</w:t>
            </w:r>
          </w:p>
        </w:tc>
        <w:tc>
          <w:tcPr>
            <w:tcW w:w="1260" w:type="dxa"/>
            <w:vAlign w:val="bottom"/>
          </w:tcPr>
          <w:p>
            <w:pPr>
              <w:jc w:val="right"/>
              <w:spacing w:after="0"/>
              <w:rPr>
                <w:sz w:val="20"/>
                <w:szCs w:val="20"/>
                <w:color w:val="auto"/>
              </w:rPr>
            </w:pPr>
            <w:r>
              <w:rPr>
                <w:rFonts w:ascii="Arial" w:cs="Arial" w:eastAsia="Arial" w:hAnsi="Arial"/>
                <w:sz w:val="18"/>
                <w:szCs w:val="18"/>
                <w:color w:val="auto"/>
              </w:rPr>
              <w:t>86 %</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13 %</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1 %</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120,707</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28</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Wire transfer and money order fees, net of $104.2 million for the three months ended September 30, 2021 increased by $21.6 million from $82.6 million for the three months ended September 30, 2020. The increase of $21.6 million was primarily due to a 23.4% increase in transaction volume compared to the third quarter of 2020, largely due to the continued growth in our agent network, which increased by 17.7% from September 2020 to September 2021.</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foreign exchange gain, net of $15.6 million for the three months ended September 30, 2021 increased by $3.3 million from $12.3 million for the three months ended September 30, 2020. This increase was primarily due to higher transaction volume achieved by growth in our agent network and a higher average amount sent by our customers, primarily as a result of increased foreign exchange volatility in the Mexican peso during the third quarter of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2021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September 30, 2020</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67 %</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9 %</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8,084</w:t>
            </w:r>
          </w:p>
        </w:tc>
        <w:tc>
          <w:tcPr>
            <w:tcW w:w="12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Other selling, general and administrative expenses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8 %</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2 %</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104,603</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87 %</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$81.4 million for the three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$63.9 million for the three months ended September 30, 2020. The increase of $17.5 million was primarily due to the increase in transaction volume described above.</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$10.9 million for the three months ended September 30, 2021 increased by $2.8 million from $8.1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2020. The increase of $2.8 million is primarily due to $2.0 million spent in talent acquisition and retention and increased wages and bonuses to recognize performance and to support the continued growth of our business, $0.2 million increase in commission expense for our sales representatives and $0.3 million increase in share-based compensation as a result of new awards granted throughout 2021.</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$10.0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increased by $3.7 million from $6.3 million for the three months ended September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the result of:</w:t>
      </w:r>
    </w:p>
    <w:p>
      <w:pPr>
        <w:spacing w:after="0" w:line="252" w:lineRule="exact"/>
        <w:rPr>
          <w:sz w:val="20"/>
          <w:szCs w:val="20"/>
          <w:color w:val="auto"/>
        </w:rPr>
      </w:pPr>
    </w:p>
    <w:p>
      <w:pPr>
        <w:ind w:left="740" w:hanging="246"/>
        <w:spacing w:after="0" w:line="258"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$1.7 million - relating to the losses in two separate closures of financial institutions in Mexico. These amounted to $2.0 million and $0.3 million in September 2021 and 2020, respectively;</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$0.4 million - increase in advertising and promotion expenses, as last year we curtailed these activities because of the COVID-19 pandemic;</w:t>
      </w:r>
    </w:p>
    <w:p>
      <w:pPr>
        <w:spacing w:after="0" w:line="32" w:lineRule="exact"/>
        <w:rPr>
          <w:rFonts w:ascii="Arial" w:cs="Arial" w:eastAsia="Arial" w:hAnsi="Arial"/>
          <w:sz w:val="16"/>
          <w:szCs w:val="16"/>
          <w:color w:val="auto"/>
        </w:rPr>
      </w:pPr>
    </w:p>
    <w:p>
      <w:pPr>
        <w:ind w:left="740" w:hanging="246"/>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million in a write-off of software development expenditures in the third quarter of 2021;</w:t>
      </w:r>
    </w:p>
    <w:p>
      <w:pPr>
        <w:spacing w:after="0" w:line="9" w:lineRule="exact"/>
        <w:rPr>
          <w:rFonts w:ascii="Arial" w:cs="Arial" w:eastAsia="Arial" w:hAnsi="Arial"/>
          <w:sz w:val="18"/>
          <w:szCs w:val="18"/>
          <w:color w:val="auto"/>
        </w:rPr>
      </w:pPr>
    </w:p>
    <w:p>
      <w:pPr>
        <w:ind w:left="740" w:hanging="246"/>
        <w:spacing w:after="0" w:line="250"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$0.7 million - higher travel and other operating expenses to support our business growth, some of which expenses were reduced last year due to the COVID-19 pandemic; and</w:t>
      </w:r>
    </w:p>
    <w:p>
      <w:pPr>
        <w:ind w:left="740" w:hanging="246"/>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$0.3 million - higher IT related expenses incurred to sustain our business expansion and to improve our technology environment.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w:t>
      </w:r>
    </w:p>
    <w:p>
      <w:pPr>
        <w:spacing w:after="0" w:line="252" w:lineRule="exact"/>
        <w:rPr>
          <w:sz w:val="20"/>
          <w:szCs w:val="20"/>
          <w:color w:val="auto"/>
        </w:rPr>
      </w:pPr>
    </w:p>
    <w:p>
      <w:pPr>
        <w:ind w:left="740" w:right="20" w:hanging="246"/>
        <w:spacing w:after="0" w:line="277" w:lineRule="auto"/>
        <w:tabs>
          <w:tab w:leader="none" w:pos="735"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$0.5 million - reduction in professional services expenses, as the three months ended September 30, 2020 included expenses incurred for a secondary public offering, which did not reoccur in the three months ended September 30, 2021;</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 Depreciation and amortization of $2.4 million for the three months ended September 30, 2021 decreased by $0.3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$2.7 million for the three months ended September 30, 2020. This decrease is mainly due to approximately $0.4 million less amortization related to our trade name, developed technology and agent relationships during the third quarter of 2021, as these intangibles are being amortized on an accelerated basis, which declines over time. This decrease was partially offset by an increase in depreciation of $0.1 million associated primarily with additional computer equipment acquired to support our growing business and sending agent network.</w:t>
      </w:r>
    </w:p>
    <w:p>
      <w:pPr>
        <w:sectPr>
          <w:pgSz w:w="11900" w:h="16838" w:orient="portrait"/>
          <w:cols w:equalWidth="0" w:num="1">
            <w:col w:w="11240"/>
          </w:cols>
          <w:pgMar w:left="320" w:top="125" w:right="339" w:bottom="1440" w:gutter="0" w:footer="0" w:header="0"/>
        </w:sectPr>
      </w:pPr>
    </w:p>
    <w:p>
      <w:pPr>
        <w:spacing w:after="0" w:line="1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$1.0 million for the three months ended September 30, 2021 decreased by $0.5 million from $1.5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2020. The decrease was primarily due to lower market interest rates paid under the credit agreements (as described below) and lower drawings under our revolving credit facility.</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$3.6 million for the three months ended September 30, 2021, which represents an increase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an income tax provision of $3.5 million for the three months ended September 30, 2020. The increase in the income tax provision was mainly attributable to higher taxable income resulting from higher revenues from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net income of $11.5 million for the three months ended September 30, 2021 compared to net income of $9.5 million for the three months ended September 30, 2020, which resulted in an increase of $2.0 million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acquisition activity, which varies from period to period and amortization of intangibles expense is primarily related to the effects of push down accounting resulting from acquisitions.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52" w:lineRule="exact"/>
        <w:rPr>
          <w:sz w:val="20"/>
          <w:szCs w:val="20"/>
          <w:color w:val="auto"/>
        </w:rPr>
      </w:pPr>
    </w:p>
    <w:p>
      <w:pPr>
        <w:ind w:left="740" w:hanging="246"/>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amounts necessary to service interest or principal payments on our Credit Agreement;</w:t>
      </w:r>
    </w:p>
    <w:p>
      <w:pPr>
        <w:spacing w:after="0" w:line="275" w:lineRule="exact"/>
        <w:rPr>
          <w:rFonts w:ascii="Arial" w:cs="Arial" w:eastAsia="Arial" w:hAnsi="Arial"/>
          <w:sz w:val="16"/>
          <w:szCs w:val="16"/>
          <w:color w:val="auto"/>
        </w:rPr>
      </w:pPr>
    </w:p>
    <w:p>
      <w:pPr>
        <w:ind w:left="740" w:hanging="246"/>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of intangible assets resulting from push-down accounting, which will recur in future periods until these assets have been fully amortized, non-cash compensation costs, litigation settlements and other items set forth in the table below, as these charges and expenses are not considered a part of our core business operations and are not an indicator of ongoing, future company performance.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for the three months ended September 30, 2021 was $15.7 million, representing an increase of $3.5 million, or 28.3%, from Adjusted Net Income of $12.2 million for the three months ended September 30, 2020. The increase in Adjusted Net Income was primarily due to the increase in revenues of $25.1 million, offset primarily by an increase in service charges from agents and banks of $17.5 million due to higher transaction volume.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1"/>
              </w:rPr>
              <w:t>Three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9,498</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Offering costs (b)</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TCPA settlement (c)</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Loss on bank closures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Amortization of intangibles (f)</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(g)</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0"/>
        </w:trPr>
        <w:tc>
          <w:tcPr>
            <w:tcW w:w="6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38,647,931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38,050,610</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39,336,051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38,652,707</w:t>
            </w:r>
          </w:p>
        </w:tc>
      </w:tr>
    </w:tbl>
    <w:p>
      <w:pPr>
        <w:spacing w:after="0" w:line="322" w:lineRule="exact"/>
        <w:rPr>
          <w:sz w:val="20"/>
          <w:szCs w:val="20"/>
          <w:color w:val="auto"/>
        </w:rPr>
      </w:pPr>
    </w:p>
    <w:p>
      <w:pPr>
        <w:ind w:left="420" w:hanging="331"/>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expenses incurred for professional and legal fees in connection with secondary offerings of the Company’s common stock.</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9" w:lineRule="exact"/>
        <w:rPr>
          <w:rFonts w:ascii="Arial" w:cs="Arial" w:eastAsia="Arial" w:hAnsi="Arial"/>
          <w:sz w:val="18"/>
          <w:szCs w:val="18"/>
          <w:color w:val="auto"/>
        </w:rPr>
      </w:pPr>
    </w:p>
    <w:p>
      <w:pPr>
        <w:ind w:left="420" w:right="820" w:hanging="331"/>
        <w:spacing w:after="0" w:line="250" w:lineRule="auto"/>
        <w:tabs>
          <w:tab w:leader="none" w:pos="4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two separate losses during the three months ended September 30, 2021 and 2020, respectively related to the closure of financial institutions in Mexico.</w:t>
      </w:r>
    </w:p>
    <w:p>
      <w:pPr>
        <w:ind w:left="420" w:right="20" w:hanging="331"/>
        <w:spacing w:after="0" w:line="250" w:lineRule="auto"/>
        <w:tabs>
          <w:tab w:leader="none" w:pos="4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including a write-off of software development expenditures in amount of $1.0 million during the three months ended September 30, 2021 and foreign currency (gains) losses.</w:t>
      </w:r>
    </w:p>
    <w:p>
      <w:pPr>
        <w:ind w:left="400" w:hanging="311"/>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ind w:left="420" w:right="280" w:hanging="331"/>
        <w:spacing w:after="0" w:line="260" w:lineRule="auto"/>
        <w:tabs>
          <w:tab w:leader="none" w:pos="4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Earnings per Share - Basic for the three months ended September 30, 2021 was $0.41, representing an increase of $0.09, or 28.1%, compared to $0.32 for the three months ended September 30,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Earnings per Share - Diluted for the three months ended September 30, 2021 was $0.40, representing an increase of $0.08, or 25.0%, compared to $0.32 for the three months ended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color w:val="auto"/>
              </w:rPr>
              <w:t>Three Months Ended September 30,</w:t>
            </w:r>
          </w:p>
        </w:tc>
      </w:tr>
      <w:tr>
        <w:trPr>
          <w:trHeight w:val="236"/>
        </w:trPr>
        <w:tc>
          <w:tcPr>
            <w:tcW w:w="46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r>
      <w:tr>
        <w:trPr>
          <w:trHeight w:val="230"/>
        </w:trPr>
        <w:tc>
          <w:tcPr>
            <w:tcW w:w="46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0"/>
              </w:rPr>
              <w:t>Basic and Diluted</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0.25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left="1030"/>
              <w:spacing w:after="0"/>
              <w:rPr>
                <w:sz w:val="20"/>
                <w:szCs w:val="20"/>
                <w:color w:val="auto"/>
              </w:rPr>
            </w:pPr>
            <w:r>
              <w:rPr>
                <w:rFonts w:ascii="Arial" w:cs="Arial" w:eastAsia="Arial" w:hAnsi="Arial"/>
                <w:sz w:val="18"/>
                <w:szCs w:val="18"/>
                <w:color w:val="auto"/>
                <w:w w:val="91"/>
              </w:rPr>
              <w:t>0.02</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costs</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1"/>
              </w:rPr>
              <w:t>0.01</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TCPA settlement</w:t>
            </w:r>
          </w:p>
        </w:tc>
        <w:tc>
          <w:tcPr>
            <w:tcW w:w="10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Arial" w:cs="Arial" w:eastAsia="Arial" w:hAnsi="Arial"/>
                <w:sz w:val="18"/>
                <w:szCs w:val="18"/>
                <w:color w:val="auto"/>
              </w:rPr>
              <w:t>NM</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bank closures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1"/>
              </w:rPr>
              <w:t>0.01</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Other charges and expenses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left="1030"/>
              <w:spacing w:after="0"/>
              <w:rPr>
                <w:sz w:val="20"/>
                <w:szCs w:val="20"/>
                <w:color w:val="auto"/>
              </w:rPr>
            </w:pPr>
            <w:r>
              <w:rPr>
                <w:rFonts w:ascii="Arial" w:cs="Arial" w:eastAsia="Arial" w:hAnsi="Arial"/>
                <w:sz w:val="18"/>
                <w:szCs w:val="18"/>
                <w:color w:val="auto"/>
                <w:w w:val="91"/>
              </w:rPr>
              <w:t>0.01</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1"/>
              </w:rPr>
              <w:t>0.04</w:t>
            </w:r>
          </w:p>
        </w:tc>
      </w:tr>
      <w:tr>
        <w:trPr>
          <w:trHeight w:val="237"/>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(0.04)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3"/>
              </w:rPr>
              <w:t>(0.02)</w:t>
            </w:r>
          </w:p>
        </w:tc>
      </w:tr>
      <w:tr>
        <w:trPr>
          <w:trHeight w:val="25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b w:val="1"/>
                <w:bCs w:val="1"/>
                <w:color w:val="auto"/>
                <w:w w:val="91"/>
              </w:rPr>
              <w:t>0.32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Per share amounts are not meaningful.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are not an indicator of ongoing, future company performance.</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for the three months ended September 30, 2021 was $22.9 million, representing an increase of $3.8 million, or 19.8%, from $19.1 million for the three months ended September 30, 2020. The increase in Adjusted EBITDA was primarily due to the increase in revenues of $25.1 million, offset primarily by an increase in service charges from agents and banks of $17.5 million due to an increase in transaction volume.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2"/>
              </w:rPr>
              <w:t>Three Months Ended September 30,</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9,498</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3,544</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18,466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17,270</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Offering costs (b)</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TCPA settlement (c)</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Loss on bank closures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(e)</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22,878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19,096</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420" w:hanging="331"/>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expenses incurred for professional and legal fees in connection with secondary offerings of the Company’s common stock.</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9" w:lineRule="exact"/>
        <w:rPr>
          <w:rFonts w:ascii="Arial" w:cs="Arial" w:eastAsia="Arial" w:hAnsi="Arial"/>
          <w:sz w:val="18"/>
          <w:szCs w:val="18"/>
          <w:color w:val="auto"/>
        </w:rPr>
      </w:pPr>
    </w:p>
    <w:p>
      <w:pPr>
        <w:ind w:left="420" w:right="820" w:hanging="331"/>
        <w:spacing w:after="0" w:line="250" w:lineRule="auto"/>
        <w:tabs>
          <w:tab w:leader="none" w:pos="4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two separate losses during the three months ended September 30, 2021 and 2020, respectively related to the closure of financial institutions in Mexico.</w:t>
      </w:r>
    </w:p>
    <w:p>
      <w:pPr>
        <w:ind w:left="420" w:right="80" w:hanging="331"/>
        <w:spacing w:after="0" w:line="260" w:lineRule="auto"/>
        <w:tabs>
          <w:tab w:leader="none" w:pos="4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including a write-off of software development expenditures in an amount of $1.0 million during the three months ended September 30, 2021 and foreign currency (gains) losses.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4"/>
              </w:rPr>
              <w:t>Nine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4"/>
              </w:rPr>
              <w:t>Nine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vMerge w:val="continue"/>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September 30, 2021</w:t>
            </w:r>
          </w:p>
        </w:tc>
        <w:tc>
          <w:tcPr>
            <w:tcW w:w="13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September 30, 2020</w:t>
            </w:r>
          </w:p>
        </w:tc>
        <w:tc>
          <w:tcPr>
            <w:tcW w:w="12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284,409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222,534</w:t>
            </w:r>
          </w:p>
        </w:tc>
        <w:tc>
          <w:tcPr>
            <w:tcW w:w="1260" w:type="dxa"/>
            <w:vAlign w:val="bottom"/>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45,347</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1 %</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332,031</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257,907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Wire transfer and money order fees, net of $284.4 million for the nine months ended September 30, 2021 increased by $61.9 million from $222.5 million for the nine months ended September 30, 2020. The increase of $61.9 million was primarily due to a 25.4% increase in transaction volume compared to the nine months ended September 30, 2020, largely due to the continued growth in our agent network, which increased by 17.7% from September 2020 to September 2021.</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foreign exchange gain, net of $45.3 million for the nine months ended September 30, 2021 increased by $11.8 million from $33.5 million for the nine months ended September 30, 2020. This increase was primarily due to higher transaction volume achieved by growth in our agent network and a higher average amount sent by our customers primarily as a result of increased foreign exchange volatility in the Mexican peso during the first nine months of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3"/>
              </w:rPr>
              <w:t>Nine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4"/>
              </w:rPr>
              <w:t>Nine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2021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September 30, 2020</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222,654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67 %</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30,909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9 %</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22,512</w:t>
            </w:r>
          </w:p>
        </w:tc>
        <w:tc>
          <w:tcPr>
            <w:tcW w:w="12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Other selling, general and administrative expenses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2 %</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283,153</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85 %</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219,821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$222.7 million for the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$172.4 million for the nine months ended September 30, 2020. The increase of $50.3 million was primarily due to the increase in transaction volume described above.</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$30.9 million for the nine months ended September 30, 2021 increased by $8.4 million from $22.5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2020. The increase of $8.4 million is primarily due to $5.4 million spent in talent acquisition and retention and increased wages and bonuses to recognize performance, and to support the continued growth</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business, a $1.0 million increase in commission expense for our sales representatives and $1.2 million increase in share-based compensation as a result of new awards granted in the first nine months of 2021.</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$22.5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increased by $5.7 million from $16.8 million for the nine months ended September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the result of:</w:t>
      </w:r>
    </w:p>
    <w:p>
      <w:pPr>
        <w:spacing w:after="0" w:line="252" w:lineRule="exact"/>
        <w:rPr>
          <w:sz w:val="20"/>
          <w:szCs w:val="20"/>
          <w:color w:val="auto"/>
        </w:rPr>
      </w:pPr>
    </w:p>
    <w:p>
      <w:pPr>
        <w:ind w:left="740" w:hanging="246"/>
        <w:spacing w:after="0" w:line="258"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 million - relating to the losses in two separate closures of financial institutions in Mexico. These amounted to $2.0 million and $0.3 million in September 2021 and 2020, respectively;</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$1.5 million - increase in advertising and promotion expenses as last year we curtailed these activities because of the COVID-19 pandemic;</w:t>
      </w:r>
    </w:p>
    <w:p>
      <w:pPr>
        <w:spacing w:after="0" w:line="20" w:lineRule="exact"/>
        <w:rPr>
          <w:rFonts w:ascii="Arial" w:cs="Arial" w:eastAsia="Arial" w:hAnsi="Arial"/>
          <w:sz w:val="17"/>
          <w:szCs w:val="17"/>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 million in a write-off of software development expenditures in the third quarter of 2021;</w:t>
      </w:r>
    </w:p>
    <w:p>
      <w:pPr>
        <w:spacing w:after="0" w:line="9" w:lineRule="exact"/>
        <w:rPr>
          <w:rFonts w:ascii="Arial" w:cs="Arial" w:eastAsia="Arial" w:hAnsi="Arial"/>
          <w:sz w:val="18"/>
          <w:szCs w:val="18"/>
          <w:color w:val="auto"/>
        </w:rPr>
      </w:pPr>
    </w:p>
    <w:p>
      <w:pPr>
        <w:ind w:left="740" w:right="660" w:hanging="246"/>
        <w:spacing w:after="0" w:line="250"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 million - higher other operating expenses to support our business growth, some of which expenses were reduced last year due to the COVID-19 pandemic; and</w:t>
      </w: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 million - higher IT related expenses incurred to sustain our business expansion and improve our technology environment.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w:t>
      </w:r>
    </w:p>
    <w:p>
      <w:pPr>
        <w:spacing w:after="0" w:line="252" w:lineRule="exact"/>
        <w:rPr>
          <w:sz w:val="20"/>
          <w:szCs w:val="20"/>
          <w:color w:val="auto"/>
        </w:rPr>
      </w:pPr>
    </w:p>
    <w:p>
      <w:pPr>
        <w:ind w:left="740" w:hanging="246"/>
        <w:spacing w:after="0" w:line="258" w:lineRule="auto"/>
        <w:tabs>
          <w:tab w:leader="none" w:pos="735"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$0.5 million - reduction in professional services expenses as the nine months ended September 30, 2020 include expenses incurred for a secondary offering, which did not reoccur in the nine months ended September 30, 2021;</w:t>
      </w:r>
    </w:p>
    <w:p>
      <w:pPr>
        <w:spacing w:after="0" w:line="1" w:lineRule="exact"/>
        <w:rPr>
          <w:rFonts w:ascii="Arial" w:cs="Arial" w:eastAsia="Arial" w:hAnsi="Arial"/>
          <w:sz w:val="18"/>
          <w:szCs w:val="18"/>
          <w:i w:val="1"/>
          <w:iCs w:val="1"/>
          <w:color w:val="auto"/>
        </w:rPr>
      </w:pPr>
    </w:p>
    <w:p>
      <w:pPr>
        <w:jc w:val="both"/>
        <w:ind w:left="740" w:hanging="246"/>
        <w:spacing w:after="0" w:line="255" w:lineRule="auto"/>
        <w:tabs>
          <w:tab w:leader="none" w:pos="7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$0.4 million - reduction in provision for credit losses, as the nine months ended September 30, 2020 include certain losses resulting from the deterioration of the creditworthiness of a small number of sending agents rather than the result of sending agents that were adversely affected by the COVID-19 pandemic.</w:t>
      </w:r>
    </w:p>
    <w:p>
      <w:pPr>
        <w:spacing w:after="0" w:line="2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$7.0 million for the nine months ended September 30, 2021 decreased by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$8.1 million for the nine months ended September 30, 2020. This decrease is mainly due to $1.4 million less amortization related to our trade name, developed technology and agent relationships during the first half of 2021, as these intangibles are being amortized on an accelerated basis, which declines over time. This decrease was partially offset by an increase in depreciation of $0.3 million associated primarily with additional computer equipment acquired to support our growing business and sending agent network.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$3.6 million for the nine months ended September 30, 2021 decreased by $1.4 million from $5.0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The decrease was primarily due to lower market interest rates paid under the credit agreements (as described below) and lower drawings under our revolving credit facility.</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$11.6 million for the nine months ended September 30, 2021, which represents an increase of $2.7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an income tax provision of $8.9 million for the nine months ended September 30, 2020. The increase in the income tax provision was mainly attributable to higher taxable income resulting from higher revenues from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net income of $33.7 million for the nine months ended September 30, 2021 compared to net income of $24.2 million for the nine months ended September 30, 2020, which resulted in an increase of $9.5 million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(previously defined and used as described above) for the nine months ended September 30, 2021 was $41.6 million, representing an increase of $11.0 million, or 35.7%, from Adjusted Net Income of $30.6 million for the nine months ended September 30, 2020. The increase in Adjusted Net Income was primarily due to the increase in revenues of $74.1 million, offset primarily by an increase in service charges from agents and banks of $50.3 million due to higher transaction volume.</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3"/>
              </w:rPr>
              <w:t>Nine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24,164</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Offering costs (b)</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TCPA settlement (c)</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Loss on bank closures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Amortization of intangibles (f)</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5,131</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(g)</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30,631</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70"/>
        </w:trPr>
        <w:tc>
          <w:tcPr>
            <w:tcW w:w="6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38,441,767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38,040,339</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39,071,622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38,246,429</w:t>
            </w:r>
          </w:p>
        </w:tc>
      </w:tr>
    </w:tbl>
    <w:p>
      <w:pPr>
        <w:spacing w:after="0" w:line="322" w:lineRule="exact"/>
        <w:rPr>
          <w:sz w:val="20"/>
          <w:szCs w:val="20"/>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expenses incurred for professional and legal fees in connection with secondary offerings for the Company’s common stock.</w:t>
      </w:r>
    </w:p>
    <w:p>
      <w:pPr>
        <w:spacing w:after="0" w:line="20" w:lineRule="exact"/>
        <w:rPr>
          <w:rFonts w:ascii="Arial" w:cs="Arial" w:eastAsia="Arial" w:hAnsi="Arial"/>
          <w:sz w:val="17"/>
          <w:szCs w:val="17"/>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9" w:lineRule="exact"/>
        <w:rPr>
          <w:rFonts w:ascii="Arial" w:cs="Arial" w:eastAsia="Arial" w:hAnsi="Arial"/>
          <w:sz w:val="18"/>
          <w:szCs w:val="18"/>
          <w:color w:val="auto"/>
        </w:rPr>
      </w:pPr>
    </w:p>
    <w:p>
      <w:pPr>
        <w:ind w:left="420" w:right="680" w:hanging="331"/>
        <w:spacing w:after="0" w:line="250" w:lineRule="auto"/>
        <w:tabs>
          <w:tab w:leader="none" w:pos="4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two separate losses during the three months ended September 30, 2021 and 2020, respectively related to the closure of financial institutions in Mexico.</w:t>
      </w:r>
    </w:p>
    <w:p>
      <w:pPr>
        <w:ind w:left="420" w:hanging="331"/>
        <w:spacing w:after="0" w:line="250" w:lineRule="auto"/>
        <w:tabs>
          <w:tab w:leader="none" w:pos="4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including a write-off of software development expenditures in an amount of $1.0 million in the third quarter of 2021 and foreign currency (gains) losses.</w:t>
      </w:r>
    </w:p>
    <w:p>
      <w:pPr>
        <w:ind w:left="400" w:hanging="311"/>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ind w:left="420" w:right="140" w:hanging="331"/>
        <w:spacing w:after="0" w:line="260" w:lineRule="auto"/>
        <w:tabs>
          <w:tab w:leader="none" w:pos="4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Earnings per Share - Basic (previously defined and used as described above) for the nine months ended September 30, 2021 was $1.08, representing an increase of $0.27, or 33.3%, compared to $0.81 for the nine months ended September 30,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Earnings per Share - Diluted (previously defined and used as described above) for the nine months ended September 30, 2021 was $1.06, representing an increase of $0.26 or 32.5%, compared to $0.80 for the nine months ended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Nine Months Ended September 30,</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5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2020</w:t>
            </w:r>
          </w:p>
        </w:tc>
        <w:tc>
          <w:tcPr>
            <w:tcW w:w="1220" w:type="dxa"/>
            <w:vAlign w:val="bottom"/>
            <w:tcBorders>
              <w:bottom w:val="single" w:sz="8" w:color="auto"/>
            </w:tcBorders>
          </w:tcPr>
          <w:p>
            <w:pPr>
              <w:spacing w:after="0"/>
              <w:rPr>
                <w:sz w:val="20"/>
                <w:szCs w:val="20"/>
                <w:color w:val="auto"/>
              </w:rPr>
            </w:pPr>
          </w:p>
        </w:tc>
      </w:tr>
      <w:tr>
        <w:trPr>
          <w:trHeight w:val="229"/>
        </w:trPr>
        <w:tc>
          <w:tcPr>
            <w:tcW w:w="4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Basic</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0.88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0.86</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91"/>
              </w:rPr>
              <w:t>0.64</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91"/>
              </w:rPr>
              <w:t>0.63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ind w:left="650"/>
              <w:spacing w:after="0"/>
              <w:rPr>
                <w:sz w:val="20"/>
                <w:szCs w:val="20"/>
                <w:color w:val="auto"/>
              </w:rPr>
            </w:pPr>
            <w:r>
              <w:rPr>
                <w:rFonts w:ascii="Arial" w:cs="Arial" w:eastAsia="Arial" w:hAnsi="Arial"/>
                <w:sz w:val="18"/>
                <w:szCs w:val="18"/>
                <w:color w:val="auto"/>
                <w:w w:val="91"/>
              </w:rPr>
              <w:t>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Arial" w:cs="Arial" w:eastAsia="Arial" w:hAnsi="Arial"/>
                <w:sz w:val="18"/>
                <w:szCs w:val="18"/>
                <w:color w:val="auto"/>
                <w:w w:val="91"/>
              </w:rPr>
              <w:t>0.06</w:t>
            </w: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costs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0.01</w:t>
            </w: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TCPA settlement</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w w:val="99"/>
              </w:rPr>
              <w:t>NM</w:t>
            </w: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bank closures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0.01</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Other charges and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ind w:left="650"/>
              <w:spacing w:after="0"/>
              <w:rPr>
                <w:sz w:val="20"/>
                <w:szCs w:val="20"/>
                <w:color w:val="auto"/>
              </w:rPr>
            </w:pPr>
            <w:r>
              <w:rPr>
                <w:rFonts w:ascii="Arial" w:cs="Arial" w:eastAsia="Arial" w:hAnsi="Arial"/>
                <w:sz w:val="18"/>
                <w:szCs w:val="18"/>
                <w:color w:val="auto"/>
                <w:w w:val="91"/>
              </w:rPr>
              <w:t>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Arial" w:cs="Arial" w:eastAsia="Arial" w:hAnsi="Arial"/>
                <w:sz w:val="18"/>
                <w:szCs w:val="18"/>
                <w:color w:val="auto"/>
                <w:w w:val="91"/>
              </w:rPr>
              <w:t>0.01</w:t>
            </w: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0.13</w:t>
            </w:r>
          </w:p>
        </w:tc>
      </w:tr>
      <w:tr>
        <w:trPr>
          <w:trHeight w:val="237"/>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3"/>
              </w:rPr>
              <w:t>(0.06)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93"/>
              </w:rPr>
              <w:t>(0.06)</w:t>
            </w:r>
          </w:p>
        </w:tc>
      </w:tr>
      <w:tr>
        <w:trPr>
          <w:trHeight w:val="25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91"/>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b w:val="1"/>
                <w:bCs w:val="1"/>
                <w:color w:val="auto"/>
                <w:w w:val="91"/>
              </w:rPr>
              <w:t>0.80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Per share amounts are not meaningful.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(previously defined and used as described above) for the nine months ended September 30, 2021 was $62.9 million, representing an increase of $13.2 million, or 26.6%, from $49.7 million for the nine months ended September 30, 2020. The increase in Adjusted EBITDA was primarily due to the increase in revenues of $74.1 million, offset primarily by an increase in service charges from agents and banks of $50.3 million due to an increase in transaction volume.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3"/>
              </w:rPr>
              <w:t>Nine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24,164</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8,889</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55,919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46,165</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Offering costs (b)</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TCPA settlement (c)</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Loss on bank closures (d)</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(e)</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49,689</w:t>
            </w: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awards were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expenses incurred for professional and legal fees in connection with secondary offerings for the Company’s common stock.</w:t>
      </w:r>
    </w:p>
    <w:p>
      <w:pPr>
        <w:spacing w:after="0" w:line="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420" w:hanging="331"/>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legal fees for the settlement of a class action lawsuit related to the TCPA.</w:t>
      </w:r>
    </w:p>
    <w:p>
      <w:pPr>
        <w:spacing w:after="0" w:line="23" w:lineRule="exact"/>
        <w:rPr>
          <w:rFonts w:ascii="Arial" w:cs="Arial" w:eastAsia="Arial" w:hAnsi="Arial"/>
          <w:sz w:val="18"/>
          <w:szCs w:val="18"/>
          <w:color w:val="auto"/>
        </w:rPr>
      </w:pPr>
    </w:p>
    <w:p>
      <w:pPr>
        <w:ind w:left="420" w:right="820" w:hanging="331"/>
        <w:spacing w:after="0" w:line="250" w:lineRule="auto"/>
        <w:tabs>
          <w:tab w:leader="none" w:pos="4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two separate losses during the three months ended September 30, 2021 and 2020, respectively related to the closure of financial institutions in Mexico.</w:t>
      </w:r>
    </w:p>
    <w:p>
      <w:pPr>
        <w:ind w:left="420" w:right="140" w:hanging="331"/>
        <w:spacing w:after="0" w:line="260" w:lineRule="auto"/>
        <w:tabs>
          <w:tab w:leader="none" w:pos="4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including a write-off of software development expenditures in an amount of $1.0 million in the third quarter of 2021 and foreign currency (gains) losses.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liquidity in terms of cash flows from operations and their sufficiency to fund business operations, including working capital needs, debt service, acquisitions, contractual obligations and other commitments. In particular, to meet our payment service obligations at all times, we must have sufficient highly liquid assets and be able to move funds on a timely basis.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Notwithstanding the recent effects of the COVID-19 pandemic in the U.S. economy, we have funded and still expect to continue funding our liquidity requirements through internally generated funds, supplemented in the ordinary course, with borrowings under our revolving credit facility. While our operating cash flows may be affected by the economic conditions resulting from the pandemic and other factors, we maintain a strong cash balance position and have access to committed funding sources, which we have used only on a limited and ordinary course basis during the nine months ended September 30, 2021. Therefore, we believe that our projected cash flows generated from operations, together with borrowings under our revolving credit facility are sufficient to fund our principal debt payments, interest expense, our working capital needs and our expected capital expenditures for at least the next twelve months.</w:t>
      </w:r>
    </w:p>
    <w:p>
      <w:pPr>
        <w:spacing w:after="0" w:line="2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and certain of its domestic subsidiaries as borrowers and the other guarantors from time to time party thereto (collectively, the “Loan Parties”) entered into a financing agreement with a group of banking institutions, dated November 7, 2018 and further amended on December 7, 2018 (the “Original Credit Agreement”). The Original Credit Agreement provided for a $35.0 million revolving credit facility, a $90.0 million term loan facility and an up to $30.0 million incremental facility of which $12.0 million was utilized for the term loan facility in 2019 and $10.0 million was utilized for the revolving credit facility in May of 2021 (see below). The Original Credit Agreement also provided for the issuance of letters of credit, which would reduce availability under the revolving credit facility. The maturity date of the Original Credit Agreement was November 7, 2023.</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as of May 12, 2021, the Company amended the Original Credit Agreement by entering into Increase Joinder No. 2 (the “Joinder No. 2”) to the Original Credit Agreement, under which the revolving line of credit commitment under the Original Credit Agreement was increased by $10.0 million to an aggregate of $45.0 million. The Joinder No. 2 did not have any impact to any of the terms of the term loan facility under the Original Credit Agreement.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24, 2021, the Loan Parties entered into an Amended and Restated Credit Agreement (the “A&amp;R Credit Agreement”) with a group of banking institutions. The A&amp;R Credit Agreement amended and restated in its entirety the Original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$87.5 million principal amount of the existing term loan under the Original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September 30, 2021, we had total indebtedness of $86.4 million, consisting of borrowings under the term loan facility, excluding debt origination costs of $2.3 million. There were $220.0 million of additional borrowings available under these facilities as of September 30, 2021.</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nine months ended September 30, 2021 for the term loan facility and revolving credit facility, which substantially related to the Original Credit Agreement, were 4.58% and 0.82%, respectively.</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is payable (x)(i) generally on the last day of each interest period selected for LIBOR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w:t>
      </w:r>
    </w:p>
    <w:p>
      <w:pPr>
        <w:sectPr>
          <w:pgSz w:w="11900" w:h="16838" w:orient="portrait"/>
          <w:cols w:equalWidth="0" w:num="1">
            <w:col w:w="11240"/>
          </w:cols>
          <w:pgMar w:left="320" w:top="125" w:right="339" w:bottom="1440" w:gutter="0" w:footer="0" w:header="0"/>
        </w:sectPr>
      </w:pPr>
    </w:p>
    <w:p>
      <w:pPr>
        <w:spacing w:after="0" w:line="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19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A&amp;R Credit Agreement contains financial covenants that require the Company to maintain a quarterly minimum fixed charge coverage ratio of 1.25:1.00 and a quarterly maximum consolidated leverage ratio of 3.25:1.00. As of September 30, 2021, we were in compliance with the covenants of the A&amp;R Credit Agreement.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Indebtedness—We have a substantial</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indebtedness, which may limit our operating flexibility and could adversely affect our business,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Annual Report on Form 10-K for the year ended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of Cash Flows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exchange rate changes on cash</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in cash</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beginning of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end of period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Nine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445"/>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60,705</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31,597</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(5,726)</w:t>
            </w:r>
          </w:p>
        </w:tc>
      </w:tr>
      <w:tr>
        <w:trPr>
          <w:trHeight w:val="237"/>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22,950</w:t>
            </w:r>
          </w:p>
        </w:tc>
      </w:tr>
      <w:tr>
        <w:trPr>
          <w:trHeight w:val="492"/>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86,117</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109,067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-1396365</wp:posOffset>
            </wp:positionV>
            <wp:extent cx="597471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-1104900</wp:posOffset>
            </wp:positionV>
            <wp:extent cx="597471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-814070</wp:posOffset>
            </wp:positionV>
            <wp:extent cx="597471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-504825</wp:posOffset>
            </wp:positionV>
            <wp:extent cx="5974715"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-187960</wp:posOffset>
            </wp:positionV>
            <wp:extent cx="597471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730" w:lineRule="exact"/>
        <w:rPr>
          <w:sz w:val="20"/>
          <w:szCs w:val="20"/>
          <w:color w:val="auto"/>
        </w:rPr>
      </w:pPr>
    </w:p>
    <w:p>
      <w:pPr>
        <w:sectPr>
          <w:pgSz w:w="11900" w:h="16838" w:orient="portrait"/>
          <w:cols w:equalWidth="0" w:num="2">
            <w:col w:w="5520" w:space="720"/>
            <w:col w:w="5000"/>
          </w:cols>
          <w:pgMar w:left="320" w:top="125" w:right="339" w:bottom="1440" w:gutter="0" w:footer="0" w:header="0"/>
          <w:type w:val="continuous"/>
        </w:sectPr>
      </w:pPr>
    </w:p>
    <w:p>
      <w:pPr>
        <w:spacing w:after="0" w:line="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was $60.7 million for the nine months ended September 30, 2021, an increase of $29.1 million from net cash provided by operating activities of $31.6 million for the nine months ended September 30, 2020. The increase is a result of $19.4 million changes in working capital, which varies due to timing of transmittal orders and payments, and by additional cash generated by our operating results for the nine months ended September 30, 2021, which were positively affected by the further growth of the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was $5.5 million for the nine months ended September 30, 2021, representing an increase of $2.7 million from net cash used in investing activities of $2.8 million for the nine months ended September 30, 2020. This increase was</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primarily due to higher purchases of computer equipment during the nine months ended September 30, 2021 as a result of the continued expansion of our business, as well as, upgrades of equipment used by our sending agent network.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financing activities was $4.7 million for the nine months ended September 30, 2021, which primarily consisted of a $40.1 million repayment and $2.9 million of debt origination costs in connection with the refinancing of the Original Credit Agreement, $2.9 million in scheduled quarterly payments due on the term loan facility, $1.2 million of repurchases of common stock and $0.8 million of payments for stock-based awards for shares withheld in connection with stock-based compensation arrangements and related payments to taxing authorities, offset by $40.2 million borrowings in connection with the refinancing of the Original Credit Agreement and $3.2 million in proceeds from issuance of stock as a result of the exercise of options.</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was $5.7 million for the nine months ended September 30, 2020, which consisted of scheduled quarterly repayments due on the term loan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September 30, 2021, our contractual obligations over the next several periods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Less than</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More than</w:t>
            </w:r>
          </w:p>
        </w:tc>
      </w:tr>
      <w:tr>
        <w:trPr>
          <w:trHeight w:val="236"/>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1 to 3 years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3 to 5 years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5 years</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principal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Interest payments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Non-cancelable operating leases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1"/>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condensed consolidated balance sheet reflects $84.1 million of debt as of September 30, 2021, as the principal payment obligations of $86.4 million are gross of unamortized debt origination costs. The above table reflects the principal and interest of the revolving credit facility and term loan facility under the A&amp;R Credit Agreement that will be paid through the term of the debt using the rates in effect on September 30, 2021 and assuming no voluntary prepayments of principal.</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Non-cancelable operating leases include various office leases, including our office headquarters.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not a party to any material off-balance sheet arrangements, such as guarantee contracts, retained or contingent interests, certain derivative instruments and variable interest entities that either have, or are reasonably likely to have, a current or future material effect on our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Our Critical Accounting Policies and Estimates disclosed in “</w:t>
      </w:r>
      <w:r>
        <w:rPr>
          <w:rFonts w:ascii="Arial" w:cs="Arial" w:eastAsia="Arial" w:hAnsi="Arial"/>
          <w:sz w:val="18"/>
          <w:szCs w:val="18"/>
          <w:i w:val="1"/>
          <w:iCs w:val="1"/>
          <w:color w:val="auto"/>
        </w:rPr>
        <w:t>Management’s Discussion and Analysis of Financial Condition and Results of Operations - 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w:t>
      </w:r>
      <w:r>
        <w:rPr>
          <w:rFonts w:ascii="Arial" w:cs="Arial" w:eastAsia="Arial" w:hAnsi="Arial"/>
          <w:sz w:val="18"/>
          <w:szCs w:val="18"/>
          <w:color w:val="auto"/>
        </w:rPr>
        <w:t>” in our Annual Report on Form 10-K for the year ended December 31, 2020, for which there were no material changes, except as disclosed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for the estimate over the allowance for credit losses, included the following:</w:t>
      </w:r>
    </w:p>
    <w:p>
      <w:pPr>
        <w:spacing w:after="0" w:line="215"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Receivable and Allowance for Credit Losses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ectPr>
          <w:pgSz w:w="11900" w:h="16838" w:orient="portrait"/>
          <w:cols w:equalWidth="0" w:num="1">
            <w:col w:w="11240"/>
          </w:cols>
          <w:pgMar w:left="320" w:top="125" w:right="339" w:bottom="1440" w:gutter="0" w:footer="0" w:header="0"/>
        </w:sectPr>
      </w:pPr>
    </w:p>
    <w:p>
      <w:pPr>
        <w:spacing w:after="0" w:line="29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Estimate to Calculate the Allowance for Credit Losses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and notes receivable are recorded at their net realizable value, which is net of an allowance for credit losses. The current accounting policy for the allowance for credit losses considers a number of factors, predominantly collection experience and historical net loss rates, but also other qualitative considerations.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third quarter of 2021, the Company modified its estimate of the allowance for credit losses and made refinements to the related calculation methodology of net historical loss rates for the different pools of accounts and notes receivable grouped based on similar characteristics.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change was treated as a change in accounting estimate for accounting purposes and applied prospectively beginning August 2021. The impact of the change in estimate and any effect in comparability to prior periods are not material. Further, the change is not expected to materially impact any financial statement line items or the Company’s results from operations in a future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1 of our unaudited condensed consolidated financial statements included in this filing for further information on recent accounting pronouncements.</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included in wire transfer and money orders payable, net in our condensed consolidated balance sheets as of September 30, 2021 and December 31, 2020, there are $24.9 million and $7.6 million, respectively, of wires payable denominated in foreign currencies, primarily Mexican pesos and Guatemalan quetzales.</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Also, included in prepaid wires, net in our condensed consolidated balance sheets as of September 30, 2021 and December 31, 2020, there are $2.9 million and $50.1 million, respectively, of prepaid wires denominated in foreign currencies, primarily Mexican pesos and Guatemalan quetzales.</w:t>
      </w:r>
    </w:p>
    <w:p>
      <w:pPr>
        <w:spacing w:after="0" w:line="1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nine months ended September 30, 2021. Therefore, a 10% increase or decrease in these currency rates against the U.S. dollar would result in a de minimis change to our overall operating results.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spot and average exchange rates for Mexico, Guatemala and Canada currencies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94"/>
              </w:rPr>
              <w:t>2021</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w w:val="94"/>
              </w:rPr>
              <w:t>2020</w:t>
            </w:r>
          </w:p>
        </w:tc>
      </w:tr>
      <w:tr>
        <w:trPr>
          <w:trHeight w:val="245"/>
        </w:trPr>
        <w:tc>
          <w:tcPr>
            <w:tcW w:w="3940" w:type="dxa"/>
            <w:vAlign w:val="bottom"/>
          </w:tcPr>
          <w:p>
            <w:pPr>
              <w:spacing w:after="0"/>
              <w:rPr>
                <w:sz w:val="21"/>
                <w:szCs w:val="21"/>
                <w:color w:val="auto"/>
              </w:rPr>
            </w:pPr>
          </w:p>
        </w:tc>
        <w:tc>
          <w:tcPr>
            <w:tcW w:w="1200" w:type="dxa"/>
            <w:vAlign w:val="bottom"/>
          </w:tcPr>
          <w:p>
            <w:pPr>
              <w:jc w:val="right"/>
              <w:ind w:right="9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20" w:type="dxa"/>
            <w:vAlign w:val="bottom"/>
          </w:tcPr>
          <w:p>
            <w:pPr>
              <w:spacing w:after="0"/>
              <w:rPr>
                <w:sz w:val="21"/>
                <w:szCs w:val="21"/>
                <w:color w:val="auto"/>
              </w:rPr>
            </w:pPr>
          </w:p>
        </w:tc>
        <w:tc>
          <w:tcPr>
            <w:tcW w:w="1460" w:type="dxa"/>
            <w:vAlign w:val="bottom"/>
            <w:gridSpan w:val="2"/>
          </w:tcPr>
          <w:p>
            <w:pPr>
              <w:ind w:left="380"/>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c>
          <w:tcPr>
            <w:tcW w:w="1200" w:type="dxa"/>
            <w:vAlign w:val="bottom"/>
          </w:tcPr>
          <w:p>
            <w:pPr>
              <w:jc w:val="right"/>
              <w:ind w:right="11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00" w:type="dxa"/>
            <w:vAlign w:val="bottom"/>
          </w:tcPr>
          <w:p>
            <w:pPr>
              <w:spacing w:after="0"/>
              <w:rPr>
                <w:sz w:val="21"/>
                <w:szCs w:val="21"/>
                <w:color w:val="auto"/>
              </w:rPr>
            </w:pPr>
          </w:p>
        </w:tc>
        <w:tc>
          <w:tcPr>
            <w:tcW w:w="1200" w:type="dxa"/>
            <w:vAlign w:val="bottom"/>
          </w:tcPr>
          <w:p>
            <w:pPr>
              <w:jc w:val="right"/>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r>
      <w:tr>
        <w:trPr>
          <w:trHeight w:val="230"/>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29"/>
        </w:trPr>
        <w:tc>
          <w:tcPr>
            <w:tcW w:w="3940" w:type="dxa"/>
            <w:vAlign w:val="bottom"/>
          </w:tcPr>
          <w:p>
            <w:pPr>
              <w:ind w:left="340"/>
              <w:spacing w:after="0"/>
              <w:rPr>
                <w:sz w:val="20"/>
                <w:szCs w:val="20"/>
                <w:color w:val="auto"/>
              </w:rPr>
            </w:pPr>
            <w:r>
              <w:rPr>
                <w:rFonts w:ascii="Arial" w:cs="Arial" w:eastAsia="Arial" w:hAnsi="Arial"/>
                <w:sz w:val="18"/>
                <w:szCs w:val="18"/>
                <w:color w:val="auto"/>
              </w:rPr>
              <w:t>U.S. dollar/Guatemala Quetzal</w:t>
            </w:r>
          </w:p>
        </w:tc>
        <w:tc>
          <w:tcPr>
            <w:tcW w:w="1200" w:type="dxa"/>
            <w:vAlign w:val="bottom"/>
          </w:tcPr>
          <w:p>
            <w:pPr>
              <w:jc w:val="right"/>
              <w:spacing w:after="0"/>
              <w:rPr>
                <w:sz w:val="20"/>
                <w:szCs w:val="20"/>
                <w:color w:val="auto"/>
              </w:rPr>
            </w:pPr>
            <w:r>
              <w:rPr>
                <w:rFonts w:ascii="Arial" w:cs="Arial" w:eastAsia="Arial" w:hAnsi="Arial"/>
                <w:sz w:val="18"/>
                <w:szCs w:val="18"/>
                <w:color w:val="auto"/>
              </w:rPr>
              <w:t>7.72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bl>
    <w:p>
      <w:pPr>
        <w:spacing w:after="0" w:line="46"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Spot exchange rates are as of September 30, 2021 and December 31, 2020.</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Average exchange rates are for the nine months ended September 30, 2021 and 2020.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sustained appreciation of the Mexican peso or Guatemalan quetzal as compared to the U.S. dollar could affect our margins.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2021, we had $86.4 million in outstanding borrowings under the term loan and revolving credit facility. A hypothetical 1% increase or decrease in the interest rate on our indebtedness as of September 30, 2021 would have increased or decreased cash interest expense on our term loan facility by approximately $0.9 million per annum.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maintain certain cash balances in various U.S. banks, which at times, may exceed federally insured limits. We have not incurred any losses on these accounts. In addition, we maintain various bank accounts in Mexico, Guatemala and Canada, which are not insured. During the nine months ended September 30, 2021, we have not incurred any losses on these uninsured accounts with the exception of a $2.0 million provision we recorded as a result of the closure of a financial institution in Mexico during the third quarter of 2021 (see Note 4).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September 30, 2021, we also had $1.7 million outstanding of notes receivable from sending agents. Most of the notes are collateralized by personal guarantees from the sending agents and by assets from their businesses. Due to the COVID-19 pandemic, it is possible we could be adversely affected by credit losses, such as those related to our outstanding notes receivables from sending agents. At the date of this report, however, we are not aware of any significant exposure and are continuing to monitor our credit risk.</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provision for credit losses was approximately $1.0 million for the nine months ended September 30, 2021 (0.3% of total revenues) and $1.4 million for the nine months ended September 30, 2020 (0.6% of total revenues). The decrease in our provision for credit losses in the nine months ended September 30, 2021 is due to the 2020 provision inclusion of losses resulting from the deterioration of the creditworthiness of a small number of sending agents rather than the result of sending agents that were adversely affected by the COVID-19 pandemic. Furthermore, the Company implemented a change to the allowance for credit losses methodology as noted above. The impact from the change in accounting estimate for the allowance for credit losses was not material.</w:t>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or submitted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required by Rules 13a-15(b) and 15d-15(b) under the Exchange Act, our Chief Executive Officer and President, and Chief Financial Officer carried out an evaluation of the effectiveness of our disclosure controls and procedures as of September 30, 2021.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September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 is made to Note 15 – Commitments and Contingencies in the Unaudited Condensed Consolidated Financial Statements of International Money Express, Inc. contained elsewhere in this Quarterly Report on Form 10–Q for information regarding certain legal proceedings to which we are a party, which information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2020 (the “2020 Form 10-K”). Prospective investors are encouraged to consider the risks described in our 2020 Form 10-K, our Management’s Discussion and Analysis of Financial Condition and Results of Operations contained in this Quarterly Report on Form 10-Q and in our 2020 Form 10-K, and other information publicly disclosed or contained in documents we file with the Securities and Exchange Commission before purchasing our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repurchases of our common stock during the quarter ended September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Approximate Dollar Value of</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Total Number of Shares</w:t>
            </w:r>
          </w:p>
        </w:tc>
        <w:tc>
          <w:tcPr>
            <w:tcW w:w="100" w:type="dxa"/>
            <w:vAlign w:val="bottom"/>
          </w:tcPr>
          <w:p>
            <w:pPr>
              <w:spacing w:after="0"/>
              <w:rPr>
                <w:sz w:val="15"/>
                <w:szCs w:val="15"/>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Average Price Paid</w:t>
            </w: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176"/>
        </w:trPr>
        <w:tc>
          <w:tcPr>
            <w:tcW w:w="3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36"/>
        </w:trPr>
        <w:tc>
          <w:tcPr>
            <w:tcW w:w="3020" w:type="dxa"/>
            <w:vAlign w:val="bottom"/>
            <w:gridSpan w:val="2"/>
            <w:vMerge w:val="continue"/>
          </w:tcPr>
          <w:p>
            <w:pPr>
              <w:spacing w:after="0"/>
              <w:rPr>
                <w:sz w:val="20"/>
                <w:szCs w:val="20"/>
                <w:color w:val="auto"/>
              </w:rPr>
            </w:pPr>
          </w:p>
        </w:tc>
        <w:tc>
          <w:tcPr>
            <w:tcW w:w="1980" w:type="dxa"/>
            <w:vAlign w:val="bottom"/>
          </w:tcPr>
          <w:p>
            <w:pPr>
              <w:jc w:val="right"/>
              <w:ind w:right="370"/>
              <w:spacing w:after="0"/>
              <w:rPr>
                <w:sz w:val="20"/>
                <w:szCs w:val="20"/>
                <w:color w:val="auto"/>
              </w:rPr>
            </w:pPr>
            <w:r>
              <w:rPr>
                <w:rFonts w:ascii="Arial" w:cs="Arial" w:eastAsia="Arial" w:hAnsi="Arial"/>
                <w:sz w:val="18"/>
                <w:szCs w:val="18"/>
                <w:b w:val="1"/>
                <w:bCs w:val="1"/>
                <w:color w:val="auto"/>
              </w:rPr>
              <w:t>Purchased (a)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per Share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4"/>
              </w:rPr>
              <w:t>Program</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Program (b)</w:t>
            </w:r>
          </w:p>
        </w:tc>
        <w:tc>
          <w:tcPr>
            <w:tcW w:w="0" w:type="dxa"/>
            <w:vAlign w:val="bottom"/>
          </w:tcPr>
          <w:p>
            <w:pPr>
              <w:spacing w:after="0"/>
              <w:rPr>
                <w:sz w:val="1"/>
                <w:szCs w:val="1"/>
                <w:color w:val="auto"/>
              </w:rPr>
            </w:pPr>
          </w:p>
        </w:tc>
      </w:tr>
      <w:tr>
        <w:trPr>
          <w:trHeight w:val="230"/>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through July 31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August 1 through August 31</w:t>
            </w:r>
          </w:p>
        </w:tc>
        <w:tc>
          <w:tcPr>
            <w:tcW w:w="1980" w:type="dxa"/>
            <w:vAlign w:val="bottom"/>
          </w:tcPr>
          <w:p>
            <w:pPr>
              <w:jc w:val="right"/>
              <w:spacing w:after="0"/>
              <w:rPr>
                <w:sz w:val="20"/>
                <w:szCs w:val="20"/>
                <w:color w:val="auto"/>
              </w:rPr>
            </w:pPr>
            <w:r>
              <w:rPr>
                <w:rFonts w:ascii="Arial" w:cs="Arial" w:eastAsia="Arial" w:hAnsi="Arial"/>
                <w:sz w:val="18"/>
                <w:szCs w:val="18"/>
                <w:color w:val="auto"/>
              </w:rPr>
              <w:t>69,914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20,277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39,639,736</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 through September 30</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50,163</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50,163</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38,794,786</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60" w:hanging="328"/>
        <w:spacing w:after="0" w:line="254" w:lineRule="auto"/>
        <w:tabs>
          <w:tab w:leader="none" w:pos="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20,277 and 50,163 shares purchased in August and September 2021, respectively, under the Repurchase Program, which was publicly announced on August 18, 2021 with a maximum authorized amount of $40.0 million, and 49,637 shares withheld for income tax purposes in connection with shares issued under compensation and benefit programs in August of 2021. The Repurchase Program does not have an expiration date.</w:t>
      </w:r>
    </w:p>
    <w:p>
      <w:pPr>
        <w:spacing w:after="0" w:line="2"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September 30, 2021, the remaining amount available for share repurchases under the Repurchase Program is $38.8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2"/>
          </w:tcPr>
          <w:p>
            <w:pPr>
              <w:ind w:left="220"/>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31.</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Executive Officer</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gridSpan w:val="2"/>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31.</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Financial Officer</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gridSpan w:val="2"/>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32.</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Executive Officer pursuant to 18 U.S.C. § 1350.</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gridSpan w:val="2"/>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32.</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Financial Officer pursuant to 18 U.S.C. § 1350.</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101.INS</w:t>
            </w:r>
          </w:p>
        </w:tc>
        <w:tc>
          <w:tcPr>
            <w:tcW w:w="8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w:t>
            </w: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100" w:type="dxa"/>
            <w:vAlign w:val="bottom"/>
            <w:gridSpan w:val="3"/>
            <w:vMerge w:val="continue"/>
            <w:shd w:val="clear" w:color="auto" w:fill="CCEEFF"/>
          </w:tcPr>
          <w:p>
            <w:pPr>
              <w:spacing w:after="0"/>
              <w:rPr>
                <w:sz w:val="11"/>
                <w:szCs w:val="11"/>
                <w:color w:val="auto"/>
              </w:rPr>
            </w:pPr>
          </w:p>
        </w:tc>
        <w:tc>
          <w:tcPr>
            <w:tcW w:w="8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XBRL tags are embedded within the Inline XBRL document.</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760" w:type="dxa"/>
            <w:vAlign w:val="bottom"/>
            <w:vMerge w:val="continue"/>
            <w:shd w:val="clear" w:color="auto" w:fill="CCEEFF"/>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Schema</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Calculation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Presentation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120" w:type="dxa"/>
            <w:vAlign w:val="bottom"/>
            <w:gridSpan w:val="4"/>
            <w:vMerge w:val="restart"/>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The cover page from the Company’s Quarterly Report on Form 10-Q for the quarter ended September 30, 2021,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120" w:type="dxa"/>
            <w:vAlign w:val="bottom"/>
            <w:gridSpan w:val="4"/>
            <w:vMerge w:val="continue"/>
            <w:shd w:val="clear" w:color="auto" w:fill="CCEEFF"/>
          </w:tcPr>
          <w:p>
            <w:pPr>
              <w:spacing w:after="0"/>
              <w:rPr>
                <w:sz w:val="10"/>
                <w:szCs w:val="10"/>
                <w:color w:val="auto"/>
              </w:rPr>
            </w:pPr>
          </w:p>
        </w:tc>
        <w:tc>
          <w:tcPr>
            <w:tcW w:w="8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formatted in Inline XBRL (included with the Exhibit 101 attachments).</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760" w:type="dxa"/>
            <w:vAlign w:val="bottom"/>
            <w:vMerge w:val="continue"/>
            <w:shd w:val="clear" w:color="auto" w:fill="CCEEFF"/>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2"/>
        </w:trPr>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980" w:type="dxa"/>
            <w:vAlign w:val="bottom"/>
            <w:gridSpan w:val="4"/>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900" w:type="dxa"/>
            <w:vAlign w:val="bottom"/>
            <w:gridSpan w:val="3"/>
          </w:tcPr>
          <w:p>
            <w:pPr>
              <w:ind w:left="2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ind w:left="4740"/>
              <w:spacing w:after="0"/>
              <w:rPr>
                <w:sz w:val="20"/>
                <w:szCs w:val="20"/>
                <w:color w:val="auto"/>
              </w:rPr>
            </w:pPr>
            <w:r>
              <w:rPr>
                <w:rFonts w:ascii="Arial" w:cs="Arial" w:eastAsia="Arial" w:hAnsi="Arial"/>
                <w:sz w:val="18"/>
                <w:szCs w:val="18"/>
                <w:color w:val="auto"/>
              </w:rPr>
              <w:t>42</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Robert Lisy</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Andras Bende</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25"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23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38" w:lineRule="exact"/>
        <w:rPr>
          <w:rFonts w:ascii="Arial" w:cs="Arial" w:eastAsia="Arial" w:hAnsi="Arial"/>
          <w:sz w:val="18"/>
          <w:szCs w:val="18"/>
          <w:color w:val="auto"/>
        </w:rPr>
      </w:pPr>
    </w:p>
    <w:p>
      <w:pPr>
        <w:jc w:val="both"/>
        <w:ind w:left="660" w:hanging="652"/>
        <w:spacing w:after="0" w:line="34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39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jc w:val="both"/>
        <w:ind w:left="660" w:hanging="652"/>
        <w:spacing w:after="0" w:line="34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644"/>
        <w:spacing w:after="0" w:line="430"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342"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9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1300" w:hanging="644"/>
        <w:spacing w:after="0" w:line="390" w:lineRule="auto"/>
        <w:tabs>
          <w:tab w:leader="none" w:pos="129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300" w:hanging="644"/>
        <w:spacing w:after="0" w:line="355"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2021</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vMerge w:val="continue"/>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7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Andras Bende, certify that:</w:t>
      </w:r>
    </w:p>
    <w:p>
      <w:pPr>
        <w:spacing w:after="0" w:line="23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38" w:lineRule="exact"/>
        <w:rPr>
          <w:rFonts w:ascii="Arial" w:cs="Arial" w:eastAsia="Arial" w:hAnsi="Arial"/>
          <w:sz w:val="18"/>
          <w:szCs w:val="18"/>
          <w:color w:val="auto"/>
        </w:rPr>
      </w:pPr>
    </w:p>
    <w:p>
      <w:pPr>
        <w:jc w:val="both"/>
        <w:ind w:left="660" w:hanging="652"/>
        <w:spacing w:after="0" w:line="34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390"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jc w:val="both"/>
        <w:ind w:left="660" w:hanging="652"/>
        <w:spacing w:after="0" w:line="34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644"/>
        <w:spacing w:after="0" w:line="430" w:lineRule="auto"/>
        <w:tabs>
          <w:tab w:leader="none" w:pos="12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34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90"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1300" w:hanging="644"/>
        <w:spacing w:after="0" w:line="390" w:lineRule="auto"/>
        <w:tabs>
          <w:tab w:leader="none" w:pos="12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300" w:hanging="644"/>
        <w:spacing w:after="0" w:line="355"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2021</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20"/>
              <w:spacing w:after="0"/>
              <w:rPr>
                <w:sz w:val="20"/>
                <w:szCs w:val="20"/>
                <w:color w:val="auto"/>
              </w:rPr>
            </w:pPr>
            <w:r>
              <w:rPr>
                <w:rFonts w:ascii="Arial" w:cs="Arial" w:eastAsia="Arial" w:hAnsi="Arial"/>
                <w:sz w:val="18"/>
                <w:szCs w:val="18"/>
                <w:color w:val="auto"/>
              </w:rPr>
              <w:t>/s/ Andras Bende</w:t>
            </w: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vMerge w:val="continue"/>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Andras Bende</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7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7" w:lineRule="exact"/>
        <w:rPr>
          <w:sz w:val="20"/>
          <w:szCs w:val="20"/>
          <w:color w:val="auto"/>
        </w:rPr>
      </w:pPr>
    </w:p>
    <w:p>
      <w:pPr>
        <w:spacing w:after="0" w:line="402"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71" w:lineRule="exact"/>
        <w:rPr>
          <w:sz w:val="20"/>
          <w:szCs w:val="20"/>
          <w:color w:val="auto"/>
        </w:rPr>
      </w:pPr>
    </w:p>
    <w:p>
      <w:pPr>
        <w:ind w:left="660" w:hanging="652"/>
        <w:spacing w:after="0" w:line="40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2021</w:t>
      </w:r>
    </w:p>
    <w:p>
      <w:pPr>
        <w:spacing w:after="0" w:line="27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7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7" w:lineRule="exact"/>
        <w:rPr>
          <w:sz w:val="20"/>
          <w:szCs w:val="20"/>
          <w:color w:val="auto"/>
        </w:rPr>
      </w:pPr>
    </w:p>
    <w:p>
      <w:pPr>
        <w:spacing w:after="0" w:line="402" w:lineRule="auto"/>
        <w:rPr>
          <w:sz w:val="20"/>
          <w:szCs w:val="20"/>
          <w:color w:val="auto"/>
        </w:rPr>
      </w:pPr>
      <w:r>
        <w:rPr>
          <w:rFonts w:ascii="Arial" w:cs="Arial" w:eastAsia="Arial" w:hAnsi="Arial"/>
          <w:sz w:val="18"/>
          <w:szCs w:val="18"/>
          <w:color w:val="auto"/>
        </w:rPr>
        <w:t>I, Andras Bende, Chief Financial Officer of International Money Express, Inc. (the “Company”), certify, pursuant to 18 U.S.C. Section 1350, that, to my knowledge:</w:t>
      </w:r>
    </w:p>
    <w:p>
      <w:pPr>
        <w:spacing w:after="0" w:line="171" w:lineRule="exact"/>
        <w:rPr>
          <w:sz w:val="20"/>
          <w:szCs w:val="20"/>
          <w:color w:val="auto"/>
        </w:rPr>
      </w:pPr>
    </w:p>
    <w:p>
      <w:pPr>
        <w:ind w:left="660" w:hanging="652"/>
        <w:spacing w:after="0" w:line="40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2021</w:t>
      </w:r>
    </w:p>
    <w:p>
      <w:pPr>
        <w:spacing w:after="0" w:line="320"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Andras Bende</w:t>
            </w: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vMerge w:val="continue"/>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Andras Bende</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3"/>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2021-11-05T15:15:41Z</dcterms:created>
  <dcterms:modified xsi:type="dcterms:W3CDTF">2021-11-05T15:15:41Z</dcterms:modified>
</cp:coreProperties>
</file>