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4cbb4a432f8343da93f65ca08477e42c_7">
        <w:r>
          <w:rPr>
            <w:rStyle w:val="InternetLink"/>
            <w:rFonts w:ascii="Times New Roman;sans-serif" w:hAnsi="Times New Roman;sans-serif"/>
            <w:b w:val="false"/>
            <w:i/>
            <w:color w:val="0000FF"/>
            <w:sz w:val="20"/>
            <w:u w:val="single"/>
          </w:rPr>
          <w:t>Index</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to </w:t>
      </w:r>
      <w:r>
        <w:rPr>
          <w:color w:val="000000"/>
          <w:u w:val="single"/>
        </w:rPr>
        <w:t>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No. 001-37986</w:t>
      </w:r>
    </w:p>
    <w:tbl>
      <w:tblPr>
        <w:tblW w:w="6405" w:type="dxa"/>
        <w:jc w:val="center"/>
        <w:tblInd w:w="0" w:type="dxa"/>
        <w:tblLayout w:type="fixed"/>
        <w:tblCellMar>
          <w:top w:w="28" w:type="dxa"/>
          <w:left w:w="28" w:type="dxa"/>
          <w:bottom w:w="28" w:type="dxa"/>
          <w:right w:w="28" w:type="dxa"/>
        </w:tblCellMar>
      </w:tblPr>
      <w:tblGrid>
        <w:gridCol w:w="2051"/>
        <w:gridCol w:w="1802"/>
        <w:gridCol w:w="2552"/>
      </w:tblGrid>
      <w:tr>
        <w:trPr/>
        <w:tc>
          <w:tcPr>
            <w:tcW w:w="205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32"/>
              </w:rPr>
            </w:pPr>
            <w:r>
              <w:rPr>
                <w:rFonts w:ascii="Times New Roman;sans-serif" w:hAnsi="Times New Roman;sans-serif"/>
                <w:b/>
                <w:color w:val="000000"/>
                <w:sz w:val="32"/>
              </w:rPr>
              <w:t>INTERNATIONAL MONEY EXPRESS, INC.</w:t>
            </w:r>
          </w:p>
        </w:tc>
      </w:tr>
      <w:tr>
        <w:trPr/>
        <w:tc>
          <w:tcPr>
            <w:tcW w:w="64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bl>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47-4219082</w:t>
            </w:r>
          </w:p>
        </w:tc>
      </w:tr>
      <w:tr>
        <w:trPr/>
        <w:tc>
          <w:tcPr>
            <w:tcW w:w="49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9100 South Dadeland Blvd. Suite 1100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Miami,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33156</w:t>
            </w:r>
          </w:p>
        </w:tc>
      </w:tr>
      <w:tr>
        <w:trPr/>
        <w:tc>
          <w:tcPr>
            <w:tcW w:w="49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tbl>
      <w:tblPr>
        <w:tblW w:w="4470" w:type="dxa"/>
        <w:jc w:val="left"/>
        <w:tblInd w:w="0" w:type="dxa"/>
        <w:tblLayout w:type="fixed"/>
        <w:tblCellMar>
          <w:top w:w="28" w:type="dxa"/>
          <w:left w:w="28" w:type="dxa"/>
          <w:bottom w:w="28" w:type="dxa"/>
          <w:right w:w="28" w:type="dxa"/>
        </w:tblCellMar>
      </w:tblPr>
      <w:tblGrid>
        <w:gridCol w:w="1428"/>
        <w:gridCol w:w="1257"/>
        <w:gridCol w:w="178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(305) 671-8000</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bl>
    <w:p>
      <w:pPr>
        <w:pStyle w:val="TextBody"/>
        <w:bidi w:val="0"/>
        <w:spacing w:before="0" w:after="60"/>
        <w:ind w:left="0" w:right="0" w:firstLine="720"/>
        <w:jc w:val="left"/>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078"/>
        <w:gridCol w:w="947"/>
        <w:gridCol w:w="959"/>
        <w:gridCol w:w="564"/>
        <w:gridCol w:w="564"/>
        <w:gridCol w:w="566"/>
        <w:gridCol w:w="1118"/>
        <w:gridCol w:w="1118"/>
        <w:gridCol w:w="1589"/>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IMXI</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r>
    </w:p>
    <w:tbl>
      <w:tblPr>
        <w:tblW w:w="4928"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r>
      <w:tr>
        <w:trPr/>
        <w:tc>
          <w:tcPr>
            <w:tcW w:w="22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May 5, 2025, there were 29,976,651 shares of the registrant’s common stock, $0.0001 par value per share, outstanding. The registrant has no other class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left"/>
                        <w:rPr/>
                      </w:pPr>
                      <w:r>
                        <w:rPr/>
                      </w:r>
                    </w:p>
                  </w:txbxContent>
                </v:textbox>
                <w10:wrap type="none"/>
              </v:rect>
            </w:pict>
          </mc:Fallback>
        </mc:AlternateContent>
      </w:r>
    </w:p>
    <w:p>
      <w:pPr>
        <w:pStyle w:val="TextBody"/>
        <w:bidi w:val="0"/>
        <w:spacing w:lineRule="auto" w:line="288" w:before="0" w:after="24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868"/>
        <w:gridCol w:w="764"/>
        <w:gridCol w:w="764"/>
        <w:gridCol w:w="2491"/>
        <w:gridCol w:w="2365"/>
        <w:gridCol w:w="2379"/>
        <w:gridCol w:w="167"/>
        <w:gridCol w:w="167"/>
        <w:gridCol w:w="240"/>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0">
              <w:r>
                <w:rPr>
                  <w:rStyle w:val="InternetLink"/>
                  <w:rFonts w:ascii="Times New Roman;sans-serif" w:hAnsi="Times New Roman;sans-serif"/>
                  <w:b/>
                  <w:color w:val="0000FF"/>
                  <w:sz w:val="20"/>
                  <w:u w:val="single"/>
                </w:rPr>
                <w:t>SPECIAL NOTE REGARDING FORWARD-LOOKING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0">
              <w:r>
                <w:rPr>
                  <w:rStyle w:val="InternetLink"/>
                  <w:rFonts w:ascii="Times New Roman;sans-serif" w:hAnsi="Times New Roman;sans-serif"/>
                  <w:b w:val="false"/>
                  <w:strike w:val="false"/>
                  <w:dstrike w:val="false"/>
                  <w:color w:val="0000FF"/>
                  <w:sz w:val="20"/>
                  <w:u w:val="none"/>
                  <w:effect w:val="none"/>
                </w:rPr>
                <w:t>3</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1 - FINANCIAL INFORMATION</w:t>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6">
              <w:r>
                <w:rPr>
                  <w:rStyle w:val="InternetLink"/>
                  <w:rFonts w:ascii="Times New Roman;sans-serif" w:hAnsi="Times New Roman;sans-serif"/>
                  <w:b w:val="false"/>
                  <w:color w:val="0000FF"/>
                  <w:sz w:val="20"/>
                  <w:u w:val="single"/>
                </w:rPr>
                <w:t>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6">
              <w:r>
                <w:rPr>
                  <w:rStyle w:val="InternetLink"/>
                  <w:rFonts w:ascii="Times New Roman;sans-serif" w:hAnsi="Times New Roman;sans-serif"/>
                  <w:b w:val="false"/>
                  <w:strike w:val="false"/>
                  <w:dstrike w:val="false"/>
                  <w:color w:val="0000FF"/>
                  <w:sz w:val="20"/>
                  <w:u w:val="none"/>
                  <w:effect w:val="none"/>
                </w:rPr>
                <w:t>4</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9">
              <w:r>
                <w:rPr>
                  <w:rStyle w:val="InternetLink"/>
                  <w:rFonts w:ascii="Times New Roman;sans-serif" w:hAnsi="Times New Roman;sans-serif"/>
                  <w:b w:val="false"/>
                  <w:color w:val="0000FF"/>
                  <w:sz w:val="20"/>
                  <w:u w:val="single"/>
                </w:rPr>
                <w:t>Condensed Consolidated Balance Sheets as of March 31, 2025 and December 31, 2024</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9">
              <w:r>
                <w:rPr>
                  <w:rStyle w:val="InternetLink"/>
                  <w:rFonts w:ascii="Times New Roman;sans-serif" w:hAnsi="Times New Roman;sans-serif"/>
                  <w:b w:val="false"/>
                  <w:strike w:val="false"/>
                  <w:dstrike w:val="false"/>
                  <w:color w:val="0000FF"/>
                  <w:sz w:val="20"/>
                  <w:u w:val="none"/>
                  <w:effect w:val="none"/>
                </w:rPr>
                <w:t>4</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22">
              <w:r>
                <w:rPr>
                  <w:rStyle w:val="InternetLink"/>
                  <w:rFonts w:ascii="Times New Roman;sans-serif" w:hAnsi="Times New Roman;sans-serif"/>
                  <w:b w:val="false"/>
                  <w:color w:val="0000FF"/>
                  <w:sz w:val="20"/>
                  <w:u w:val="single"/>
                </w:rPr>
                <w:t>Condensed Consolidated Statements of Income and Comprehensive Income for the Three Months Ended March 31, 2025 and 2024</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22">
              <w:r>
                <w:rPr>
                  <w:rStyle w:val="InternetLink"/>
                  <w:rFonts w:ascii="Times New Roman;sans-serif" w:hAnsi="Times New Roman;sans-serif"/>
                  <w:b w:val="false"/>
                  <w:strike w:val="false"/>
                  <w:dstrike w:val="false"/>
                  <w:color w:val="0000FF"/>
                  <w:sz w:val="20"/>
                  <w:u w:val="none"/>
                  <w:effect w:val="none"/>
                </w:rPr>
                <w:t>5</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25">
              <w:r>
                <w:rPr>
                  <w:rStyle w:val="InternetLink"/>
                  <w:rFonts w:ascii="Times New Roman;sans-serif" w:hAnsi="Times New Roman;sans-serif"/>
                  <w:b w:val="false"/>
                  <w:color w:val="0000FF"/>
                  <w:sz w:val="20"/>
                  <w:u w:val="single"/>
                </w:rPr>
                <w:t>Condensed Consolidated Statements of Changes in Stockholders’ Equity for the Three Months Ended March 31, 2025 and 2024</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25">
              <w:r>
                <w:rPr>
                  <w:rStyle w:val="InternetLink"/>
                  <w:rFonts w:ascii="Times New Roman;sans-serif" w:hAnsi="Times New Roman;sans-serif"/>
                  <w:b w:val="false"/>
                  <w:strike w:val="false"/>
                  <w:dstrike w:val="false"/>
                  <w:color w:val="0000FF"/>
                  <w:sz w:val="20"/>
                  <w:u w:val="none"/>
                  <w:effect w:val="none"/>
                </w:rPr>
                <w:t>6</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28">
              <w:r>
                <w:rPr>
                  <w:rStyle w:val="InternetLink"/>
                  <w:rFonts w:ascii="Times New Roman;sans-serif" w:hAnsi="Times New Roman;sans-serif"/>
                  <w:b w:val="false"/>
                  <w:color w:val="0000FF"/>
                  <w:sz w:val="20"/>
                  <w:u w:val="single"/>
                </w:rPr>
                <w:t>Condensed Consolidated Statements of Cash Flows for the Three Months Ended March 31, 2025 and 2024</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28">
              <w:r>
                <w:rPr>
                  <w:rStyle w:val="InternetLink"/>
                  <w:rFonts w:ascii="Times New Roman;sans-serif" w:hAnsi="Times New Roman;sans-serif"/>
                  <w:b w:val="false"/>
                  <w:strike w:val="false"/>
                  <w:dstrike w:val="false"/>
                  <w:color w:val="0000FF"/>
                  <w:sz w:val="20"/>
                  <w:u w:val="none"/>
                  <w:effect w:val="none"/>
                </w:rPr>
                <w:t>7</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31">
              <w:r>
                <w:rPr>
                  <w:rStyle w:val="InternetLink"/>
                  <w:rFonts w:ascii="Times New Roman;sans-serif" w:hAnsi="Times New Roman;sans-serif"/>
                  <w:b w:val="false"/>
                  <w:color w:val="0000FF"/>
                  <w:sz w:val="20"/>
                  <w:u w:val="single"/>
                </w:rPr>
                <w:t>Notes to Condensed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31">
              <w:r>
                <w:rPr>
                  <w:rStyle w:val="InternetLink"/>
                  <w:rFonts w:ascii="Times New Roman;sans-serif" w:hAnsi="Times New Roman;sans-serif"/>
                  <w:b w:val="false"/>
                  <w:strike w:val="false"/>
                  <w:dstrike w:val="false"/>
                  <w:color w:val="0000FF"/>
                  <w:sz w:val="20"/>
                  <w:u w:val="none"/>
                  <w:effect w:val="none"/>
                </w:rPr>
                <w:t>9</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91">
              <w:r>
                <w:rPr>
                  <w:rStyle w:val="InternetLink"/>
                  <w:rFonts w:ascii="Times New Roman;sans-serif" w:hAnsi="Times New Roman;sans-serif"/>
                  <w:b w:val="false"/>
                  <w:strike w:val="false"/>
                  <w:dstrike w:val="false"/>
                  <w:color w:val="0000FF"/>
                  <w:sz w:val="20"/>
                  <w:u w:val="none"/>
                  <w:effect w:val="none"/>
                </w:rPr>
                <w:t>26</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18">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18">
              <w:r>
                <w:rPr>
                  <w:rStyle w:val="InternetLink"/>
                  <w:rFonts w:ascii="Times New Roman;sans-serif" w:hAnsi="Times New Roman;sans-serif"/>
                  <w:b w:val="false"/>
                  <w:strike w:val="false"/>
                  <w:dstrike w:val="false"/>
                  <w:color w:val="0000FF"/>
                  <w:sz w:val="20"/>
                  <w:u w:val="none"/>
                  <w:effect w:val="none"/>
                </w:rPr>
                <w:t>41</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21">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21">
              <w:r>
                <w:rPr>
                  <w:rStyle w:val="InternetLink"/>
                  <w:rFonts w:ascii="Times New Roman;sans-serif" w:hAnsi="Times New Roman;sans-serif"/>
                  <w:b w:val="false"/>
                  <w:strike w:val="false"/>
                  <w:dstrike w:val="false"/>
                  <w:color w:val="0000FF"/>
                  <w:sz w:val="20"/>
                  <w:u w:val="none"/>
                  <w:effect w:val="none"/>
                </w:rPr>
                <w:t>43</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27">
              <w:r>
                <w:rPr>
                  <w:rStyle w:val="InternetLink"/>
                  <w:rFonts w:ascii="Times New Roman;sans-serif" w:hAnsi="Times New Roman;sans-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27">
              <w:r>
                <w:rPr>
                  <w:rStyle w:val="InternetLink"/>
                  <w:rFonts w:ascii="Times New Roman;sans-serif" w:hAnsi="Times New Roman;sans-serif"/>
                  <w:b w:val="false"/>
                  <w:strike w:val="false"/>
                  <w:dstrike w:val="false"/>
                  <w:color w:val="0000FF"/>
                  <w:sz w:val="20"/>
                  <w:u w:val="none"/>
                  <w:effect w:val="none"/>
                </w:rPr>
                <w:t>44</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30">
              <w:r>
                <w:rPr>
                  <w:rStyle w:val="InternetLink"/>
                  <w:rFonts w:ascii="Times New Roman;sans-serif" w:hAnsi="Times New Roman;sans-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30">
              <w:r>
                <w:rPr>
                  <w:rStyle w:val="InternetLink"/>
                  <w:rFonts w:ascii="Times New Roman;sans-serif" w:hAnsi="Times New Roman;sans-serif"/>
                  <w:b w:val="false"/>
                  <w:strike w:val="false"/>
                  <w:dstrike w:val="false"/>
                  <w:color w:val="0000FF"/>
                  <w:sz w:val="20"/>
                  <w:u w:val="none"/>
                  <w:effect w:val="none"/>
                </w:rPr>
                <w:t>44</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33">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33">
              <w:r>
                <w:rPr>
                  <w:rStyle w:val="InternetLink"/>
                  <w:rFonts w:ascii="Times New Roman;sans-serif" w:hAnsi="Times New Roman;sans-serif"/>
                  <w:b w:val="false"/>
                  <w:strike w:val="false"/>
                  <w:dstrike w:val="false"/>
                  <w:color w:val="0000FF"/>
                  <w:sz w:val="20"/>
                  <w:u w:val="none"/>
                  <w:effect w:val="none"/>
                </w:rPr>
                <w:t>44</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36">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36">
              <w:r>
                <w:rPr>
                  <w:rStyle w:val="InternetLink"/>
                  <w:rFonts w:ascii="Times New Roman;sans-serif" w:hAnsi="Times New Roman;sans-serif"/>
                  <w:b w:val="false"/>
                  <w:strike w:val="false"/>
                  <w:dstrike w:val="false"/>
                  <w:color w:val="0000FF"/>
                  <w:sz w:val="20"/>
                  <w:u w:val="none"/>
                  <w:effect w:val="none"/>
                </w:rPr>
                <w:t>44</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39">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39">
              <w:r>
                <w:rPr>
                  <w:rStyle w:val="InternetLink"/>
                  <w:rFonts w:ascii="Times New Roman;sans-serif" w:hAnsi="Times New Roman;sans-serif"/>
                  <w:b w:val="false"/>
                  <w:strike w:val="false"/>
                  <w:dstrike w:val="false"/>
                  <w:color w:val="0000FF"/>
                  <w:sz w:val="20"/>
                  <w:u w:val="none"/>
                  <w:effect w:val="none"/>
                </w:rPr>
                <w:t>44</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42">
              <w:r>
                <w:rPr>
                  <w:rStyle w:val="InternetLink"/>
                  <w:rFonts w:ascii="Times New Roman;sans-serif" w:hAnsi="Times New Roman;sans-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42">
              <w:r>
                <w:rPr>
                  <w:rStyle w:val="InternetLink"/>
                  <w:rFonts w:ascii="Times New Roman;sans-serif" w:hAnsi="Times New Roman;sans-serif"/>
                  <w:b w:val="false"/>
                  <w:strike w:val="false"/>
                  <w:dstrike w:val="false"/>
                  <w:color w:val="0000FF"/>
                  <w:sz w:val="20"/>
                  <w:u w:val="none"/>
                  <w:effect w:val="none"/>
                </w:rPr>
                <w:t>45</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45">
              <w:r>
                <w:rPr>
                  <w:rStyle w:val="InternetLink"/>
                  <w:rFonts w:ascii="Times New Roman;sans-serif" w:hAnsi="Times New Roman;sans-serif"/>
                  <w:b w:val="false"/>
                  <w:color w:val="0000FF"/>
                  <w:sz w:val="20"/>
                  <w:u w:val="single"/>
                </w:rPr>
                <w:t>Exhibits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45">
              <w:r>
                <w:rPr>
                  <w:rStyle w:val="InternetLink"/>
                  <w:rFonts w:ascii="Times New Roman;sans-serif" w:hAnsi="Times New Roman;sans-serif"/>
                  <w:b w:val="false"/>
                  <w:strike w:val="false"/>
                  <w:dstrike w:val="false"/>
                  <w:color w:val="0000FF"/>
                  <w:sz w:val="20"/>
                  <w:u w:val="none"/>
                  <w:effect w:val="none"/>
                </w:rPr>
                <w:t>46</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cbb4a432f8343da93f65ca08477e42c_148">
              <w:r>
                <w:rPr>
                  <w:rStyle w:val="InternetLink"/>
                  <w:rFonts w:ascii="Times New Roman;sans-serif" w:hAnsi="Times New Roman;sans-serif"/>
                  <w:b w:val="false"/>
                  <w:color w:val="0000FF"/>
                  <w:sz w:val="20"/>
                  <w:u w:val="single"/>
                </w:rPr>
                <w:t>SIGNATURES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cbb4a432f8343da93f65ca08477e42c_148">
              <w:r>
                <w:rPr>
                  <w:rStyle w:val="InternetLink"/>
                  <w:rFonts w:ascii="Times New Roman;sans-serif" w:hAnsi="Times New Roman;sans-serif"/>
                  <w:b w:val="false"/>
                  <w:strike w:val="false"/>
                  <w:dstrike w:val="false"/>
                  <w:color w:val="0000FF"/>
                  <w:sz w:val="20"/>
                  <w:u w:val="none"/>
                  <w:effect w:val="none"/>
                </w:rPr>
                <w:t>47</w:t>
              </w:r>
            </w:hyperlink>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before="0" w:after="24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of the Company. </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applicable laws or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factors relating to our business, operations and financial performance, including:</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rPr>
        <w:t>changes in immigration laws and their enforcement, including any adverse effects on the level of immigrant employment, earning potential, and other commercial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success in expanding customer acceptance of our digital services and infrastructure, as well as developing, introducing and marketing new digital and other products and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technology or competitors that disrupt the current money transfer and payment ecosystem, including the introduction of new digital platforms;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loss of, or reduction in business with, key sending agents;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ur ability to effectively compete in the markets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factors such as inflation, the level of economic activity, recession risks and labor market conditions, as well as volatility in market interest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international political factors, including ongoing hostilities in Ukraine and the Middle East, political instability, tariffs, including the effects of tariffs on domestic markets and industrial activity and employment, border taxes or restrictions on remittances or transfers from the outbound countries in which we operate or plan to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consumer confidence in our brands and in consumer money transfers generally;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expansion into new geographic markets or product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successfully execute, manage, integrate and obtain the anticipated financial benefits of key acquisitions and mergers;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cybersecurity-attacks or disruptions to our information technology, computer network systems, data centers and mobile devices applications;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consumer fraud and other risks relating to the authenticity of customers’ orders or the improper or illegal use of our services by consumers, sending agents or digital partners;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favorable banking and paying agent relationships necessary to conduct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changes to banking industry regulation and practice;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credit risks from our agents, digital partners and the financial institutions with which we do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recruit and retain key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maintain compliance with applicable laws and regulatory requirements, </w:t>
      </w:r>
      <w:r>
        <w:rPr>
          <w:rFonts w:ascii="Times New Roman;sans-serif" w:hAnsi="Times New Roman;sans-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enforcement actions and private litigation under regulations applicable to money remittance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tax laws in the countries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protect intellectual property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satisfy our debt obligations and remain in compliance with our credit facility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 health conditions, responses thereto and the economic and market effects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use of third-party vendors and service providers;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weakness in U.S. or international economic conditions;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other economic, business and/or competitive factors, risks and uncertainties, including those described in the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sections in our Annual Report on Form 10-K for the year ended December 31, 2024, as well as any additional factors that may be described in our other filings with the SEC from time to time.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955"/>
        <w:gridCol w:w="2177"/>
        <w:gridCol w:w="2138"/>
        <w:gridCol w:w="226"/>
        <w:gridCol w:w="887"/>
        <w:gridCol w:w="116"/>
        <w:gridCol w:w="109"/>
        <w:gridCol w:w="109"/>
        <w:gridCol w:w="109"/>
        <w:gridCol w:w="243"/>
        <w:gridCol w:w="953"/>
        <w:gridCol w:w="183"/>
      </w:tblGrid>
      <w:tr>
        <w:trPr/>
        <w:tc>
          <w:tcPr>
            <w:tcW w:w="2955"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$4,095 and $3,546, respectively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1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325,928 </w:t>
            </w:r>
          </w:p>
        </w:tc>
        <w:tc>
          <w:tcPr>
            <w:tcW w:w="1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297,783 </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490,589 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462,377 </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1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186,468 </w:t>
            </w:r>
          </w:p>
        </w:tc>
        <w:tc>
          <w:tcPr>
            <w:tcW w:w="1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151,998 </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11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164,878 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175,455 </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Note 17</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none issued or outstanding</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200,000,000 shares authorized, 40,332,957 and 40,164,056 shares issued and 30,349,730 and 30,548,702 shares outstanding as of March 31, 2025 and December 31, 2024, respectively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9,983,227 and 9,615,354 shares as of March 31, 2025 and December 31, 2024, respectively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(200,696)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1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139,243 </w:t>
            </w:r>
          </w:p>
        </w:tc>
        <w:tc>
          <w:tcPr>
            <w:tcW w:w="1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134,924 </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490,589 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462,377 </w:t>
            </w:r>
          </w:p>
        </w:tc>
        <w:tc>
          <w:tcPr>
            <w:tcW w:w="1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4980"/>
                <wp:effectExtent l="0" t="0" r="0" b="0"/>
                <wp:wrapNone/>
                <wp:docPr id="5" name="Frame5"/>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 unaudited)</w:t>
      </w:r>
    </w:p>
    <w:tbl>
      <w:tblPr>
        <w:tblW w:w="8665" w:type="dxa"/>
        <w:jc w:val="left"/>
        <w:tblInd w:w="0" w:type="dxa"/>
        <w:tblLayout w:type="fixed"/>
        <w:tblCellMar>
          <w:top w:w="28" w:type="dxa"/>
          <w:left w:w="28" w:type="dxa"/>
          <w:bottom w:w="28" w:type="dxa"/>
          <w:right w:w="28" w:type="dxa"/>
        </w:tblCellMar>
      </w:tblPr>
      <w:tblGrid>
        <w:gridCol w:w="1521"/>
        <w:gridCol w:w="1336"/>
        <w:gridCol w:w="1343"/>
        <w:gridCol w:w="109"/>
        <w:gridCol w:w="109"/>
        <w:gridCol w:w="185"/>
        <w:gridCol w:w="185"/>
        <w:gridCol w:w="185"/>
        <w:gridCol w:w="185"/>
        <w:gridCol w:w="358"/>
        <w:gridCol w:w="1402"/>
        <w:gridCol w:w="185"/>
        <w:gridCol w:w="109"/>
        <w:gridCol w:w="109"/>
        <w:gridCol w:w="109"/>
        <w:gridCol w:w="219"/>
        <w:gridCol w:w="862"/>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144,310 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150,412 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130,235 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130,826 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30,587,949 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33,675,441 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30,831,633 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74980"/>
                <wp:effectExtent l="0" t="0" r="0" b="0"/>
                <wp:wrapNone/>
                <wp:docPr id="6" name="Frame6"/>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 unaudited)</w:t>
      </w:r>
    </w:p>
    <w:tbl>
      <w:tblPr>
        <w:tblW w:w="12023"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329"/>
        <w:gridCol w:w="329"/>
        <w:gridCol w:w="333"/>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269"/>
        <w:gridCol w:w="806"/>
        <w:gridCol w:w="141"/>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40,164,056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(200,696)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134,924 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stock awards,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2025</w:t>
            </w:r>
          </w:p>
        </w:tc>
        <w:tc>
          <w:tcPr>
            <w:tcW w:w="103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40,332,957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(205,677)</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265,239 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4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219"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495"/>
        <w:gridCol w:w="496"/>
        <w:gridCol w:w="196"/>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326"/>
        <w:gridCol w:w="720"/>
        <w:gridCol w:w="170"/>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 Income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39,673,271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(5,850,034)</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stock awards, net of shares withheld for taxes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shares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(1,124,476)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103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40,010,435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(6,974,510)</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(148,987)</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210,755 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138,228 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4980"/>
                <wp:effectExtent l="0" t="0" r="0" b="0"/>
                <wp:wrapNone/>
                <wp:docPr id="7" name="Frame7"/>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9444" w:type="dxa"/>
        <w:jc w:val="left"/>
        <w:tblInd w:w="0" w:type="dxa"/>
        <w:tblLayout w:type="fixed"/>
        <w:tblCellMar>
          <w:top w:w="28" w:type="dxa"/>
          <w:left w:w="28" w:type="dxa"/>
          <w:bottom w:w="28" w:type="dxa"/>
          <w:right w:w="28" w:type="dxa"/>
        </w:tblCellMar>
      </w:tblPr>
      <w:tblGrid>
        <w:gridCol w:w="2431"/>
        <w:gridCol w:w="2141"/>
        <w:gridCol w:w="2147"/>
        <w:gridCol w:w="216"/>
        <w:gridCol w:w="846"/>
        <w:gridCol w:w="111"/>
        <w:gridCol w:w="111"/>
        <w:gridCol w:w="111"/>
        <w:gridCol w:w="111"/>
        <w:gridCol w:w="216"/>
        <w:gridCol w:w="846"/>
        <w:gridCol w:w="157"/>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origination costs amortization</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and other liabilities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41,282 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48,236 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agent locations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(13,480)</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 facility</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Repayments under revolving credit facility</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(1,925,235)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stock-based awards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(15,145)</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(55,064)</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151,764 </w:t>
            </w:r>
          </w:p>
        </w:tc>
        <w:tc>
          <w:tcPr>
            <w:tcW w:w="1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218,795 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74980"/>
                <wp:effectExtent l="0" t="0" r="0" b="0"/>
                <wp:wrapNone/>
                <wp:docPr id="8" name="Frame8"/>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7615" w:type="dxa"/>
        <w:jc w:val="left"/>
        <w:tblInd w:w="0" w:type="dxa"/>
        <w:tblLayout w:type="fixed"/>
        <w:tblCellMar>
          <w:top w:w="28" w:type="dxa"/>
          <w:left w:w="28" w:type="dxa"/>
          <w:bottom w:w="28" w:type="dxa"/>
          <w:right w:w="28" w:type="dxa"/>
        </w:tblCellMar>
      </w:tblPr>
      <w:tblGrid>
        <w:gridCol w:w="1770"/>
        <w:gridCol w:w="1556"/>
        <w:gridCol w:w="1564"/>
        <w:gridCol w:w="256"/>
        <w:gridCol w:w="749"/>
        <w:gridCol w:w="132"/>
        <w:gridCol w:w="132"/>
        <w:gridCol w:w="132"/>
        <w:gridCol w:w="132"/>
        <w:gridCol w:w="256"/>
        <w:gridCol w:w="749"/>
        <w:gridCol w:w="187"/>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3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4,120 </w:t>
            </w:r>
          </w:p>
        </w:tc>
        <w:tc>
          <w:tcPr>
            <w:tcW w:w="18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activities: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arising from obtaining right-of-use assets</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financing activities: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cashless exercise of options</w:t>
            </w:r>
          </w:p>
        </w:tc>
        <w:tc>
          <w:tcPr>
            <w:tcW w:w="256"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87"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4980"/>
                <wp:effectExtent l="0" t="0" r="0" b="0"/>
                <wp:wrapNone/>
                <wp:docPr id="9" name="Frame9"/>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 – BUSINESS AND ACCOUNTING POLICIES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 (the “Company” or “us” or “we”) operates as a money transmitter between the United States of America (“United States” or “U.S.”), Canada, Spain, Italy, the United Kingdom and Germany primarily to Mexico, Guatemala and other countries in Latin America, Europe, Africa and Asia through a network of authorized agents located in various unaffiliated retail establishments and 116 Company-operated stores throughout those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of the Company include International Money Express, Inc. and other entities in which the Company has a controlling financial interest. All significant inter-company balances and transactions have been eliminated in consolidation. The condensed consolidated financial statements are prepared in accordance with accounting principles generally accepted in the United States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political conditions in the United States have resulted in high levels of volatility in the market as well as uncertainty as to the economic and financial impacts of recent economic, trade and immigration enforcement actions taken by the current administration on the U.S., as well as foreign countries, including those that are a destination for money transfers or in which we currently operate. In addition, political, social and economic conditions in key Latin American markets continue to exhibit instability, as evidenced by higher interest rates, high unemployment rates, restricted lending activity, higher inflation, volatility in foreign currencies and low consumer confidence, among other economic, political and market factors.</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Concentrations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certain of its cash balances in various U.S. banks, which at times, may exceed federally insured limits. The Company has not incurred any losses on these accounts. In addition, the Company maintains various bank accounts in Mexico, Guatemala, Canada, the Dominican Republic, Spain, Italy, Germany and the United Kingdom and short-term investment accounts in Mexico, which may not be fully insured. During the three months ended March 31, 2025, the Company did not incur any losses on these uninsured foreign bank accounts.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substantial portion of our paying agents are concentrated in a few large banks and financial institutions and large retail chains in Latin American countries.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Accounting Standards Board (“FASB”) issued guidance, ASU 2023-09, Income Taxes (Topic 740): Improvements to Income Tax Disclosures, which focuses on the rate reconciliation and income taxes paid. This guidance requires a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the Company, the new standard is effective for annual periods beginning after December 15, 2024, on a prospective basis with the option to apply retrospectively. The adoption of this guidance is not expected to have a material effect on the consolidated financial statements for the year ending December 31, 2025.</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FASB issued ASU 2024-03, Income Statement - Reporting Comprehensive Income - Expense Disaggregation Disclosures (Subtopic 220-40): Disaggregation of Income Statement Expenses, which requires more detailed disclosures about specified categories of expenses (including purchases of inventory, employee compensation, intangible asset amortization, and depreciation) included in certain expense captions presented on the face of the statement of income. ASU 2024-03 is effective for fiscal years beginning after December 15, 2026 and interim reporting periods within fiscal years beginning one year later. Early adoption is permitted. The Company is currently evaluating the impact this guidance will have on the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Reclassifications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prior year financial statements in order to concur with current financial presentation primarily as it relates to disclosure of the provision for credit losses as a separate item in the condensed consolidated statements of income and comprehensive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2 – ACQUISITIONS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the Company completed the acquisition of 100% of the issued and outstanding stock of a money services entity incorporated in the United Kingdom. This acquisition provides the Company the opportunity to enter into markets in which it did not have a presence previously, such as the ability to provide outbound remittance services from the United Kingdom.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consideration transferred by the Company in connection with the acquisition was approximately $1.4 million in cash, subject to customary purchase price adjustments. The acquisition was funded with cash on hand.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values of consideration transferred and identifiable net assets acquired in the acquisition on July 2, 2024, the measurement period adjustments through the period ended March 31, 2025 and the fair values of consideration transferred and identifiable net assets acquired as of March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8"/>
        <w:gridCol w:w="1059"/>
        <w:gridCol w:w="1061"/>
        <w:gridCol w:w="424"/>
        <w:gridCol w:w="1240"/>
        <w:gridCol w:w="219"/>
        <w:gridCol w:w="109"/>
        <w:gridCol w:w="109"/>
        <w:gridCol w:w="109"/>
        <w:gridCol w:w="955"/>
        <w:gridCol w:w="955"/>
        <w:gridCol w:w="957"/>
        <w:gridCol w:w="109"/>
        <w:gridCol w:w="109"/>
        <w:gridCol w:w="109"/>
        <w:gridCol w:w="313"/>
        <w:gridCol w:w="916"/>
        <w:gridCol w:w="234"/>
      </w:tblGrid>
      <w:tr>
        <w:trPr/>
        <w:tc>
          <w:tcPr>
            <w:tcW w:w="121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July 2, 2024</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initially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br/>
              <w:t>(As Adjusted)</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1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w:t>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goodwill balance for this acquisition represents the estimated values of the Company’s assembled workforce and synergies expected to be achieved from the combined operations of the acquired entity and the Company. Goodwill resulting from this acquisition is not deductible for tax purposes.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Restructuring costs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 Company started executing a restructuring plan primarily related to certain of its foreign operations and Envios de Valores La Nacional Corp (“La Nacional”). These restructuring costs are part of the Company's plan, for which the objectives are to reorganize the workforce, streamline operational processes, integrate technology functionality, as well as to develop efficiencies within the Company. For the three months ended March 31, 2025, the Company incurred approximately $0.3 million in expenses for a reduction of workforce in certain locations. These expenses primarily consisted of severance payments and related benefits, which are included in restructuring costs in the condensed consolidated statement of income and comprehensive income. There were no restructuring costs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our liability balance related to restructuring costs for the three months ended March 31, 2025 (in thousands):</w:t>
      </w:r>
    </w:p>
    <w:tbl>
      <w:tblPr>
        <w:tblW w:w="7603" w:type="dxa"/>
        <w:jc w:val="left"/>
        <w:tblInd w:w="0" w:type="dxa"/>
        <w:tblLayout w:type="fixed"/>
        <w:tblCellMar>
          <w:top w:w="28" w:type="dxa"/>
          <w:left w:w="28" w:type="dxa"/>
          <w:bottom w:w="28" w:type="dxa"/>
          <w:right w:w="28" w:type="dxa"/>
        </w:tblCellMar>
      </w:tblPr>
      <w:tblGrid>
        <w:gridCol w:w="603"/>
        <w:gridCol w:w="529"/>
        <w:gridCol w:w="532"/>
        <w:gridCol w:w="109"/>
        <w:gridCol w:w="318"/>
        <w:gridCol w:w="318"/>
        <w:gridCol w:w="616"/>
        <w:gridCol w:w="1579"/>
        <w:gridCol w:w="318"/>
        <w:gridCol w:w="109"/>
        <w:gridCol w:w="109"/>
        <w:gridCol w:w="109"/>
        <w:gridCol w:w="644"/>
        <w:gridCol w:w="1238"/>
        <w:gridCol w:w="472"/>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w:t>
            </w:r>
          </w:p>
        </w:tc>
        <w:tc>
          <w:tcPr>
            <w:tcW w:w="2681" w:type="dxa"/>
            <w:gridSpan w:val="6"/>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Severance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Legal and professional fees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Costs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include all internal and external costs directly related to acquisition activities and the Company's evaluation of strategic alternatives, consisting primarily of legal, consulting, accounting and financial advisory fees. Transaction costs for the three months ended March 31, 2025 and 2024 amounted to $1.2 million and $10.0 thousand, respectively.</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3 – REVENUES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revenues from contracts with customers, sending agents and others for the three months ended March 31, 2025 and 2024, as follows (in thousands):</w:t>
      </w:r>
    </w:p>
    <w:tbl>
      <w:tblPr>
        <w:tblW w:w="7690" w:type="dxa"/>
        <w:jc w:val="left"/>
        <w:tblInd w:w="0" w:type="dxa"/>
        <w:tblLayout w:type="fixed"/>
        <w:tblCellMar>
          <w:top w:w="28" w:type="dxa"/>
          <w:left w:w="28" w:type="dxa"/>
          <w:bottom w:w="28" w:type="dxa"/>
          <w:right w:w="28" w:type="dxa"/>
        </w:tblCellMar>
      </w:tblPr>
      <w:tblGrid>
        <w:gridCol w:w="1184"/>
        <w:gridCol w:w="1038"/>
        <w:gridCol w:w="1047"/>
        <w:gridCol w:w="109"/>
        <w:gridCol w:w="109"/>
        <w:gridCol w:w="185"/>
        <w:gridCol w:w="185"/>
        <w:gridCol w:w="185"/>
        <w:gridCol w:w="185"/>
        <w:gridCol w:w="358"/>
        <w:gridCol w:w="1402"/>
        <w:gridCol w:w="185"/>
        <w:gridCol w:w="109"/>
        <w:gridCol w:w="109"/>
        <w:gridCol w:w="109"/>
        <w:gridCol w:w="211"/>
        <w:gridCol w:w="82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120,889 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Discounts and promotions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120,167 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144,310 </w:t>
            </w:r>
          </w:p>
        </w:tc>
        <w:tc>
          <w:tcPr>
            <w:tcW w:w="1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150,412 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initial costs incurred to obtain contracts with customers. Until January 31, 2025, the Company had a loyalty program under which customers earned one point for each wire transfer completed. Points are redeemed for a discounted wire transaction fee or a foreign exchange rate that is more favorable to the customer. Because the loyalty program benefits represent a future performance obligation, a portion of the initial consideration was recorded as deferred revenue loyalty program (see Note 9) and a corresponding loyalty program entry was recorded as contra revenue. Revenue from this performance obligation is recognized upon customers redeeming points or upon expiration of any points outstanding. Effective February 1, 2025, the loyalty program was terminated. Under the termination conditions, customers will be able to redeem their points through July 31, 2025. Any points not redeemed until that date, will expire automatically.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offers several other services, including money orders, and check cashing through its sending agents and Company-operated stores,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 In addition, we generate revenue from our wires-as-a-service relationships with digital partners where we receive a fee for facilitating money transfers processed through our proprietary software systems, using our money transmitter licenses and payer network relationships, which are recognized at the time the transaction is processed. The Company acts as the agent for these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 fees include money order fees of $0.6 million for both the three months ended March 31, 2025 and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4 – ACCOUNTS RECEIVABLE AND AGENT ADVANCES RECEIVABLE, NET OF ALLOWANCE</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Accounts Receivable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pStyle w:val="TextBody"/>
        <w:bidi w:val="0"/>
        <w:spacing w:before="0" w:after="0"/>
        <w:jc w:val="both"/>
        <w:rPr/>
      </w:pPr>
      <w:r>
        <w:rPr/>
      </w:r>
    </w:p>
    <w:tbl>
      <w:tblPr>
        <w:tblW w:w="5741" w:type="dxa"/>
        <w:jc w:val="left"/>
        <w:tblInd w:w="0" w:type="dxa"/>
        <w:tblLayout w:type="fixed"/>
        <w:tblCellMar>
          <w:top w:w="28" w:type="dxa"/>
          <w:left w:w="28" w:type="dxa"/>
          <w:bottom w:w="28" w:type="dxa"/>
          <w:right w:w="28" w:type="dxa"/>
        </w:tblCellMar>
      </w:tblPr>
      <w:tblGrid>
        <w:gridCol w:w="831"/>
        <w:gridCol w:w="730"/>
        <w:gridCol w:w="733"/>
        <w:gridCol w:w="257"/>
        <w:gridCol w:w="1006"/>
        <w:gridCol w:w="132"/>
        <w:gridCol w:w="109"/>
        <w:gridCol w:w="109"/>
        <w:gridCol w:w="109"/>
        <w:gridCol w:w="305"/>
        <w:gridCol w:w="1197"/>
        <w:gridCol w:w="223"/>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135,121 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131,026 </w:t>
            </w:r>
          </w:p>
        </w:tc>
        <w:tc>
          <w:tcPr>
            <w:tcW w:w="1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107,077 </w:t>
            </w:r>
          </w:p>
        </w:tc>
        <w:tc>
          <w:tcPr>
            <w:tcW w:w="2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Agent Advances Receivable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net of allowance for credit losses, from sending agents is as follows (in thousands):</w:t>
      </w:r>
    </w:p>
    <w:p>
      <w:pPr>
        <w:pStyle w:val="TextBody"/>
        <w:bidi w:val="0"/>
        <w:spacing w:before="0" w:after="0"/>
        <w:jc w:val="left"/>
        <w:rPr/>
      </w:pPr>
      <w:r>
        <w:rPr/>
      </w:r>
    </w:p>
    <w:tbl>
      <w:tblPr>
        <w:tblW w:w="6624" w:type="dxa"/>
        <w:jc w:val="left"/>
        <w:tblInd w:w="0" w:type="dxa"/>
        <w:tblLayout w:type="fixed"/>
        <w:tblCellMar>
          <w:top w:w="28" w:type="dxa"/>
          <w:left w:w="28" w:type="dxa"/>
          <w:bottom w:w="28" w:type="dxa"/>
          <w:right w:w="28" w:type="dxa"/>
        </w:tblCellMar>
      </w:tblPr>
      <w:tblGrid>
        <w:gridCol w:w="1150"/>
        <w:gridCol w:w="1011"/>
        <w:gridCol w:w="1018"/>
        <w:gridCol w:w="314"/>
        <w:gridCol w:w="918"/>
        <w:gridCol w:w="162"/>
        <w:gridCol w:w="109"/>
        <w:gridCol w:w="109"/>
        <w:gridCol w:w="109"/>
        <w:gridCol w:w="371"/>
        <w:gridCol w:w="1083"/>
        <w:gridCol w:w="270"/>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current</w:t>
            </w:r>
          </w:p>
        </w:tc>
        <w:tc>
          <w:tcPr>
            <w:tcW w:w="3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w:t>
            </w:r>
          </w:p>
        </w:tc>
        <w:tc>
          <w:tcPr>
            <w:tcW w:w="3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long-term</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long-term</w:t>
            </w:r>
          </w:p>
        </w:tc>
        <w:tc>
          <w:tcPr>
            <w:tcW w:w="31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2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current portion of agent advances receivable is included in prepaid expenses and other current assets (see Note 5), and the net long-term portion is included in other assets (see Note 5) in the condensed consolidated balance sheets. At March 31, 2025 and December 31, 2024, there were $4.5 million and $4.6 million, respectively, of agent advances receivable collateralized by personal guarantees from sending agents and assets from their businesses in case of a default by the agent.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maturities of agent advances receivable at March 31, 2025 are as follows (in thousands):</w:t>
      </w:r>
    </w:p>
    <w:tbl>
      <w:tblPr>
        <w:tblW w:w="4260" w:type="dxa"/>
        <w:jc w:val="left"/>
        <w:tblInd w:w="0" w:type="dxa"/>
        <w:tblLayout w:type="fixed"/>
        <w:tblCellMar>
          <w:top w:w="28" w:type="dxa"/>
          <w:left w:w="28" w:type="dxa"/>
          <w:bottom w:w="28" w:type="dxa"/>
          <w:right w:w="28" w:type="dxa"/>
        </w:tblCellMar>
      </w:tblPr>
      <w:tblGrid>
        <w:gridCol w:w="869"/>
        <w:gridCol w:w="763"/>
        <w:gridCol w:w="768"/>
        <w:gridCol w:w="399"/>
        <w:gridCol w:w="1167"/>
        <w:gridCol w:w="29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Outstanding Balance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1 year</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2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1 and 2 years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More than 2 years to 3 years</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29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related to accounts receivable and agent advances receivable are as follows (in thousands):</w:t>
      </w:r>
    </w:p>
    <w:p>
      <w:pPr>
        <w:pStyle w:val="TextBody"/>
        <w:bidi w:val="0"/>
        <w:spacing w:before="0" w:after="0"/>
        <w:jc w:val="left"/>
        <w:rPr/>
      </w:pPr>
      <w:r>
        <w:rPr/>
      </w:r>
    </w:p>
    <w:tbl>
      <w:tblPr>
        <w:tblW w:w="5873" w:type="dxa"/>
        <w:jc w:val="left"/>
        <w:tblInd w:w="0" w:type="dxa"/>
        <w:tblLayout w:type="fixed"/>
        <w:tblCellMar>
          <w:top w:w="28" w:type="dxa"/>
          <w:left w:w="28" w:type="dxa"/>
          <w:bottom w:w="28" w:type="dxa"/>
          <w:right w:w="28" w:type="dxa"/>
        </w:tblCellMar>
      </w:tblPr>
      <w:tblGrid>
        <w:gridCol w:w="603"/>
        <w:gridCol w:w="529"/>
        <w:gridCol w:w="532"/>
        <w:gridCol w:w="109"/>
        <w:gridCol w:w="109"/>
        <w:gridCol w:w="213"/>
        <w:gridCol w:w="213"/>
        <w:gridCol w:w="213"/>
        <w:gridCol w:w="213"/>
        <w:gridCol w:w="413"/>
        <w:gridCol w:w="1205"/>
        <w:gridCol w:w="213"/>
        <w:gridCol w:w="109"/>
        <w:gridCol w:w="109"/>
        <w:gridCol w:w="109"/>
        <w:gridCol w:w="211"/>
        <w:gridCol w:w="61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21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allocated by financial instrument category is as follows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tbl>
      <w:tblPr>
        <w:tblW w:w="5739" w:type="dxa"/>
        <w:jc w:val="left"/>
        <w:tblInd w:w="0" w:type="dxa"/>
        <w:tblLayout w:type="fixed"/>
        <w:tblCellMar>
          <w:top w:w="28" w:type="dxa"/>
          <w:left w:w="28" w:type="dxa"/>
          <w:bottom w:w="28" w:type="dxa"/>
          <w:right w:w="28" w:type="dxa"/>
        </w:tblCellMar>
      </w:tblPr>
      <w:tblGrid>
        <w:gridCol w:w="831"/>
        <w:gridCol w:w="730"/>
        <w:gridCol w:w="733"/>
        <w:gridCol w:w="314"/>
        <w:gridCol w:w="918"/>
        <w:gridCol w:w="162"/>
        <w:gridCol w:w="109"/>
        <w:gridCol w:w="109"/>
        <w:gridCol w:w="109"/>
        <w:gridCol w:w="371"/>
        <w:gridCol w:w="1083"/>
        <w:gridCol w:w="270"/>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1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2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5 – PREPAID EXPENSES AND OTHER ASSETS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p>
      <w:pPr>
        <w:pStyle w:val="TextBody"/>
        <w:bidi w:val="0"/>
        <w:spacing w:before="0" w:after="0"/>
        <w:jc w:val="left"/>
        <w:rPr/>
      </w:pPr>
      <w:r>
        <w:rPr/>
      </w:r>
    </w:p>
    <w:tbl>
      <w:tblPr>
        <w:tblW w:w="7164" w:type="dxa"/>
        <w:jc w:val="left"/>
        <w:tblInd w:w="0" w:type="dxa"/>
        <w:tblLayout w:type="fixed"/>
        <w:tblCellMar>
          <w:top w:w="28" w:type="dxa"/>
          <w:left w:w="28" w:type="dxa"/>
          <w:bottom w:w="28" w:type="dxa"/>
          <w:right w:w="28" w:type="dxa"/>
        </w:tblCellMar>
      </w:tblPr>
      <w:tblGrid>
        <w:gridCol w:w="1345"/>
        <w:gridCol w:w="1186"/>
        <w:gridCol w:w="1188"/>
        <w:gridCol w:w="282"/>
        <w:gridCol w:w="966"/>
        <w:gridCol w:w="146"/>
        <w:gridCol w:w="109"/>
        <w:gridCol w:w="109"/>
        <w:gridCol w:w="109"/>
        <w:gridCol w:w="335"/>
        <w:gridCol w:w="1145"/>
        <w:gridCol w:w="244"/>
      </w:tblGrid>
      <w:tr>
        <w:trPr/>
        <w:tc>
          <w:tcPr>
            <w:tcW w:w="134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fees and services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Agent incentive advances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net of allowance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marketing</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income taxes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10,561 </w:t>
            </w:r>
          </w:p>
        </w:tc>
        <w:tc>
          <w:tcPr>
            <w:tcW w:w="1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10,998 </w:t>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p>
      <w:pPr>
        <w:pStyle w:val="TextBody"/>
        <w:bidi w:val="0"/>
        <w:spacing w:before="0" w:after="0"/>
        <w:jc w:val="left"/>
        <w:rPr/>
      </w:pPr>
      <w:r>
        <w:rPr/>
      </w:r>
    </w:p>
    <w:tbl>
      <w:tblPr>
        <w:tblW w:w="8065" w:type="dxa"/>
        <w:jc w:val="left"/>
        <w:tblInd w:w="0" w:type="dxa"/>
        <w:tblLayout w:type="fixed"/>
        <w:tblCellMar>
          <w:top w:w="28" w:type="dxa"/>
          <w:left w:w="28" w:type="dxa"/>
          <w:bottom w:w="28" w:type="dxa"/>
          <w:right w:w="28" w:type="dxa"/>
        </w:tblCellMar>
      </w:tblPr>
      <w:tblGrid>
        <w:gridCol w:w="1673"/>
        <w:gridCol w:w="1472"/>
        <w:gridCol w:w="1475"/>
        <w:gridCol w:w="282"/>
        <w:gridCol w:w="966"/>
        <w:gridCol w:w="146"/>
        <w:gridCol w:w="109"/>
        <w:gridCol w:w="109"/>
        <w:gridCol w:w="109"/>
        <w:gridCol w:w="335"/>
        <w:gridCol w:w="1145"/>
        <w:gridCol w:w="244"/>
      </w:tblGrid>
      <w:tr>
        <w:trPr/>
        <w:tc>
          <w:tcPr>
            <w:tcW w:w="16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origination fees</w:t>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1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Agent incentive advances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net of allowance</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 by seized banking entities, net of allowance</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30,787 </w:t>
            </w:r>
          </w:p>
        </w:tc>
        <w:tc>
          <w:tcPr>
            <w:tcW w:w="1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32,198 </w:t>
            </w:r>
          </w:p>
        </w:tc>
        <w:tc>
          <w:tcPr>
            <w:tcW w:w="2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2022, local banking regulators in Mexico resolved to close and liquidate a local financial institution, citing a lack of compliance with minimum capital requirements. The Company has approximately $5.4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any of the Company's funds on deposit. The Company maintains a valuation allowance of approximately $3.8 million as of March 31, 2025 in connection with the balance of deposits held by the financial institution as a result of its closure, which has not materially changed since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6 – GOODWILL AND INTANGIBLE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the majority of intangible assets on the condensed consolidated balance sheets of the Company were recognized from business acquisition transactions. Intangible assets on the condensed consolidated balance sheets of the Company consist of agent relationships, trade names, developed technology and other intangible assets. Agent relationships, trade names and developed technology are amortized over their estimated useful lives of up to 15 years using an accelerated method that correlates with the projected realization of the benefit. The agent relationships intangible represents the network of independent sending agents; trade names refers to the Intermex, La Nacional, Amigo Paisano and I-Transfer names, branded on all applicable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and non-competition agreements, which are amortized over the length of the agreement, typically 5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months ended March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goodwill and intangible assets (in thousands):</w:t>
      </w:r>
    </w:p>
    <w:p>
      <w:pPr>
        <w:pStyle w:val="TextBody"/>
        <w:bidi w:val="0"/>
        <w:spacing w:before="0" w:after="0"/>
        <w:jc w:val="both"/>
        <w:rPr/>
      </w:pPr>
      <w:r>
        <w:rPr/>
      </w:r>
    </w:p>
    <w:tbl>
      <w:tblPr>
        <w:tblW w:w="5048" w:type="dxa"/>
        <w:jc w:val="left"/>
        <w:tblInd w:w="0" w:type="dxa"/>
        <w:tblLayout w:type="fixed"/>
        <w:tblCellMar>
          <w:top w:w="28" w:type="dxa"/>
          <w:left w:w="28" w:type="dxa"/>
          <w:bottom w:w="28" w:type="dxa"/>
          <w:right w:w="28" w:type="dxa"/>
        </w:tblCellMar>
      </w:tblPr>
      <w:tblGrid>
        <w:gridCol w:w="939"/>
        <w:gridCol w:w="825"/>
        <w:gridCol w:w="830"/>
        <w:gridCol w:w="211"/>
        <w:gridCol w:w="721"/>
        <w:gridCol w:w="109"/>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agent locations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26,058 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for the remainder of 2025 and thereafter is as follows (in thousands):</w:t>
      </w:r>
    </w:p>
    <w:p>
      <w:pPr>
        <w:pStyle w:val="TextBody"/>
        <w:bidi w:val="0"/>
        <w:spacing w:before="0" w:after="0"/>
        <w:jc w:val="both"/>
        <w:rPr/>
      </w:pPr>
      <w:r>
        <w:rPr/>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26,058 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7 – LEASES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conduct certain of our operations, the Company is a party to leases for office space, warehouses and Company-operated store locations and vehicles. </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of right-of-use assets and lease liabilities in the condensed consolidated balance sheets is as follows (in thousands):</w:t>
      </w:r>
    </w:p>
    <w:p>
      <w:pPr>
        <w:pStyle w:val="TextBody"/>
        <w:bidi w:val="0"/>
        <w:spacing w:before="0" w:after="0"/>
        <w:jc w:val="both"/>
        <w:rPr/>
      </w:pPr>
      <w:r>
        <w:rPr/>
      </w:r>
    </w:p>
    <w:tbl>
      <w:tblPr>
        <w:tblW w:w="8569"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804"/>
        <w:gridCol w:w="804"/>
        <w:gridCol w:w="806"/>
        <w:gridCol w:w="109"/>
        <w:gridCol w:w="109"/>
        <w:gridCol w:w="109"/>
        <w:gridCol w:w="292"/>
        <w:gridCol w:w="998"/>
        <w:gridCol w:w="150"/>
        <w:gridCol w:w="109"/>
        <w:gridCol w:w="109"/>
        <w:gridCol w:w="109"/>
        <w:gridCol w:w="344"/>
        <w:gridCol w:w="1175"/>
        <w:gridCol w:w="251"/>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9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both"/>
        <w:rPr>
          <w:rFonts w:ascii="Times New Roman;sans-serif" w:hAnsi="Times New Roman;sans-serif"/>
          <w:b w:val="false"/>
          <w:color w:val="000000"/>
          <w:sz w:val="18"/>
        </w:rPr>
      </w:pPr>
      <w:r>
        <w:rPr>
          <w:rFonts w:ascii="Times New Roman;sans-serif" w:hAnsi="Times New Roman;sans-serif"/>
          <w:b w:val="false"/>
          <w:color w:val="000000"/>
          <w:sz w:val="18"/>
        </w:rPr>
        <w:t>(1) Operating right-of-use assets are recorded net of accumulated amortization of $14.0 million and $14.5 million as of March 31, 2025 and December 31, 2024, respectively.</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for the three months ended March 31, 2025 and 2024, was as follows (in thousands):</w:t>
      </w:r>
    </w:p>
    <w:tbl>
      <w:tblPr>
        <w:tblW w:w="6822" w:type="dxa"/>
        <w:jc w:val="left"/>
        <w:tblInd w:w="0" w:type="dxa"/>
        <w:tblLayout w:type="fixed"/>
        <w:tblCellMar>
          <w:top w:w="28" w:type="dxa"/>
          <w:left w:w="28" w:type="dxa"/>
          <w:bottom w:w="28" w:type="dxa"/>
          <w:right w:w="28" w:type="dxa"/>
        </w:tblCellMar>
      </w:tblPr>
      <w:tblGrid>
        <w:gridCol w:w="712"/>
        <w:gridCol w:w="624"/>
        <w:gridCol w:w="628"/>
        <w:gridCol w:w="109"/>
        <w:gridCol w:w="109"/>
        <w:gridCol w:w="109"/>
        <w:gridCol w:w="109"/>
        <w:gridCol w:w="109"/>
        <w:gridCol w:w="109"/>
        <w:gridCol w:w="109"/>
        <w:gridCol w:w="221"/>
        <w:gridCol w:w="221"/>
        <w:gridCol w:w="221"/>
        <w:gridCol w:w="221"/>
        <w:gridCol w:w="429"/>
        <w:gridCol w:w="1253"/>
        <w:gridCol w:w="221"/>
        <w:gridCol w:w="109"/>
        <w:gridCol w:w="109"/>
        <w:gridCol w:w="109"/>
        <w:gridCol w:w="211"/>
        <w:gridCol w:w="61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96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2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Operating lease cost is included in other selling, general and administrative expenses in the condensed consolidated statements of income and comprehensive income for the three months ended March 31, 2025 and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 Company’s weighted-average remaining lease terms on its operating leases is 6.5 and 6.6 years, and the Company’s weighted-average discount rate is 6.32% and 6.31%, respectively, which is the Company’s incremental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 rate. The Company used its incremental borrowing rate for all leases, as none of the Company’s lease agreements provide a readily determinable implicit rate.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Lease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for assets under non-cancelable operating lease agreements with original terms of more than one year are as follows (in thousands):</w:t>
      </w:r>
    </w:p>
    <w:p>
      <w:pPr>
        <w:pStyle w:val="TextBody"/>
        <w:bidi w:val="0"/>
        <w:spacing w:before="0" w:after="0"/>
        <w:jc w:val="both"/>
        <w:rPr/>
      </w:pPr>
      <w:r>
        <w:rPr/>
      </w:r>
    </w:p>
    <w:tbl>
      <w:tblPr>
        <w:tblW w:w="4098" w:type="dxa"/>
        <w:jc w:val="left"/>
        <w:tblInd w:w="0" w:type="dxa"/>
        <w:tblLayout w:type="fixed"/>
        <w:tblCellMar>
          <w:top w:w="28" w:type="dxa"/>
          <w:left w:w="28" w:type="dxa"/>
          <w:bottom w:w="28" w:type="dxa"/>
          <w:right w:w="28" w:type="dxa"/>
        </w:tblCellMar>
      </w:tblPr>
      <w:tblGrid>
        <w:gridCol w:w="970"/>
        <w:gridCol w:w="852"/>
        <w:gridCol w:w="863"/>
        <w:gridCol w:w="109"/>
        <w:gridCol w:w="109"/>
        <w:gridCol w:w="109"/>
        <w:gridCol w:w="211"/>
        <w:gridCol w:w="72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23,885 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8 – WIRE TRANSFERS AND MONEY ORDERS PAYABLE, NET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 consisted of the following (in thousands):</w:t>
      </w:r>
    </w:p>
    <w:p>
      <w:pPr>
        <w:pStyle w:val="TextBody"/>
        <w:bidi w:val="0"/>
        <w:spacing w:before="0" w:after="0"/>
        <w:jc w:val="both"/>
        <w:rPr/>
      </w:pPr>
      <w:r>
        <w:rPr/>
      </w:r>
    </w:p>
    <w:tbl>
      <w:tblPr>
        <w:tblW w:w="6115" w:type="dxa"/>
        <w:jc w:val="left"/>
        <w:tblInd w:w="0" w:type="dxa"/>
        <w:tblLayout w:type="fixed"/>
        <w:tblCellMar>
          <w:top w:w="28" w:type="dxa"/>
          <w:left w:w="28" w:type="dxa"/>
          <w:bottom w:w="28" w:type="dxa"/>
          <w:right w:w="28" w:type="dxa"/>
        </w:tblCellMar>
      </w:tblPr>
      <w:tblGrid>
        <w:gridCol w:w="968"/>
        <w:gridCol w:w="849"/>
        <w:gridCol w:w="852"/>
        <w:gridCol w:w="257"/>
        <w:gridCol w:w="1006"/>
        <w:gridCol w:w="132"/>
        <w:gridCol w:w="109"/>
        <w:gridCol w:w="109"/>
        <w:gridCol w:w="109"/>
        <w:gridCol w:w="335"/>
        <w:gridCol w:w="1145"/>
        <w:gridCol w:w="24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payable, net</w:t>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46,064 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22,437 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voided wires payable</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orders payable</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115,081 </w:t>
            </w:r>
          </w:p>
        </w:tc>
        <w:tc>
          <w:tcPr>
            <w:tcW w:w="1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85,044 </w:t>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9 – ACCRUED AND OTHER LIABILITIES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 consisted of the following (in thousands):</w:t>
      </w:r>
    </w:p>
    <w:p>
      <w:pPr>
        <w:pStyle w:val="TextBody"/>
        <w:bidi w:val="0"/>
        <w:spacing w:before="0" w:after="0"/>
        <w:jc w:val="left"/>
        <w:rPr/>
      </w:pPr>
      <w:r>
        <w:rPr/>
      </w:r>
    </w:p>
    <w:tbl>
      <w:tblPr>
        <w:tblW w:w="6819" w:type="dxa"/>
        <w:jc w:val="left"/>
        <w:tblInd w:w="0" w:type="dxa"/>
        <w:tblLayout w:type="fixed"/>
        <w:tblCellMar>
          <w:top w:w="28" w:type="dxa"/>
          <w:left w:w="28" w:type="dxa"/>
          <w:bottom w:w="28" w:type="dxa"/>
          <w:right w:w="28" w:type="dxa"/>
        </w:tblCellMar>
      </w:tblPr>
      <w:tblGrid>
        <w:gridCol w:w="1221"/>
        <w:gridCol w:w="1074"/>
        <w:gridCol w:w="1079"/>
        <w:gridCol w:w="282"/>
        <w:gridCol w:w="966"/>
        <w:gridCol w:w="146"/>
        <w:gridCol w:w="109"/>
        <w:gridCol w:w="109"/>
        <w:gridCol w:w="109"/>
        <w:gridCol w:w="335"/>
        <w:gridCol w:w="1145"/>
        <w:gridCol w:w="244"/>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payable to sending agents</w:t>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17,925 </w:t>
            </w:r>
          </w:p>
        </w:tc>
        <w:tc>
          <w:tcPr>
            <w:tcW w:w="1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bank charges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 portion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loyalty program</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liabilities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transaction costs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47,977 </w:t>
            </w:r>
          </w:p>
        </w:tc>
        <w:tc>
          <w:tcPr>
            <w:tcW w:w="1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47,434 </w:t>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changes in the deferred revenue loyalty program liability (in thousands):</w:t>
      </w:r>
    </w:p>
    <w:p>
      <w:pPr>
        <w:pStyle w:val="TextBody"/>
        <w:bidi w:val="0"/>
        <w:spacing w:before="0" w:after="0"/>
        <w:jc w:val="left"/>
        <w:rPr/>
      </w:pPr>
      <w:r>
        <w:rPr/>
      </w:r>
    </w:p>
    <w:tbl>
      <w:tblPr>
        <w:tblW w:w="7449" w:type="dxa"/>
        <w:jc w:val="left"/>
        <w:tblInd w:w="0" w:type="dxa"/>
        <w:tblLayout w:type="fixed"/>
        <w:tblCellMar>
          <w:top w:w="28" w:type="dxa"/>
          <w:left w:w="28" w:type="dxa"/>
          <w:bottom w:w="28" w:type="dxa"/>
          <w:right w:w="28" w:type="dxa"/>
        </w:tblCellMar>
      </w:tblPr>
      <w:tblGrid>
        <w:gridCol w:w="1174"/>
        <w:gridCol w:w="1030"/>
        <w:gridCol w:w="1036"/>
        <w:gridCol w:w="109"/>
        <w:gridCol w:w="109"/>
        <w:gridCol w:w="213"/>
        <w:gridCol w:w="213"/>
        <w:gridCol w:w="213"/>
        <w:gridCol w:w="213"/>
        <w:gridCol w:w="413"/>
        <w:gridCol w:w="1205"/>
        <w:gridCol w:w="213"/>
        <w:gridCol w:w="109"/>
        <w:gridCol w:w="109"/>
        <w:gridCol w:w="109"/>
        <w:gridCol w:w="211"/>
        <w:gridCol w:w="616"/>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21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10 – DEBT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primarily of the following (in thousands):</w:t>
      </w:r>
    </w:p>
    <w:p>
      <w:pPr>
        <w:pStyle w:val="TextBody"/>
        <w:bidi w:val="0"/>
        <w:spacing w:before="0" w:after="0"/>
        <w:jc w:val="left"/>
        <w:rPr/>
      </w:pPr>
      <w:r>
        <w:rPr/>
      </w:r>
    </w:p>
    <w:tbl>
      <w:tblPr>
        <w:tblW w:w="5576" w:type="dxa"/>
        <w:jc w:val="left"/>
        <w:tblInd w:w="0" w:type="dxa"/>
        <w:tblLayout w:type="fixed"/>
        <w:tblCellMar>
          <w:top w:w="28" w:type="dxa"/>
          <w:left w:w="28" w:type="dxa"/>
          <w:bottom w:w="28" w:type="dxa"/>
          <w:right w:w="28" w:type="dxa"/>
        </w:tblCellMar>
      </w:tblPr>
      <w:tblGrid>
        <w:gridCol w:w="771"/>
        <w:gridCol w:w="677"/>
        <w:gridCol w:w="681"/>
        <w:gridCol w:w="257"/>
        <w:gridCol w:w="1006"/>
        <w:gridCol w:w="132"/>
        <w:gridCol w:w="109"/>
        <w:gridCol w:w="109"/>
        <w:gridCol w:w="109"/>
        <w:gridCol w:w="305"/>
        <w:gridCol w:w="1197"/>
        <w:gridCol w:w="223"/>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147,365 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156,600 </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156,623 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9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Until August 28, 2024, the Company and certain of its domestic subsidiaries as borrowers and the other guarantors from time to time party thereto (collectively, the “Loan Parties”) maintained an Amended and Restated Credit Agreement (as amended, the “A&amp;R Credit Agreement”) with a group of banking institutions. The A&amp;R Credit Agreement provided for a $220.0 million revolving credit facility, an $87.5 million term loan facility and an uncommitted incremental facility, which may have been utilized for additional revolving or term loans, of up to $70.0 million. The A&amp;R Credit Agreement also provided for the issuance of letters of credit, which would reduce availability under the revolving credit facility. The proceeds of the term loan were used to refinance the existing term loan facility under the Company’s previous credit agreement, and the revolving credit facility was available for working capital, general corporate purposes and to pay fees and expenses in connection with entry into the A&amp;R Credit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election of the Company, interest on the term loan facility and revolving loans under the A&amp;R Credit Agreement were determined by reference to the secured overnight financing rate as administered by the Federal Reserve Bank of New York ("SOFR") plus an index adjustment of 0.10% and an applicable margin ranging between 2.50% and 3.00% based upon the Company’s consolidated leverage ratio, as calculated pursuant to the terms of the A&amp;R Credit Agreement. Loans (other than Term Loans, as defined in the A&amp;R Credit Agreement), were subject to interest at the base rate plus an applicable margin ranging between 1.50% and 2.00% based upon the Company’s consolidated leverage ratio, as so calculated. The Company was also required to pay a fee on the unused portion of the revolving credit facility equal to 0.35%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29, 2024, the Company entered into a Second Amended and Restated Credit Agreement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A portion of the initial borrowings under the new revolving credit facility were used to repay in full the remaining outstanding balance of the Company’s term loan under the A&amp;R Credit Agreement and to pay the costs associated with establishing the new revolving credit facility. Borrowings under the Second A&amp;R Credit Agreement are available for general corporate purposes to support the Company’s growth, as well as to fund share repurchases.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Entering into the Second A&amp;R credit agreement was accounted for as a debt modification. The unamortized portion of debt origination costs primarily related to the Second A&amp;R Credit Agreement totaled approximately $4.3 million and $4.6 million at March 31, 2025 and December 31, 2024, respectively. Amortization of debt origination costs is included as a component of interest expense in the condensed consolidated statements of income and comprehensive income and amounted to approximately $0.3 million for both the three months ended March 31, 2025 and 2024,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Second A&amp;R Credit Agreement and at the election of the Company, interest on the revolving loans denominated in U.S. Dollars is determined by reference to either (i) the secured overnight financing rate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for the revolving credit facility was 2.57% for the three months ended March 31, 2025. The effective interest rates for the term loan facility and revolving credit facility were 8.70% and 1.93%, respectively, for the three months ended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A&amp;R Credit Agreement also provides the Company with increased flexibility to make certain restricted payments, including the repurchase shares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 As of March 31, 2025, we were in compliance with these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Second A&amp;R Credit Agreement are guaranteed by the Company and certain domestic subsidiaries of the Company and secured by liens on substantially all of the assets of the Loan Parties, subject to certain exclusions and limitations.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11 – FAIR VALUE MEASUREMENTS</w:t>
      </w:r>
    </w:p>
    <w:p>
      <w:pPr>
        <w:pStyle w:val="TextBody"/>
        <w:bidi w:val="0"/>
        <w:spacing w:lineRule="auto" w:line="288" w:before="0" w:after="0"/>
        <w:jc w:val="both"/>
        <w:rPr/>
      </w:pPr>
      <w:r>
        <w:rPr>
          <w:rFonts w:ascii="Times New Roman;sans-serif" w:hAnsi="Times New Roman;sans-serif"/>
          <w:b w:val="false"/>
          <w:color w:val="000000"/>
          <w:sz w:val="20"/>
        </w:rPr>
        <w:t xml:space="preserve">The Company determines fair value in accordance with the provisions of FASB guidance,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xml:space="preserve">,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non-financial assets measured at fair value on a nonrecurring basis include goodwill and intangible assets. The determination of our intangible fair values is based on a discounted cash flows analysis that includes several assumptions and inputs to measure the economic benefit of these assets over their useful lives,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are carried at amortized cost. The Company’s cash and cash equivalents balances are representative of their fair values as these balances are comprised of deposits available on demand or overnight. The carrying amounts of accounts receivable, agent advances receivable, prepaid wires, accounts payable and wire transfers and money orders payable are representative of their fair values because of the short turnover of these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liabilities include its revolving credit facility. The estimated fair value of the revolving credit facility would approximate book value given the payment schedule and interest rate structure, which approximates current market interest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financial instruments that are not measured at fair value, categorized based upon the fair value hierarchy (in thousands):</w:t>
      </w:r>
    </w:p>
    <w:p>
      <w:pPr>
        <w:pStyle w:val="TextBody"/>
        <w:bidi w:val="0"/>
        <w:spacing w:before="0" w:after="0"/>
        <w:jc w:val="both"/>
        <w:rPr/>
      </w:pPr>
      <w:r>
        <w:rPr/>
      </w:r>
    </w:p>
    <w:tbl>
      <w:tblPr>
        <w:tblW w:w="7121" w:type="dxa"/>
        <w:jc w:val="left"/>
        <w:tblInd w:w="0" w:type="dxa"/>
        <w:tblLayout w:type="fixed"/>
        <w:tblCellMar>
          <w:top w:w="28" w:type="dxa"/>
          <w:left w:w="28" w:type="dxa"/>
          <w:bottom w:w="28" w:type="dxa"/>
          <w:right w:w="28" w:type="dxa"/>
        </w:tblCellMar>
      </w:tblPr>
      <w:tblGrid>
        <w:gridCol w:w="1234"/>
        <w:gridCol w:w="1082"/>
        <w:gridCol w:w="1088"/>
        <w:gridCol w:w="211"/>
        <w:gridCol w:w="826"/>
        <w:gridCol w:w="109"/>
        <w:gridCol w:w="109"/>
        <w:gridCol w:w="109"/>
        <w:gridCol w:w="109"/>
        <w:gridCol w:w="211"/>
        <w:gridCol w:w="826"/>
        <w:gridCol w:w="109"/>
        <w:gridCol w:w="109"/>
        <w:gridCol w:w="109"/>
        <w:gridCol w:w="109"/>
        <w:gridCol w:w="211"/>
        <w:gridCol w:w="40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net of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121" w:type="dxa"/>
        <w:jc w:val="left"/>
        <w:tblInd w:w="0" w:type="dxa"/>
        <w:tblLayout w:type="fixed"/>
        <w:tblCellMar>
          <w:top w:w="28" w:type="dxa"/>
          <w:left w:w="28" w:type="dxa"/>
          <w:bottom w:w="28" w:type="dxa"/>
          <w:right w:w="28" w:type="dxa"/>
        </w:tblCellMar>
      </w:tblPr>
      <w:tblGrid>
        <w:gridCol w:w="1234"/>
        <w:gridCol w:w="1082"/>
        <w:gridCol w:w="1088"/>
        <w:gridCol w:w="211"/>
        <w:gridCol w:w="826"/>
        <w:gridCol w:w="109"/>
        <w:gridCol w:w="109"/>
        <w:gridCol w:w="109"/>
        <w:gridCol w:w="109"/>
        <w:gridCol w:w="211"/>
        <w:gridCol w:w="826"/>
        <w:gridCol w:w="109"/>
        <w:gridCol w:w="109"/>
        <w:gridCol w:w="109"/>
        <w:gridCol w:w="109"/>
        <w:gridCol w:w="211"/>
        <w:gridCol w:w="40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net of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assets measured at fair value on a non-recurring basis at the dates indicated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tbl>
      <w:tblPr>
        <w:tblW w:w="5260" w:type="dxa"/>
        <w:jc w:val="left"/>
        <w:tblInd w:w="0" w:type="dxa"/>
        <w:tblLayout w:type="fixed"/>
        <w:tblCellMar>
          <w:top w:w="28" w:type="dxa"/>
          <w:left w:w="28" w:type="dxa"/>
          <w:bottom w:w="28" w:type="dxa"/>
          <w:right w:w="28" w:type="dxa"/>
        </w:tblCellMar>
      </w:tblPr>
      <w:tblGrid>
        <w:gridCol w:w="657"/>
        <w:gridCol w:w="576"/>
        <w:gridCol w:w="582"/>
        <w:gridCol w:w="282"/>
        <w:gridCol w:w="966"/>
        <w:gridCol w:w="146"/>
        <w:gridCol w:w="109"/>
        <w:gridCol w:w="109"/>
        <w:gridCol w:w="109"/>
        <w:gridCol w:w="335"/>
        <w:gridCol w:w="1145"/>
        <w:gridCol w:w="244"/>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82,042 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12 – SHARE-BASED COMPENSATION</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International Money Express, Inc. Omnibus Equity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certain service providers and independent directors of the Company. There are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March 31, 2025, 1.1 million shares remained available for future awards under the 2020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 Options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each option grant is estimated on the grant date using the Black-Scholes option pricing model (“BSM”). The option pricing model requires the input of certain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$44.4 thousand for the three months ended March 31, 2024 (none in the three months ended March 31, 2025), which is included in salaries and benefits in the condensed consolidated statement of income and comprehensive income. As of March 31, 2025, there is no unrecognized compensation expense related to stock options.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the Plans during the three months ended March 31, 2025 is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9"/>
        <w:gridCol w:w="886"/>
        <w:gridCol w:w="891"/>
        <w:gridCol w:w="413"/>
        <w:gridCol w:w="413"/>
        <w:gridCol w:w="315"/>
        <w:gridCol w:w="109"/>
        <w:gridCol w:w="109"/>
        <w:gridCol w:w="109"/>
        <w:gridCol w:w="368"/>
        <w:gridCol w:w="1076"/>
        <w:gridCol w:w="192"/>
        <w:gridCol w:w="109"/>
        <w:gridCol w:w="109"/>
        <w:gridCol w:w="109"/>
        <w:gridCol w:w="658"/>
        <w:gridCol w:w="658"/>
        <w:gridCol w:w="660"/>
        <w:gridCol w:w="109"/>
        <w:gridCol w:w="109"/>
        <w:gridCol w:w="109"/>
        <w:gridCol w:w="404"/>
        <w:gridCol w:w="980"/>
        <w:gridCol w:w="301"/>
      </w:tblGrid>
      <w:tr>
        <w:trPr/>
        <w:tc>
          <w:tcPr>
            <w:tcW w:w="10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Date</w:t>
              <w:br/>
              <w:t>Fair Value</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82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151,125 </w:t>
            </w:r>
          </w:p>
        </w:tc>
        <w:tc>
          <w:tcPr>
            <w:tcW w:w="31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Exercised</w:t>
            </w:r>
            <w:r>
              <w:rPr>
                <w:rFonts w:ascii="Times New Roman;sans-serif" w:hAnsi="Times New Roman;sans-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151,125 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Exercisable at March 31, 2025</w:t>
            </w:r>
            <w:r>
              <w:rPr>
                <w:rFonts w:ascii="Times New Roman;sans-serif" w:hAnsi="Times New Roman;sans-serif"/>
                <w:b w:val="false"/>
                <w:color w:val="000000"/>
                <w:sz w:val="13"/>
              </w:rPr>
              <w:t>(2)</w:t>
            </w:r>
          </w:p>
        </w:tc>
        <w:tc>
          <w:tcPr>
            <w:tcW w:w="826"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151,125 </w:t>
            </w:r>
          </w:p>
        </w:tc>
        <w:tc>
          <w:tcPr>
            <w:tcW w:w="31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aggregate intrinsic value of stock options exercised during the three months ended March 31, 2024 was approximately $2.4 million (none in 2025).</w:t>
      </w:r>
    </w:p>
    <w:p>
      <w:pPr>
        <w:pStyle w:val="TextBody"/>
        <w:bidi w:val="0"/>
        <w:spacing w:lineRule="auto" w:line="288"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aggregate fair value of all vested/exercisable options outstanding as of March 31, 2025 was $0.7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RSUs granted under the 2020 Plan to the Company’s employees or certain service providers generally vest in four equal annual installments beginning one year after the date of the grant, while RSUs issued to the Company’s independent directors generally vest on the one-year anniversary from the grant date. The Company recognized compensation expense for all RSUs of approximately $0.9 million and $1.0 million for the three months ended March 31, 2025 and 2024, respectively, which are included in salaries and benefits in the condensed consolidated statements of income and comprehensive income. As of March 31, 2025, unrecognized compensation expense related to RSUs of approximately $9.3 million is expected to be recognized over a weighted-average period of 2.0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during the three months ended March 31, 2025 is presented below:</w:t>
      </w:r>
    </w:p>
    <w:p>
      <w:pPr>
        <w:pStyle w:val="TextBody"/>
        <w:bidi w:val="0"/>
        <w:spacing w:before="0" w:after="0"/>
        <w:jc w:val="both"/>
        <w:rPr/>
      </w:pPr>
      <w:r>
        <w:rPr/>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2024</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432,316 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254,575 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(95,515)</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March 31, 2025</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567,498 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aggregate fair value of all RSUs granted during the three months ended March 31, 2025 was approximately $4.1 million.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911 fully vested shares were granted to the Lead Independent Director and Chairs of the Committees of the Board of Directors. The Company recognized compensation expense for the share awards of $20.1 thousand for the three months ended March 31, 2024 (none in 2025), which are included in salaries and benefits in the condensed consolidated statement of income and comprehensive income. Effective in the second quarter of 2024, the grant of share awards to certain of the Company's independent directors was replaced with the grant of RSAs as described below.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RSAs issued under the 2020 Plan to the Company’s employees generally vest in four equal annual installments beginning one year after the date of grant, while RSAs issued to certain of the Company’s independent directors vest at the end of the three-month calendar quarter in which the grant is made. The Company recognized compensation expense for RSAs granted of $0.5 million and $0.4 million for the three months ended March 31, 2025 and 2024, respectively, which is included in salaries and benefits in the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of income and comprehensive income. As of March 31, 2025, there was $5.0 million of unrecognized compensation expense related to RSAs, which is expected to be recognized over a weighted-average period of 2.0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RSA activity during the three months ended March 31, 2025 is presented below:</w:t>
      </w:r>
    </w:p>
    <w:p>
      <w:pPr>
        <w:pStyle w:val="TextBody"/>
        <w:bidi w:val="0"/>
        <w:spacing w:before="0" w:after="0"/>
        <w:jc w:val="both"/>
        <w:rPr/>
      </w:pPr>
      <w:r>
        <w:rPr/>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2024</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227,518 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(90,508)</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March 31, 2025</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258,835 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aggregate fair value of all RSAs granted during the three months ended March 31, 2025 was approximately $2.2 million.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Performance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PSUs granted under the 2020 Plan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adjusted earnings per share targets for a period of up to three years combined with a service period of three years. Compensation cost is recognized over the requisite service period when it is probable that the performance condition will be satisfied.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compensation expense for PSUs of $0.3 million and $0.7 million for the three months ended March 31, 2025 and 2024, respectively, which is included in salaries and benefits in the condensed consolidated statements of income and comprehensive income. As of March 31, 2025, there was $2.3 million of unrecognized compensation expense related to PSUs, which is expected to be recognized over a weighted-average period of 1.8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PSU activity during the three months ended March 31, 2025 is presented below:</w:t>
      </w:r>
    </w:p>
    <w:p>
      <w:pPr>
        <w:pStyle w:val="TextBody"/>
        <w:bidi w:val="0"/>
        <w:spacing w:before="0" w:after="0"/>
        <w:jc w:val="both"/>
        <w:rPr/>
      </w:pPr>
      <w:r>
        <w:rPr/>
      </w:r>
    </w:p>
    <w:tbl>
      <w:tblPr>
        <w:tblW w:w="9712" w:type="dxa"/>
        <w:jc w:val="left"/>
        <w:tblInd w:w="0" w:type="dxa"/>
        <w:tblLayout w:type="fixed"/>
        <w:tblCellMar>
          <w:top w:w="28" w:type="dxa"/>
          <w:left w:w="28" w:type="dxa"/>
          <w:bottom w:w="28" w:type="dxa"/>
          <w:right w:w="28" w:type="dxa"/>
        </w:tblCellMar>
      </w:tblPr>
      <w:tblGrid>
        <w:gridCol w:w="1429"/>
        <w:gridCol w:w="1254"/>
        <w:gridCol w:w="1261"/>
        <w:gridCol w:w="474"/>
        <w:gridCol w:w="474"/>
        <w:gridCol w:w="476"/>
        <w:gridCol w:w="109"/>
        <w:gridCol w:w="109"/>
        <w:gridCol w:w="109"/>
        <w:gridCol w:w="669"/>
        <w:gridCol w:w="669"/>
        <w:gridCol w:w="671"/>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2024</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321,530 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March 31, 2025</w:t>
            </w:r>
          </w:p>
        </w:tc>
        <w:tc>
          <w:tcPr>
            <w:tcW w:w="94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321,530 </w:t>
            </w:r>
          </w:p>
        </w:tc>
        <w:tc>
          <w:tcPr>
            <w:tcW w:w="4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13 – EQUITY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18, 2021, the Company’s Board of Directors approved a stock repurchase program that authorizes the Company to purchase up to $40.0 million of outstanding shares of the Company’s common stock and which was increased on March 3, 2023 to an additional $100.0 million and on August 26, 2024 to an additional $63.8 million of its outstanding shares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(i) without limitation so long as the Consolidated Leverage Ratio (as defined in the Second A&amp;R Credit Agreement), as of the then most recently completed four fiscal quarters of the Company, after giving pro forma effect to such restricted payments, is 2.50:1.00 or less, (ii) that do not exceed, in the aggregate during any fiscal year, the greater of (x) $30.3 million and (y) 25.00% of Consolidated EBITDA (as defined in the Second A&amp;R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Credit Agreement) for the then most recently completed four fiscal quarters of the Company and (iii) to repurchase Company common stock from current or former employees in an aggregate amount of up to $15.0 million per calendar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purchases of treasury stock under the cost method. Any direct costs incurred to acquire treasury stock are considered stock issue costs and added to the cost of the treasury stock. Separately from the Repurchase Program, on March 12, 2025 the Company entered into an agreement with Latin-American Investment Holdings Inc., a related party, for the purchase of 100,000 shares of the Company's common stock for a total purchase price of $1.3 million, in a privately-negotiated transaction. During the three months ended March 31, 2025, including the shares previously mentioned, the Company purchased 367,873 shares for an aggregate purchase price of $5.0 million. During the three months ended March 31, 2024, the Company purchased 1,124,476 shares for an aggregate purchase price of $23.4 million. As of March 31, 2025, there was $59.5 million available for future share repurchases under the Repurchase Program.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14 – EARNINGS PER SHARE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Below are basic and diluted earnings per share for the periods indicated (in thousands, except for share data):</w:t>
      </w:r>
    </w:p>
    <w:p>
      <w:pPr>
        <w:pStyle w:val="TextBody"/>
        <w:bidi w:val="0"/>
        <w:spacing w:before="0" w:after="0"/>
        <w:jc w:val="both"/>
        <w:rPr/>
      </w:pPr>
      <w:r>
        <w:rPr/>
      </w:r>
    </w:p>
    <w:tbl>
      <w:tblPr>
        <w:tblW w:w="9158" w:type="dxa"/>
        <w:jc w:val="left"/>
        <w:tblInd w:w="0" w:type="dxa"/>
        <w:tblLayout w:type="fixed"/>
        <w:tblCellMar>
          <w:top w:w="28" w:type="dxa"/>
          <w:left w:w="28" w:type="dxa"/>
          <w:bottom w:w="28" w:type="dxa"/>
          <w:right w:w="28" w:type="dxa"/>
        </w:tblCellMar>
      </w:tblPr>
      <w:tblGrid>
        <w:gridCol w:w="1699"/>
        <w:gridCol w:w="1491"/>
        <w:gridCol w:w="1505"/>
        <w:gridCol w:w="109"/>
        <w:gridCol w:w="109"/>
        <w:gridCol w:w="213"/>
        <w:gridCol w:w="213"/>
        <w:gridCol w:w="213"/>
        <w:gridCol w:w="213"/>
        <w:gridCol w:w="413"/>
        <w:gridCol w:w="1205"/>
        <w:gridCol w:w="213"/>
        <w:gridCol w:w="109"/>
        <w:gridCol w:w="109"/>
        <w:gridCol w:w="109"/>
        <w:gridCol w:w="244"/>
        <w:gridCol w:w="837"/>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30,587,949 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33,675,441 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30,831,633 </w:t>
            </w:r>
          </w:p>
        </w:tc>
        <w:tc>
          <w:tcPr>
            <w:tcW w:w="21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34,188,814 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were approximately 300.3 thousand RSUs and 168.0 thousand RSAs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were approximately 77.9 thousand PSUs, 202.8 thousand RSUs and 108.3 thousand RSAs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13, the Company repurchased 367,873 shares and 1,124,476 shares of its common stock in the three months ended March 31, 2025 and 2024, respectively. The effect of these repurchases on the Company’s weighted-average shares outstanding for the three months ended March 31, 2025 and 2024 was a reduction of 69,236 shares and 386,747 shares, respectively, due to the timing of the repurchases.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15 – INCOME TAXES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the income tax provision at the U.S. statutory tax rate and the Company’s income tax provision on the condensed consolidated statements of income and comprehensive income is below (in thousands, except for tax rates):</w:t>
      </w:r>
    </w:p>
    <w:p>
      <w:pPr>
        <w:pStyle w:val="TextBody"/>
        <w:bidi w:val="0"/>
        <w:spacing w:before="0" w:after="0"/>
        <w:jc w:val="left"/>
        <w:rPr/>
      </w:pPr>
      <w:r>
        <w:rPr/>
      </w:r>
    </w:p>
    <w:tbl>
      <w:tblPr>
        <w:tblW w:w="7716" w:type="dxa"/>
        <w:jc w:val="left"/>
        <w:tblInd w:w="0" w:type="dxa"/>
        <w:tblLayout w:type="fixed"/>
        <w:tblCellMar>
          <w:top w:w="28" w:type="dxa"/>
          <w:left w:w="28" w:type="dxa"/>
          <w:bottom w:w="28" w:type="dxa"/>
          <w:right w:w="28" w:type="dxa"/>
        </w:tblCellMar>
      </w:tblPr>
      <w:tblGrid>
        <w:gridCol w:w="1488"/>
        <w:gridCol w:w="1305"/>
        <w:gridCol w:w="1316"/>
        <w:gridCol w:w="109"/>
        <w:gridCol w:w="109"/>
        <w:gridCol w:w="139"/>
        <w:gridCol w:w="139"/>
        <w:gridCol w:w="269"/>
        <w:gridCol w:w="921"/>
        <w:gridCol w:w="346"/>
        <w:gridCol w:w="109"/>
        <w:gridCol w:w="109"/>
        <w:gridCol w:w="109"/>
        <w:gridCol w:w="211"/>
        <w:gridCol w:w="721"/>
        <w:gridCol w:w="316"/>
      </w:tblGrid>
      <w:tr>
        <w:trPr/>
        <w:tc>
          <w:tcPr>
            <w:tcW w:w="148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575"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11,375 </w:t>
            </w:r>
          </w:p>
        </w:tc>
        <w:tc>
          <w:tcPr>
            <w:tcW w:w="3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16,884 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3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expense,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rates different from U.S.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34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3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includes the expected benefit of all deferred tax assets, including our net operating loss carryforwards. With certain exceptions, these net operating loss carryforwards will expire from 2030 through 2037 for federal losses, from 2028 through 2038 for state losses, and from 2038 through 2044 for foreign losses. After consideration of all evidence, both positive and negative, management has determined that no valuation allowance is required at March 31, 2025 on the Company’s U.S. federal or state deferred tax assets; however, a valuation allowance has been recorded at March 31, 2025 on deferred tax assets associated with Canadian, Spanish, Italian, German, Dutch and British net operating loss carryforwards as these foreign subsidiaries have a history of incurring taxable losses in recent years. The valuation allowance will be maintained until sufficient positive evidence exists to support their future realization. Utilization of the Company’s net operating loss carryforwards is subject to limitation under Internal Revenue Code Section 382 and similar tax provisions in the foreign jurisdictions in which we operate.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presented in the income tax reconciliation above, the tax provision recognized on the condensed consolidated statements of income and comprehensive income was impacted by state taxes, non-deductible officer compensation and share-based compensation tax expense, and foreign tax rates applicable to the Company’s foreign subsidiaries that are higher or lower than the U.S. statutory rate. Our effective state tax rate for the three months ended March 31, 2025 was higher than our effective state tax rate for the three ended March 31, 2024. The increase in our effective state tax rate is primarily a result of lower share-based compensation tax benefits.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16 – SEGMENT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leading global omnichannel money remittance services company focused primarily on the U.S. to LAC corridor, which includes Mexico, Central and South America and the Caribbean. We also provide our remittances services to Africa and Asia from the United States and offer sending services from Canada to Latin America and Africa, as well as remittance services from Spain, Italy, the United Kingdom and Germany to Africa, Asia, Europe and Latin America. The Company has identified one operating and reportable segment. The Company defines its segment on the basis of the way in which internally reported financial information is regularly reviewed by the Company’s chief operating decision maker (the “CODM”) to analyze financial performance, make decisions, and allocate resources.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CODM is Robert Lisy, Chairman, Chief Executive Officer and President. The CODM uses the Company’s consolidated financial results as a basis for making key operating decisions. Examples of key operating decisions include entering new markets, stock repurchases, and managing liquidity. The CODM considers Net Income as one of the relevant metrics in his decision making process.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about the Company's measure of segment performance and significant expense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before="0" w:after="0"/>
        <w:jc w:val="both"/>
        <w:rPr/>
      </w:pPr>
      <w:r>
        <w:rPr/>
      </w:r>
    </w:p>
    <w:tbl>
      <w:tblPr>
        <w:tblW w:w="5934" w:type="dxa"/>
        <w:jc w:val="left"/>
        <w:tblInd w:w="0" w:type="dxa"/>
        <w:tblLayout w:type="fixed"/>
        <w:tblCellMar>
          <w:top w:w="28" w:type="dxa"/>
          <w:left w:w="28" w:type="dxa"/>
          <w:bottom w:w="28" w:type="dxa"/>
          <w:right w:w="28" w:type="dxa"/>
        </w:tblCellMar>
      </w:tblPr>
      <w:tblGrid>
        <w:gridCol w:w="1186"/>
        <w:gridCol w:w="1039"/>
        <w:gridCol w:w="1045"/>
        <w:gridCol w:w="211"/>
        <w:gridCol w:w="826"/>
        <w:gridCol w:w="109"/>
        <w:gridCol w:w="109"/>
        <w:gridCol w:w="109"/>
        <w:gridCol w:w="109"/>
        <w:gridCol w:w="211"/>
        <w:gridCol w:w="82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w:t>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150,412 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Payer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charges and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130,235 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130,826 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Other segment items included in segment net income is primarily composed of other selling, general and administrative expenses, transaction processing costs, and other overhead expenses.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17 – COMMITMENTS AND CONTINGENCIES</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Contingencies and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all 50 states in the United States, two U.S. territories and eight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time, that the expected outcome of regulatory examinations will not have a material adverse effect on either the results of operations or financial condition of the Company.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Regulatory Requirements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applicable licensing laws, certain domestic and foreign subsidiaries of the Company are required to maintain minimum tangible net worth and liquid assets (eligible securities) to cover the amount outstanding of wire transfers and money orders payable. As of March 31, 2025, the Company’s subsidiaries were in compliance with these requirements.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2024.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global omnichannel money remittance services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Also, through our recent acquisitions we now provide remittance services from Spain, Italy, the United Kingdom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Germany and the United Kingdom, where consumers can send money to beneficiaries in more than 60 countries in LAC, Europe, Africa and Asia. Our services are accessible in person through over 100,000 independent sending and paying agents and 116 Company-operated stores, as well as digitally through the Internet via our websites and mobile device applications. Additionally, our product and service portfolio include online payment options, pre-paid debit cards and direct deposit payroll cards, which may present different cost, demand, regulatory and risk profiles relative to our core money remittance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Euro or British pound can also generate revenue if we are successful in our daily management of currency exchange spreads. We also generate revenue from our “wire as a service” relationships with digital partners where we receive a fee for facilitating money transfers processed through our proprietary software systems, money transmitter licenses and payer network relationships.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money remittance services enable consumers to send funds through our broad network of locations in the United States, Canada, Spain, Italy, Germany and the United Kingdom that are primarily operated by third-party businesses, as well as by Company-operated stores located in those jurisdictions. Transactions are processed and payment is collected by our agents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the Internet via our websites (intermexonline.com and online.i-transfer.es) and mobile device applications. For the three months ended March 31, 2025, we have grown our agent network by approximately 0.5%. For the three months ended March 31, 2025, principal amount sent increased by approximately 3.7% to $5.6 billion, as compared to the same period in 2024, and total remittances processed were approximately 12.8 million, representing a decrease of approximately 5.2%, as compared to the same period in 2024 primarily related to decreased volume generated that we attribute to a change in consumer behavior with a lower number of money transfers combined with a higher principal sent per transaction, which was partially offset by increased volume generated by our digital channels and European subsidiaries.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political conditions in the United States have resulted in high levels of volatility in the market as well as uncertainty as to the economic and financial impacts of recent economic, trade and immigration enforcement actions taken by the current administration on the U.S., as well as foreign countries, including those that are a destination for money transfers or in which we currently operate. In addition, political, social and economic conditions in key Latin American markets continue to exhibit instability, as evidenced by higher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rates, high unemployment rates, restricted lending activity, higher inflation, volatility in foreign currencies and low consumer confidence, among other economic, political and market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Restructuring costs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 Company started executing a restructuring plan primarily related to certain of its foreign operations and La Nacional. These restructuring costs are part of the Company's restructuring plan, for which the objectives are to reorganize the workforce, streamline operational processes, integrate technology functionality, and to develop efficiencies within the Company. For the three months ended March 31, 2025, the Company incurred approximately $0.3 million in expenses for a reduction of workforce in certain locations. These expenses primarily consisted of severance payments and related benefits, which are included in restructuring costs in the condensed consolidated statement of income and comprehensive income.</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out all of the above charges during the three months ended March 31, 2025 and has a liability of $69 thousand relating to other charges incurred in 2024 recorded in accrued and other liabilities in the condensed consolidated balance sheet as of March 31, 2025.</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implementing this strategy, the Company expects to reduce compensation expense and certain facilities related charges in an amount of approximately $2.0 million a year. The anticipated effect of this reduction in expenses will be primarily realized during the second half of 2025. In addition, the Company does not expect that the execution of this strategy will result in any material reduction of revenues or increase of its ongoing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Key Factors and Trends Affecting our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trends and other factors have affected and may continue to affect our business, financial condition and operating results, including, but not limited to:</w:t>
      </w:r>
    </w:p>
    <w:p>
      <w:pPr>
        <w:pStyle w:val="TextBody"/>
        <w:bidi w:val="0"/>
        <w:spacing w:before="0" w:after="0"/>
        <w:ind w:left="0" w:right="0" w:firstLine="36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immigration laws and their enforcement, including any adverse effects on the level of immigrant employment, earning potential, and other commercial activities;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success in expanding customer acceptance of our digital services, the cost of acquiring digital customers, as well as our ability to continue to develop new products, services and infrastructure;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new technology or competitors that disrupt the current money transfer and payment ecosystem, including the introduction and increased consumer preference for digital platforms;</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loss of, or reduction in business with, key sending agents;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effectively compete in the markets in which we operate;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economic factors such as inflation, the level of economic activity, recession risks and labor market conditions, as well as volatility in market interest rates;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international political factors, including ongoing hostilities in Ukraine and the Middle East, political instability, tariffs, including the effects of tariffs on domestic markets and industrial activity and employment, border taxes or restrictions on remittances or transfers from the outbound countries in which we operate or plan to operate;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consumer confidence in our brands and in consumer money transfers generally;</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expansion into new geographic markets or product markets;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successfully execute, manage, integrate and obtain the anticipated financial benefits of key acquisitions and mergers;</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rPr>
        <w:t>cybersecurity-attacks or disruptions to our information technology, computer network systems, data centers and mobile device applications;</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consumer fraud and other risks relating to the authenticity of customers’ orders or the improper or illegal use of our services by consumers, sending agents or digital partners;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maintain favorable banking and paying agent relationships necessary to conduct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changes to banking industry regulation and practice;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credit risks from our agents, digital partners and the financial institutions with which we do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recruit and retain key personnel;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maintain compliance with applicable laws and regulatory requirements</w:t>
      </w:r>
      <w:r>
        <w:rPr>
          <w:color w:val="000000"/>
          <w:shd w:fill="FFFFFF" w:val="clear"/>
        </w:rPr>
        <w:t xml:space="preserve"> </w:t>
      </w:r>
      <w:r>
        <w:rPr>
          <w:rFonts w:ascii="Times New Roman;sans-serif" w:hAnsi="Times New Roman;sans-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enforcement actions and private litigation under regulations applicable to the money remittance services;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tax laws in the countries we operate;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protect our brands and intellectual property rights;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 health conditions, responses thereto and the economic and market effects thereof;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use of third-party vendors and service providers; and</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weakness in U.S. or international economic conditions.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encountered and continue to expect to encounter increasing competition as new electronic platforms emerge that enable consumers to send and receive money through a variety of channels.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higher consumer adoption. We are making a significant investment during 2025 and thereafter to increase our penetration of the digital market, to add digital customers, enhance our digital offerings and increase digital revenues, while maintaining and continuing to develop our retail service offerings. Although we believe that investment in our digital business should provide significant financial benefits in the mid to long term timeframes, these investments are likely, in the shorter term, to adversely affect our results of operation.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enhanced technology and brand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 political conditions in the United States have resulted in high levels of volatility in the market as well as uncertainty as to the economic and financial impacts of recent economic, trade and immigration enforcement actions taken by the current administration on the U.S., as well as foreign countries, including those that are a destination for money transfers or in which we currently operate. In addition, political, social and economic conditions in key Latin American markets continue to exhibit instability, as evidenced by higher interest rates, high unemployment rates, restricted lending activity, higher inflation, volatility in foreign currencies and low consumer confidence, among other economic, political and market factors. Our business has generally been resilient during times of economic instability as money remittances are essential to many recipients, with the funds used by the receiving parties for their daily needs; however, prolonged volatility in the market, continued global economic and geopolitical uncertainty, and long-term sustained appreciation of the Mexican peso or Guatemalan quetzal as compared to the U.S. dollar could negatively affect our revenues and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 The three largest remittance corridors we serve are United States to Mexico, United States to Guatemala and Unites States to the Dominican Republic. </w:t>
      </w:r>
      <w:r>
        <w:rPr>
          <w:rFonts w:ascii="Times New Roman;sans-serif" w:hAnsi="Times New Roman;sans-serif"/>
          <w:b w:val="false"/>
          <w:color w:val="000000"/>
          <w:sz w:val="20"/>
          <w:shd w:fill="FFFFFF" w:val="clear"/>
        </w:rPr>
        <w:t>According to the latest information available from the World Bank Remittance Matrix, the United States to Mexico remittance corridor was one of the largest in the world in 2024. In addition, changes to U.S. immigration, tariffs, trade, economic and other policies may have both positive and negative effects on our business, none of which can be predicted with any degree of certainty.</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make, enhancements to our processes and systems designed to detect and prevent cyber-attacks, consumer fraud, money laundering, terrorist financing, human trafficking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compliance departments in the United States as well as in certain of our foreign subsidiaries, the responsibility of which is to monitor transactions, detect and report suspicious activity, maintain appropriate records and train our employees and agents. Independent third-parties periodically review our policies and procedures and perform independent testing to assess the effectiveness of our anti-money laundering and Bank Secrecy Act compliance programs. We also maintain a regulatory affairs and licensing department, under the direction of our Chief Compliance Officer.</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How We Assess the Performance of Our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condensed consolidated financial statements. See the “Adjusted Net Income and Adjusted Earnings per Share” and “Adjusted EBITDA” sections below for reconciliations of these non-GAAP financial measures to net income and earnings per share, our closest GAAP measures.</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 Also, we generate revenues from technology services provided to the independent network of agents and other service partners that utilize the Company’s technology in processing transactions paid by credit or debit card, check cashing services and maintenance fees, for which revenue is derived by a fee per transaction. In addition, we generate revenue from our “wires-as-a-service” contracts with digital partners under which we receive fees for facilitating money transfers processed through our proprietary software systems, as well as using our money transmitter licenses and payer network relationships.</w:t>
      </w:r>
    </w:p>
    <w:p>
      <w:pPr>
        <w:pStyle w:val="TextBody"/>
        <w:bidi w:val="0"/>
        <w:spacing w:before="0" w:after="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Charges from Agents and Banks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 charges primarily consist of sending and paying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 Also, service charges include transaction costs paid to third parties in connection with money transfers processed through our digital channels.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Salaries and Benefits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to restricted stock units (“RSUs”), restricted stock awards (“RSAs”) and performance stock units (“PSUs”) of approximately $16.6 million is expected to be recognized over a weighted-average period of 2.0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Selling, General and Administrative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primarily consist of fixed overhead expenses associated with our operations, including our Company-operated stores, such as information technology, telecommunications, rent, insurance, professional services, non-income or indirect taxes, facilities maintenance, provision for credit losses, selling expenses, public company reporting requirements,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requirements and other similar types of operating expenses. Selling expenses include expenses such as advertising and promotion, digital marketing, shipping, supplies and other expenses associated with serving and increasing our customer base, digital channel offerings and network of agents.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Restructuring Costs</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incurred costs associated with restructuring plans primarily related to our foreign operations and La Nacional. These costs included all internal and external costs directly related with the restructuring and consist primarily of severance payments, write-off of assets and certain legal and professional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incurred transaction costs associated with completed and potential acquisitions. These costs included all internal and external costs directly related to the transactions, consisting primarily of legal, consulting, accounting and advisory fees and certain incentive bonuses. Due to their significance, they are presented separately in our condensed consolidated statements of income and comprehensive income. Transaction costs also include internal and external costs related to the Board’s evaluation of strategic alternatives.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consists primarily of interest associated with our debt, which consists of a revolving credit facility. The effective interest rate for the three months ended March 31, 2025 for the revolving credit facility was 2.57%.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provision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includes the expected benefit of all deferred tax assets, including our net operating loss carryforwards. After consideration of all evidence, both positive and negative, management has determined that no valuation allowance is required at March 31, 2025 on the Company’s U.S. federal or state deferred tax assets; however, a valuation allowance has been recorded as of March 31, 2025 on deferred tax assets associated with foreign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pStyle w:val="TextBody"/>
        <w:bidi w:val="0"/>
        <w:spacing w:before="0" w:after="0"/>
        <w:ind w:left="0" w:right="0" w:firstLine="72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is determined by subtracting operating and non-operating expenses from revenues.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weighted-average number of common shares outstanding calculation.</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organized around one reportable segment that provides money transmittal services primarily between the United States and Canada, and certain countries in Europe to Mexico, Guatemala and other countries in Latin America, Africa, Asia and Europe through a network of authorized agents located in various unaffiliated retail establishments and 116 Company-operated stores throughout the United States, Canada, Spain, Italy, Germany and the United Kingdom, as well as digitally through the Internet via our websites and mobile device applications. This is based on the objectives of the business and how our chief operating decision maker, the CEO and President, monitors operating performance and allocates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components of our results of operations for the periods indicated:</w:t>
      </w:r>
    </w:p>
    <w:p>
      <w:pPr>
        <w:pStyle w:val="TextBody"/>
        <w:bidi w:val="0"/>
        <w:spacing w:before="0" w:after="0"/>
        <w:jc w:val="left"/>
        <w:rPr/>
      </w:pPr>
      <w:r>
        <w:rPr/>
      </w:r>
    </w:p>
    <w:tbl>
      <w:tblPr>
        <w:tblW w:w="8619" w:type="dxa"/>
        <w:jc w:val="left"/>
        <w:tblInd w:w="0" w:type="dxa"/>
        <w:tblLayout w:type="fixed"/>
        <w:tblCellMar>
          <w:top w:w="28" w:type="dxa"/>
          <w:left w:w="28" w:type="dxa"/>
          <w:bottom w:w="28" w:type="dxa"/>
          <w:right w:w="28" w:type="dxa"/>
        </w:tblCellMar>
      </w:tblPr>
      <w:tblGrid>
        <w:gridCol w:w="1519"/>
        <w:gridCol w:w="1336"/>
        <w:gridCol w:w="1345"/>
        <w:gridCol w:w="109"/>
        <w:gridCol w:w="109"/>
        <w:gridCol w:w="214"/>
        <w:gridCol w:w="214"/>
        <w:gridCol w:w="415"/>
        <w:gridCol w:w="1626"/>
        <w:gridCol w:w="214"/>
        <w:gridCol w:w="109"/>
        <w:gridCol w:w="109"/>
        <w:gridCol w:w="109"/>
        <w:gridCol w:w="211"/>
        <w:gridCol w:w="82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144,310 </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130,235 </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130,826 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 Compared to Three Months Ended March 31, 2024</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74"/>
        <w:gridCol w:w="768"/>
        <w:gridCol w:w="771"/>
        <w:gridCol w:w="443"/>
        <w:gridCol w:w="1735"/>
        <w:gridCol w:w="228"/>
        <w:gridCol w:w="109"/>
        <w:gridCol w:w="109"/>
        <w:gridCol w:w="109"/>
        <w:gridCol w:w="233"/>
        <w:gridCol w:w="233"/>
        <w:gridCol w:w="501"/>
        <w:gridCol w:w="109"/>
        <w:gridCol w:w="109"/>
        <w:gridCol w:w="109"/>
        <w:gridCol w:w="443"/>
        <w:gridCol w:w="1735"/>
        <w:gridCol w:w="228"/>
        <w:gridCol w:w="109"/>
        <w:gridCol w:w="109"/>
        <w:gridCol w:w="109"/>
        <w:gridCol w:w="233"/>
        <w:gridCol w:w="233"/>
        <w:gridCol w:w="566"/>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4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2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4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144,310 </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150,412 </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 of $120.2 million for the three months ended March 31, 2025 decreased by $6.7 million, or 5.3%, from $126.9 million for the three months ended March 31, 2024. The decrease was primarily due to a decrease in transaction volume processed through our retail network of sending agents and Company-operated stores in the three months ended March 31, 2025 compared to the three months ended March 31, 2024, which we primarily attribute to a change in consumer behavior of sending a lower number of money transfers combined with a higher principal sent per transaction. Therefore, the lower number of wire transfers sent resulted in lower fees paid by consumers. As noted in the overview section above, for the three months ended March 31, 2025, principal amount sent increased by approximately 3.7% to $5.6 billion, as compared to the same period in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foreign exchange gain, net of $20.2 million for the three months ended March 31, 2025 decreased slightly by $0.1 million, or 0.5%, from $20.3 million for the three months ended March 31, 2024. This decrease was primarily due to lower transaction volume, offset by a higher foreign exchange spread on money transfers sent to certain countries in the LAC and a higher average principal amount sent per transaction to countries such as Mexico and Guatemala as a result of the factors mentioned above.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of $4.0 million for the three months ended March 31, 2025 increased by $0.9 million, or 29.0%, from $3.1 million for the three months ended March 31, 2024 primarily due to the effect of higher fees related to increased activity of our wires-as-a-service relationships, as well as higher revenues primarily as a result of an increase of the base fees charged on money transfers and money orders deemed abandoned property.</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8"/>
        <w:gridCol w:w="867"/>
        <w:gridCol w:w="872"/>
        <w:gridCol w:w="412"/>
        <w:gridCol w:w="1614"/>
        <w:gridCol w:w="212"/>
        <w:gridCol w:w="109"/>
        <w:gridCol w:w="109"/>
        <w:gridCol w:w="109"/>
        <w:gridCol w:w="200"/>
        <w:gridCol w:w="200"/>
        <w:gridCol w:w="501"/>
        <w:gridCol w:w="109"/>
        <w:gridCol w:w="109"/>
        <w:gridCol w:w="109"/>
        <w:gridCol w:w="412"/>
        <w:gridCol w:w="1614"/>
        <w:gridCol w:w="212"/>
        <w:gridCol w:w="109"/>
        <w:gridCol w:w="109"/>
        <w:gridCol w:w="109"/>
        <w:gridCol w:w="203"/>
        <w:gridCol w:w="203"/>
        <w:gridCol w:w="564"/>
      </w:tblGrid>
      <w:tr>
        <w:trPr/>
        <w:tc>
          <w:tcPr>
            <w:tcW w:w="113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23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130,235 </w:t>
            </w:r>
          </w:p>
        </w:tc>
        <w:tc>
          <w:tcPr>
            <w:tcW w:w="2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130,826 </w:t>
            </w:r>
          </w:p>
        </w:tc>
        <w:tc>
          <w:tcPr>
            <w:tcW w:w="2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NM - Amounts round to less than 1%.</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Service charges from agents and banks</w:t>
      </w:r>
      <w:r>
        <w:rPr>
          <w:color w:val="000000"/>
        </w:rPr>
        <w:t xml:space="preserve"> — </w:t>
      </w:r>
      <w:r>
        <w:rPr>
          <w:rFonts w:ascii="Times New Roman;sans-serif" w:hAnsi="Times New Roman;sans-serif"/>
          <w:b w:val="false"/>
          <w:color w:val="000000"/>
          <w:sz w:val="20"/>
        </w:rPr>
        <w:t>Service charges from agents and banks were $93.8 million for the three months ended March 31, 2025 compared to $97.9 million for the three months ended March 31, 2024. The decrease of $4.1 million, or 4.2%, was primarily due to the decrease in transaction volume described above.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Salaries and benefits </w:t>
      </w:r>
      <w:r>
        <w:rPr>
          <w:color w:val="000000"/>
        </w:rPr>
        <w:t xml:space="preserve">— </w:t>
      </w:r>
      <w:r>
        <w:rPr>
          <w:rFonts w:ascii="Times New Roman;sans-serif" w:hAnsi="Times New Roman;sans-serif"/>
          <w:b w:val="false"/>
          <w:color w:val="000000"/>
          <w:sz w:val="20"/>
        </w:rPr>
        <w:t>Salaries and benefits of $18.3 million for the three months ended March 31, 2025 increased by $0.2 million, or 1.1%, from $18.1 million for the three months ended March 31, 2024. The increase is primarily attributable to increased wages and payroll taxes due to annual merit increases.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selling, general and administrative expenses</w:t>
      </w:r>
      <w:r>
        <w:rPr>
          <w:color w:val="000000"/>
        </w:rPr>
        <w:t xml:space="preserve"> — </w:t>
      </w:r>
      <w:r>
        <w:rPr>
          <w:rFonts w:ascii="Times New Roman;sans-serif" w:hAnsi="Times New Roman;sans-serif"/>
          <w:b w:val="false"/>
          <w:color w:val="000000"/>
          <w:sz w:val="20"/>
        </w:rPr>
        <w:t>Other selling, general and administrative expenses of $11.0 million for the three months ended March 31, 2025 increased by $1.0 million, or 10.0%, from $10.0 million for the three months ended March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was primarily the result of: </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$0.7 million - increase in advertising related expenses primarily as a result of campaigns to promote our digital channel services; and</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$0.5 million - higher IT related expenses incurred to sustain our business expansion and to improve our technology environment.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Provision for credit losses </w:t>
      </w:r>
      <w:r>
        <w:rPr>
          <w:color w:val="000000"/>
        </w:rPr>
        <w:t xml:space="preserve">— </w:t>
      </w:r>
      <w:r>
        <w:rPr>
          <w:rFonts w:ascii="Times New Roman;sans-serif" w:hAnsi="Times New Roman;sans-serif"/>
          <w:b w:val="false"/>
          <w:color w:val="000000"/>
          <w:sz w:val="20"/>
        </w:rPr>
        <w:t>Provision for credit losses of $2.1 million for the three months ended March 31, 2025 increased by $0.5 million, or 31.3%, from $1.6 million for the three months ended March 31, 2024. The increase is primarily due to a higher average balance outstanding of receivable balances from sending agents during the period, and a slight increase in write-offs of receivable balances primarily as a result of sending agents that were not able to pay in accordance with the original terms of their agreements with us and are, accordingly, subject to our normal collection procedures.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Restructuring costs</w:t>
      </w:r>
      <w:r>
        <w:rPr>
          <w:color w:val="000000"/>
        </w:rPr>
        <w:t xml:space="preserve"> — </w:t>
      </w:r>
      <w:r>
        <w:rPr>
          <w:rFonts w:ascii="Times New Roman;sans-serif" w:hAnsi="Times New Roman;sans-serif"/>
          <w:b w:val="false"/>
          <w:color w:val="000000"/>
          <w:sz w:val="20"/>
        </w:rPr>
        <w:t xml:space="preserve">Restructuring costs of $0.3 million for the three months ended March 31, 2025 included primarily severance costs related to the restructuring of La Nacional and our foreign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Transaction Costs </w:t>
      </w:r>
      <w:r>
        <w:rPr>
          <w:color w:val="000000"/>
        </w:rPr>
        <w:t xml:space="preserve">— </w:t>
      </w:r>
      <w:r>
        <w:rPr>
          <w:rFonts w:ascii="Times New Roman;sans-serif" w:hAnsi="Times New Roman;sans-serif"/>
          <w:b w:val="false"/>
          <w:color w:val="000000"/>
          <w:sz w:val="20"/>
        </w:rPr>
        <w:t xml:space="preserve">Transaction Costs of $1.2 million for the three months ended March 31, 2025 consist primarily of financial advisory fees as well as other professional fees and legal fees incurred in connection with the Company's evaluation of strategic alternatives.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Depreciation and amortization</w:t>
      </w:r>
      <w:r>
        <w:rPr>
          <w:color w:val="000000"/>
        </w:rPr>
        <w:t xml:space="preserve"> — </w:t>
      </w:r>
      <w:r>
        <w:rPr>
          <w:rFonts w:ascii="Times New Roman;sans-serif" w:hAnsi="Times New Roman;sans-serif"/>
          <w:b w:val="false"/>
          <w:color w:val="000000"/>
          <w:sz w:val="20"/>
        </w:rPr>
        <w:t>Depreciation and amortization of $3.6 million for the three months ended March 31, 2025 increased by $0.4 million from $3.2 million or 12.5%, for the three months ended March 31, 2024. The increase is primarily the result of higher depreciation associated with additional software developed and computer equipment acquired to support our digital business expansion initiatives and sending agent network. These increases were partially offset by a decrease of approximately $0.3 million in amortization related to our trade names, developed technology and agent relationships during the three months ended March 31, 2025, as these intangibles are being amortized on an accelerated basis, which declines over time.</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Interest expense</w:t>
      </w:r>
      <w:r>
        <w:rPr>
          <w:color w:val="000000"/>
        </w:rPr>
        <w:t xml:space="preserve"> — </w:t>
      </w:r>
      <w:r>
        <w:rPr>
          <w:rFonts w:ascii="Times New Roman;sans-serif" w:hAnsi="Times New Roman;sans-serif"/>
          <w:b w:val="false"/>
          <w:color w:val="000000"/>
          <w:sz w:val="20"/>
        </w:rPr>
        <w:t xml:space="preserve">Interest expense of $2.7 million for the three months ended March 31, 2025 remained flat, from $2.7 million for the three months ended March 31,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Income tax provision</w:t>
      </w:r>
      <w:r>
        <w:rPr>
          <w:color w:val="000000"/>
        </w:rPr>
        <w:t xml:space="preserve"> — </w:t>
      </w:r>
      <w:r>
        <w:rPr>
          <w:rFonts w:ascii="Times New Roman;sans-serif" w:hAnsi="Times New Roman;sans-serif"/>
          <w:b w:val="false"/>
          <w:color w:val="000000"/>
          <w:sz w:val="20"/>
        </w:rPr>
        <w:t xml:space="preserve">Income tax provision was $3.6 million for the three months ended March 31, 2025, which represents a decrease of $1.2 million from an income tax provision of $4.8 million for the three months ended March 31, 2024. The decrease in income tax provision was mainly attributable to a decrease in income before taxes primarily due to the factors discussed above. </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reported Net Income of $7.8 million for the three months ended March 31, 2025 compared to Net Income of $12.1 million for the three months ended March 31, 2024, which resulted in a decrease of $4.3 million, or 35.5%, due to the same factors discussed above.</w:t>
      </w:r>
      <w:r>
        <w:rPr>
          <w:color w:val="000000"/>
        </w:rPr>
        <w:t> </w:t>
      </w:r>
    </w:p>
    <w:p>
      <w:pPr>
        <w:pStyle w:val="TextBody"/>
        <w:bidi w:val="0"/>
        <w:spacing w:before="0" w:after="0"/>
        <w:ind w:left="0" w:right="0" w:firstLine="360"/>
        <w:jc w:val="both"/>
        <w:rPr/>
      </w:pPr>
      <w:r>
        <w:rPr/>
      </w:r>
    </w:p>
    <w:p>
      <w:pPr>
        <w:pStyle w:val="TextBody"/>
        <w:bidi w:val="0"/>
        <w:spacing w:lineRule="auto" w:line="288" w:before="0" w:after="240"/>
        <w:ind w:left="0" w:right="0" w:firstLine="90"/>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Earnings per Share - Basic for the three months ended March 31, 2025 was $0.25, representing a decrease of $0.11, or 30.6%, compared to $0.36 for the three months ended March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Earnings per Share - Diluted for the three months ended March 31, 2025 was $0.25, representing a decrease of $0.10, or 28.6%, compared to $0.35 for the three months ended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both basic and diluted EPS largely reflect the decrease in net income discussed above and a reduced share count as a result of the stock repurchases.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and asset acquisition activities, which varies from period to period.</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pStyle w:val="TextBody"/>
        <w:bidi w:val="0"/>
        <w:spacing w:lineRule="auto" w:line="288" w:before="0" w:after="24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particular, Adjusted EBITDA is subject to certain limitations, including the following:</w:t>
      </w:r>
    </w:p>
    <w:p>
      <w:pPr>
        <w:pStyle w:val="TextBody"/>
        <w:bidi w:val="0"/>
        <w:spacing w:lineRule="auto" w:line="288" w:before="0" w:after="240"/>
        <w:ind w:left="0" w:right="0" w:hanging="360"/>
        <w:jc w:val="both"/>
        <w:rPr/>
      </w:pPr>
      <w:r>
        <w:rPr>
          <w:color w:val="000000"/>
          <w:shd w:fill="FFFFFF" w:val="clear"/>
        </w:rPr>
        <w:t>•</w:t>
      </w:r>
      <w:r>
        <w:rPr>
          <w:rFonts w:ascii="Times New Roman;sans-serif" w:hAnsi="Times New Roman;sans-serif"/>
          <w:b w:val="false"/>
          <w:color w:val="000000"/>
          <w:sz w:val="20"/>
          <w:shd w:fill="FFFFFF" w:val="clear"/>
        </w:rPr>
        <w:t>Adjusted EBITDA does not reflect interest expense, or the amounts necessary to service interest or principal payments on our debt;</w:t>
      </w:r>
    </w:p>
    <w:p>
      <w:pPr>
        <w:pStyle w:val="TextBody"/>
        <w:bidi w:val="0"/>
        <w:spacing w:lineRule="auto" w:line="288" w:before="0" w:after="240"/>
        <w:ind w:left="0" w:right="0" w:hanging="360"/>
        <w:jc w:val="both"/>
        <w:rPr/>
      </w:pPr>
      <w:r>
        <w:rPr>
          <w:color w:val="000000"/>
          <w:shd w:fill="FFFFFF" w:val="clear"/>
        </w:rPr>
        <w:t>•</w:t>
      </w:r>
      <w:r>
        <w:rPr>
          <w:rFonts w:ascii="Times New Roman;sans-serif" w:hAnsi="Times New Roman;sans-serif"/>
          <w:b w:val="false"/>
          <w:color w:val="000000"/>
          <w:sz w:val="20"/>
          <w:shd w:fill="FFFFFF" w:val="clear"/>
        </w:rPr>
        <w:t>Adjusted EBITDA does not reflect income tax provision (benefit), and because the payment of taxes is part of our operations, tax provision is a necessary element of our costs and ability to operate;</w:t>
      </w:r>
    </w:p>
    <w:p>
      <w:pPr>
        <w:pStyle w:val="TextBody"/>
        <w:bidi w:val="0"/>
        <w:spacing w:lineRule="auto" w:line="288" w:before="0" w:after="240"/>
        <w:ind w:left="0" w:right="0" w:hanging="360"/>
        <w:jc w:val="both"/>
        <w:rPr/>
      </w:pPr>
      <w:r>
        <w:rPr>
          <w:color w:val="000000"/>
          <w:shd w:fill="FFFFFF" w:val="clear"/>
        </w:rPr>
        <w:t>•</w:t>
      </w:r>
      <w:r>
        <w:rPr>
          <w:rFonts w:ascii="Times New Roman;sans-serif" w:hAnsi="Times New Roman;sans-serif"/>
          <w:b w:val="false"/>
          <w:color w:val="000000"/>
          <w:sz w:val="20"/>
          <w:shd w:fill="FFFFFF" w:val="clear"/>
        </w:rPr>
        <w:t>Although depreciation and amortization are eliminated in the calculation of Adjusted EBITDA, the assets being depreciated and amortized will often have to be replaced in the future, and Adjusted EBITDA does not reflect any costs of such replacements;</w:t>
      </w:r>
    </w:p>
    <w:p>
      <w:pPr>
        <w:pStyle w:val="TextBody"/>
        <w:bidi w:val="0"/>
        <w:spacing w:lineRule="auto" w:line="288" w:before="0" w:after="240"/>
        <w:ind w:left="0" w:right="0" w:hanging="360"/>
        <w:jc w:val="both"/>
        <w:rPr/>
      </w:pPr>
      <w:r>
        <w:rPr>
          <w:color w:val="000000"/>
          <w:shd w:fill="FFFFFF" w:val="clear"/>
        </w:rPr>
        <w:t>•</w:t>
      </w:r>
      <w:r>
        <w:rPr>
          <w:rFonts w:ascii="Times New Roman;sans-serif" w:hAnsi="Times New Roman;sans-serif"/>
          <w:b w:val="false"/>
          <w:color w:val="000000"/>
          <w:sz w:val="20"/>
          <w:shd w:fill="FFFFFF" w:val="clear"/>
        </w:rPr>
        <w:t>Adjusted EBITDA does not reflect the noncash component of share-based compensation;</w:t>
      </w:r>
    </w:p>
    <w:p>
      <w:pPr>
        <w:pStyle w:val="TextBody"/>
        <w:bidi w:val="0"/>
        <w:spacing w:lineRule="auto" w:line="288" w:before="0" w:after="240"/>
        <w:ind w:left="0" w:right="0" w:hanging="360"/>
        <w:jc w:val="both"/>
        <w:rPr/>
      </w:pPr>
      <w:r>
        <w:rPr>
          <w:color w:val="000000"/>
          <w:shd w:fill="FFFFFF" w:val="clear"/>
        </w:rPr>
        <w:t>•</w:t>
      </w:r>
      <w:r>
        <w:rPr>
          <w:rFonts w:ascii="Times New Roman;sans-serif" w:hAnsi="Times New Roman;sans-serif"/>
          <w:b w:val="false"/>
          <w:color w:val="000000"/>
          <w:sz w:val="20"/>
          <w:shd w:fill="FFFFFF" w:val="clear"/>
        </w:rPr>
        <w:t>Adjusted EBITDA does not reflect the impact of earnings or charges resulting from matters we consider not to be reflective, on a recurring basis, of our ongoing operations; and</w:t>
      </w:r>
    </w:p>
    <w:p>
      <w:pPr>
        <w:pStyle w:val="TextBody"/>
        <w:bidi w:val="0"/>
        <w:spacing w:lineRule="auto" w:line="288" w:before="0" w:after="240"/>
        <w:ind w:left="0" w:right="0" w:hanging="360"/>
        <w:jc w:val="both"/>
        <w:rPr/>
      </w:pPr>
      <w:r>
        <w:rPr>
          <w:color w:val="000000"/>
          <w:shd w:fill="FFFFFF" w:val="clear"/>
        </w:rPr>
        <w:t>•</w:t>
      </w:r>
      <w:r>
        <w:rPr>
          <w:rFonts w:ascii="Times New Roman;sans-serif" w:hAnsi="Times New Roman;sans-serif"/>
          <w:b w:val="false"/>
          <w:color w:val="000000"/>
          <w:sz w:val="20"/>
          <w:shd w:fill="FFFFFF" w:val="clear"/>
        </w:rPr>
        <w:t>other companies in our industry may calculate Adjusted EBITDA or similarly titled measures differently than we do, limiting its usefulness as a comparative measure.</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adjust for these limitations by relying primarily on our GAAP results and using Adjusted EBITDA, as well as our other non-GAAP financial measures, only as supplemental information.</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Net Income and Adjusted Earnings per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is defined as Net Income adjusted to add back certain charges and expenses, such as non-cash amortization of certain intangible assets resulting from business and asset acquisition transactions, which will recur in future periods until these assets have been fully amortized, non-cash compensation costs and other items set forth in the table below, as these charges and expenses are not considered a part of our core business operations and are not an indicator of ongoing, future company performance.</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Basic and Diluted is calculated by dividing Adjusted Net Income by GAAP weighted-average common shares outstanding (basic and diluted).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for the three months ended March 31, 2025 was $10.9 million, representing a decrease of $3.8 million, or 25.9%, from Adjusted Net Income of $14.7 million for the three months ended March 31, 2024. The decrease in Adjusted Net Income was primarily due to the decrease in Net Income as discussed above, partially offset by the higher net effect of the adjusting items detailed in the table below.</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Net Income, our closest GAAP measure, to Adjusted Net Income:</w:t>
      </w:r>
    </w:p>
    <w:p>
      <w:pPr>
        <w:pStyle w:val="TextBody"/>
        <w:bidi w:val="0"/>
        <w:spacing w:before="0" w:after="0"/>
        <w:jc w:val="both"/>
        <w:rPr/>
      </w:pPr>
      <w:r>
        <w:rPr/>
      </w:r>
    </w:p>
    <w:tbl>
      <w:tblPr>
        <w:tblW w:w="6887" w:type="dxa"/>
        <w:jc w:val="left"/>
        <w:tblInd w:w="0" w:type="dxa"/>
        <w:tblLayout w:type="fixed"/>
        <w:tblCellMar>
          <w:top w:w="28" w:type="dxa"/>
          <w:left w:w="28" w:type="dxa"/>
          <w:bottom w:w="28" w:type="dxa"/>
          <w:right w:w="28" w:type="dxa"/>
        </w:tblCellMar>
      </w:tblPr>
      <w:tblGrid>
        <w:gridCol w:w="1476"/>
        <w:gridCol w:w="1298"/>
        <w:gridCol w:w="1306"/>
        <w:gridCol w:w="240"/>
        <w:gridCol w:w="841"/>
        <w:gridCol w:w="119"/>
        <w:gridCol w:w="119"/>
        <w:gridCol w:w="119"/>
        <w:gridCol w:w="119"/>
        <w:gridCol w:w="240"/>
        <w:gridCol w:w="841"/>
        <w:gridCol w:w="169"/>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per share data)</w:t>
            </w:r>
          </w:p>
        </w:tc>
        <w:tc>
          <w:tcPr>
            <w:tcW w:w="12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7,769</w:t>
            </w:r>
            <w:r>
              <w:rPr>
                <w:color w:val="000000"/>
              </w:rPr>
              <w:t>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12,106</w:t>
            </w:r>
            <w:r>
              <w:rPr>
                <w:color w:val="000000"/>
              </w:rPr>
              <w:t>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(b)</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 (d)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adjustments (f)</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10,928</w:t>
            </w:r>
            <w:r>
              <w:rPr>
                <w:color w:val="000000"/>
              </w:rPr>
              <w:t>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14,671</w:t>
            </w:r>
            <w:r>
              <w:rPr>
                <w:color w:val="000000"/>
              </w:rPr>
              <w:t>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30,587,949 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33,675,441 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30,831,633 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34,188,814 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primarily severance, write-off of assets and, legal and professional fees related to the execution of restructuring plans.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primarily financial advisory, professional and legal fees related to business acquisition transactions and strategic alternatives.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primarily loss on disposal of fixed assets.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(e)Represents the amortization of certain intangible assets that resulted from business and asset acquisition transactions.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(f)Represents the current and deferred tax impact of the taxable adjustments to Net Income using the Company’s blended federal and state tax rate for each period. Relevant tax-deductible adjustments include all adjustments to Net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Basic and Diluted (previously defined and used as described above) are as follows:</w:t>
      </w:r>
    </w:p>
    <w:p>
      <w:pPr>
        <w:pStyle w:val="TextBody"/>
        <w:bidi w:val="0"/>
        <w:spacing w:before="0" w:after="18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Basic for the three months ended March 31, 2025 was $0.36, representing a decrease of $0.08, or 18.2%, compared to $0.44 for the three months ended March 31, 2024. The decrease in Adjusted Earnings per Share - Basic was primarily due to the decrease in Net Income, partially offset by the effect of a lower weighted average common shares total for the period due to stock repurchases as well as the higher net effect of the adjusting items detailed in the table above.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Earnings per Share - Diluted for the three months ended March 31, 2025 was $0.35, representing a decrease of $0.08, or 18.6%, compared to $0.43 for the three months ended March 31, 2024. The decrease in Adjusted Earnings per Share - Diluted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primarily due to the decrease in Net Income, partially offset by the effect of a lower weighted average common shares total for the period due to stock repurchases as well as the higher net effect of the adjusting items detailed in the table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Earnings per Share, our closest GAAP measure, to Adjusted Earnings per Share:</w:t>
      </w:r>
    </w:p>
    <w:p>
      <w:pPr>
        <w:pStyle w:val="TextBody"/>
        <w:bidi w:val="0"/>
        <w:spacing w:before="0" w:after="0"/>
        <w:jc w:val="both"/>
        <w:rPr/>
      </w:pPr>
      <w:r>
        <w:rPr/>
      </w:r>
    </w:p>
    <w:tbl>
      <w:tblPr>
        <w:tblW w:w="7875" w:type="dxa"/>
        <w:jc w:val="left"/>
        <w:tblInd w:w="0" w:type="dxa"/>
        <w:tblLayout w:type="fixed"/>
        <w:tblCellMar>
          <w:top w:w="28" w:type="dxa"/>
          <w:left w:w="28" w:type="dxa"/>
          <w:bottom w:w="28" w:type="dxa"/>
          <w:right w:w="28" w:type="dxa"/>
        </w:tblCellMar>
      </w:tblPr>
      <w:tblGrid>
        <w:gridCol w:w="1253"/>
        <w:gridCol w:w="1104"/>
        <w:gridCol w:w="1108"/>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adjustments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0.36</w:t>
            </w:r>
            <w:r>
              <w:rPr>
                <w:color w:val="000000"/>
              </w:rPr>
              <w:t>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0.35</w:t>
            </w:r>
            <w:r>
              <w:rPr>
                <w:color w:val="000000"/>
              </w:rPr>
              <w:t>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0.44</w:t>
            </w:r>
            <w:r>
              <w:rPr>
                <w:color w:val="000000"/>
              </w:rPr>
              <w:t>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0.43</w:t>
            </w:r>
            <w:r>
              <w:rPr>
                <w:color w:val="000000"/>
              </w:rPr>
              <w:t>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NM - Per share amounts are not meaningful.</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may contain slight summation differences due to rounding.</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(previously defined and used as described above) for the three months ended March 31, 2025 was $21.6 million, representing a decrease of $3.8 million, or 15.0%, from $25.4 million for the three months ended March 31, 2024. The decrease in Adjusted EBITDA was primarily due to the decrease in Net Income as discussed above, partially offset by the higher net effect of the adjusting items detailed in the table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Net Income, our closest GAAP measure, to Adjusted EBITDA:</w:t>
      </w:r>
    </w:p>
    <w:p>
      <w:pPr>
        <w:pStyle w:val="TextBody"/>
        <w:bidi w:val="0"/>
        <w:spacing w:before="0" w:after="0"/>
        <w:jc w:val="both"/>
        <w:rPr/>
      </w:pPr>
      <w:r>
        <w:rPr/>
      </w:r>
    </w:p>
    <w:tbl>
      <w:tblPr>
        <w:tblW w:w="5350" w:type="dxa"/>
        <w:jc w:val="left"/>
        <w:tblInd w:w="0" w:type="dxa"/>
        <w:tblLayout w:type="fixed"/>
        <w:tblCellMar>
          <w:top w:w="28" w:type="dxa"/>
          <w:left w:w="28" w:type="dxa"/>
          <w:bottom w:w="28" w:type="dxa"/>
          <w:right w:w="28" w:type="dxa"/>
        </w:tblCellMar>
      </w:tblPr>
      <w:tblGrid>
        <w:gridCol w:w="950"/>
        <w:gridCol w:w="837"/>
        <w:gridCol w:w="838"/>
        <w:gridCol w:w="231"/>
        <w:gridCol w:w="809"/>
        <w:gridCol w:w="119"/>
        <w:gridCol w:w="119"/>
        <w:gridCol w:w="119"/>
        <w:gridCol w:w="119"/>
        <w:gridCol w:w="231"/>
        <w:gridCol w:w="809"/>
        <w:gridCol w:w="169"/>
      </w:tblGrid>
      <w:tr>
        <w:trPr/>
        <w:tc>
          <w:tcPr>
            <w:tcW w:w="95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7,769</w:t>
            </w:r>
            <w:r>
              <w:rPr>
                <w:color w:val="000000"/>
              </w:rPr>
              <w:t>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12,106</w:t>
            </w:r>
            <w:r>
              <w:rPr>
                <w:color w:val="000000"/>
              </w:rPr>
              <w:t>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104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17,704</w:t>
            </w:r>
            <w:r>
              <w:rPr>
                <w:color w:val="000000"/>
              </w:rPr>
              <w:t>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22,814</w:t>
            </w:r>
            <w:r>
              <w:rPr>
                <w:color w:val="000000"/>
              </w:rPr>
              <w:t> </w:t>
            </w:r>
          </w:p>
        </w:tc>
        <w:tc>
          <w:tcPr>
            <w:tcW w:w="1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(b)</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(c)</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 (d)</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21,618</w:t>
            </w:r>
            <w:r>
              <w:rPr>
                <w:color w:val="000000"/>
              </w:rPr>
              <w:t> </w:t>
            </w:r>
          </w:p>
        </w:tc>
        <w:tc>
          <w:tcPr>
            <w:tcW w:w="11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25,414</w:t>
            </w:r>
            <w:r>
              <w:rPr>
                <w:color w:val="000000"/>
              </w:rPr>
              <w:t> </w:t>
            </w:r>
          </w:p>
        </w:tc>
        <w:tc>
          <w:tcPr>
            <w:tcW w:w="16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primarily severance, write-off of assets and legal and professional fees related to the execution of restructuring plans.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primarily financial advisory, professional and legal fees related to business acquisition transactions and strategic alternatives.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primarily loss on disposal of fixed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 and repurchases of our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three months ended March 31, 2025. Therefore, we believe that our current cash and cash equivalents position, as well as projected cash flows generated from operations, together with borrowings under our revolving credit facility are sufficient to fund our principal and interest payments, lease expenses, our working capital needs, our business acquisitions, our expected capital expenditures and projected common stock repurchases in the short and long terms.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certain of its subsidiaries are party to a Second Amended and Restated Credit Agreement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Borrowings under the Second A&amp;R Credit Agreement are available for general corporate purposes to support the Company’s growth, as well as to fund share repurchases.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were $147.4 million of outstanding amounts drawn on the revolving credit facility. There were $377.6 million of additional borrowings available under this facility as of March 31,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Second A&amp;R Credit Agreement and at the election of the Company, interest on the revolving loans denominated in U.S. Dollars is determined by reference to either (i) the secured overnight financing rate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for the three months ended March 31, 2025 for the revolving credit facility was 2.57%.</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A&amp;R Credit Agreement also provides the Company with increased flexibility to make certain restricted payments, including the repurchase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were in compliance with the covenants of the Second A&amp;R Credit Agreement that require the Company to maintain a quarterly minimum interest coverage ratio of 3.00:1.00 and a quarterly maximum consolidated leverage ratio of 3.50:1.00.</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sans-serif" w:hAnsi="Times New Roman;sans-serif"/>
          <w:b w:val="false"/>
          <w:i/>
          <w:color w:val="000000"/>
          <w:sz w:val="20"/>
        </w:rPr>
        <w:t>Risk Factors—Risks Relating to Our Indebtedness”</w:t>
      </w:r>
      <w:r>
        <w:rPr>
          <w:color w:val="000000"/>
        </w:rPr>
        <w:t xml:space="preserve"> </w:t>
      </w:r>
      <w:r>
        <w:rPr>
          <w:rFonts w:ascii="Times New Roman;sans-serif" w:hAnsi="Times New Roman;sans-serif"/>
          <w:b w:val="false"/>
          <w:color w:val="000000"/>
          <w:sz w:val="20"/>
        </w:rPr>
        <w:t>included in our Annual Report on Form 10-K for the year ended December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2021,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On August 26, 2024, the Board of Directors approved a second increase to the Repurchase Program that authorizes the Company to purchase an additional $63.8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under a variety of tests as described above, including, without limitation, so long as the Consolidated Leverage Ratio (as defined in the Second A&amp;R Credit Agreement), as of the then most recently completed four fiscal quarters of the Company, after giving pro forma effect to such restricted payments, is 2.50:1.00 or less.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purchases of treasury stock under the cost method. Any direct costs incurred to acquire treasury stock are considered stock issue costs and added to the cost of the treasury stock. During the three months ended March 31, 2025, including the shares purchased in the privately-negotiated transaction described below, the Company purchased 367,873 shares for an aggregate purchase price of $5.0 million. During the three months ended March 31, 2024, the Company purchased 1,124,476 shares for an aggregate purchase price of $23.4 million. As of March 31, 2025, there was $59.5 million available for future share repurchases under the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Privately-Negotiated Share Repurchase Transaction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2025, the Company entered into an agreement with Latin-American Investment Holdings Inc., a related party, for the purchase of 100,000 shares of the Company’s common stock for a total purchase price of $1.3 million, or a per share price of $13.30 (reflecting a discount of 2.6% from the last reported sale price as reported on the Nasdaq Stock Market of the Company’s Common Stock on March 10, 2025), in a privately-negotiated transaction.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operating leases for office space, warehouses and Company-operated store locations and vehicles, which we use as part of our day-to-day operations. Operating lease expenses were $1.7 million and $1.8 million for the three months ended March 31, 2025 and 2024, respectively, which we expect to be consistent throughout the year. We have not entered into finance lease commitments. For additional information on operating lease obligations, refer to Note 7, Leases,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to our cash flows for the periods presented:</w:t>
      </w:r>
    </w:p>
    <w:p>
      <w:pPr>
        <w:pStyle w:val="TextBody"/>
        <w:bidi w:val="0"/>
        <w:spacing w:before="0" w:after="0"/>
        <w:jc w:val="both"/>
        <w:rPr/>
      </w:pPr>
      <w:r>
        <w:rPr/>
      </w:r>
    </w:p>
    <w:tbl>
      <w:tblPr>
        <w:tblW w:w="7810" w:type="dxa"/>
        <w:jc w:val="left"/>
        <w:tblInd w:w="0" w:type="dxa"/>
        <w:tblLayout w:type="fixed"/>
        <w:tblCellMar>
          <w:top w:w="28" w:type="dxa"/>
          <w:left w:w="28" w:type="dxa"/>
          <w:bottom w:w="28" w:type="dxa"/>
          <w:right w:w="28" w:type="dxa"/>
        </w:tblCellMar>
      </w:tblPr>
      <w:tblGrid>
        <w:gridCol w:w="1841"/>
        <w:gridCol w:w="1619"/>
        <w:gridCol w:w="1625"/>
        <w:gridCol w:w="216"/>
        <w:gridCol w:w="846"/>
        <w:gridCol w:w="111"/>
        <w:gridCol w:w="111"/>
        <w:gridCol w:w="111"/>
        <w:gridCol w:w="111"/>
        <w:gridCol w:w="216"/>
        <w:gridCol w:w="846"/>
        <w:gridCol w:w="157"/>
      </w:tblGrid>
      <w:tr>
        <w:trPr/>
        <w:tc>
          <w:tcPr>
            <w:tcW w:w="184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7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Statements of Cash Flows Data:</w:t>
            </w:r>
          </w:p>
        </w:tc>
        <w:tc>
          <w:tcPr>
            <w:tcW w:w="117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21,261 </w:t>
            </w:r>
          </w:p>
        </w:tc>
        <w:tc>
          <w:tcPr>
            <w:tcW w:w="1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(20,408)</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151,764 </w:t>
            </w:r>
          </w:p>
        </w:tc>
        <w:tc>
          <w:tcPr>
            <w:tcW w:w="1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218,795 </w:t>
            </w:r>
          </w:p>
        </w:tc>
        <w:tc>
          <w:tcPr>
            <w:tcW w:w="1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$41.3 million for the three months ended March 31, 2025, a decrease of $6.9 million from net cash provided by operating activities of $48.2 million for the three months ended March 31, 2024. The decrease is primarily a result of a $4.3 million decrease in Net Income and a $3.4 million change in working capital, which varies due to timing of remittances of consumer funds by sending agents and transmittal orders and payments, as well as prefunding of payers primarily for weekends.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$5.3 million for the three months ended March 31, 2025, representing a decrease of $8.2 million from net cash used in investing activities of $13.5 million for the three months ended March 31, 2024. This decrease in cash used was primarily due to the capitalization of leasehold improvements, furniture and equipment related to the Company's move to the new U.S. headquarters during the three months ended March 31, 2024 in an amount of $8.4 million, which did not recur during the three months ended March 31, 2025.</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$15.1 million for the three months ended March 31, 2025, which primarily consisted of $9.2 million of net repayments under the revolving credit facility, $5.0 million used for repurchases of common stock and $0.9 million of payments for stock-based awards for shares withheld for tax payments in connection with share-based compensation arrangements.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$55.1 million for the three months ended March 31, 2024, which primarily consisted of $28.5 million of net repayments of the Company's former revolving credit facility, $1.6 million in scheduled quarterly payments due on the term loan facility, $23.4 million used for repurchases of common stock and $1.6 million of payments for stock-based awards for shares withheld for tax payments in connection with share-based compensation arrangements, partially offset by $0.1 million in proceeds from issuance of stock as a result of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Times New Roman;sans-serif" w:hAnsi="Times New Roman;sans-serif"/>
          <w:b w:val="false"/>
          <w:i/>
          <w:color w:val="000000"/>
          <w:sz w:val="20"/>
        </w:rPr>
        <w:t>Management’s Discussion and Analysis of Financial Condition and Results of Operations - Critical Accounting Estimates</w:t>
      </w:r>
      <w:r>
        <w:rPr>
          <w:color w:val="000000"/>
        </w:rPr>
        <w:t xml:space="preserve">” </w:t>
      </w:r>
      <w:r>
        <w:rPr>
          <w:rFonts w:ascii="Times New Roman;sans-serif" w:hAnsi="Times New Roman;sans-serif"/>
          <w:b w:val="false"/>
          <w:color w:val="000000"/>
          <w:sz w:val="20"/>
        </w:rPr>
        <w:t>in our Annual Report on Form 10-K for the year ended December 31, 2024, for which there were no material changes during the three months ended March 31, 2025, included the following:</w:t>
      </w:r>
    </w:p>
    <w:p>
      <w:pPr>
        <w:pStyle w:val="TextBody"/>
        <w:bidi w:val="0"/>
        <w:spacing w:before="0" w:after="0"/>
        <w:jc w:val="both"/>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Allowance for Credit Losses</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Goodwill and Intangible Assets</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Income Taxes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Refer to Note 1, </w:t>
      </w:r>
      <w:r>
        <w:rPr>
          <w:rFonts w:ascii="Times New Roman;sans-serif" w:hAnsi="Times New Roman;sans-serif"/>
          <w:b w:val="false"/>
          <w:i/>
          <w:color w:val="000000"/>
          <w:sz w:val="20"/>
        </w:rPr>
        <w:t>Business and Accounting Policies</w:t>
      </w:r>
      <w:r>
        <w:rPr>
          <w:rFonts w:ascii="Times New Roman;sans-serif" w:hAnsi="Times New Roman;sans-serif"/>
          <w:b w:val="false"/>
          <w:color w:val="000000"/>
          <w:sz w:val="20"/>
        </w:rPr>
        <w:t>, of the Condensed Consolidated Financial Statements for information on recent accounting pronouncements.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$24.0 million and $12.7 million at March 31, 2025 and December 31, 2024,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included in wire transfers and money orders payable, net in our condensed consolidated balance sheets as of March 31, 2025 and December 31, 2024, there are $28.6 million and $23.0 million, respectively, of wires payable denominated in foreign currencies, primarily Mexican pesos and Guatemalan quetzales.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included in prepaid wires, net in our condensed consolidated balance sheets as of March 31, 2025 and December 31, 2024, there are $18.4 million and $29.8 million, respectively, of prepaid wires denominated in foreign currencies, primarily Mexican pesos and Guatemalan quetzales.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represents approximately 3% of our consolidated revenues for the three months ended March 31, 2025. Therefore, a 10% increase or decrease in these currency rates against the U.S. Dollar would result in a de minimis change to our overall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spot and average exchange rates for the currencies in which we operate to U.S. dollar are as follows:</w:t>
      </w:r>
    </w:p>
    <w:p>
      <w:pPr>
        <w:pStyle w:val="TextBody"/>
        <w:bidi w:val="0"/>
        <w:spacing w:before="0" w:after="0"/>
        <w:ind w:left="0" w:right="0" w:firstLine="360"/>
        <w:jc w:val="left"/>
        <w:rPr/>
      </w:pPr>
      <w:r>
        <w:rPr/>
      </w:r>
    </w:p>
    <w:tbl>
      <w:tblPr>
        <w:tblW w:w="7694" w:type="dxa"/>
        <w:jc w:val="left"/>
        <w:tblInd w:w="0" w:type="dxa"/>
        <w:tblLayout w:type="fixed"/>
        <w:tblCellMar>
          <w:top w:w="28" w:type="dxa"/>
          <w:left w:w="28" w:type="dxa"/>
          <w:bottom w:w="28" w:type="dxa"/>
          <w:right w:w="28" w:type="dxa"/>
        </w:tblCellMar>
      </w:tblPr>
      <w:tblGrid>
        <w:gridCol w:w="1093"/>
        <w:gridCol w:w="959"/>
        <w:gridCol w:w="963"/>
        <w:gridCol w:w="308"/>
        <w:gridCol w:w="308"/>
        <w:gridCol w:w="216"/>
        <w:gridCol w:w="109"/>
        <w:gridCol w:w="109"/>
        <w:gridCol w:w="109"/>
        <w:gridCol w:w="329"/>
        <w:gridCol w:w="329"/>
        <w:gridCol w:w="331"/>
        <w:gridCol w:w="109"/>
        <w:gridCol w:w="109"/>
        <w:gridCol w:w="109"/>
        <w:gridCol w:w="308"/>
        <w:gridCol w:w="308"/>
        <w:gridCol w:w="216"/>
        <w:gridCol w:w="109"/>
        <w:gridCol w:w="109"/>
        <w:gridCol w:w="109"/>
        <w:gridCol w:w="308"/>
        <w:gridCol w:w="308"/>
        <w:gridCol w:w="429"/>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Spot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Spot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w:t>
            </w:r>
            <w:r>
              <w:rPr>
                <w:rFonts w:ascii="Times New Roman;sans-serif" w:hAnsi="Times New Roman;sans-serif"/>
                <w:b/>
                <w:color w:val="000000"/>
                <w:sz w:val="13"/>
              </w:rPr>
              <w:t>(2)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dollar/Mexico Peso</w:t>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dollar/Guatemala Quetzal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dollar/Canadian Dollar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dollar/Dominican Peso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dollar/Euro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dollar/British Pound Sterling</w:t>
            </w:r>
            <w:r>
              <w:rPr>
                <w:rFonts w:ascii="Times New Roman;sans-serif" w:hAnsi="Times New Roman;sans-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Spot exchange rates are as of March 31, 2025 and December 31, 2024.</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Average exchange rates are for the three months ended March 31, 2025 and 2024.</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commenced operations in the United Kingdom in connection with an acquisition of a money service entity in July 2024 and, therefore, no information is provided for the three months ended March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Long-term sustained appreciation of the Mexican peso or Guatemalan quetzal as compared to the U.S. dollar could affect our revenues and profit margins.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interest under the Second A&amp;R Credit Agreement is variable based on certain benchmark rates, including SOFR, EURIBOR and SONIA. Because interest expense is subject to fluctuation, if interest rates increase, our debt service obligations on such variable rate indebtedness would increase even though the amount borrowed may remain the same. Accordingly, an increase in interest rates would adversely affect our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three months ended March 31, 2025, the Federal Reserve maintained the fed funds rate at 4.50% as it continues monitoring any potential impact on the U.S. economy of recent trade actions and other measures implemented by the United States and other countries. Although the Federal Reserve has lowered short-term interest rates since September 2024, interest rates, particularly long-term rates, remain elevated and the timing, direction and extent of any future interest rate changes remain uncertain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As of March 31, 2025, we had $147.4 million in outstanding borrowings under the revolving credit facility. A hypothetical 1% increase or decrease in the interest rate on our indebtedness as of March 31, 2025 would have increased or decreased cash interest expense on our revolving credit facility by approximately $1.5 million per annum,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certain cash balances in various U.S. banks, which at times, may exceed federally insured limits. We have not incurred any losses on these accounts. In addition, we maintain cash in various bank accounts in Mexico, Guatemala, Canada, the Dominican Republic, Spain, the United Kingdom, Germany and Italy and short-term investment accounts in Mexico, which may not be fully insured. During the three months ended March 31, 2025,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exposed to credit risk related to receivable balances from sending agents, digital partners and other parties. We perform a credit review before each agent signing and conduct ongoing analyses of sending agents and certain other parties we transact with directly. As of March 31, 2025, we also had $4.5 million outstanding of agent advances receivable from sending agents. Most of the agent advances receivable are collateralized by personal guarantees from the sending agents and by assets from their businesses.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credit losses was approximately $2.1 million for the three months ended March 31, 2025 (1.4% of total revenues) and $1.6 million for the three months ended March 31, 2024 (1.1% of total revenues). The increase in our provision for credit losses in the three months ended March 31, 2025 is primarily due to higher outstanding balances of accounts receivable primarily related to higher principal amount sent processed by our sending agents.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Rules 13a-15(b) and 15d-15(b) under the Exchange Act, our Chief Executive Officer and President, and Chief Financial Officer, carried out an evaluation of the effectiveness of our disclosure controls and procedures as of March 31, 2025.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March 31, 2025.</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Note 17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principal risks that we believe are material to our business, results of operations and financial condition, from the risk factors previously disclosed in the Annual Report on Form 10-K for the year ended December 31, 2024 (the “2024 Form 10-K”). Prospective investors are encouraged to consider the risks described in our 2024 Form 10-K, our Management’s Discussion and Analysis of Financial Condition and Results of Operations contained in this Quarterly Report on Form 10-Q and in our 2024 Form 10-K, and other information publicly disclosed or contained in documents we file with the Securities and Exchange Commission before purchasing our securities.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repurchases of our common stock during the quarter ended March 31, 2025:</w:t>
      </w:r>
    </w:p>
    <w:tbl>
      <w:tblPr>
        <w:tblW w:w="10205" w:type="dxa"/>
        <w:jc w:val="left"/>
        <w:tblInd w:w="0" w:type="dxa"/>
        <w:tblLayout w:type="fixed"/>
        <w:tblCellMar>
          <w:top w:w="28" w:type="dxa"/>
          <w:left w:w="28" w:type="dxa"/>
          <w:bottom w:w="28" w:type="dxa"/>
          <w:right w:w="28" w:type="dxa"/>
        </w:tblCellMar>
      </w:tblPr>
      <w:tblGrid>
        <w:gridCol w:w="486"/>
        <w:gridCol w:w="375"/>
        <w:gridCol w:w="380"/>
        <w:gridCol w:w="109"/>
        <w:gridCol w:w="109"/>
        <w:gridCol w:w="109"/>
        <w:gridCol w:w="478"/>
        <w:gridCol w:w="478"/>
        <w:gridCol w:w="480"/>
        <w:gridCol w:w="109"/>
        <w:gridCol w:w="109"/>
        <w:gridCol w:w="109"/>
        <w:gridCol w:w="293"/>
        <w:gridCol w:w="856"/>
        <w:gridCol w:w="151"/>
        <w:gridCol w:w="109"/>
        <w:gridCol w:w="109"/>
        <w:gridCol w:w="109"/>
        <w:gridCol w:w="740"/>
        <w:gridCol w:w="740"/>
        <w:gridCol w:w="742"/>
        <w:gridCol w:w="109"/>
        <w:gridCol w:w="109"/>
        <w:gridCol w:w="109"/>
        <w:gridCol w:w="392"/>
        <w:gridCol w:w="2012"/>
        <w:gridCol w:w="294"/>
      </w:tblGrid>
      <w:tr>
        <w:trPr/>
        <w:tc>
          <w:tcPr>
            <w:tcW w:w="48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Program</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that May Yet be Purchased under the Program</w:t>
            </w:r>
          </w:p>
        </w:tc>
      </w:tr>
      <w:tr>
        <w:trPr/>
        <w:tc>
          <w:tcPr>
            <w:tcW w:w="12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through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63,177,870 </w:t>
            </w:r>
          </w:p>
        </w:tc>
        <w:tc>
          <w:tcPr>
            <w:tcW w:w="2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through February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63,177,870 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through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59,526,378 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 34,047 and (ii) 15,638 shares withheld for income tax purposes in February 2025 and March 2025, respectively (none in January 2025), in connection with shares issued under compensation and benefit programs. In addition, on March 12, 2025 the Company repurchased 100,000 shares at a price of $13.30 per share in a privately negotiated transaction outside of the repurchase program.</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(b)On August 18, 2021, the Company’s Board of Directors approved a stock repurchase program (the “Repurchase Program”) that authorizes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 On August 26, 2024, the Board of Directors approved an increase to the Repurchase Program that authorizes the Company to purchase an additional $63.8 million of its outstanding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During the quarter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9"/>
        <w:gridCol w:w="281"/>
        <w:gridCol w:w="282"/>
        <w:gridCol w:w="2719"/>
        <w:gridCol w:w="2719"/>
        <w:gridCol w:w="3885"/>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85" w:type="dxa"/>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9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Document</w:t>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Agreement, dated March 12, 2025, between International Money Express, Inc. and Latin-American Investment Holdings, Inc. (incorporated by reference to Exhibit 10.1 to the Registrant’s Current Report on Form 8-K filed on March 14, 2025).</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12025.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 Chief Executive Officer</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12025.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 Chief Financial Officer</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12025.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 1350.</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q12025.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 1350.</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2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March 31, 2025, formatted in Inline XBRL (included with the Exhibit 101 attachments).</w:t>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Previously filed.</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24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cbb4a432f8343da93f65ca08477e42c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63" w:type="dxa"/>
        <w:jc w:val="left"/>
        <w:tblInd w:w="0" w:type="dxa"/>
        <w:tblLayout w:type="fixed"/>
        <w:tblCellMar>
          <w:top w:w="28" w:type="dxa"/>
          <w:left w:w="28" w:type="dxa"/>
          <w:bottom w:w="28" w:type="dxa"/>
          <w:right w:w="28" w:type="dxa"/>
        </w:tblCellMar>
      </w:tblPr>
      <w:tblGrid>
        <w:gridCol w:w="591"/>
        <w:gridCol w:w="520"/>
        <w:gridCol w:w="523"/>
        <w:gridCol w:w="633"/>
        <w:gridCol w:w="633"/>
        <w:gridCol w:w="633"/>
        <w:gridCol w:w="967"/>
        <w:gridCol w:w="967"/>
        <w:gridCol w:w="139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Money Express, Inc. (Registrant)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Robert Lisy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 and President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Andras Bende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Financial Officer)</w:t>
            </w:r>
          </w:p>
        </w:tc>
      </w:tr>
    </w:tbl>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94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700"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Robert Lisy, certify that: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International Money Express, Inc.;</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473" w:type="dxa"/>
        <w:jc w:val="left"/>
        <w:tblInd w:w="0" w:type="dxa"/>
        <w:tblLayout w:type="fixed"/>
        <w:tblCellMar>
          <w:top w:w="28" w:type="dxa"/>
          <w:left w:w="28" w:type="dxa"/>
          <w:bottom w:w="28" w:type="dxa"/>
          <w:right w:w="28" w:type="dxa"/>
        </w:tblCellMar>
      </w:tblPr>
      <w:tblGrid>
        <w:gridCol w:w="591"/>
        <w:gridCol w:w="520"/>
        <w:gridCol w:w="523"/>
        <w:gridCol w:w="208"/>
        <w:gridCol w:w="208"/>
        <w:gridCol w:w="213"/>
        <w:gridCol w:w="935"/>
        <w:gridCol w:w="935"/>
        <w:gridCol w:w="134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Lisy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04" w:before="0" w:after="18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Andras Bende, certify that: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International Money Express, Inc.;</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78" w:type="dxa"/>
        <w:jc w:val="left"/>
        <w:tblInd w:w="0" w:type="dxa"/>
        <w:tblLayout w:type="fixed"/>
        <w:tblCellMar>
          <w:top w:w="28" w:type="dxa"/>
          <w:left w:w="28" w:type="dxa"/>
          <w:bottom w:w="28" w:type="dxa"/>
          <w:right w:w="28" w:type="dxa"/>
        </w:tblCellMar>
      </w:tblPr>
      <w:tblGrid>
        <w:gridCol w:w="591"/>
        <w:gridCol w:w="520"/>
        <w:gridCol w:w="523"/>
        <w:gridCol w:w="208"/>
        <w:gridCol w:w="208"/>
        <w:gridCol w:w="213"/>
        <w:gridCol w:w="707"/>
        <w:gridCol w:w="707"/>
        <w:gridCol w:w="100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Andras Bende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8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55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Robert Lisy, Chief Executive Officer and President of International Money Express, Inc. (the “Company”), certify, pursuant to 18 U.S.C. Section 1350, that, to my knowledge:</w:t>
      </w:r>
    </w:p>
    <w:p>
      <w:pPr>
        <w:pStyle w:val="TextBody"/>
        <w:bidi w:val="0"/>
        <w:spacing w:lineRule="auto" w:line="556"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quarterly period ended March 31, 2025 (the “Report”) fully complies with the requirements of Section 13(a) or 15(d) of the Securities Exchange Act of 1934, as amended; and</w:t>
      </w:r>
    </w:p>
    <w:p>
      <w:pPr>
        <w:pStyle w:val="TextBody"/>
        <w:bidi w:val="0"/>
        <w:spacing w:lineRule="auto" w:line="556"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415" w:type="dxa"/>
        <w:jc w:val="left"/>
        <w:tblInd w:w="0" w:type="dxa"/>
        <w:tblLayout w:type="fixed"/>
        <w:tblCellMar>
          <w:top w:w="28" w:type="dxa"/>
          <w:left w:w="28" w:type="dxa"/>
          <w:bottom w:w="28" w:type="dxa"/>
          <w:right w:w="28" w:type="dxa"/>
        </w:tblCellMar>
      </w:tblPr>
      <w:tblGrid>
        <w:gridCol w:w="591"/>
        <w:gridCol w:w="520"/>
        <w:gridCol w:w="523"/>
        <w:gridCol w:w="189"/>
        <w:gridCol w:w="189"/>
        <w:gridCol w:w="193"/>
        <w:gridCol w:w="935"/>
        <w:gridCol w:w="935"/>
        <w:gridCol w:w="134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Lisy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55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Andras Bende, Chief Financial Officer of International Money Express, Inc. (the “Company”), certify, pursuant to 18 U.S.C. Section 1350, that, to my knowledge:</w:t>
      </w:r>
    </w:p>
    <w:p>
      <w:pPr>
        <w:pStyle w:val="TextBody"/>
        <w:bidi w:val="0"/>
        <w:spacing w:lineRule="auto" w:line="556"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quarterly period ended March 31, 2025 (the “Report”) fully complies with the requirements of Section 13(a) or 15(d) of the Securities Exchange Act of 1934, as amended; and</w:t>
      </w:r>
    </w:p>
    <w:p>
      <w:pPr>
        <w:pStyle w:val="TextBody"/>
        <w:bidi w:val="0"/>
        <w:spacing w:lineRule="auto" w:line="556"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678" w:type="dxa"/>
        <w:jc w:val="left"/>
        <w:tblInd w:w="0" w:type="dxa"/>
        <w:tblLayout w:type="fixed"/>
        <w:tblCellMar>
          <w:top w:w="28" w:type="dxa"/>
          <w:left w:w="28" w:type="dxa"/>
          <w:bottom w:w="28" w:type="dxa"/>
          <w:right w:w="28" w:type="dxa"/>
        </w:tblCellMar>
      </w:tblPr>
      <w:tblGrid>
        <w:gridCol w:w="591"/>
        <w:gridCol w:w="520"/>
        <w:gridCol w:w="523"/>
        <w:gridCol w:w="208"/>
        <w:gridCol w:w="208"/>
        <w:gridCol w:w="213"/>
        <w:gridCol w:w="707"/>
        <w:gridCol w:w="707"/>
        <w:gridCol w:w="100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Andras Bende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83695/000168369525000034/ex101-laihrepurchase.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22848</Words>
  <Characters>128564</Characters>
  <CharactersWithSpaces>150003</CharactersWithSpaces>
  <Paragraphs>2483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