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13" w:lineRule="exact"/>
        <w:rPr>
          <w:sz w:val="24"/>
          <w:szCs w:val="24"/>
          <w:color w:val="auto"/>
        </w:rPr>
      </w:pPr>
    </w:p>
    <w:p>
      <w:pPr>
        <w:ind w:left="3900" w:right="1040" w:hanging="2859"/>
        <w:spacing w:after="0" w:line="375" w:lineRule="auto"/>
        <w:tabs>
          <w:tab w:leader="none" w:pos="1423"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117" w:lineRule="exact"/>
        <w:rPr>
          <w:rFonts w:ascii="MS PGothic" w:cs="MS PGothic" w:eastAsia="MS PGothic" w:hAnsi="MS PGothic"/>
          <w:sz w:val="18"/>
          <w:szCs w:val="18"/>
          <w:color w:val="auto"/>
        </w:rPr>
      </w:pPr>
    </w:p>
    <w:p>
      <w:pPr>
        <w:ind w:left="3780" w:right="840" w:hanging="2927"/>
        <w:spacing w:after="0" w:line="375" w:lineRule="auto"/>
        <w:tabs>
          <w:tab w:leader="none" w:pos="123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____________ to</w:t>
      </w:r>
    </w:p>
    <w:p>
      <w:pPr>
        <w:spacing w:after="0" w:line="1" w:lineRule="exact"/>
        <w:rPr>
          <w:rFonts w:ascii="MS PGothic" w:cs="MS PGothic" w:eastAsia="MS PGothic" w:hAnsi="MS PGothic"/>
          <w:sz w:val="18"/>
          <w:szCs w:val="18"/>
          <w:color w:val="auto"/>
        </w:rPr>
      </w:pPr>
    </w:p>
    <w:p>
      <w:pPr>
        <w:ind w:left="4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No. 001-37986</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INTERNATIONAL MONEY EXPRESS,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2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jc w:val="center"/>
              <w:ind w:left="1753"/>
              <w:spacing w:after="0"/>
              <w:rPr>
                <w:sz w:val="20"/>
                <w:szCs w:val="20"/>
                <w:color w:val="auto"/>
              </w:rPr>
            </w:pPr>
            <w:r>
              <w:rPr>
                <w:rFonts w:ascii="Arial" w:cs="Arial" w:eastAsia="Arial" w:hAnsi="Arial"/>
                <w:sz w:val="18"/>
                <w:szCs w:val="18"/>
                <w:b w:val="1"/>
                <w:bCs w:val="1"/>
                <w:color w:val="auto"/>
                <w:w w:val="93"/>
              </w:rPr>
              <w:t>Delaware</w:t>
            </w: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jc w:val="right"/>
              <w:ind w:right="1993"/>
              <w:spacing w:after="0"/>
              <w:rPr>
                <w:sz w:val="20"/>
                <w:szCs w:val="20"/>
                <w:color w:val="auto"/>
              </w:rPr>
            </w:pPr>
            <w:r>
              <w:rPr>
                <w:rFonts w:ascii="Arial" w:cs="Arial" w:eastAsia="Arial" w:hAnsi="Arial"/>
                <w:sz w:val="18"/>
                <w:szCs w:val="18"/>
                <w:b w:val="1"/>
                <w:bCs w:val="1"/>
                <w:color w:val="auto"/>
              </w:rPr>
              <w:t>47-4219082</w:t>
            </w: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7120" w:type="dxa"/>
            <w:vAlign w:val="bottom"/>
            <w:gridSpan w:val="8"/>
          </w:tcPr>
          <w:p>
            <w:pPr>
              <w:jc w:val="center"/>
              <w:ind w:right="2140"/>
              <w:spacing w:after="0"/>
              <w:rPr>
                <w:sz w:val="20"/>
                <w:szCs w:val="20"/>
                <w:color w:val="auto"/>
              </w:rPr>
            </w:pPr>
            <w:r>
              <w:rPr>
                <w:rFonts w:ascii="Arial" w:cs="Arial" w:eastAsia="Arial" w:hAnsi="Arial"/>
                <w:sz w:val="16"/>
                <w:szCs w:val="16"/>
                <w:color w:val="auto"/>
                <w:w w:val="93"/>
              </w:rPr>
              <w:t>(State or other jurisdiction of incorporation or organization)</w:t>
            </w:r>
          </w:p>
        </w:tc>
        <w:tc>
          <w:tcPr>
            <w:tcW w:w="3900" w:type="dxa"/>
            <w:vAlign w:val="bottom"/>
            <w:gridSpan w:val="2"/>
          </w:tcPr>
          <w:p>
            <w:pPr>
              <w:ind w:left="20"/>
              <w:spacing w:after="0"/>
              <w:rPr>
                <w:sz w:val="20"/>
                <w:szCs w:val="20"/>
                <w:color w:val="auto"/>
              </w:rPr>
            </w:pPr>
            <w:r>
              <w:rPr>
                <w:rFonts w:ascii="Arial" w:cs="Arial" w:eastAsia="Arial" w:hAnsi="Arial"/>
                <w:sz w:val="16"/>
                <w:szCs w:val="16"/>
                <w:color w:val="auto"/>
              </w:rPr>
              <w:t>(I.R.S. Employer Identification No.)</w:t>
            </w:r>
          </w:p>
        </w:tc>
        <w:tc>
          <w:tcPr>
            <w:tcW w:w="0" w:type="dxa"/>
            <w:vAlign w:val="bottom"/>
          </w:tcPr>
          <w:p>
            <w:pPr>
              <w:spacing w:after="0"/>
              <w:rPr>
                <w:sz w:val="1"/>
                <w:szCs w:val="1"/>
                <w:color w:val="auto"/>
              </w:rPr>
            </w:pPr>
          </w:p>
        </w:tc>
      </w:tr>
      <w:tr>
        <w:trPr>
          <w:trHeight w:val="297"/>
        </w:trPr>
        <w:tc>
          <w:tcPr>
            <w:tcW w:w="2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b w:val="1"/>
                <w:bCs w:val="1"/>
                <w:color w:val="auto"/>
                <w:w w:val="93"/>
              </w:rPr>
              <w:t>9480 South Dixie Highway Miami, Florida</w:t>
            </w:r>
          </w:p>
        </w:tc>
        <w:tc>
          <w:tcPr>
            <w:tcW w:w="420" w:type="dxa"/>
            <w:vAlign w:val="bottom"/>
          </w:tcPr>
          <w:p>
            <w:pPr>
              <w:spacing w:after="0"/>
              <w:rPr>
                <w:sz w:val="24"/>
                <w:szCs w:val="24"/>
                <w:color w:val="auto"/>
              </w:rPr>
            </w:pPr>
          </w:p>
        </w:tc>
        <w:tc>
          <w:tcPr>
            <w:tcW w:w="1520" w:type="dxa"/>
            <w:vAlign w:val="bottom"/>
            <w:tcBorders>
              <w:bottom w:val="single" w:sz="8" w:color="auto"/>
            </w:tcBorders>
            <w:gridSpan w:val="3"/>
          </w:tcPr>
          <w:p>
            <w:pPr>
              <w:spacing w:after="0"/>
              <w:rPr>
                <w:sz w:val="24"/>
                <w:szCs w:val="24"/>
                <w:color w:val="auto"/>
              </w:rPr>
            </w:pPr>
          </w:p>
        </w:tc>
        <w:tc>
          <w:tcPr>
            <w:tcW w:w="3700" w:type="dxa"/>
            <w:vAlign w:val="bottom"/>
            <w:tcBorders>
              <w:bottom w:val="single" w:sz="8" w:color="auto"/>
            </w:tcBorders>
          </w:tcPr>
          <w:p>
            <w:pPr>
              <w:jc w:val="right"/>
              <w:ind w:right="2193"/>
              <w:spacing w:after="0"/>
              <w:rPr>
                <w:sz w:val="20"/>
                <w:szCs w:val="20"/>
                <w:color w:val="auto"/>
              </w:rPr>
            </w:pPr>
            <w:r>
              <w:rPr>
                <w:rFonts w:ascii="Arial" w:cs="Arial" w:eastAsia="Arial" w:hAnsi="Arial"/>
                <w:sz w:val="18"/>
                <w:szCs w:val="18"/>
                <w:b w:val="1"/>
                <w:bCs w:val="1"/>
                <w:color w:val="auto"/>
              </w:rPr>
              <w:t>33156</w:t>
            </w: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7120" w:type="dxa"/>
            <w:vAlign w:val="bottom"/>
            <w:gridSpan w:val="8"/>
          </w:tcPr>
          <w:p>
            <w:pPr>
              <w:jc w:val="center"/>
              <w:ind w:right="2160"/>
              <w:spacing w:after="0"/>
              <w:rPr>
                <w:sz w:val="20"/>
                <w:szCs w:val="20"/>
                <w:color w:val="auto"/>
              </w:rPr>
            </w:pPr>
            <w:r>
              <w:rPr>
                <w:rFonts w:ascii="Arial" w:cs="Arial" w:eastAsia="Arial" w:hAnsi="Arial"/>
                <w:sz w:val="16"/>
                <w:szCs w:val="16"/>
                <w:color w:val="auto"/>
                <w:w w:val="93"/>
              </w:rPr>
              <w:t>(Address of Principal Executive Offices)</w:t>
            </w:r>
          </w:p>
        </w:tc>
        <w:tc>
          <w:tcPr>
            <w:tcW w:w="3900" w:type="dxa"/>
            <w:vAlign w:val="bottom"/>
            <w:gridSpan w:val="2"/>
          </w:tcPr>
          <w:p>
            <w:pPr>
              <w:ind w:left="840"/>
              <w:spacing w:after="0"/>
              <w:rPr>
                <w:sz w:val="20"/>
                <w:szCs w:val="20"/>
                <w:color w:val="auto"/>
              </w:rPr>
            </w:pPr>
            <w:r>
              <w:rPr>
                <w:rFonts w:ascii="Arial" w:cs="Arial" w:eastAsia="Arial" w:hAnsi="Arial"/>
                <w:sz w:val="16"/>
                <w:szCs w:val="16"/>
                <w:color w:val="auto"/>
              </w:rPr>
              <w:t>(Zip Code)</w:t>
            </w:r>
          </w:p>
        </w:tc>
        <w:tc>
          <w:tcPr>
            <w:tcW w:w="0" w:type="dxa"/>
            <w:vAlign w:val="bottom"/>
          </w:tcPr>
          <w:p>
            <w:pPr>
              <w:spacing w:after="0"/>
              <w:rPr>
                <w:sz w:val="1"/>
                <w:szCs w:val="1"/>
                <w:color w:val="auto"/>
              </w:rPr>
            </w:pPr>
          </w:p>
        </w:tc>
      </w:tr>
      <w:tr>
        <w:trPr>
          <w:trHeight w:val="621"/>
        </w:trPr>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center"/>
              <w:ind w:left="1190"/>
              <w:spacing w:after="0"/>
              <w:rPr>
                <w:sz w:val="20"/>
                <w:szCs w:val="20"/>
                <w:color w:val="auto"/>
              </w:rPr>
            </w:pPr>
            <w:r>
              <w:rPr>
                <w:rFonts w:ascii="Arial" w:cs="Arial" w:eastAsia="Arial" w:hAnsi="Arial"/>
                <w:sz w:val="18"/>
                <w:szCs w:val="18"/>
                <w:b w:val="1"/>
                <w:bCs w:val="1"/>
                <w:color w:val="auto"/>
                <w:w w:val="90"/>
              </w:rPr>
              <w:t>(305) 671-8000</w:t>
            </w:r>
          </w:p>
        </w:tc>
        <w:tc>
          <w:tcPr>
            <w:tcW w:w="4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20" w:type="dxa"/>
            <w:vAlign w:val="bottom"/>
            <w:gridSpan w:val="6"/>
          </w:tcPr>
          <w:p>
            <w:pPr>
              <w:jc w:val="center"/>
              <w:ind w:left="199"/>
              <w:spacing w:after="0"/>
              <w:rPr>
                <w:sz w:val="20"/>
                <w:szCs w:val="20"/>
                <w:color w:val="auto"/>
              </w:rPr>
            </w:pPr>
            <w:r>
              <w:rPr>
                <w:rFonts w:ascii="Arial" w:cs="Arial" w:eastAsia="Arial" w:hAnsi="Arial"/>
                <w:sz w:val="16"/>
                <w:szCs w:val="16"/>
                <w:color w:val="auto"/>
                <w:w w:val="91"/>
              </w:rPr>
              <w:t>(Registrant’s telephone number, including area code)</w:t>
            </w: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880" w:type="dxa"/>
            <w:vAlign w:val="bottom"/>
            <w:gridSpan w:val="9"/>
          </w:tcPr>
          <w:p>
            <w:pPr>
              <w:jc w:val="center"/>
              <w:ind w:right="334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0" w:type="dxa"/>
            <w:vAlign w:val="bottom"/>
          </w:tcPr>
          <w:p>
            <w:pPr>
              <w:spacing w:after="0"/>
              <w:rPr>
                <w:sz w:val="1"/>
                <w:szCs w:val="1"/>
                <w:color w:val="auto"/>
              </w:rPr>
            </w:pPr>
          </w:p>
        </w:tc>
      </w:tr>
      <w:tr>
        <w:trPr>
          <w:trHeight w:val="270"/>
        </w:trPr>
        <w:tc>
          <w:tcPr>
            <w:tcW w:w="220" w:type="dxa"/>
            <w:vAlign w:val="bottom"/>
          </w:tcPr>
          <w:p>
            <w:pPr>
              <w:spacing w:after="0"/>
              <w:rPr>
                <w:sz w:val="23"/>
                <w:szCs w:val="23"/>
                <w:color w:val="auto"/>
              </w:rPr>
            </w:pPr>
          </w:p>
        </w:tc>
        <w:tc>
          <w:tcPr>
            <w:tcW w:w="3140" w:type="dxa"/>
            <w:vAlign w:val="bottom"/>
          </w:tcPr>
          <w:p>
            <w:pPr>
              <w:jc w:val="center"/>
              <w:ind w:left="153"/>
              <w:spacing w:after="0"/>
              <w:rPr>
                <w:sz w:val="20"/>
                <w:szCs w:val="20"/>
                <w:color w:val="auto"/>
              </w:rPr>
            </w:pPr>
            <w:r>
              <w:rPr>
                <w:rFonts w:ascii="Arial" w:cs="Arial" w:eastAsia="Arial" w:hAnsi="Arial"/>
                <w:sz w:val="18"/>
                <w:szCs w:val="18"/>
                <w:b w:val="1"/>
                <w:bCs w:val="1"/>
                <w:color w:val="auto"/>
                <w:w w:val="86"/>
              </w:rPr>
              <w:t>Title of each class</w:t>
            </w:r>
          </w:p>
        </w:tc>
        <w:tc>
          <w:tcPr>
            <w:tcW w:w="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89"/>
              </w:rPr>
              <w:t>Trading symbol(s)</w:t>
            </w:r>
          </w:p>
        </w:tc>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Name of each exchange on which registered</w:t>
            </w:r>
          </w:p>
        </w:tc>
        <w:tc>
          <w:tcPr>
            <w:tcW w:w="0" w:type="dxa"/>
            <w:vAlign w:val="bottom"/>
          </w:tcPr>
          <w:p>
            <w:pPr>
              <w:spacing w:after="0"/>
              <w:rPr>
                <w:sz w:val="1"/>
                <w:szCs w:val="1"/>
                <w:color w:val="auto"/>
              </w:rPr>
            </w:pPr>
          </w:p>
        </w:tc>
      </w:tr>
      <w:tr>
        <w:trPr>
          <w:trHeight w:val="34"/>
        </w:trPr>
        <w:tc>
          <w:tcPr>
            <w:tcW w:w="22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3140" w:type="dxa"/>
            <w:vAlign w:val="bottom"/>
            <w:vMerge w:val="restart"/>
          </w:tcPr>
          <w:p>
            <w:pPr>
              <w:jc w:val="center"/>
              <w:ind w:left="153"/>
              <w:spacing w:after="0"/>
              <w:rPr>
                <w:sz w:val="20"/>
                <w:szCs w:val="20"/>
                <w:color w:val="auto"/>
              </w:rPr>
            </w:pPr>
            <w:r>
              <w:rPr>
                <w:rFonts w:ascii="Arial" w:cs="Arial" w:eastAsia="Arial" w:hAnsi="Arial"/>
                <w:sz w:val="18"/>
                <w:szCs w:val="18"/>
                <w:color w:val="auto"/>
                <w:w w:val="90"/>
              </w:rPr>
              <w:t>Common stock ($0.0001 par value)</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300" w:type="dxa"/>
            <w:vAlign w:val="bottom"/>
            <w:gridSpan w:val="5"/>
            <w:vMerge w:val="restart"/>
          </w:tcPr>
          <w:p>
            <w:pPr>
              <w:jc w:val="center"/>
              <w:ind w:right="760"/>
              <w:spacing w:after="0"/>
              <w:rPr>
                <w:sz w:val="20"/>
                <w:szCs w:val="20"/>
                <w:color w:val="auto"/>
              </w:rPr>
            </w:pPr>
            <w:r>
              <w:rPr>
                <w:rFonts w:ascii="Arial" w:cs="Arial" w:eastAsia="Arial" w:hAnsi="Arial"/>
                <w:sz w:val="18"/>
                <w:szCs w:val="18"/>
                <w:color w:val="auto"/>
              </w:rPr>
              <w:t>IMXI</w:t>
            </w:r>
          </w:p>
        </w:tc>
        <w:tc>
          <w:tcPr>
            <w:tcW w:w="3900" w:type="dxa"/>
            <w:vAlign w:val="bottom"/>
            <w:gridSpan w:val="2"/>
          </w:tcPr>
          <w:p>
            <w:pPr>
              <w:ind w:left="840"/>
              <w:spacing w:after="0"/>
              <w:rPr>
                <w:sz w:val="20"/>
                <w:szCs w:val="20"/>
                <w:color w:val="auto"/>
              </w:rPr>
            </w:pPr>
            <w:r>
              <w:rPr>
                <w:rFonts w:ascii="Arial" w:cs="Arial" w:eastAsia="Arial" w:hAnsi="Arial"/>
                <w:sz w:val="18"/>
                <w:szCs w:val="18"/>
                <w:color w:val="auto"/>
              </w:rPr>
              <w:t>Nasdaq Capital Market</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31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00" w:type="dxa"/>
            <w:vAlign w:val="bottom"/>
            <w:gridSpan w:val="5"/>
            <w:vMerge w:val="continue"/>
          </w:tcPr>
          <w:p>
            <w:pPr>
              <w:spacing w:after="0"/>
              <w:rPr>
                <w:sz w:val="18"/>
                <w:szCs w:val="18"/>
                <w:color w:val="auto"/>
              </w:rPr>
            </w:pPr>
          </w:p>
        </w:tc>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1813560</wp:posOffset>
            </wp:positionH>
            <wp:positionV relativeFrom="paragraph">
              <wp:posOffset>31750</wp:posOffset>
            </wp:positionV>
            <wp:extent cx="35229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22980" cy="1714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1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8" w:lineRule="exact"/>
        <w:rPr>
          <w:sz w:val="24"/>
          <w:szCs w:val="24"/>
          <w:color w:val="auto"/>
        </w:rPr>
      </w:pPr>
    </w:p>
    <w:p>
      <w:pPr>
        <w:jc w:val="both"/>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0" w:lineRule="exact"/>
        <w:rPr>
          <w:sz w:val="24"/>
          <w:szCs w:val="24"/>
          <w:color w:val="auto"/>
        </w:rPr>
      </w:pPr>
    </w:p>
    <w:p>
      <w:pPr>
        <w:ind w:right="24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8" w:lineRule="exact"/>
        <w:rPr>
          <w:sz w:val="24"/>
          <w:szCs w:val="24"/>
          <w:color w:val="auto"/>
        </w:rPr>
      </w:pPr>
    </w:p>
    <w:p>
      <w:pPr>
        <w:ind w:right="160"/>
        <w:spacing w:after="0" w:line="25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43" w:right="339" w:bottom="0" w:gutter="0" w:footer="0" w:header="0"/>
        </w:sectPr>
      </w:pPr>
    </w:p>
    <w:p>
      <w:pPr>
        <w:spacing w:after="0" w:line="2" w:lineRule="exact"/>
        <w:rPr>
          <w:sz w:val="24"/>
          <w:szCs w:val="24"/>
          <w:color w:val="auto"/>
        </w:rPr>
      </w:pPr>
    </w:p>
    <w:p>
      <w:pPr>
        <w:ind w:left="7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Large 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52" w:lineRule="exact"/>
        <w:rPr>
          <w:sz w:val="24"/>
          <w:szCs w:val="24"/>
          <w:color w:val="auto"/>
        </w:rPr>
      </w:pPr>
    </w:p>
    <w:p>
      <w:pPr>
        <w:sectPr>
          <w:pgSz w:w="11900" w:h="16838" w:orient="portrait"/>
          <w:cols w:equalWidth="0" w:num="3">
            <w:col w:w="4900" w:space="720"/>
            <w:col w:w="160" w:space="100"/>
            <w:col w:w="5360"/>
          </w:cols>
          <w:pgMar w:left="320" w:top="1143" w:right="339" w:bottom="0" w:gutter="0" w:footer="0" w:header="0"/>
          <w:type w:val="continuous"/>
        </w:sectPr>
      </w:pPr>
    </w:p>
    <w:p>
      <w:pPr>
        <w:ind w:left="74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w:t>
      </w:r>
    </w:p>
    <w:p>
      <w:pPr>
        <w:spacing w:after="0" w:line="63" w:lineRule="exact"/>
        <w:rPr>
          <w:sz w:val="24"/>
          <w:szCs w:val="24"/>
          <w:color w:val="auto"/>
        </w:rPr>
      </w:pPr>
    </w:p>
    <w:p>
      <w:pPr>
        <w:sectPr>
          <w:pgSz w:w="11900" w:h="16838" w:orient="portrait"/>
          <w:cols w:equalWidth="0" w:num="3">
            <w:col w:w="4900" w:space="720"/>
            <w:col w:w="160" w:space="100"/>
            <w:col w:w="5360"/>
          </w:cols>
          <w:pgMar w:left="320" w:top="1143" w:right="339" w:bottom="0" w:gutter="0" w:footer="0" w:header="0"/>
          <w:type w:val="continuous"/>
        </w:sectPr>
      </w:pPr>
    </w:p>
    <w:p>
      <w:pPr>
        <w:ind w:left="56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Emerging growth company</w:t>
      </w:r>
    </w:p>
    <w:p>
      <w:pPr>
        <w:spacing w:after="0" w:line="200" w:lineRule="exact"/>
        <w:rPr>
          <w:sz w:val="24"/>
          <w:szCs w:val="24"/>
          <w:color w:val="auto"/>
        </w:rPr>
      </w:pPr>
    </w:p>
    <w:p>
      <w:pPr>
        <w:sectPr>
          <w:pgSz w:w="11900" w:h="16838" w:orient="portrait"/>
          <w:cols w:equalWidth="0" w:num="2">
            <w:col w:w="5780" w:space="100"/>
            <w:col w:w="5360"/>
          </w:cols>
          <w:pgMar w:left="320" w:top="1143" w:right="339" w:bottom="0" w:gutter="0" w:footer="0" w:header="0"/>
          <w:type w:val="continuous"/>
        </w:sectPr>
      </w:pPr>
    </w:p>
    <w:p>
      <w:pPr>
        <w:spacing w:after="0" w:line="98"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ind w:right="2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7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8" w:lineRule="exact"/>
        <w:rPr>
          <w:sz w:val="24"/>
          <w:szCs w:val="24"/>
          <w:color w:val="auto"/>
        </w:rPr>
      </w:pPr>
    </w:p>
    <w:p>
      <w:pPr>
        <w:ind w:right="120"/>
        <w:spacing w:after="0" w:line="275" w:lineRule="auto"/>
        <w:rPr>
          <w:sz w:val="20"/>
          <w:szCs w:val="20"/>
          <w:color w:val="auto"/>
        </w:rPr>
      </w:pPr>
      <w:r>
        <w:rPr>
          <w:rFonts w:ascii="Arial" w:cs="Arial" w:eastAsia="Arial" w:hAnsi="Arial"/>
          <w:sz w:val="16"/>
          <w:szCs w:val="16"/>
          <w:color w:val="auto"/>
        </w:rPr>
        <w:t>As of June 30, 2020, the aggregate market value of the voting stock held by non-affiliates was $307,492,116 based on the closing sale price of $12.46 of the common stock as reported on the Nasdaq Capital Market.</w:t>
      </w:r>
    </w:p>
    <w:p>
      <w:pPr>
        <w:spacing w:after="0" w:line="195" w:lineRule="exact"/>
        <w:rPr>
          <w:sz w:val="24"/>
          <w:szCs w:val="24"/>
          <w:color w:val="auto"/>
        </w:rPr>
      </w:pPr>
    </w:p>
    <w:p>
      <w:pPr>
        <w:ind w:right="40"/>
        <w:spacing w:after="0" w:line="301" w:lineRule="auto"/>
        <w:rPr>
          <w:sz w:val="20"/>
          <w:szCs w:val="20"/>
          <w:color w:val="auto"/>
        </w:rPr>
      </w:pPr>
      <w:r>
        <w:rPr>
          <w:rFonts w:ascii="Arial" w:cs="Arial" w:eastAsia="Arial" w:hAnsi="Arial"/>
          <w:sz w:val="16"/>
          <w:szCs w:val="16"/>
          <w:color w:val="auto"/>
        </w:rPr>
        <w:t>As of March 5, 2021, 38,218,156 shares of the registrant</w:t>
      </w:r>
      <w:r>
        <w:rPr>
          <w:rFonts w:ascii="Arial" w:cs="Arial" w:eastAsia="Arial" w:hAnsi="Arial"/>
          <w:sz w:val="17"/>
          <w:szCs w:val="17"/>
          <w:color w:val="auto"/>
        </w:rPr>
        <w:t>’</w:t>
      </w:r>
      <w:r>
        <w:rPr>
          <w:rFonts w:ascii="Arial" w:cs="Arial" w:eastAsia="Arial" w:hAnsi="Arial"/>
          <w:sz w:val="16"/>
          <w:szCs w:val="16"/>
          <w:color w:val="auto"/>
        </w:rPr>
        <w:t>s common stock, par value $0.0001 per share, were outstanding. The registrant has no other class of common stock outstanding.</w:t>
      </w:r>
    </w:p>
    <w:p>
      <w:pPr>
        <w:sectPr>
          <w:pgSz w:w="11900" w:h="16838" w:orient="portrait"/>
          <w:cols w:equalWidth="0" w:num="1">
            <w:col w:w="11240"/>
          </w:cols>
          <w:pgMar w:left="320" w:top="1143" w:right="33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7"/>
          <w:szCs w:val="17"/>
          <w:b w:val="1"/>
          <w:bCs w:val="1"/>
          <w:color w:val="auto"/>
        </w:rPr>
        <w:t>DOCUMENTS INCORPORATED BY REFERENCE</w:t>
      </w:r>
    </w:p>
    <w:p>
      <w:pPr>
        <w:sectPr>
          <w:pgSz w:w="11900" w:h="16838" w:orient="portrait"/>
          <w:cols w:equalWidth="0" w:num="1">
            <w:col w:w="9019"/>
          </w:cols>
          <w:pgMar w:left="1440" w:top="121" w:right="1440" w:bottom="1440"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195580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00" w:type="dxa"/>
            <w:vAlign w:val="bottom"/>
          </w:tcPr>
          <w:p>
            <w:pPr>
              <w:spacing w:after="0"/>
              <w:rPr>
                <w:sz w:val="19"/>
                <w:szCs w:val="19"/>
                <w:color w:val="auto"/>
              </w:rPr>
            </w:pPr>
          </w:p>
        </w:tc>
        <w:tc>
          <w:tcPr>
            <w:tcW w:w="9380" w:type="dxa"/>
            <w:vAlign w:val="bottom"/>
          </w:tcPr>
          <w:p>
            <w:pPr>
              <w:spacing w:after="0"/>
              <w:rPr>
                <w:sz w:val="19"/>
                <w:szCs w:val="19"/>
                <w:color w:val="auto"/>
              </w:rPr>
            </w:pP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6"/>
                <w:szCs w:val="16"/>
                <w:b w:val="1"/>
                <w:bCs w:val="1"/>
                <w:color w:val="auto"/>
              </w:rPr>
              <w:t>Page</w:t>
            </w:r>
          </w:p>
        </w:tc>
      </w:tr>
      <w:tr>
        <w:trPr>
          <w:trHeight w:val="256"/>
        </w:trPr>
        <w:tc>
          <w:tcPr>
            <w:tcW w:w="900" w:type="dxa"/>
            <w:vAlign w:val="bottom"/>
          </w:tcPr>
          <w:p>
            <w:pPr>
              <w:spacing w:after="0"/>
              <w:rPr>
                <w:sz w:val="22"/>
                <w:szCs w:val="22"/>
                <w:color w:val="auto"/>
              </w:rPr>
            </w:pPr>
          </w:p>
        </w:tc>
        <w:tc>
          <w:tcPr>
            <w:tcW w:w="93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16"/>
        </w:trPr>
        <w:tc>
          <w:tcPr>
            <w:tcW w:w="10280" w:type="dxa"/>
            <w:vAlign w:val="bottom"/>
            <w:gridSpan w:val="2"/>
            <w:shd w:val="clear" w:color="auto" w:fill="CCEEFF"/>
          </w:tcPr>
          <w:p>
            <w:pPr>
              <w:ind w:left="20"/>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SPECIAL NOTE REGARDING FORWARD-LOOKING STATEMENTS</w:t>
              </w:r>
            </w:hyperlink>
          </w:p>
        </w:tc>
        <w:tc>
          <w:tcPr>
            <w:tcW w:w="960" w:type="dxa"/>
            <w:vAlign w:val="bottom"/>
            <w:shd w:val="clear" w:color="auto" w:fill="CCEEFF"/>
          </w:tcPr>
          <w:p>
            <w:pPr>
              <w:jc w:val="center"/>
              <w:spacing w:after="0"/>
              <w:rPr>
                <w:rFonts w:ascii="Arial" w:cs="Arial" w:eastAsia="Arial" w:hAnsi="Arial"/>
                <w:sz w:val="16"/>
                <w:szCs w:val="16"/>
                <w:color w:val="0000FF"/>
                <w:w w:val="89"/>
              </w:rPr>
            </w:pPr>
            <w:hyperlink w:anchor="page3">
              <w:r>
                <w:rPr>
                  <w:rFonts w:ascii="Arial" w:cs="Arial" w:eastAsia="Arial" w:hAnsi="Arial"/>
                  <w:sz w:val="16"/>
                  <w:szCs w:val="16"/>
                  <w:color w:val="0000FF"/>
                  <w:w w:val="89"/>
                </w:rPr>
                <w:t>1</w:t>
              </w:r>
            </w:hyperlink>
          </w:p>
        </w:tc>
      </w:tr>
      <w:tr>
        <w:trPr>
          <w:trHeight w:val="270"/>
        </w:trPr>
        <w:tc>
          <w:tcPr>
            <w:tcW w:w="900" w:type="dxa"/>
            <w:vAlign w:val="bottom"/>
          </w:tcPr>
          <w:p>
            <w:pPr>
              <w:spacing w:after="0"/>
              <w:rPr>
                <w:sz w:val="23"/>
                <w:szCs w:val="23"/>
                <w:color w:val="auto"/>
              </w:rPr>
            </w:pPr>
          </w:p>
        </w:tc>
        <w:tc>
          <w:tcPr>
            <w:tcW w:w="93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16"/>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PART I</w:t>
            </w:r>
          </w:p>
        </w:tc>
        <w:tc>
          <w:tcPr>
            <w:tcW w:w="9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900" w:type="dxa"/>
            <w:vAlign w:val="bottom"/>
          </w:tcPr>
          <w:p>
            <w:pPr>
              <w:ind w:left="20"/>
              <w:spacing w:after="0"/>
              <w:rPr>
                <w:sz w:val="20"/>
                <w:szCs w:val="20"/>
                <w:color w:val="auto"/>
              </w:rPr>
            </w:pPr>
            <w:r>
              <w:rPr>
                <w:rFonts w:ascii="Arial" w:cs="Arial" w:eastAsia="Arial" w:hAnsi="Arial"/>
                <w:sz w:val="16"/>
                <w:szCs w:val="16"/>
                <w:color w:val="auto"/>
              </w:rPr>
              <w:t>Item 1.</w:t>
            </w:r>
          </w:p>
        </w:tc>
        <w:tc>
          <w:tcPr>
            <w:tcW w:w="9380" w:type="dxa"/>
            <w:vAlign w:val="bottom"/>
          </w:tcPr>
          <w:p>
            <w:pPr>
              <w:ind w:left="120"/>
              <w:spacing w:after="0"/>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Business</w:t>
              </w:r>
            </w:hyperlink>
          </w:p>
        </w:tc>
        <w:tc>
          <w:tcPr>
            <w:tcW w:w="960" w:type="dxa"/>
            <w:vAlign w:val="bottom"/>
          </w:tcPr>
          <w:p>
            <w:pPr>
              <w:jc w:val="center"/>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2</w:t>
              </w:r>
            </w:hyperlink>
          </w:p>
        </w:tc>
      </w:tr>
      <w:tr>
        <w:trPr>
          <w:trHeight w:val="219"/>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Item 1A.</w:t>
            </w:r>
          </w:p>
        </w:tc>
        <w:tc>
          <w:tcPr>
            <w:tcW w:w="9380" w:type="dxa"/>
            <w:vAlign w:val="bottom"/>
            <w:shd w:val="clear" w:color="auto" w:fill="CCEEFF"/>
          </w:tcPr>
          <w:p>
            <w:pPr>
              <w:ind w:left="120"/>
              <w:spacing w:after="0"/>
              <w:rPr>
                <w:rFonts w:ascii="Arial" w:cs="Arial" w:eastAsia="Arial" w:hAnsi="Arial"/>
                <w:sz w:val="16"/>
                <w:szCs w:val="16"/>
                <w:u w:val="single" w:color="auto"/>
                <w:color w:val="0000FF"/>
              </w:rPr>
            </w:pPr>
            <w:hyperlink w:anchor="page12">
              <w:r>
                <w:rPr>
                  <w:rFonts w:ascii="Arial" w:cs="Arial" w:eastAsia="Arial" w:hAnsi="Arial"/>
                  <w:sz w:val="16"/>
                  <w:szCs w:val="16"/>
                  <w:u w:val="single" w:color="auto"/>
                  <w:color w:val="0000FF"/>
                </w:rPr>
                <w:t>Risk Factors</w:t>
              </w:r>
            </w:hyperlink>
          </w:p>
        </w:tc>
        <w:tc>
          <w:tcPr>
            <w:tcW w:w="960" w:type="dxa"/>
            <w:vAlign w:val="bottom"/>
            <w:shd w:val="clear" w:color="auto" w:fill="CCEEFF"/>
          </w:tcPr>
          <w:p>
            <w:pPr>
              <w:jc w:val="center"/>
              <w:spacing w:after="0"/>
              <w:rPr>
                <w:rFonts w:ascii="Arial" w:cs="Arial" w:eastAsia="Arial" w:hAnsi="Arial"/>
                <w:sz w:val="16"/>
                <w:szCs w:val="16"/>
                <w:color w:val="0000FF"/>
                <w:w w:val="89"/>
              </w:rPr>
            </w:pPr>
            <w:hyperlink w:anchor="page12">
              <w:r>
                <w:rPr>
                  <w:rFonts w:ascii="Arial" w:cs="Arial" w:eastAsia="Arial" w:hAnsi="Arial"/>
                  <w:sz w:val="16"/>
                  <w:szCs w:val="16"/>
                  <w:color w:val="0000FF"/>
                  <w:w w:val="89"/>
                </w:rPr>
                <w:t>10</w:t>
              </w:r>
            </w:hyperlink>
          </w:p>
        </w:tc>
      </w:tr>
      <w:tr>
        <w:trPr>
          <w:trHeight w:val="213"/>
        </w:trPr>
        <w:tc>
          <w:tcPr>
            <w:tcW w:w="900" w:type="dxa"/>
            <w:vAlign w:val="bottom"/>
          </w:tcPr>
          <w:p>
            <w:pPr>
              <w:ind w:left="20"/>
              <w:spacing w:after="0"/>
              <w:rPr>
                <w:sz w:val="20"/>
                <w:szCs w:val="20"/>
                <w:color w:val="auto"/>
              </w:rPr>
            </w:pPr>
            <w:r>
              <w:rPr>
                <w:rFonts w:ascii="Arial" w:cs="Arial" w:eastAsia="Arial" w:hAnsi="Arial"/>
                <w:sz w:val="16"/>
                <w:szCs w:val="16"/>
                <w:color w:val="auto"/>
              </w:rPr>
              <w:t>Item 1B.</w:t>
            </w:r>
          </w:p>
        </w:tc>
        <w:tc>
          <w:tcPr>
            <w:tcW w:w="9380" w:type="dxa"/>
            <w:vAlign w:val="bottom"/>
          </w:tcPr>
          <w:p>
            <w:pPr>
              <w:ind w:left="120"/>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Unresolved Staff Comments</w:t>
              </w:r>
            </w:hyperlink>
          </w:p>
        </w:tc>
        <w:tc>
          <w:tcPr>
            <w:tcW w:w="960" w:type="dxa"/>
            <w:vAlign w:val="bottom"/>
          </w:tcPr>
          <w:p>
            <w:pPr>
              <w:jc w:val="center"/>
              <w:spacing w:after="0"/>
              <w:rPr>
                <w:rFonts w:ascii="Arial" w:cs="Arial" w:eastAsia="Arial" w:hAnsi="Arial"/>
                <w:sz w:val="16"/>
                <w:szCs w:val="16"/>
                <w:color w:val="0000FF"/>
                <w:w w:val="89"/>
              </w:rPr>
            </w:pPr>
            <w:hyperlink w:anchor="page25">
              <w:r>
                <w:rPr>
                  <w:rFonts w:ascii="Arial" w:cs="Arial" w:eastAsia="Arial" w:hAnsi="Arial"/>
                  <w:sz w:val="16"/>
                  <w:szCs w:val="16"/>
                  <w:color w:val="0000FF"/>
                  <w:w w:val="89"/>
                </w:rPr>
                <w:t>22</w:t>
              </w:r>
            </w:hyperlink>
          </w:p>
        </w:tc>
      </w:tr>
      <w:tr>
        <w:trPr>
          <w:trHeight w:val="219"/>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Item 2.</w:t>
            </w:r>
          </w:p>
        </w:tc>
        <w:tc>
          <w:tcPr>
            <w:tcW w:w="9380" w:type="dxa"/>
            <w:vAlign w:val="bottom"/>
            <w:shd w:val="clear" w:color="auto" w:fill="CCEEFF"/>
          </w:tcPr>
          <w:p>
            <w:pPr>
              <w:ind w:left="120"/>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Properties</w:t>
              </w:r>
            </w:hyperlink>
          </w:p>
        </w:tc>
        <w:tc>
          <w:tcPr>
            <w:tcW w:w="960" w:type="dxa"/>
            <w:vAlign w:val="bottom"/>
            <w:shd w:val="clear" w:color="auto" w:fill="CCEEFF"/>
          </w:tcPr>
          <w:p>
            <w:pPr>
              <w:jc w:val="center"/>
              <w:spacing w:after="0"/>
              <w:rPr>
                <w:rFonts w:ascii="Arial" w:cs="Arial" w:eastAsia="Arial" w:hAnsi="Arial"/>
                <w:sz w:val="16"/>
                <w:szCs w:val="16"/>
                <w:color w:val="0000FF"/>
                <w:w w:val="89"/>
              </w:rPr>
            </w:pPr>
            <w:hyperlink w:anchor="page25">
              <w:r>
                <w:rPr>
                  <w:rFonts w:ascii="Arial" w:cs="Arial" w:eastAsia="Arial" w:hAnsi="Arial"/>
                  <w:sz w:val="16"/>
                  <w:szCs w:val="16"/>
                  <w:color w:val="0000FF"/>
                  <w:w w:val="89"/>
                </w:rPr>
                <w:t>23</w:t>
              </w:r>
            </w:hyperlink>
          </w:p>
        </w:tc>
      </w:tr>
      <w:tr>
        <w:trPr>
          <w:trHeight w:val="213"/>
        </w:trPr>
        <w:tc>
          <w:tcPr>
            <w:tcW w:w="900" w:type="dxa"/>
            <w:vAlign w:val="bottom"/>
          </w:tcPr>
          <w:p>
            <w:pPr>
              <w:ind w:left="20"/>
              <w:spacing w:after="0"/>
              <w:rPr>
                <w:sz w:val="20"/>
                <w:szCs w:val="20"/>
                <w:color w:val="auto"/>
              </w:rPr>
            </w:pPr>
            <w:r>
              <w:rPr>
                <w:rFonts w:ascii="Arial" w:cs="Arial" w:eastAsia="Arial" w:hAnsi="Arial"/>
                <w:sz w:val="16"/>
                <w:szCs w:val="16"/>
                <w:color w:val="auto"/>
              </w:rPr>
              <w:t>Item 3.</w:t>
            </w:r>
          </w:p>
        </w:tc>
        <w:tc>
          <w:tcPr>
            <w:tcW w:w="9380" w:type="dxa"/>
            <w:vAlign w:val="bottom"/>
          </w:tcPr>
          <w:p>
            <w:pPr>
              <w:ind w:left="12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Legal Proceedings</w:t>
              </w:r>
            </w:hyperlink>
          </w:p>
        </w:tc>
        <w:tc>
          <w:tcPr>
            <w:tcW w:w="960" w:type="dxa"/>
            <w:vAlign w:val="bottom"/>
          </w:tcPr>
          <w:p>
            <w:pPr>
              <w:jc w:val="center"/>
              <w:spacing w:after="0"/>
              <w:rPr>
                <w:rFonts w:ascii="Arial" w:cs="Arial" w:eastAsia="Arial" w:hAnsi="Arial"/>
                <w:sz w:val="16"/>
                <w:szCs w:val="16"/>
                <w:color w:val="0000FF"/>
                <w:w w:val="89"/>
              </w:rPr>
            </w:pPr>
            <w:hyperlink w:anchor="page26">
              <w:r>
                <w:rPr>
                  <w:rFonts w:ascii="Arial" w:cs="Arial" w:eastAsia="Arial" w:hAnsi="Arial"/>
                  <w:sz w:val="16"/>
                  <w:szCs w:val="16"/>
                  <w:color w:val="0000FF"/>
                  <w:w w:val="89"/>
                </w:rPr>
                <w:t>23</w:t>
              </w:r>
            </w:hyperlink>
          </w:p>
        </w:tc>
      </w:tr>
      <w:tr>
        <w:trPr>
          <w:trHeight w:val="219"/>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Item 4.</w:t>
            </w:r>
          </w:p>
        </w:tc>
        <w:tc>
          <w:tcPr>
            <w:tcW w:w="9380" w:type="dxa"/>
            <w:vAlign w:val="bottom"/>
            <w:shd w:val="clear" w:color="auto" w:fill="CCEEFF"/>
          </w:tcPr>
          <w:p>
            <w:pPr>
              <w:ind w:left="120"/>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Mine Safety Disclosures</w:t>
              </w:r>
            </w:hyperlink>
          </w:p>
        </w:tc>
        <w:tc>
          <w:tcPr>
            <w:tcW w:w="960" w:type="dxa"/>
            <w:vAlign w:val="bottom"/>
            <w:shd w:val="clear" w:color="auto" w:fill="CCEEFF"/>
          </w:tcPr>
          <w:p>
            <w:pPr>
              <w:jc w:val="center"/>
              <w:spacing w:after="0"/>
              <w:rPr>
                <w:rFonts w:ascii="Arial" w:cs="Arial" w:eastAsia="Arial" w:hAnsi="Arial"/>
                <w:sz w:val="16"/>
                <w:szCs w:val="16"/>
                <w:color w:val="0000FF"/>
                <w:w w:val="89"/>
              </w:rPr>
            </w:pPr>
            <w:hyperlink w:anchor="page26">
              <w:r>
                <w:rPr>
                  <w:rFonts w:ascii="Arial" w:cs="Arial" w:eastAsia="Arial" w:hAnsi="Arial"/>
                  <w:sz w:val="16"/>
                  <w:szCs w:val="16"/>
                  <w:color w:val="0000FF"/>
                  <w:w w:val="89"/>
                </w:rPr>
                <w:t>23</w:t>
              </w:r>
            </w:hyperlink>
          </w:p>
        </w:tc>
      </w:tr>
      <w:tr>
        <w:trPr>
          <w:trHeight w:val="270"/>
        </w:trPr>
        <w:tc>
          <w:tcPr>
            <w:tcW w:w="900" w:type="dxa"/>
            <w:vAlign w:val="bottom"/>
          </w:tcPr>
          <w:p>
            <w:pPr>
              <w:spacing w:after="0"/>
              <w:rPr>
                <w:sz w:val="23"/>
                <w:szCs w:val="23"/>
                <w:color w:val="auto"/>
              </w:rPr>
            </w:pPr>
          </w:p>
        </w:tc>
        <w:tc>
          <w:tcPr>
            <w:tcW w:w="93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16"/>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PART II</w:t>
            </w:r>
          </w:p>
        </w:tc>
        <w:tc>
          <w:tcPr>
            <w:tcW w:w="9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900" w:type="dxa"/>
            <w:vAlign w:val="bottom"/>
          </w:tcPr>
          <w:p>
            <w:pPr>
              <w:ind w:left="20"/>
              <w:spacing w:after="0"/>
              <w:rPr>
                <w:sz w:val="20"/>
                <w:szCs w:val="20"/>
                <w:color w:val="auto"/>
              </w:rPr>
            </w:pPr>
            <w:r>
              <w:rPr>
                <w:rFonts w:ascii="Arial" w:cs="Arial" w:eastAsia="Arial" w:hAnsi="Arial"/>
                <w:sz w:val="16"/>
                <w:szCs w:val="16"/>
                <w:color w:val="auto"/>
              </w:rPr>
              <w:t>Item 5.</w:t>
            </w:r>
          </w:p>
        </w:tc>
        <w:tc>
          <w:tcPr>
            <w:tcW w:w="9380" w:type="dxa"/>
            <w:vAlign w:val="bottom"/>
          </w:tcPr>
          <w:p>
            <w:pPr>
              <w:ind w:left="120"/>
              <w:spacing w:after="0"/>
              <w:rPr>
                <w:rFonts w:ascii="Arial" w:cs="Arial" w:eastAsia="Arial" w:hAnsi="Arial"/>
                <w:sz w:val="16"/>
                <w:szCs w:val="16"/>
                <w:u w:val="single" w:color="auto"/>
                <w:color w:val="0000FF"/>
              </w:rPr>
            </w:pPr>
            <w:hyperlink w:anchor="page27">
              <w:r>
                <w:rPr>
                  <w:rFonts w:ascii="Arial" w:cs="Arial" w:eastAsia="Arial" w:hAnsi="Arial"/>
                  <w:sz w:val="16"/>
                  <w:szCs w:val="16"/>
                  <w:u w:val="single" w:color="auto"/>
                  <w:color w:val="0000FF"/>
                </w:rPr>
                <w:t>Market for Registrant’s Common Equity, Related Stockholder Matters and Issuer Purchases of Equity Securities</w:t>
              </w:r>
            </w:hyperlink>
          </w:p>
        </w:tc>
        <w:tc>
          <w:tcPr>
            <w:tcW w:w="960" w:type="dxa"/>
            <w:vAlign w:val="bottom"/>
          </w:tcPr>
          <w:p>
            <w:pPr>
              <w:jc w:val="center"/>
              <w:spacing w:after="0"/>
              <w:rPr>
                <w:rFonts w:ascii="Arial" w:cs="Arial" w:eastAsia="Arial" w:hAnsi="Arial"/>
                <w:sz w:val="16"/>
                <w:szCs w:val="16"/>
                <w:color w:val="0000FF"/>
                <w:w w:val="89"/>
              </w:rPr>
            </w:pPr>
            <w:hyperlink w:anchor="page27">
              <w:r>
                <w:rPr>
                  <w:rFonts w:ascii="Arial" w:cs="Arial" w:eastAsia="Arial" w:hAnsi="Arial"/>
                  <w:sz w:val="16"/>
                  <w:szCs w:val="16"/>
                  <w:color w:val="0000FF"/>
                  <w:w w:val="89"/>
                </w:rPr>
                <w:t>24</w:t>
              </w:r>
            </w:hyperlink>
          </w:p>
        </w:tc>
      </w:tr>
      <w:tr>
        <w:trPr>
          <w:trHeight w:val="219"/>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Item 6.</w:t>
            </w:r>
          </w:p>
        </w:tc>
        <w:tc>
          <w:tcPr>
            <w:tcW w:w="9380" w:type="dxa"/>
            <w:vAlign w:val="bottom"/>
            <w:shd w:val="clear" w:color="auto" w:fill="CCEEFF"/>
          </w:tcPr>
          <w:p>
            <w:pPr>
              <w:ind w:left="120"/>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Selected Financial Data</w:t>
              </w:r>
            </w:hyperlink>
          </w:p>
        </w:tc>
        <w:tc>
          <w:tcPr>
            <w:tcW w:w="960" w:type="dxa"/>
            <w:vAlign w:val="bottom"/>
            <w:shd w:val="clear" w:color="auto" w:fill="CCEEFF"/>
          </w:tcPr>
          <w:p>
            <w:pPr>
              <w:jc w:val="center"/>
              <w:spacing w:after="0"/>
              <w:rPr>
                <w:rFonts w:ascii="Arial" w:cs="Arial" w:eastAsia="Arial" w:hAnsi="Arial"/>
                <w:sz w:val="16"/>
                <w:szCs w:val="16"/>
                <w:color w:val="0000FF"/>
                <w:w w:val="89"/>
              </w:rPr>
            </w:pPr>
            <w:hyperlink w:anchor="page28">
              <w:r>
                <w:rPr>
                  <w:rFonts w:ascii="Arial" w:cs="Arial" w:eastAsia="Arial" w:hAnsi="Arial"/>
                  <w:sz w:val="16"/>
                  <w:szCs w:val="16"/>
                  <w:color w:val="0000FF"/>
                  <w:w w:val="89"/>
                </w:rPr>
                <w:t>25</w:t>
              </w:r>
            </w:hyperlink>
          </w:p>
        </w:tc>
      </w:tr>
      <w:tr>
        <w:trPr>
          <w:trHeight w:val="213"/>
        </w:trPr>
        <w:tc>
          <w:tcPr>
            <w:tcW w:w="900" w:type="dxa"/>
            <w:vAlign w:val="bottom"/>
          </w:tcPr>
          <w:p>
            <w:pPr>
              <w:ind w:left="20"/>
              <w:spacing w:after="0"/>
              <w:rPr>
                <w:sz w:val="20"/>
                <w:szCs w:val="20"/>
                <w:color w:val="auto"/>
              </w:rPr>
            </w:pPr>
            <w:r>
              <w:rPr>
                <w:rFonts w:ascii="Arial" w:cs="Arial" w:eastAsia="Arial" w:hAnsi="Arial"/>
                <w:sz w:val="16"/>
                <w:szCs w:val="16"/>
                <w:color w:val="auto"/>
              </w:rPr>
              <w:t>Item 7.</w:t>
            </w:r>
          </w:p>
        </w:tc>
        <w:tc>
          <w:tcPr>
            <w:tcW w:w="9380" w:type="dxa"/>
            <w:vAlign w:val="bottom"/>
          </w:tcPr>
          <w:p>
            <w:pPr>
              <w:ind w:left="12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Management’s Discussion and Analysis of Financial Condition and Results of Operations</w:t>
              </w:r>
            </w:hyperlink>
          </w:p>
        </w:tc>
        <w:tc>
          <w:tcPr>
            <w:tcW w:w="960" w:type="dxa"/>
            <w:vAlign w:val="bottom"/>
          </w:tcPr>
          <w:p>
            <w:pPr>
              <w:jc w:val="center"/>
              <w:spacing w:after="0"/>
              <w:rPr>
                <w:rFonts w:ascii="Arial" w:cs="Arial" w:eastAsia="Arial" w:hAnsi="Arial"/>
                <w:sz w:val="16"/>
                <w:szCs w:val="16"/>
                <w:color w:val="0000FF"/>
                <w:w w:val="89"/>
              </w:rPr>
            </w:pPr>
            <w:hyperlink w:anchor="page29">
              <w:r>
                <w:rPr>
                  <w:rFonts w:ascii="Arial" w:cs="Arial" w:eastAsia="Arial" w:hAnsi="Arial"/>
                  <w:sz w:val="16"/>
                  <w:szCs w:val="16"/>
                  <w:color w:val="0000FF"/>
                  <w:w w:val="89"/>
                </w:rPr>
                <w:t>26</w:t>
              </w:r>
            </w:hyperlink>
          </w:p>
        </w:tc>
      </w:tr>
      <w:tr>
        <w:trPr>
          <w:trHeight w:val="219"/>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Item 7A.</w:t>
            </w:r>
          </w:p>
        </w:tc>
        <w:tc>
          <w:tcPr>
            <w:tcW w:w="9380" w:type="dxa"/>
            <w:vAlign w:val="bottom"/>
            <w:shd w:val="clear" w:color="auto" w:fill="CCEEFF"/>
          </w:tcPr>
          <w:p>
            <w:pPr>
              <w:ind w:left="120"/>
              <w:spacing w:after="0"/>
              <w:rPr>
                <w:rFonts w:ascii="Arial" w:cs="Arial" w:eastAsia="Arial" w:hAnsi="Arial"/>
                <w:sz w:val="16"/>
                <w:szCs w:val="16"/>
                <w:u w:val="single" w:color="auto"/>
                <w:color w:val="0000FF"/>
              </w:rPr>
            </w:pPr>
            <w:hyperlink w:anchor="page49">
              <w:r>
                <w:rPr>
                  <w:rFonts w:ascii="Arial" w:cs="Arial" w:eastAsia="Arial" w:hAnsi="Arial"/>
                  <w:sz w:val="16"/>
                  <w:szCs w:val="16"/>
                  <w:u w:val="single" w:color="auto"/>
                  <w:color w:val="0000FF"/>
                </w:rPr>
                <w:t>Quantitative and Qualitative Disclosures About Market Risk</w:t>
              </w:r>
            </w:hyperlink>
          </w:p>
        </w:tc>
        <w:tc>
          <w:tcPr>
            <w:tcW w:w="960" w:type="dxa"/>
            <w:vAlign w:val="bottom"/>
            <w:shd w:val="clear" w:color="auto" w:fill="CCEEFF"/>
          </w:tcPr>
          <w:p>
            <w:pPr>
              <w:jc w:val="center"/>
              <w:spacing w:after="0"/>
              <w:rPr>
                <w:rFonts w:ascii="Arial" w:cs="Arial" w:eastAsia="Arial" w:hAnsi="Arial"/>
                <w:sz w:val="16"/>
                <w:szCs w:val="16"/>
                <w:color w:val="0000FF"/>
                <w:w w:val="89"/>
              </w:rPr>
            </w:pPr>
            <w:hyperlink w:anchor="page49">
              <w:r>
                <w:rPr>
                  <w:rFonts w:ascii="Arial" w:cs="Arial" w:eastAsia="Arial" w:hAnsi="Arial"/>
                  <w:sz w:val="16"/>
                  <w:szCs w:val="16"/>
                  <w:color w:val="0000FF"/>
                  <w:w w:val="89"/>
                </w:rPr>
                <w:t>45</w:t>
              </w:r>
            </w:hyperlink>
          </w:p>
        </w:tc>
      </w:tr>
      <w:tr>
        <w:trPr>
          <w:trHeight w:val="213"/>
        </w:trPr>
        <w:tc>
          <w:tcPr>
            <w:tcW w:w="900" w:type="dxa"/>
            <w:vAlign w:val="bottom"/>
          </w:tcPr>
          <w:p>
            <w:pPr>
              <w:ind w:left="20"/>
              <w:spacing w:after="0"/>
              <w:rPr>
                <w:sz w:val="20"/>
                <w:szCs w:val="20"/>
                <w:color w:val="auto"/>
              </w:rPr>
            </w:pPr>
            <w:r>
              <w:rPr>
                <w:rFonts w:ascii="Arial" w:cs="Arial" w:eastAsia="Arial" w:hAnsi="Arial"/>
                <w:sz w:val="16"/>
                <w:szCs w:val="16"/>
                <w:color w:val="auto"/>
              </w:rPr>
              <w:t>Item 8.</w:t>
            </w:r>
          </w:p>
        </w:tc>
        <w:tc>
          <w:tcPr>
            <w:tcW w:w="9380" w:type="dxa"/>
            <w:vAlign w:val="bottom"/>
          </w:tcPr>
          <w:p>
            <w:pPr>
              <w:ind w:left="120"/>
              <w:spacing w:after="0"/>
              <w:rPr>
                <w:rFonts w:ascii="Arial" w:cs="Arial" w:eastAsia="Arial" w:hAnsi="Arial"/>
                <w:sz w:val="16"/>
                <w:szCs w:val="16"/>
                <w:u w:val="single" w:color="auto"/>
                <w:color w:val="0000FF"/>
              </w:rPr>
            </w:pPr>
            <w:hyperlink w:anchor="page51">
              <w:r>
                <w:rPr>
                  <w:rFonts w:ascii="Arial" w:cs="Arial" w:eastAsia="Arial" w:hAnsi="Arial"/>
                  <w:sz w:val="16"/>
                  <w:szCs w:val="16"/>
                  <w:u w:val="single" w:color="auto"/>
                  <w:color w:val="0000FF"/>
                </w:rPr>
                <w:t>Financial Statements and Supplementary Data</w:t>
              </w:r>
            </w:hyperlink>
          </w:p>
        </w:tc>
        <w:tc>
          <w:tcPr>
            <w:tcW w:w="960" w:type="dxa"/>
            <w:vAlign w:val="bottom"/>
          </w:tcPr>
          <w:p>
            <w:pPr>
              <w:jc w:val="center"/>
              <w:spacing w:after="0"/>
              <w:rPr>
                <w:rFonts w:ascii="Arial" w:cs="Arial" w:eastAsia="Arial" w:hAnsi="Arial"/>
                <w:sz w:val="16"/>
                <w:szCs w:val="16"/>
                <w:color w:val="0000FF"/>
                <w:w w:val="89"/>
              </w:rPr>
            </w:pPr>
            <w:hyperlink w:anchor="page51">
              <w:r>
                <w:rPr>
                  <w:rFonts w:ascii="Arial" w:cs="Arial" w:eastAsia="Arial" w:hAnsi="Arial"/>
                  <w:sz w:val="16"/>
                  <w:szCs w:val="16"/>
                  <w:color w:val="0000FF"/>
                  <w:w w:val="89"/>
                </w:rPr>
                <w:t>48</w:t>
              </w:r>
            </w:hyperlink>
          </w:p>
        </w:tc>
      </w:tr>
      <w:tr>
        <w:trPr>
          <w:trHeight w:val="219"/>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Item 9.</w:t>
            </w:r>
          </w:p>
        </w:tc>
        <w:tc>
          <w:tcPr>
            <w:tcW w:w="9380" w:type="dxa"/>
            <w:vAlign w:val="bottom"/>
            <w:shd w:val="clear" w:color="auto" w:fill="CCEEFF"/>
          </w:tcPr>
          <w:p>
            <w:pPr>
              <w:ind w:left="120"/>
              <w:spacing w:after="0"/>
              <w:rPr>
                <w:rFonts w:ascii="Arial" w:cs="Arial" w:eastAsia="Arial" w:hAnsi="Arial"/>
                <w:sz w:val="16"/>
                <w:szCs w:val="16"/>
                <w:u w:val="single" w:color="auto"/>
                <w:color w:val="0000FF"/>
              </w:rPr>
            </w:pPr>
            <w:hyperlink w:anchor="page83">
              <w:r>
                <w:rPr>
                  <w:rFonts w:ascii="Arial" w:cs="Arial" w:eastAsia="Arial" w:hAnsi="Arial"/>
                  <w:sz w:val="16"/>
                  <w:szCs w:val="16"/>
                  <w:u w:val="single" w:color="auto"/>
                  <w:color w:val="0000FF"/>
                </w:rPr>
                <w:t>Changes in and Disagreements with Accountants on Accounting and Financial Disclosure</w:t>
              </w:r>
            </w:hyperlink>
          </w:p>
        </w:tc>
        <w:tc>
          <w:tcPr>
            <w:tcW w:w="960" w:type="dxa"/>
            <w:vAlign w:val="bottom"/>
            <w:shd w:val="clear" w:color="auto" w:fill="CCEEFF"/>
          </w:tcPr>
          <w:p>
            <w:pPr>
              <w:jc w:val="center"/>
              <w:spacing w:after="0"/>
              <w:rPr>
                <w:rFonts w:ascii="Arial" w:cs="Arial" w:eastAsia="Arial" w:hAnsi="Arial"/>
                <w:sz w:val="16"/>
                <w:szCs w:val="16"/>
                <w:color w:val="0000FF"/>
                <w:w w:val="89"/>
              </w:rPr>
            </w:pPr>
            <w:hyperlink w:anchor="page83">
              <w:r>
                <w:rPr>
                  <w:rFonts w:ascii="Arial" w:cs="Arial" w:eastAsia="Arial" w:hAnsi="Arial"/>
                  <w:sz w:val="16"/>
                  <w:szCs w:val="16"/>
                  <w:color w:val="0000FF"/>
                  <w:w w:val="89"/>
                </w:rPr>
                <w:t>61</w:t>
              </w:r>
            </w:hyperlink>
          </w:p>
        </w:tc>
      </w:tr>
      <w:tr>
        <w:trPr>
          <w:trHeight w:val="213"/>
        </w:trPr>
        <w:tc>
          <w:tcPr>
            <w:tcW w:w="900" w:type="dxa"/>
            <w:vAlign w:val="bottom"/>
          </w:tcPr>
          <w:p>
            <w:pPr>
              <w:ind w:left="20"/>
              <w:spacing w:after="0"/>
              <w:rPr>
                <w:sz w:val="20"/>
                <w:szCs w:val="20"/>
                <w:color w:val="auto"/>
              </w:rPr>
            </w:pPr>
            <w:r>
              <w:rPr>
                <w:rFonts w:ascii="Arial" w:cs="Arial" w:eastAsia="Arial" w:hAnsi="Arial"/>
                <w:sz w:val="16"/>
                <w:szCs w:val="16"/>
                <w:color w:val="auto"/>
              </w:rPr>
              <w:t>Item 9A.</w:t>
            </w:r>
          </w:p>
        </w:tc>
        <w:tc>
          <w:tcPr>
            <w:tcW w:w="9380" w:type="dxa"/>
            <w:vAlign w:val="bottom"/>
          </w:tcPr>
          <w:p>
            <w:pPr>
              <w:ind w:left="120"/>
              <w:spacing w:after="0"/>
              <w:rPr>
                <w:rFonts w:ascii="Arial" w:cs="Arial" w:eastAsia="Arial" w:hAnsi="Arial"/>
                <w:sz w:val="16"/>
                <w:szCs w:val="16"/>
                <w:u w:val="single" w:color="auto"/>
                <w:color w:val="0000FF"/>
              </w:rPr>
            </w:pPr>
            <w:hyperlink w:anchor="page84">
              <w:r>
                <w:rPr>
                  <w:rFonts w:ascii="Arial" w:cs="Arial" w:eastAsia="Arial" w:hAnsi="Arial"/>
                  <w:sz w:val="16"/>
                  <w:szCs w:val="16"/>
                  <w:u w:val="single" w:color="auto"/>
                  <w:color w:val="0000FF"/>
                </w:rPr>
                <w:t>Controls and Procedures</w:t>
              </w:r>
            </w:hyperlink>
          </w:p>
        </w:tc>
        <w:tc>
          <w:tcPr>
            <w:tcW w:w="960" w:type="dxa"/>
            <w:vAlign w:val="bottom"/>
          </w:tcPr>
          <w:p>
            <w:pPr>
              <w:jc w:val="center"/>
              <w:spacing w:after="0"/>
              <w:rPr>
                <w:rFonts w:ascii="Arial" w:cs="Arial" w:eastAsia="Arial" w:hAnsi="Arial"/>
                <w:sz w:val="16"/>
                <w:szCs w:val="16"/>
                <w:color w:val="0000FF"/>
                <w:w w:val="89"/>
              </w:rPr>
            </w:pPr>
            <w:hyperlink w:anchor="page84">
              <w:r>
                <w:rPr>
                  <w:rFonts w:ascii="Arial" w:cs="Arial" w:eastAsia="Arial" w:hAnsi="Arial"/>
                  <w:sz w:val="16"/>
                  <w:szCs w:val="16"/>
                  <w:color w:val="0000FF"/>
                  <w:w w:val="89"/>
                </w:rPr>
                <w:t>61</w:t>
              </w:r>
            </w:hyperlink>
          </w:p>
        </w:tc>
      </w:tr>
      <w:tr>
        <w:trPr>
          <w:trHeight w:val="219"/>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Item 9B.</w:t>
            </w:r>
          </w:p>
        </w:tc>
        <w:tc>
          <w:tcPr>
            <w:tcW w:w="9380" w:type="dxa"/>
            <w:vAlign w:val="bottom"/>
            <w:shd w:val="clear" w:color="auto" w:fill="CCEEFF"/>
          </w:tcPr>
          <w:p>
            <w:pPr>
              <w:ind w:left="120"/>
              <w:spacing w:after="0"/>
              <w:rPr>
                <w:rFonts w:ascii="Arial" w:cs="Arial" w:eastAsia="Arial" w:hAnsi="Arial"/>
                <w:sz w:val="16"/>
                <w:szCs w:val="16"/>
                <w:u w:val="single" w:color="auto"/>
                <w:color w:val="0000FF"/>
              </w:rPr>
            </w:pPr>
            <w:hyperlink w:anchor="page84">
              <w:r>
                <w:rPr>
                  <w:rFonts w:ascii="Arial" w:cs="Arial" w:eastAsia="Arial" w:hAnsi="Arial"/>
                  <w:sz w:val="16"/>
                  <w:szCs w:val="16"/>
                  <w:u w:val="single" w:color="auto"/>
                  <w:color w:val="0000FF"/>
                </w:rPr>
                <w:t>Other Information</w:t>
              </w:r>
            </w:hyperlink>
          </w:p>
        </w:tc>
        <w:tc>
          <w:tcPr>
            <w:tcW w:w="960" w:type="dxa"/>
            <w:vAlign w:val="bottom"/>
            <w:shd w:val="clear" w:color="auto" w:fill="CCEEFF"/>
          </w:tcPr>
          <w:p>
            <w:pPr>
              <w:jc w:val="center"/>
              <w:spacing w:after="0"/>
              <w:rPr>
                <w:rFonts w:ascii="Arial" w:cs="Arial" w:eastAsia="Arial" w:hAnsi="Arial"/>
                <w:sz w:val="16"/>
                <w:szCs w:val="16"/>
                <w:color w:val="0000FF"/>
                <w:w w:val="89"/>
              </w:rPr>
            </w:pPr>
            <w:hyperlink w:anchor="page84">
              <w:r>
                <w:rPr>
                  <w:rFonts w:ascii="Arial" w:cs="Arial" w:eastAsia="Arial" w:hAnsi="Arial"/>
                  <w:sz w:val="16"/>
                  <w:szCs w:val="16"/>
                  <w:color w:val="0000FF"/>
                  <w:w w:val="89"/>
                </w:rPr>
                <w:t>61</w:t>
              </w:r>
            </w:hyperlink>
          </w:p>
        </w:tc>
      </w:tr>
      <w:tr>
        <w:trPr>
          <w:trHeight w:val="270"/>
        </w:trPr>
        <w:tc>
          <w:tcPr>
            <w:tcW w:w="900" w:type="dxa"/>
            <w:vAlign w:val="bottom"/>
          </w:tcPr>
          <w:p>
            <w:pPr>
              <w:spacing w:after="0"/>
              <w:rPr>
                <w:sz w:val="23"/>
                <w:szCs w:val="23"/>
                <w:color w:val="auto"/>
              </w:rPr>
            </w:pPr>
          </w:p>
        </w:tc>
        <w:tc>
          <w:tcPr>
            <w:tcW w:w="93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16"/>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PART III</w:t>
            </w:r>
          </w:p>
        </w:tc>
        <w:tc>
          <w:tcPr>
            <w:tcW w:w="9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3"/>
        </w:trPr>
        <w:tc>
          <w:tcPr>
            <w:tcW w:w="900" w:type="dxa"/>
            <w:vAlign w:val="bottom"/>
          </w:tcPr>
          <w:p>
            <w:pPr>
              <w:ind w:left="20"/>
              <w:spacing w:after="0"/>
              <w:rPr>
                <w:sz w:val="20"/>
                <w:szCs w:val="20"/>
                <w:color w:val="auto"/>
              </w:rPr>
            </w:pPr>
            <w:r>
              <w:rPr>
                <w:rFonts w:ascii="Arial" w:cs="Arial" w:eastAsia="Arial" w:hAnsi="Arial"/>
                <w:sz w:val="16"/>
                <w:szCs w:val="16"/>
                <w:color w:val="auto"/>
              </w:rPr>
              <w:t>Item 10.</w:t>
            </w:r>
          </w:p>
        </w:tc>
        <w:tc>
          <w:tcPr>
            <w:tcW w:w="9380" w:type="dxa"/>
            <w:vAlign w:val="bottom"/>
          </w:tcPr>
          <w:p>
            <w:pPr>
              <w:ind w:left="120"/>
              <w:spacing w:after="0"/>
              <w:rPr>
                <w:rFonts w:ascii="Arial" w:cs="Arial" w:eastAsia="Arial" w:hAnsi="Arial"/>
                <w:sz w:val="16"/>
                <w:szCs w:val="16"/>
                <w:u w:val="single" w:color="auto"/>
                <w:color w:val="0000FF"/>
              </w:rPr>
            </w:pPr>
            <w:hyperlink w:anchor="page85">
              <w:r>
                <w:rPr>
                  <w:rFonts w:ascii="Arial" w:cs="Arial" w:eastAsia="Arial" w:hAnsi="Arial"/>
                  <w:sz w:val="16"/>
                  <w:szCs w:val="16"/>
                  <w:u w:val="single" w:color="auto"/>
                  <w:color w:val="0000FF"/>
                </w:rPr>
                <w:t>Directors, Executive Officers and Corporate Governance</w:t>
              </w:r>
            </w:hyperlink>
          </w:p>
        </w:tc>
        <w:tc>
          <w:tcPr>
            <w:tcW w:w="960" w:type="dxa"/>
            <w:vAlign w:val="bottom"/>
          </w:tcPr>
          <w:p>
            <w:pPr>
              <w:jc w:val="center"/>
              <w:spacing w:after="0"/>
              <w:rPr>
                <w:rFonts w:ascii="Arial" w:cs="Arial" w:eastAsia="Arial" w:hAnsi="Arial"/>
                <w:sz w:val="16"/>
                <w:szCs w:val="16"/>
                <w:color w:val="0000FF"/>
                <w:w w:val="89"/>
              </w:rPr>
            </w:pPr>
            <w:hyperlink w:anchor="page85">
              <w:r>
                <w:rPr>
                  <w:rFonts w:ascii="Arial" w:cs="Arial" w:eastAsia="Arial" w:hAnsi="Arial"/>
                  <w:sz w:val="16"/>
                  <w:szCs w:val="16"/>
                  <w:color w:val="0000FF"/>
                  <w:w w:val="89"/>
                </w:rPr>
                <w:t>62</w:t>
              </w:r>
            </w:hyperlink>
          </w:p>
        </w:tc>
      </w:tr>
      <w:tr>
        <w:trPr>
          <w:trHeight w:val="219"/>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Item 11.</w:t>
            </w:r>
          </w:p>
        </w:tc>
        <w:tc>
          <w:tcPr>
            <w:tcW w:w="9380" w:type="dxa"/>
            <w:vAlign w:val="bottom"/>
            <w:shd w:val="clear" w:color="auto" w:fill="CCEEFF"/>
          </w:tcPr>
          <w:p>
            <w:pPr>
              <w:ind w:left="120"/>
              <w:spacing w:after="0"/>
              <w:rPr>
                <w:rFonts w:ascii="Arial" w:cs="Arial" w:eastAsia="Arial" w:hAnsi="Arial"/>
                <w:sz w:val="16"/>
                <w:szCs w:val="16"/>
                <w:u w:val="single" w:color="auto"/>
                <w:color w:val="0000FF"/>
              </w:rPr>
            </w:pPr>
            <w:hyperlink w:anchor="page89">
              <w:r>
                <w:rPr>
                  <w:rFonts w:ascii="Arial" w:cs="Arial" w:eastAsia="Arial" w:hAnsi="Arial"/>
                  <w:sz w:val="16"/>
                  <w:szCs w:val="16"/>
                  <w:u w:val="single" w:color="auto"/>
                  <w:color w:val="0000FF"/>
                </w:rPr>
                <w:t>Executive Compensation</w:t>
              </w:r>
            </w:hyperlink>
          </w:p>
        </w:tc>
        <w:tc>
          <w:tcPr>
            <w:tcW w:w="960" w:type="dxa"/>
            <w:vAlign w:val="bottom"/>
            <w:shd w:val="clear" w:color="auto" w:fill="CCEEFF"/>
          </w:tcPr>
          <w:p>
            <w:pPr>
              <w:jc w:val="center"/>
              <w:spacing w:after="0"/>
              <w:rPr>
                <w:rFonts w:ascii="Arial" w:cs="Arial" w:eastAsia="Arial" w:hAnsi="Arial"/>
                <w:sz w:val="16"/>
                <w:szCs w:val="16"/>
                <w:color w:val="0000FF"/>
                <w:w w:val="89"/>
              </w:rPr>
            </w:pPr>
            <w:hyperlink w:anchor="page89">
              <w:r>
                <w:rPr>
                  <w:rFonts w:ascii="Arial" w:cs="Arial" w:eastAsia="Arial" w:hAnsi="Arial"/>
                  <w:sz w:val="16"/>
                  <w:szCs w:val="16"/>
                  <w:color w:val="0000FF"/>
                  <w:w w:val="89"/>
                </w:rPr>
                <w:t>66</w:t>
              </w:r>
            </w:hyperlink>
          </w:p>
        </w:tc>
      </w:tr>
      <w:tr>
        <w:trPr>
          <w:trHeight w:val="213"/>
        </w:trPr>
        <w:tc>
          <w:tcPr>
            <w:tcW w:w="900" w:type="dxa"/>
            <w:vAlign w:val="bottom"/>
          </w:tcPr>
          <w:p>
            <w:pPr>
              <w:ind w:left="20"/>
              <w:spacing w:after="0"/>
              <w:rPr>
                <w:sz w:val="20"/>
                <w:szCs w:val="20"/>
                <w:color w:val="auto"/>
              </w:rPr>
            </w:pPr>
            <w:r>
              <w:rPr>
                <w:rFonts w:ascii="Arial" w:cs="Arial" w:eastAsia="Arial" w:hAnsi="Arial"/>
                <w:sz w:val="16"/>
                <w:szCs w:val="16"/>
                <w:color w:val="auto"/>
              </w:rPr>
              <w:t>Item 12.</w:t>
            </w:r>
          </w:p>
        </w:tc>
        <w:tc>
          <w:tcPr>
            <w:tcW w:w="9380" w:type="dxa"/>
            <w:vAlign w:val="bottom"/>
          </w:tcPr>
          <w:p>
            <w:pPr>
              <w:ind w:left="120"/>
              <w:spacing w:after="0"/>
              <w:rPr>
                <w:rFonts w:ascii="Arial" w:cs="Arial" w:eastAsia="Arial" w:hAnsi="Arial"/>
                <w:sz w:val="16"/>
                <w:szCs w:val="16"/>
                <w:u w:val="single" w:color="auto"/>
                <w:color w:val="0000FF"/>
              </w:rPr>
            </w:pPr>
            <w:hyperlink w:anchor="page95">
              <w:r>
                <w:rPr>
                  <w:rFonts w:ascii="Arial" w:cs="Arial" w:eastAsia="Arial" w:hAnsi="Arial"/>
                  <w:sz w:val="16"/>
                  <w:szCs w:val="16"/>
                  <w:u w:val="single" w:color="auto"/>
                  <w:color w:val="0000FF"/>
                </w:rPr>
                <w:t>Security Ownership of Certain Beneficial Owners and Management and Related Stockholder Matters</w:t>
              </w:r>
            </w:hyperlink>
          </w:p>
        </w:tc>
        <w:tc>
          <w:tcPr>
            <w:tcW w:w="960" w:type="dxa"/>
            <w:vAlign w:val="bottom"/>
          </w:tcPr>
          <w:p>
            <w:pPr>
              <w:jc w:val="center"/>
              <w:spacing w:after="0"/>
              <w:rPr>
                <w:rFonts w:ascii="Arial" w:cs="Arial" w:eastAsia="Arial" w:hAnsi="Arial"/>
                <w:sz w:val="16"/>
                <w:szCs w:val="16"/>
                <w:color w:val="0000FF"/>
                <w:w w:val="89"/>
              </w:rPr>
            </w:pPr>
            <w:hyperlink w:anchor="page95">
              <w:r>
                <w:rPr>
                  <w:rFonts w:ascii="Arial" w:cs="Arial" w:eastAsia="Arial" w:hAnsi="Arial"/>
                  <w:sz w:val="16"/>
                  <w:szCs w:val="16"/>
                  <w:color w:val="0000FF"/>
                  <w:w w:val="89"/>
                </w:rPr>
                <w:t>72</w:t>
              </w:r>
            </w:hyperlink>
          </w:p>
        </w:tc>
      </w:tr>
      <w:tr>
        <w:trPr>
          <w:trHeight w:val="219"/>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Item 13.</w:t>
            </w:r>
          </w:p>
        </w:tc>
        <w:tc>
          <w:tcPr>
            <w:tcW w:w="9380" w:type="dxa"/>
            <w:vAlign w:val="bottom"/>
            <w:shd w:val="clear" w:color="auto" w:fill="CCEEFF"/>
          </w:tcPr>
          <w:p>
            <w:pPr>
              <w:ind w:left="120"/>
              <w:spacing w:after="0"/>
              <w:rPr>
                <w:rFonts w:ascii="Arial" w:cs="Arial" w:eastAsia="Arial" w:hAnsi="Arial"/>
                <w:sz w:val="16"/>
                <w:szCs w:val="16"/>
                <w:u w:val="single" w:color="auto"/>
                <w:color w:val="0000FF"/>
              </w:rPr>
            </w:pPr>
            <w:hyperlink w:anchor="page99">
              <w:r>
                <w:rPr>
                  <w:rFonts w:ascii="Arial" w:cs="Arial" w:eastAsia="Arial" w:hAnsi="Arial"/>
                  <w:sz w:val="16"/>
                  <w:szCs w:val="16"/>
                  <w:u w:val="single" w:color="auto"/>
                  <w:color w:val="0000FF"/>
                </w:rPr>
                <w:t>Certain Relationships and Related Transactions, and Director Independence</w:t>
              </w:r>
            </w:hyperlink>
          </w:p>
        </w:tc>
        <w:tc>
          <w:tcPr>
            <w:tcW w:w="960" w:type="dxa"/>
            <w:vAlign w:val="bottom"/>
            <w:shd w:val="clear" w:color="auto" w:fill="CCEEFF"/>
          </w:tcPr>
          <w:p>
            <w:pPr>
              <w:jc w:val="center"/>
              <w:spacing w:after="0"/>
              <w:rPr>
                <w:rFonts w:ascii="Arial" w:cs="Arial" w:eastAsia="Arial" w:hAnsi="Arial"/>
                <w:sz w:val="16"/>
                <w:szCs w:val="16"/>
                <w:color w:val="0000FF"/>
                <w:w w:val="89"/>
              </w:rPr>
            </w:pPr>
            <w:hyperlink w:anchor="page99">
              <w:r>
                <w:rPr>
                  <w:rFonts w:ascii="Arial" w:cs="Arial" w:eastAsia="Arial" w:hAnsi="Arial"/>
                  <w:sz w:val="16"/>
                  <w:szCs w:val="16"/>
                  <w:color w:val="0000FF"/>
                  <w:w w:val="89"/>
                </w:rPr>
                <w:t>76</w:t>
              </w:r>
            </w:hyperlink>
          </w:p>
        </w:tc>
      </w:tr>
      <w:tr>
        <w:trPr>
          <w:trHeight w:val="213"/>
        </w:trPr>
        <w:tc>
          <w:tcPr>
            <w:tcW w:w="900" w:type="dxa"/>
            <w:vAlign w:val="bottom"/>
          </w:tcPr>
          <w:p>
            <w:pPr>
              <w:ind w:left="20"/>
              <w:spacing w:after="0"/>
              <w:rPr>
                <w:sz w:val="20"/>
                <w:szCs w:val="20"/>
                <w:color w:val="auto"/>
              </w:rPr>
            </w:pPr>
            <w:r>
              <w:rPr>
                <w:rFonts w:ascii="Arial" w:cs="Arial" w:eastAsia="Arial" w:hAnsi="Arial"/>
                <w:sz w:val="16"/>
                <w:szCs w:val="16"/>
                <w:color w:val="auto"/>
              </w:rPr>
              <w:t>Item 14.</w:t>
            </w:r>
          </w:p>
        </w:tc>
        <w:tc>
          <w:tcPr>
            <w:tcW w:w="9380" w:type="dxa"/>
            <w:vAlign w:val="bottom"/>
          </w:tcPr>
          <w:p>
            <w:pPr>
              <w:ind w:left="120"/>
              <w:spacing w:after="0"/>
              <w:rPr>
                <w:rFonts w:ascii="Arial" w:cs="Arial" w:eastAsia="Arial" w:hAnsi="Arial"/>
                <w:sz w:val="16"/>
                <w:szCs w:val="16"/>
                <w:u w:val="single" w:color="auto"/>
                <w:color w:val="0000FF"/>
              </w:rPr>
            </w:pPr>
            <w:hyperlink w:anchor="page101">
              <w:r>
                <w:rPr>
                  <w:rFonts w:ascii="Arial" w:cs="Arial" w:eastAsia="Arial" w:hAnsi="Arial"/>
                  <w:sz w:val="16"/>
                  <w:szCs w:val="16"/>
                  <w:u w:val="single" w:color="auto"/>
                  <w:color w:val="0000FF"/>
                </w:rPr>
                <w:t>Principal Accounting Fees and Services</w:t>
              </w:r>
            </w:hyperlink>
          </w:p>
        </w:tc>
        <w:tc>
          <w:tcPr>
            <w:tcW w:w="960" w:type="dxa"/>
            <w:vAlign w:val="bottom"/>
          </w:tcPr>
          <w:p>
            <w:pPr>
              <w:jc w:val="center"/>
              <w:spacing w:after="0"/>
              <w:rPr>
                <w:rFonts w:ascii="Arial" w:cs="Arial" w:eastAsia="Arial" w:hAnsi="Arial"/>
                <w:sz w:val="16"/>
                <w:szCs w:val="16"/>
                <w:color w:val="0000FF"/>
                <w:w w:val="89"/>
              </w:rPr>
            </w:pPr>
            <w:hyperlink w:anchor="page101">
              <w:r>
                <w:rPr>
                  <w:rFonts w:ascii="Arial" w:cs="Arial" w:eastAsia="Arial" w:hAnsi="Arial"/>
                  <w:sz w:val="16"/>
                  <w:szCs w:val="16"/>
                  <w:color w:val="0000FF"/>
                  <w:w w:val="89"/>
                </w:rPr>
                <w:t>78</w:t>
              </w:r>
            </w:hyperlink>
          </w:p>
        </w:tc>
      </w:tr>
      <w:tr>
        <w:trPr>
          <w:trHeight w:val="273"/>
        </w:trPr>
        <w:tc>
          <w:tcPr>
            <w:tcW w:w="900" w:type="dxa"/>
            <w:vAlign w:val="bottom"/>
            <w:shd w:val="clear" w:color="auto" w:fill="CCEEFF"/>
          </w:tcPr>
          <w:p>
            <w:pPr>
              <w:spacing w:after="0"/>
              <w:rPr>
                <w:sz w:val="23"/>
                <w:szCs w:val="23"/>
                <w:color w:val="auto"/>
              </w:rPr>
            </w:pPr>
          </w:p>
        </w:tc>
        <w:tc>
          <w:tcPr>
            <w:tcW w:w="93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13"/>
        </w:trPr>
        <w:tc>
          <w:tcPr>
            <w:tcW w:w="900" w:type="dxa"/>
            <w:vAlign w:val="bottom"/>
          </w:tcPr>
          <w:p>
            <w:pPr>
              <w:ind w:left="20"/>
              <w:spacing w:after="0"/>
              <w:rPr>
                <w:sz w:val="20"/>
                <w:szCs w:val="20"/>
                <w:color w:val="auto"/>
              </w:rPr>
            </w:pPr>
            <w:r>
              <w:rPr>
                <w:rFonts w:ascii="Arial" w:cs="Arial" w:eastAsia="Arial" w:hAnsi="Arial"/>
                <w:sz w:val="16"/>
                <w:szCs w:val="16"/>
                <w:b w:val="1"/>
                <w:bCs w:val="1"/>
                <w:color w:val="auto"/>
              </w:rPr>
              <w:t>PART IV</w:t>
            </w:r>
          </w:p>
        </w:tc>
        <w:tc>
          <w:tcPr>
            <w:tcW w:w="9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Item 15.</w:t>
            </w:r>
          </w:p>
        </w:tc>
        <w:tc>
          <w:tcPr>
            <w:tcW w:w="9380" w:type="dxa"/>
            <w:vAlign w:val="bottom"/>
            <w:shd w:val="clear" w:color="auto" w:fill="CCEEFF"/>
          </w:tcPr>
          <w:p>
            <w:pPr>
              <w:ind w:left="120"/>
              <w:spacing w:after="0"/>
              <w:rPr>
                <w:rFonts w:ascii="Arial" w:cs="Arial" w:eastAsia="Arial" w:hAnsi="Arial"/>
                <w:sz w:val="16"/>
                <w:szCs w:val="16"/>
                <w:u w:val="single" w:color="auto"/>
                <w:color w:val="0000FF"/>
              </w:rPr>
            </w:pPr>
            <w:hyperlink w:anchor="page102">
              <w:r>
                <w:rPr>
                  <w:rFonts w:ascii="Arial" w:cs="Arial" w:eastAsia="Arial" w:hAnsi="Arial"/>
                  <w:sz w:val="16"/>
                  <w:szCs w:val="16"/>
                  <w:u w:val="single" w:color="auto"/>
                  <w:color w:val="0000FF"/>
                </w:rPr>
                <w:t>Exhibits, Financial Statement Schedules</w:t>
              </w:r>
            </w:hyperlink>
          </w:p>
        </w:tc>
        <w:tc>
          <w:tcPr>
            <w:tcW w:w="960" w:type="dxa"/>
            <w:vAlign w:val="bottom"/>
            <w:shd w:val="clear" w:color="auto" w:fill="CCEEFF"/>
          </w:tcPr>
          <w:p>
            <w:pPr>
              <w:jc w:val="center"/>
              <w:spacing w:after="0"/>
              <w:rPr>
                <w:rFonts w:ascii="Arial" w:cs="Arial" w:eastAsia="Arial" w:hAnsi="Arial"/>
                <w:sz w:val="16"/>
                <w:szCs w:val="16"/>
                <w:color w:val="0000FF"/>
                <w:w w:val="89"/>
              </w:rPr>
            </w:pPr>
            <w:hyperlink w:anchor="page102">
              <w:r>
                <w:rPr>
                  <w:rFonts w:ascii="Arial" w:cs="Arial" w:eastAsia="Arial" w:hAnsi="Arial"/>
                  <w:sz w:val="16"/>
                  <w:szCs w:val="16"/>
                  <w:color w:val="0000FF"/>
                  <w:w w:val="89"/>
                </w:rPr>
                <w:t>79</w:t>
              </w:r>
            </w:hyperlink>
          </w:p>
        </w:tc>
      </w:tr>
      <w:tr>
        <w:trPr>
          <w:trHeight w:val="213"/>
        </w:trPr>
        <w:tc>
          <w:tcPr>
            <w:tcW w:w="900" w:type="dxa"/>
            <w:vAlign w:val="bottom"/>
          </w:tcPr>
          <w:p>
            <w:pPr>
              <w:ind w:left="20"/>
              <w:spacing w:after="0"/>
              <w:rPr>
                <w:sz w:val="20"/>
                <w:szCs w:val="20"/>
                <w:color w:val="auto"/>
              </w:rPr>
            </w:pPr>
            <w:r>
              <w:rPr>
                <w:rFonts w:ascii="Arial" w:cs="Arial" w:eastAsia="Arial" w:hAnsi="Arial"/>
                <w:sz w:val="16"/>
                <w:szCs w:val="16"/>
                <w:color w:val="auto"/>
              </w:rPr>
              <w:t>Item 16.</w:t>
            </w:r>
          </w:p>
        </w:tc>
        <w:tc>
          <w:tcPr>
            <w:tcW w:w="9380" w:type="dxa"/>
            <w:vAlign w:val="bottom"/>
          </w:tcPr>
          <w:p>
            <w:pPr>
              <w:ind w:left="120"/>
              <w:spacing w:after="0"/>
              <w:rPr>
                <w:rFonts w:ascii="Arial" w:cs="Arial" w:eastAsia="Arial" w:hAnsi="Arial"/>
                <w:sz w:val="16"/>
                <w:szCs w:val="16"/>
                <w:u w:val="single" w:color="auto"/>
                <w:color w:val="0000FF"/>
              </w:rPr>
            </w:pPr>
            <w:hyperlink w:anchor="page104">
              <w:r>
                <w:rPr>
                  <w:rFonts w:ascii="Arial" w:cs="Arial" w:eastAsia="Arial" w:hAnsi="Arial"/>
                  <w:sz w:val="16"/>
                  <w:szCs w:val="16"/>
                  <w:u w:val="single" w:color="auto"/>
                  <w:color w:val="0000FF"/>
                </w:rPr>
                <w:t>Form 10–K Summary</w:t>
              </w:r>
            </w:hyperlink>
          </w:p>
        </w:tc>
        <w:tc>
          <w:tcPr>
            <w:tcW w:w="960" w:type="dxa"/>
            <w:vAlign w:val="bottom"/>
          </w:tcPr>
          <w:p>
            <w:pPr>
              <w:jc w:val="center"/>
              <w:spacing w:after="0"/>
              <w:rPr>
                <w:rFonts w:ascii="Arial" w:cs="Arial" w:eastAsia="Arial" w:hAnsi="Arial"/>
                <w:sz w:val="16"/>
                <w:szCs w:val="16"/>
                <w:color w:val="0000FF"/>
                <w:w w:val="89"/>
              </w:rPr>
            </w:pPr>
            <w:hyperlink w:anchor="page104">
              <w:r>
                <w:rPr>
                  <w:rFonts w:ascii="Arial" w:cs="Arial" w:eastAsia="Arial" w:hAnsi="Arial"/>
                  <w:sz w:val="16"/>
                  <w:szCs w:val="16"/>
                  <w:color w:val="0000FF"/>
                  <w:w w:val="89"/>
                </w:rPr>
                <w:t>80</w:t>
              </w:r>
            </w:hyperlink>
          </w:p>
        </w:tc>
      </w:tr>
      <w:tr>
        <w:trPr>
          <w:trHeight w:val="273"/>
        </w:trPr>
        <w:tc>
          <w:tcPr>
            <w:tcW w:w="900" w:type="dxa"/>
            <w:vAlign w:val="bottom"/>
            <w:shd w:val="clear" w:color="auto" w:fill="CCEEFF"/>
          </w:tcPr>
          <w:p>
            <w:pPr>
              <w:spacing w:after="0"/>
              <w:rPr>
                <w:sz w:val="23"/>
                <w:szCs w:val="23"/>
                <w:color w:val="auto"/>
              </w:rPr>
            </w:pPr>
          </w:p>
        </w:tc>
        <w:tc>
          <w:tcPr>
            <w:tcW w:w="93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10"/>
        </w:trPr>
        <w:tc>
          <w:tcPr>
            <w:tcW w:w="900" w:type="dxa"/>
            <w:vAlign w:val="bottom"/>
          </w:tcPr>
          <w:p>
            <w:pPr>
              <w:ind w:left="20"/>
              <w:spacing w:after="0"/>
              <w:rPr>
                <w:rFonts w:ascii="Arial" w:cs="Arial" w:eastAsia="Arial" w:hAnsi="Arial"/>
                <w:sz w:val="16"/>
                <w:szCs w:val="16"/>
                <w:b w:val="1"/>
                <w:bCs w:val="1"/>
                <w:u w:val="single" w:color="auto"/>
                <w:color w:val="0000FF"/>
              </w:rPr>
            </w:pPr>
            <w:hyperlink w:anchor="page105">
              <w:r>
                <w:rPr>
                  <w:rFonts w:ascii="Arial" w:cs="Arial" w:eastAsia="Arial" w:hAnsi="Arial"/>
                  <w:sz w:val="16"/>
                  <w:szCs w:val="16"/>
                  <w:b w:val="1"/>
                  <w:bCs w:val="1"/>
                  <w:u w:val="single" w:color="auto"/>
                  <w:color w:val="0000FF"/>
                </w:rPr>
                <w:t>Signatures</w:t>
              </w:r>
            </w:hyperlink>
          </w:p>
        </w:tc>
        <w:tc>
          <w:tcPr>
            <w:tcW w:w="9380" w:type="dxa"/>
            <w:vAlign w:val="bottom"/>
          </w:tcPr>
          <w:p>
            <w:pPr>
              <w:spacing w:after="0"/>
              <w:rPr>
                <w:sz w:val="18"/>
                <w:szCs w:val="18"/>
                <w:color w:val="auto"/>
              </w:rPr>
            </w:pPr>
          </w:p>
        </w:tc>
        <w:tc>
          <w:tcPr>
            <w:tcW w:w="960" w:type="dxa"/>
            <w:vAlign w:val="bottom"/>
          </w:tcPr>
          <w:p>
            <w:pPr>
              <w:jc w:val="center"/>
              <w:spacing w:after="0"/>
              <w:rPr>
                <w:rFonts w:ascii="Arial" w:cs="Arial" w:eastAsia="Arial" w:hAnsi="Arial"/>
                <w:sz w:val="16"/>
                <w:szCs w:val="16"/>
                <w:color w:val="0000FF"/>
                <w:w w:val="89"/>
              </w:rPr>
            </w:pPr>
            <w:hyperlink w:anchor="page105">
              <w:r>
                <w:rPr>
                  <w:rFonts w:ascii="Arial" w:cs="Arial" w:eastAsia="Arial" w:hAnsi="Arial"/>
                  <w:sz w:val="16"/>
                  <w:szCs w:val="16"/>
                  <w:color w:val="0000FF"/>
                  <w:w w:val="89"/>
                </w:rPr>
                <w:t>81</w:t>
              </w:r>
            </w:hyperlink>
          </w:p>
        </w:tc>
      </w:tr>
      <w:tr>
        <w:trPr>
          <w:trHeight w:val="1012"/>
        </w:trPr>
        <w:tc>
          <w:tcPr>
            <w:tcW w:w="900" w:type="dxa"/>
            <w:vAlign w:val="bottom"/>
            <w:tcBorders>
              <w:bottom w:val="single" w:sz="8" w:color="9A9A9A"/>
            </w:tcBorders>
          </w:tcPr>
          <w:p>
            <w:pPr>
              <w:spacing w:after="0"/>
              <w:rPr>
                <w:sz w:val="24"/>
                <w:szCs w:val="24"/>
                <w:color w:val="auto"/>
              </w:rPr>
            </w:pPr>
          </w:p>
        </w:tc>
        <w:tc>
          <w:tcPr>
            <w:tcW w:w="93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Annual Report on Form 10-K may contain certain “forward-looking statements” within the meaning of Section 27A of the Securities Act of 1933, as amended, and Section 21E of the Securities Exchange Act of 1934, as amended, which reflect our current views with respect to certain events that could have an effect on our future performance, including but without limitation, statements regarding our plans, objectives, financial performance, business strategies, expectations for our business and the business of the Company.</w:t>
      </w:r>
    </w:p>
    <w:p>
      <w:pPr>
        <w:spacing w:after="0" w:line="18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These statements relate to expectations concerning matters that are not historical fact and may include the words or phrases such as “would,” “will,” “should,” “expects,” “believes,” “anticipates,” “continues,” “could,” “may,” “might,” “plans,” “possible,” “potential,” “predicts,” “projects,” “forecasts,” “intends,” “assumes,” “estimates,” “approximately,” “shall,” “our planning assumptions,” “future outlook” and similar expressions, but the absence of these words does not mean that a statement is not forward-looking. Except for historical information, matters discussed in this Form 10-K are forward-looking statements. These forward-looking statements are based largely on information currently available to our management and on our current expectations, assumptions, plans, estimates, judgments and projections about our business and our industry, as well as macroeconomic conditions, and are subject to various risks and uncertainties that could cause actual results to differ materially from historical results or those currently anticipated. Although we believe our expectations are based on reasonable estimates and assumptions, they are not guarantees of performance and there are a number of known and unknown risks, uncertainties, contingencies and other factors (many of which are outside our control) that could cause actual results to differ materially from those expressed or implied by such forward-looking statements. Accordingly, there is no assurance that our expectations will, in fact, occur or that our estimates or assumptions will be correct, and we caution investors and all others not to place undue reliance on such forward-looking statements. Factors that could cause or contribute to such differences include, but are not limited to, those described in Item 1A, “Risk Factors” in this Annual Report on Form 10-K and the following:</w:t>
      </w:r>
    </w:p>
    <w:p>
      <w:pPr>
        <w:spacing w:after="0" w:line="18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factors relating to our business, operations and financial performance, including:</w:t>
      </w:r>
    </w:p>
    <w:p>
      <w:pPr>
        <w:spacing w:after="0" w:line="9" w:lineRule="exact"/>
        <w:rPr>
          <w:rFonts w:ascii="Arial" w:cs="Arial" w:eastAsia="Arial" w:hAnsi="Arial"/>
          <w:sz w:val="18"/>
          <w:szCs w:val="18"/>
          <w:color w:val="auto"/>
        </w:rPr>
      </w:pPr>
    </w:p>
    <w:p>
      <w:pPr>
        <w:ind w:left="980" w:right="480" w:hanging="324"/>
        <w:spacing w:after="0" w:line="250" w:lineRule="auto"/>
        <w:tabs>
          <w:tab w:leader="none" w:pos="976"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COVID-19 pandemic, responses thereto and the economic and market effects thereof, including unemployment levels and increased capital markets volatility;</w:t>
      </w: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9" w:lineRule="exact"/>
        <w:rPr>
          <w:rFonts w:ascii="Arial" w:cs="Arial" w:eastAsia="Arial" w:hAnsi="Arial"/>
          <w:sz w:val="18"/>
          <w:szCs w:val="18"/>
          <w:color w:val="auto"/>
        </w:rPr>
      </w:pPr>
    </w:p>
    <w:p>
      <w:pPr>
        <w:ind w:left="980" w:right="300" w:hanging="324"/>
        <w:spacing w:after="0" w:line="250" w:lineRule="auto"/>
        <w:tabs>
          <w:tab w:leader="none" w:pos="976" w:val="left"/>
        </w:tabs>
        <w:numPr>
          <w:ilvl w:val="1"/>
          <w:numId w:val="2"/>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maintain agent relationships on terms consistent with those currently in place;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by introducing digital platforms;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interest rate risk from elimination of the London Inter-bank Offered Rate (“LIBOR”) as a benchmark interest 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9" w:lineRule="exact"/>
        <w:rPr>
          <w:rFonts w:ascii="Arial" w:cs="Arial" w:eastAsia="Arial" w:hAnsi="Arial"/>
          <w:sz w:val="18"/>
          <w:szCs w:val="18"/>
          <w:color w:val="auto"/>
        </w:rPr>
      </w:pPr>
    </w:p>
    <w:p>
      <w:pPr>
        <w:ind w:left="980" w:right="180" w:hanging="324"/>
        <w:spacing w:after="0" w:line="250" w:lineRule="auto"/>
        <w:tabs>
          <w:tab w:leader="none" w:pos="976" w:val="left"/>
        </w:tabs>
        <w:numPr>
          <w:ilvl w:val="1"/>
          <w:numId w:val="2"/>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 and Canada;</w:t>
      </w: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changes in U.S. tax laws;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political instability, currency restrictions and volatility in countries in which we operate or plan to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customers’ authentication;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changes in immigration laws and their enforcement;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our ability to retain key personnel; and</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economic, business and/or competitive factors, risks and uncertainties, including those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and “</w:t>
      </w:r>
      <w:r>
        <w:rPr>
          <w:rFonts w:ascii="Arial" w:cs="Arial" w:eastAsia="Arial" w:hAnsi="Arial"/>
          <w:sz w:val="18"/>
          <w:szCs w:val="18"/>
          <w:i w:val="1"/>
          <w:iCs w:val="1"/>
          <w:color w:val="auto"/>
        </w:rPr>
        <w:t>Management’s</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 of Financial Condition and Results of Operations</w:t>
      </w:r>
      <w:r>
        <w:rPr>
          <w:rFonts w:ascii="Arial" w:cs="Arial" w:eastAsia="Arial" w:hAnsi="Arial"/>
          <w:sz w:val="18"/>
          <w:szCs w:val="18"/>
          <w:color w:val="auto"/>
        </w:rPr>
        <w:t>” sections of this Annual Report on Form 10-K, as well as any</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risk factors that may be described in our other filings with the SEC from time to time.</w:t>
      </w:r>
    </w:p>
    <w:p>
      <w:pPr>
        <w:spacing w:after="0" w:line="19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All forward-looking statements that are made or attributable to us are expressly qualified in their entirety by this cautionary notice. The forward-looking statements included herein are only made as of the date of this Annual Report on Form 10-K. We undertake no obligation to update or revise any forward-looking statements, whether as a result of new information, future events or otherwise.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26, 2018, International Money Express, Inc. (formerly a special purpose acquisition company called FinTech Acquisition Corp. II) consummated a merger transaction (the “Merger”) by which it acquired Intermex Holdings II, Inc. (“Intermex”) and its subsidiaries that comprise our operations. In connection with the closing of the Merger, we changed our name to International Money Express, Inc. (the “Company”). Unless the context herein otherwise provides, the “Company” refers to the combined company following the Merger and, together with their respective subsidiaries, “FinTech” refers to the registrant prior to the closing of the Merger and “Intermex” refers to Intermex Holdings II, Inc. prior to the closing of the Merger. Reference to the Company and its business operations and financial information as it existed pre-Merger refers to Intermex.</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conduct our business primarily through our operating subsidiary, Intermex Wire Transfer, LLC.</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Intermex is a rapidly growing and leading money remittance services company focused primarily on the United States to Latin America and the Caribbean (“LAC”) corridor, which includes Mexico, Central and South America and the Caribbean. In 2019, we expanded our services to allow remittances to Africa from the United States and also began offering sending services from Canada to Latin America and Africa.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all 50 states in the U.S., Washington D.C., Puerto Rico and 13 provinces in Canada, where customers can send money to beneficiaries in 17 LAC countries, seven countries in Africa and two countries in Asia. Our services are accessible in person through over 100,000 sending and paying agents and Company-operated stores, as well as online and via Internet-enabled mobile devices. Additionally, we have expanded our product and service portfolio to include online payment options, pre-paid debit cards and direct deposit payroll cards, which may present different cost, demand, regulatory and risk profiles relative to our core remittance business.</w:t>
      </w:r>
    </w:p>
    <w:p>
      <w:pPr>
        <w:spacing w:after="0" w:line="18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Money remittance services to LAC countries, primarily Mexico and Guatemala, are the primary source of our revenue. These services involve the movement of funds on behalf of an originating customer for receipt by a designated beneficiary at a designated receiving location. Our remittances to LAC countries are primarily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We believe many of our customers who use our services may have access to traditional banking services, but prefer to use our services based on reliability, convenience and value. We generate money remittance revenue from fees paid by our customers (i.e., the senders of funds), which we share with our sending agents in the originating country and our paying agents in the destination country. Remittances paid in local currencies that are not pegged to the U.S. dollar also earn revenue through our daily management of currency exchange spreads.</w:t>
      </w:r>
    </w:p>
    <w:p>
      <w:pPr>
        <w:spacing w:after="0" w:line="16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money remittance services enable our customers to send funds through our broad network of locations in the United States and Canada that are primarily operated by third-party businesses, as well as through 34 Company-operated stores. Transactions are processed and payments are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and via Internet-enabled mobile devices. Since January 2018 through December 31, 2020, we have grown our agent network by approximately 40% and increased our remittance transactions volume by more than 33%. In 2020, we processed approximately 32 million remittances, representing over 12% growth in transactions as compared to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jc w:val="both"/>
        <w:ind w:left="340" w:hanging="332"/>
        <w:spacing w:after="0" w:line="259"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Primary focus on the LAC corridor. </w:t>
      </w:r>
      <w:r>
        <w:rPr>
          <w:rFonts w:ascii="Arial" w:cs="Arial" w:eastAsia="Arial" w:hAnsi="Arial"/>
          <w:sz w:val="18"/>
          <w:szCs w:val="18"/>
          <w:color w:val="auto"/>
        </w:rPr>
        <w:t>Unlike many of our competitors, who we believe prioritize global reach over growth and profitability, we are</w:t>
      </w:r>
      <w:r>
        <w:rPr>
          <w:rFonts w:ascii="Arial" w:cs="Arial" w:eastAsia="Arial" w:hAnsi="Arial"/>
          <w:sz w:val="18"/>
          <w:szCs w:val="18"/>
          <w:i w:val="1"/>
          <w:iCs w:val="1"/>
          <w:color w:val="auto"/>
        </w:rPr>
        <w:t xml:space="preserve"> </w:t>
      </w:r>
      <w:r>
        <w:rPr>
          <w:rFonts w:ascii="Arial" w:cs="Arial" w:eastAsia="Arial" w:hAnsi="Arial"/>
          <w:sz w:val="18"/>
          <w:szCs w:val="18"/>
          <w:color w:val="auto"/>
        </w:rPr>
        <w:t>focused on one or two geographical regions. We believe the LAC corridor provides an attractive operating environment with significant opportunity for future growth. According to latest available data published by the World Bank, the LAC corridor continues to be the most rapidly growing remittance corridor in the world.</w:t>
      </w:r>
    </w:p>
    <w:p>
      <w:pPr>
        <w:spacing w:after="0" w:line="186" w:lineRule="exact"/>
        <w:rPr>
          <w:rFonts w:ascii="Arial" w:cs="Arial" w:eastAsia="Arial" w:hAnsi="Arial"/>
          <w:sz w:val="18"/>
          <w:szCs w:val="18"/>
          <w:color w:val="auto"/>
        </w:rPr>
      </w:pPr>
    </w:p>
    <w:p>
      <w:pPr>
        <w:jc w:val="both"/>
        <w:ind w:left="340" w:hanging="332"/>
        <w:spacing w:after="0" w:line="296"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Highly scalable, proprietary software platform. </w:t>
      </w:r>
      <w:r>
        <w:rPr>
          <w:rFonts w:ascii="Arial" w:cs="Arial" w:eastAsia="Arial" w:hAnsi="Arial"/>
          <w:sz w:val="16"/>
          <w:szCs w:val="16"/>
          <w:color w:val="auto"/>
        </w:rPr>
        <w:t>We provide our money remittance services utilizing our internally developed proprietary software</w:t>
      </w:r>
      <w:r>
        <w:rPr>
          <w:rFonts w:ascii="Arial" w:cs="Arial" w:eastAsia="Arial" w:hAnsi="Arial"/>
          <w:sz w:val="16"/>
          <w:szCs w:val="16"/>
          <w:i w:val="1"/>
          <w:iCs w:val="1"/>
          <w:color w:val="auto"/>
        </w:rPr>
        <w:t xml:space="preserve"> </w:t>
      </w:r>
      <w:r>
        <w:rPr>
          <w:rFonts w:ascii="Arial" w:cs="Arial" w:eastAsia="Arial" w:hAnsi="Arial"/>
          <w:sz w:val="16"/>
          <w:szCs w:val="16"/>
          <w:color w:val="auto"/>
        </w:rPr>
        <w:t>systems, which we believe enhance the productivity of our network of agents, enabling them to quickly, reliably and cost-effectively process remittance transactions. Our proprietary software systems were designed to incorporate real-time compliance functionality, which improves our regulatory compliance and helps to minimize fraud. We have developed a platform that has the capacity to handle traffic well in excess of the number of transactions we currently process. Our money remittance platform has proven reliable, with our 2020 downtime being less than 0.05%.</w:t>
      </w:r>
    </w:p>
    <w:p>
      <w:pPr>
        <w:spacing w:after="0" w:line="161" w:lineRule="exact"/>
        <w:rPr>
          <w:rFonts w:ascii="Arial" w:cs="Arial" w:eastAsia="Arial" w:hAnsi="Arial"/>
          <w:sz w:val="16"/>
          <w:szCs w:val="16"/>
          <w:color w:val="auto"/>
        </w:rPr>
      </w:pPr>
    </w:p>
    <w:p>
      <w:pPr>
        <w:ind w:left="340" w:hanging="332"/>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Highly selective agent recruitment process designed to identify productive long-term partners. </w:t>
      </w:r>
      <w:r>
        <w:rPr>
          <w:rFonts w:ascii="Arial" w:cs="Arial" w:eastAsia="Arial" w:hAnsi="Arial"/>
          <w:sz w:val="18"/>
          <w:szCs w:val="18"/>
          <w:color w:val="auto"/>
        </w:rPr>
        <w:t>We strategically target agents for our network only after</w:t>
      </w:r>
      <w:r>
        <w:rPr>
          <w:rFonts w:ascii="Arial" w:cs="Arial" w:eastAsia="Arial" w:hAnsi="Arial"/>
          <w:sz w:val="18"/>
          <w:szCs w:val="18"/>
          <w:i w:val="1"/>
          <w:iCs w:val="1"/>
          <w:color w:val="auto"/>
        </w:rPr>
        <w:t xml:space="preserve"> </w:t>
      </w:r>
      <w:r>
        <w:rPr>
          <w:rFonts w:ascii="Arial" w:cs="Arial" w:eastAsia="Arial" w:hAnsi="Arial"/>
          <w:sz w:val="18"/>
          <w:szCs w:val="18"/>
          <w:color w:val="auto"/>
        </w:rPr>
        <w:t>a metric-based analysis of potential productivity and a thorough vetting process. In our agent selection process, we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color w:val="auto"/>
        </w:rPr>
        <w:t>focus on geographic locations that we believe are likely to have high customer volume and demand for our services. By closely monitoring individual agent performance and money remittance trends, we can offer our agents real-time technical support and marketing assistance to help increase their productivity and remittance volume.</w:t>
      </w:r>
    </w:p>
    <w:p>
      <w:pPr>
        <w:spacing w:after="0" w:line="184" w:lineRule="exact"/>
        <w:rPr>
          <w:sz w:val="20"/>
          <w:szCs w:val="20"/>
          <w:color w:val="auto"/>
        </w:rPr>
      </w:pPr>
    </w:p>
    <w:p>
      <w:pPr>
        <w:jc w:val="both"/>
        <w:ind w:left="340" w:hanging="332"/>
        <w:spacing w:after="0" w:line="254"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Strong relationships with major banks and financial institutions. </w:t>
      </w:r>
      <w:r>
        <w:rPr>
          <w:rFonts w:ascii="Arial" w:cs="Arial" w:eastAsia="Arial" w:hAnsi="Arial"/>
          <w:sz w:val="18"/>
          <w:szCs w:val="18"/>
          <w:color w:val="auto"/>
        </w:rPr>
        <w:t>Our relationships with clearing, check processing, trading and exchange rate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banks are critical to an efficient and reliable remittance network. We benefit from our strong and long-term relationships with a number of large banks and financial institutions. We maintain strong relationships with a number of other national and regional banking and financial institutions in the United States and Latin America. For example, we have maintained a long-term relationship with Wells Fargo, Bank of America and US Bank, among others. Due to increasing regulatory scrutiny of banks and financial institutions, we believe that new banking relationships may be difficult to develop for new, start-up competitors in the industry, hence creating a barrier to entry to new competition and making our existing relationships a competitive advantage.</w:t>
      </w:r>
    </w:p>
    <w:p>
      <w:pPr>
        <w:spacing w:after="0" w:line="194" w:lineRule="exact"/>
        <w:rPr>
          <w:rFonts w:ascii="Arial" w:cs="Arial" w:eastAsia="Arial" w:hAnsi="Arial"/>
          <w:sz w:val="18"/>
          <w:szCs w:val="18"/>
          <w:color w:val="auto"/>
        </w:rPr>
      </w:pPr>
    </w:p>
    <w:p>
      <w:pPr>
        <w:jc w:val="both"/>
        <w:ind w:left="340" w:hanging="332"/>
        <w:spacing w:after="0" w:line="254"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Powerful brand with strong consumer awareness and loyalty in the LAC corridor. </w:t>
      </w:r>
      <w:r>
        <w:rPr>
          <w:rFonts w:ascii="Arial" w:cs="Arial" w:eastAsia="Arial" w:hAnsi="Arial"/>
          <w:sz w:val="18"/>
          <w:szCs w:val="18"/>
          <w:color w:val="auto"/>
        </w:rPr>
        <w:t>We believe we are a leading money remittance provider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to the LAC corridor, processing 18.5% of the aggregate volume of remittances to Mexico according to the latest available data published by the Central Bank of Mexico in 2020 and 27.1% of the aggregate volume of remittances to Guatemala according to the latest available data published by the Central Bank of Guatemala in 2020. We believe that our customers associate the Intermex brand with reliability, strong customer service and the ability to safely and efficiently remit their funds. The information contained in this paragraph is based on “Revenues by Workers’ Remittances” published in the Central Bank of Mexico’s website and “Income from family remittance” published in the Central Bank of Guatemala’s website.</w:t>
      </w:r>
    </w:p>
    <w:p>
      <w:pPr>
        <w:spacing w:after="0" w:line="194" w:lineRule="exact"/>
        <w:rPr>
          <w:rFonts w:ascii="Arial" w:cs="Arial" w:eastAsia="Arial" w:hAnsi="Arial"/>
          <w:sz w:val="18"/>
          <w:szCs w:val="18"/>
          <w:color w:val="auto"/>
        </w:rPr>
      </w:pPr>
    </w:p>
    <w:p>
      <w:pPr>
        <w:jc w:val="both"/>
        <w:ind w:left="340" w:hanging="332"/>
        <w:spacing w:after="0" w:line="257"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Strong compliance processes and procedures. </w:t>
      </w:r>
      <w:r>
        <w:rPr>
          <w:rFonts w:ascii="Arial" w:cs="Arial" w:eastAsia="Arial" w:hAnsi="Arial"/>
          <w:sz w:val="18"/>
          <w:szCs w:val="18"/>
          <w:color w:val="auto"/>
        </w:rPr>
        <w:t>We operate in a highly-regulated environment and are reviewed by regulators and external auditors</w:t>
      </w:r>
      <w:r>
        <w:rPr>
          <w:rFonts w:ascii="Arial" w:cs="Arial" w:eastAsia="Arial" w:hAnsi="Arial"/>
          <w:sz w:val="18"/>
          <w:szCs w:val="18"/>
          <w:i w:val="1"/>
          <w:iCs w:val="1"/>
          <w:color w:val="auto"/>
        </w:rPr>
        <w:t xml:space="preserve"> </w:t>
      </w:r>
      <w:r>
        <w:rPr>
          <w:rFonts w:ascii="Arial" w:cs="Arial" w:eastAsia="Arial" w:hAnsi="Arial"/>
          <w:sz w:val="18"/>
          <w:szCs w:val="18"/>
          <w:color w:val="auto"/>
        </w:rPr>
        <w:t>periodically. We maintain a comprehensive and rigorous compliance process with policies, procedures and internal controls designed to exceed current regulatory requirements. Our software also includes embedded compliance systems that provide real-time transaction alerts and Office of Foreign Assets Control (“OFAC”) screening. Our risk and compliance management tools include programs by Equifax, Experian, LexisNexis and TransUnion, among others.</w:t>
      </w:r>
    </w:p>
    <w:p>
      <w:pPr>
        <w:spacing w:after="0" w:line="187" w:lineRule="exact"/>
        <w:rPr>
          <w:rFonts w:ascii="Arial" w:cs="Arial" w:eastAsia="Arial" w:hAnsi="Arial"/>
          <w:sz w:val="18"/>
          <w:szCs w:val="18"/>
          <w:color w:val="auto"/>
        </w:rPr>
      </w:pPr>
    </w:p>
    <w:p>
      <w:pPr>
        <w:jc w:val="both"/>
        <w:ind w:left="340" w:hanging="332"/>
        <w:spacing w:after="0" w:line="263"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Experienced and proven management team. </w:t>
      </w:r>
      <w:r>
        <w:rPr>
          <w:rFonts w:ascii="Arial" w:cs="Arial" w:eastAsia="Arial" w:hAnsi="Arial"/>
          <w:sz w:val="18"/>
          <w:szCs w:val="18"/>
          <w:color w:val="auto"/>
        </w:rPr>
        <w:t>Our management team consists of industry veterans with a track record of achieving profitable growth.</w:t>
      </w:r>
      <w:r>
        <w:rPr>
          <w:rFonts w:ascii="Arial" w:cs="Arial" w:eastAsia="Arial" w:hAnsi="Arial"/>
          <w:sz w:val="18"/>
          <w:szCs w:val="18"/>
          <w:i w:val="1"/>
          <w:iCs w:val="1"/>
          <w:color w:val="auto"/>
        </w:rPr>
        <w:t xml:space="preserve"> </w:t>
      </w:r>
      <w:r>
        <w:rPr>
          <w:rFonts w:ascii="Arial" w:cs="Arial" w:eastAsia="Arial" w:hAnsi="Arial"/>
          <w:sz w:val="18"/>
          <w:szCs w:val="18"/>
          <w:color w:val="auto"/>
        </w:rPr>
        <w:t>Our team is led by our Chief Executive Officer, Robert Lisy, with a successful 30-year track record in the retail financial services and electronic payment processing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we are well positioned to drive continued growth by executing on the following core strategies:</w:t>
      </w:r>
    </w:p>
    <w:p>
      <w:pPr>
        <w:spacing w:after="0" w:line="225" w:lineRule="exact"/>
        <w:rPr>
          <w:sz w:val="20"/>
          <w:szCs w:val="20"/>
          <w:color w:val="auto"/>
        </w:rPr>
      </w:pPr>
    </w:p>
    <w:p>
      <w:pPr>
        <w:jc w:val="both"/>
        <w:ind w:left="340" w:hanging="332"/>
        <w:spacing w:after="0" w:line="254"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Expand our market share in our largest corridors</w:t>
      </w:r>
      <w:r>
        <w:rPr>
          <w:rFonts w:ascii="Arial" w:cs="Arial" w:eastAsia="Arial" w:hAnsi="Arial"/>
          <w:sz w:val="18"/>
          <w:szCs w:val="18"/>
          <w:color w:val="auto"/>
        </w:rPr>
        <w:t>. The two largest remittance corridors we serve are the United States to Mexico and United States to</w:t>
      </w:r>
      <w:r>
        <w:rPr>
          <w:rFonts w:ascii="Arial" w:cs="Arial" w:eastAsia="Arial" w:hAnsi="Arial"/>
          <w:sz w:val="18"/>
          <w:szCs w:val="18"/>
          <w:i w:val="1"/>
          <w:iCs w:val="1"/>
          <w:color w:val="auto"/>
        </w:rPr>
        <w:t xml:space="preserve"> </w:t>
      </w:r>
      <w:r>
        <w:rPr>
          <w:rFonts w:ascii="Arial" w:cs="Arial" w:eastAsia="Arial" w:hAnsi="Arial"/>
          <w:sz w:val="18"/>
          <w:szCs w:val="18"/>
          <w:color w:val="auto"/>
        </w:rPr>
        <w:t>Guatemala. According to the latest available data in the World Bank Remittance Matrix, the United States to Mexico remittance continues to be one of the largest in the world. We aim to continue to expand our market share in those states where we are currently well-established and poised for continued profitable growth within those markets via targeted regional penetration. We believe that we can leverage our current customer data to increase repeat customer usage, track and effectively recapture one-time users of our service and improve sending agent productivity to drive growth in these states. We are also staging a targeted marketing effort to realize significantly increased market share growth in large states where we are underrepresented.</w:t>
      </w:r>
    </w:p>
    <w:p>
      <w:pPr>
        <w:spacing w:after="0" w:line="194" w:lineRule="exact"/>
        <w:rPr>
          <w:rFonts w:ascii="Arial" w:cs="Arial" w:eastAsia="Arial" w:hAnsi="Arial"/>
          <w:sz w:val="18"/>
          <w:szCs w:val="18"/>
          <w:color w:val="auto"/>
        </w:rPr>
      </w:pPr>
    </w:p>
    <w:p>
      <w:pPr>
        <w:jc w:val="both"/>
        <w:ind w:left="340" w:hanging="332"/>
        <w:spacing w:after="0" w:line="255" w:lineRule="auto"/>
        <w:tabs>
          <w:tab w:leader="none" w:pos="335"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Expand our services into new corridors. </w:t>
      </w:r>
      <w:r>
        <w:rPr>
          <w:rFonts w:ascii="Arial" w:cs="Arial" w:eastAsia="Arial" w:hAnsi="Arial"/>
          <w:sz w:val="18"/>
          <w:szCs w:val="18"/>
          <w:color w:val="auto"/>
        </w:rPr>
        <w:t>We believe that there is significant room to grow our business in underserved geographic regions in the LAC</w:t>
      </w:r>
      <w:r>
        <w:rPr>
          <w:rFonts w:ascii="Arial" w:cs="Arial" w:eastAsia="Arial" w:hAnsi="Arial"/>
          <w:sz w:val="18"/>
          <w:szCs w:val="18"/>
          <w:i w:val="1"/>
          <w:iCs w:val="1"/>
          <w:color w:val="auto"/>
        </w:rPr>
        <w:t xml:space="preserve"> </w:t>
      </w:r>
      <w:r>
        <w:rPr>
          <w:rFonts w:ascii="Arial" w:cs="Arial" w:eastAsia="Arial" w:hAnsi="Arial"/>
          <w:sz w:val="18"/>
          <w:szCs w:val="18"/>
          <w:color w:val="auto"/>
        </w:rPr>
        <w:t>corridor where there is demand from customers and agents for our value-added approach to money remittances. Specifically, we are targeting future growth opportunities via new corridors from the United States to other non-Spanish speaking regions, including the Caribbean and other continents. In 2019, we expanded our services to allow remittances to Africa from the United States and also began offering sending services from Canada to Latin America and Africa. In 2020, we achieved strong 5.3% and 13.2% growth in remittance volume to our emerging markets of El Salvador and Honduras, respectively, compared to 2019.</w:t>
      </w:r>
    </w:p>
    <w:p>
      <w:pPr>
        <w:spacing w:after="0" w:line="192" w:lineRule="exact"/>
        <w:rPr>
          <w:rFonts w:ascii="Arial" w:cs="Arial" w:eastAsia="Arial" w:hAnsi="Arial"/>
          <w:sz w:val="18"/>
          <w:szCs w:val="18"/>
          <w:color w:val="auto"/>
        </w:rPr>
      </w:pPr>
    </w:p>
    <w:p>
      <w:pPr>
        <w:ind w:left="340" w:hanging="332"/>
        <w:spacing w:after="0" w:line="308" w:lineRule="auto"/>
        <w:tabs>
          <w:tab w:leader="none" w:pos="33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Leverage our technology in the business-to-business market. </w:t>
      </w:r>
      <w:r>
        <w:rPr>
          <w:rFonts w:ascii="Arial" w:cs="Arial" w:eastAsia="Arial" w:hAnsi="Arial"/>
          <w:sz w:val="17"/>
          <w:szCs w:val="17"/>
          <w:color w:val="auto"/>
        </w:rPr>
        <w:t>We believe that our money remittance platform has significant excess capacity.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we can leverage this capacity to sell business-to-business solutions to third parties, such as banks and major retailers.</w:t>
      </w:r>
    </w:p>
    <w:p>
      <w:pPr>
        <w:spacing w:after="0" w:line="173" w:lineRule="exact"/>
        <w:rPr>
          <w:rFonts w:ascii="Arial" w:cs="Arial" w:eastAsia="Arial" w:hAnsi="Arial"/>
          <w:sz w:val="17"/>
          <w:szCs w:val="17"/>
          <w:color w:val="auto"/>
        </w:rPr>
      </w:pPr>
    </w:p>
    <w:p>
      <w:pPr>
        <w:jc w:val="both"/>
        <w:ind w:left="340" w:hanging="332"/>
        <w:spacing w:after="0" w:line="279" w:lineRule="auto"/>
        <w:tabs>
          <w:tab w:leader="none" w:pos="335"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Continue to grow online and mobile remittance channels. </w:t>
      </w:r>
      <w:r>
        <w:rPr>
          <w:rFonts w:ascii="Arial" w:cs="Arial" w:eastAsia="Arial" w:hAnsi="Arial"/>
          <w:sz w:val="17"/>
          <w:szCs w:val="17"/>
          <w:color w:val="auto"/>
        </w:rPr>
        <w:t>Our money remittance platform currently enables our customers to send funds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to the LAC corridor and Africa through the Internet via Intermexonline.com and on their Internet-enabled mobile devices. We believe these channels not only expand our potential customer base as digital transaction capabilities become more relevant to LAC consumers but also benefit from secular and demographic trends as consumers continue to migrate to conducting financial transactions online.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business is organized around one reportable segment that provides money transmittal services primarily between the U.S. and Canada to Mexico, Guatemala and other countries in Latin America, Africa and Asia through a network of authorized agents located in various unaffiliated retail establishments and 34 Company-operated stores throughout the U.S. and Canada. This is based on the objectives of the business and how our chief operating decision maker, the CEO and President, monitors operating performance and allocates resources.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Services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Money remittance services to LAC countries, primarily Mexico and Guatemala, are the primary source of our revenue. These services involve the movement of funds on behalf of an originating customer for receipt by a designated beneficiary at a designated receiving location. Our remittances to LAC countries are primarily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We believe many of our customers who use our services may have access to traditional banking services, but prefer to use our services based on reliability, convenience and value. We generate money remittance revenue from fees paid by our customers (i.e., the senders of funds), which we share with our sending agents in the originating country and our paying agents in the destination country. Remittances paid in local currencies that are not pegged to the U.S. dollar also earn revenue through our daily management of currency exchange spreads.</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majority of our money remittance transactions are generated through our agent network of retail locations and Company-operated stores where the transaction is processed and payment is collected by our sending agent. Those funds become available for pickup by the beneficiary at the designated receiving destination, usually within minutes, at any Intermex payer location. In select countries, the designated recipient may also receive the remitted funds via a deposit directly to the recipient’s bank account, mobile phone account or prepaid card. Our locations in the United States and Canada, also referred to as our sending agents, tend to be individual establishments, such as multi-service stores, grocery stores, convenience stores, bodegas and other retail locations. Our payers in LAC countries are referred to as paying agents, and generally consist of large banks and financial institutions or large retail chains. Grupo Elektra, S.A.B. de C.V. (“Elektra”) is our largest paying agent and processes a significant portion of remittances in the LAC corridor. Each of our sending agents and our paying agents are primarily operated by third-party businesses where our money remittance services are offered. Additionally, we operate a small number of retail locations in the United States, which we refer to as Company-operated stores and where our money remittance services are available. We also operate subsidiary payer networks in Mexico under the Pago Express brand and in Guatemala under the Intermex brand. These networks contribute payer locations that reach some of the most remote areas in those countries, providing increased convenience to our customers in the United States, Canada, Mexico and Guatemala.</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our agent sending locations, our customers may initiate a transaction directly with an agent, or through a direct-dialed telephone conversation from our agent location to our call centers. Many of our sending agents operate in locations that are open outside of traditional banking hours, including nights and weekends. Our sending agents understand the markets that they serve and coordinate with our sales and marketing teams to develop business plans for those markets. We hold promotional events for our sending agents to help familiarize them with the Intermex brand and to incent the agents to promote our services to customers.</w:t>
      </w:r>
    </w:p>
    <w:p>
      <w:pPr>
        <w:spacing w:after="0" w:line="18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money remittance services are also available on the Internet via Intermexonline.com, enabling customers to send money twenty-four hours a day conveniently from their computer or Internet-enabled mobile device. Those funds can be sent to any of our paying agent locations or to a recipient’s bank account, funding the transaction using debit card, credit card, or through electronic funds transfer processed through the automated clearing house (“ACH”) payment system. Internet-based money transmission services do not comprise a material percentage of the Company’s overall business.</w:t>
      </w:r>
    </w:p>
    <w:p>
      <w:pPr>
        <w:spacing w:after="0" w:line="15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maintain call centers in Mexico and Guatemala, providing call center services 365 days per year and customer service in both English and Spanish, as well as the possibility of service in many of the regional dialects that our customers speak. Our call centers are able to provide customer service for inbound customer calls and have technology available for direct calls from customers at our agent locations in processing remittance transactions.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Management Bank Relationships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buy and sell a number of global currencies and maintain a network of settlement accounts to facilitate the timely funding of money remittances and foreign exchange trades. Our relationships with clearing, check processing, trading and exchange rate and cash management banks are critical to an efficient and reliable remittance network. We benefit from our strong and long-term relationships with a number of large banks and financial institutions. We maintain strong relationships with a number of other national and regional banking and financial institutions in the United States, Canada and Latin America. In addition, we have benefited from our 15-year relationship with US Bank, which manages our main operating account, and from strong relationships with Bancomer, Wells Fargo, Bank of America and KeyBank as our primary banks for exchange rate management with respect to the foreign currencies.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Currently, all of our money processing software is proprietary and has been developed primarily by our internal software development team. Our money processing software acts as a point of sale for our money remittance transactions and incorporates real-time compliance functionality, which improves our regulatory compliance and helps to minimize fraud. Our money processing software is critical to our operations while our back-office software is critical for settling our transactions.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our money remittance software, we continue to develop programs and defenses against cyber-attacks. We are fully aligned with the cybersecurity framework, which is a voluntary framework that most companies in the financial services industry follow. We utilize a number of third-party vendors that monitor our systems and inform us of any attempted attacks. Our Chief Information Security Officer delivers an annual report to our board of directors regarding our cybersecurity policies and practices at least once during the fiscal year.</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our proprietary and internally developed software systems, we have analytical data which enables us to analyze market trends, performance of market territories, agents’ performance and consumers’ habits in real time.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continually invest in our technology platform that has the capacity to handle traffic well in excess of the number of transactions we currently process. A load balancing configuration between tier-1 datacenters, in addition to failover redundancy, provide uptime performance. Our technology platform has experienced limited downtime, with our 2020 downtime being less than 0.05%.</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Transaction Processing Engine (“TPE”), developed through a combination of databases, web services and applications, allows us to process money remittances reliably and quickly by leveraging a proprietary rules engine to apply granular-level product feature customization. The TPE also leverages real-time risk management algorithms to improve our regulatory compliance and helps to minimize fraud.</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internally developed and proprietary payer Application Programming Interface platform securely and efficiently integrates our TPE directly with the platforms of our paying agents, so that we can deliver money remittances quickly to our paying agents while optimizing the efficiency/speed of adding new payers to our network and integrating payers’ software and systems with our software and systems.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Intermex brand is critical to our business. In the markets in which we compete, we derive benefit from our brand, as we believe the Intermex brand is recognized for its speed, cost effectiveness and reliability for money remittances throughout the United States, the LAC corridor, Canada and Africa. We use various trademarks and service marks in our business, including, but not limited, to Intermex, International Money Express, CheckDirect and Pago Express, some of which are registered in the United States and other countries. In addition, we rely on trade secret protection to protect certain proprietary rights in our information technology. See the section entitled “</w:t>
      </w:r>
      <w:r>
        <w:rPr>
          <w:rFonts w:ascii="Arial" w:cs="Arial" w:eastAsia="Arial" w:hAnsi="Arial"/>
          <w:sz w:val="17"/>
          <w:szCs w:val="17"/>
          <w:i w:val="1"/>
          <w:iCs w:val="1"/>
          <w:color w:val="auto"/>
        </w:rPr>
        <w:t>Information Technology</w:t>
      </w:r>
      <w:r>
        <w:rPr>
          <w:rFonts w:ascii="Arial" w:cs="Arial" w:eastAsia="Arial" w:hAnsi="Arial"/>
          <w:sz w:val="17"/>
          <w:szCs w:val="17"/>
          <w:color w:val="auto"/>
        </w:rPr>
        <w:t>” for more information.</w:t>
      </w:r>
    </w:p>
    <w:p>
      <w:pPr>
        <w:spacing w:after="0" w:line="1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rely on a combination of patent, trademark and copyright laws and trade secret protection and invention assignment, confidentiality or license agreements to protect our intellectual property rights in products, services, expertise, and information. We believe the intellectual property rights in processing equipment, computer systems, software and business processes held by us and our subsidiaries provide us with a competitive advantage. We take appropriate measures to protect our intellectual property to the extent such intellectual property can be protected.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majority of our money remittance transactions are generated through our agent network of retail locations and Company-operated stores where the transaction is processed and payment is collected by our sending agent. Our agent locations include multi-service stores, grocery stores, convenience stores, bodegas and other retail locations. The vast majority of our agents are provided access to our proprietary money remittance software systems, while others have access to our combination telephone and fax/tablet set up, which we call telewire, enabling direct access to our call centers for money remittance services. In all of our independent sending agent locations the agent provides the physical infrastructure and staff required to complete the remittances, while we provide the central operating functions, such as transaction processing, settlement, marketing support, compliance training and support, and customer relationship management. We also maintain 34 Company-operated stores in the United States. We retain customer data, which enables us to increase repeat customer usage, track and effectively recapture one-time users of our service and improve sending agent productivity.</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market our services to customers in a number of ways, directly and indirectly through our sending agents and paying agents, promotional activities, traditional media and digital advertising, and our loyalty program, which we call “Interpuntos.” This loyalty program offers customers faster service at our sending agent locations and the ability to earn points with each transaction that are redeemable for rewards, such as reduced transaction fees or more favorable foreign exchange rates.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a rapidly growing and leading money remittance services company primarily focused on the United States to the LAC corridor. We utilize our proprietary technology to deliver convenient, reliable and value-added services to our customers through a broad network of sending and paying agents. The two largest remittance corridors we serve are United States to Mexico and United States to Guatemala. According to the latest information available from the World Bank Remittance Matrix, the United States to Mexico remittance corridor was the largest in the world in 2020.</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Trends in the cross-border money remittance business tend to correlate to immigration trends, global economic opportunity and related employment levels in certain industries such as construction, information, manufacturing, agriculture and certain service industries.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Throughout 2020, Latin American political and economic conditions remained unstable, as evidenced by high unemployment rates in key markets, currency reserves, currency controls, restricted lending activity, weak currencies and low consumer confidence, among other factors, in addition to the effects of the ongoing COVID pandemic. Specifically, continued political and economic unrest in parts of Mexico and some countries in South America contributed to volatility. Our business has generally been resilient during times of economic instability as money remittances are essential to many recipients, with the funds used by the receiving party for their daily needs. However, long-term sustained appreciation of the Mexican Peso or Guatemalan Quetzal as compared to the U.S. Dollar could negatively affect our revenues and profitability.</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Another significant trend impacting the money remittance industry is increasing regulation on banks, making it difficult for money remittance companies to have strong banking relationships. Regulations in the United States and elsewhere focus, in part, on cybersecurity and consumer protection. Regulations require money remittance providers, banks and other financial institutions to develop systems to prevent, detect, monitor and report certain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a non-bank financial institution in the United States, we are regulated by the Department of Treasury, the Internal Revenue Service, the U.S. Department of the Treasury’s Financial Crimes Enforcement Network (“FinCEN”), the Consumer Financial Protection Bureau (“CFPB”), the Department of Banking and Finance of the State of Florida and additionally by the various regulatory institutions of those states in which we hold an operating license. We are duly registered as a Money Service Business (“MSB”) with FinCEN, the financial intelligence unit of the U.S. Department of the Treasury. We are also subject to a wide range of regulations in the United States and other countries, including anti-money laundering laws and regulations; financial services regulations; currency control regulations; anti-bribery laws; money transfer and payment instrument licensing laws; escheatment laws; privacy, data protection and information security laws, such as the Graham-Leach-Bliley Act (“GLBA”); and consumer disclosure and consumer protection laws, such as the California Consumer Privacy Act (“CCPA”).</w:t>
      </w:r>
    </w:p>
    <w:p>
      <w:pPr>
        <w:spacing w:after="0" w:line="20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Regulators worldwide are exercising heightened supervision of money remittance providers and requiring increased efforts to ensure compliance. Failure to comply with any applicable laws and regulations could result in restrictions on our ability to provide our products and services, as well as the potential imposition of civil fines and possibly criminal penalties. We continually monitor and enhance our compliance programs in light of the most recent legal and regulatory changes.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Anti-Money Laundering Compliance. </w:t>
      </w:r>
      <w:r>
        <w:rPr>
          <w:rFonts w:ascii="Arial" w:cs="Arial" w:eastAsia="Arial" w:hAnsi="Arial"/>
          <w:sz w:val="18"/>
          <w:szCs w:val="18"/>
          <w:color w:val="auto"/>
        </w:rPr>
        <w:t>Our money remittance services are subject to anti-money laundering laws and regulations of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Bank Secrecy Act (“BSA”), as amended by the USA PATRIOT Act of 2001, as well as state laws and regulations and the anti-money laundering laws and regulations in many of the countries in which we operate. The countries in which we operate may require one or more of the following:</w:t>
      </w:r>
    </w:p>
    <w:p>
      <w:pPr>
        <w:spacing w:after="0" w:line="187"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reporting of large cash transactions and suspicious activity;</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transaction screening against government watch-lists, including the watch-list maintained by OFAC;</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prohibition of transactions in, to or from certain countries, governments, individuals and entities;</w:t>
      </w:r>
    </w:p>
    <w:p>
      <w:pPr>
        <w:spacing w:after="0" w:line="22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limitations on amounts that may be transferred by a customer or from a jurisdiction at any one time or over specified periods of time, which require aggregation over multiple transactions;</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information gathering and reporting requirements;</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customer disclosure requirements, including language requirements and foreign currency restrictions;</w:t>
      </w:r>
    </w:p>
    <w:p>
      <w:pPr>
        <w:spacing w:after="0" w:line="225" w:lineRule="exact"/>
        <w:rPr>
          <w:rFonts w:ascii="Arial" w:cs="Arial" w:eastAsia="Arial" w:hAnsi="Arial"/>
          <w:sz w:val="18"/>
          <w:szCs w:val="18"/>
          <w:color w:val="auto"/>
        </w:rPr>
      </w:pPr>
    </w:p>
    <w:p>
      <w:pPr>
        <w:ind w:left="340" w:hanging="332"/>
        <w:spacing w:after="0" w:line="277" w:lineRule="auto"/>
        <w:tabs>
          <w:tab w:leader="none" w:pos="335"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notification requirements as to the identity of contracting agents, governmental approval of contracting agents or requirements and limitations on contract terms with our agents;</w:t>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ind w:left="340" w:hanging="332"/>
        <w:spacing w:after="0" w:line="277" w:lineRule="auto"/>
        <w:tabs>
          <w:tab w:leader="none" w:pos="33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registration or licensing of us or our agents with a state or federal agency in the United States or with the central bank or other proper authority in a foreign country; and</w:t>
      </w:r>
    </w:p>
    <w:p>
      <w:pPr>
        <w:spacing w:after="0" w:line="170"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minimum capital or capital adequacy requirements.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Anti-money laundering regulations are constantly evolving and vary from country to country. We continuously monitor our compliance with anti-money laundering regulations and implement policies and procedures in light of the most current legal requirements. Our money remittance services are primarily offered through third-party agents under contract with us, but we do not directly control these agents. As a MSB, we and our agents are required to establish anti-money laundering compliance programs that include internal policies and controls; a designated compliance officer; employee training and an independent review function. We have developed an anti-money laundering training manual and a program to assist with the education of our agents and employees on the applicable rules and regulations. We also offer in-person and online training as part of our agent compliance training program, engage in various activities to enable agent oversight and have adopted compliance policies that outline key principles of our compliance program to our agents. We have developed a regulatory compliance department, under the direction of our Chief Compliance Officer, whose foremost responsibility is to monitor transactions, detect suspicious activity, maintain financial records and train our employees and agents. An independent third-party consulting firm periodically reviews our policies and procedures to ensure the efficacy of our anti-money laundering and regulatory compliance program. Our key milestones in the compliance process include (1) the entry of the transaction by the sending agent requires completion of mandatory fields and identification requirements, (2) the sender and receiver are screened against government required lists (for OFAC and other purposes), (3) the transaction, before sent to the paying agent, is screened and any flagged exceptions are sent to the compliance unit for investigation and release or rejection and (4) the transaction is screened for limit restrictions, velocity levels, structuring and identification requirements.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and when required by regulatory requirements we make information available to certain U.S. federal and state, as well as certain foreign, government agencies to assist in the prevention of money laundering, terrorist financing and other illegal activities and pursuant to legal obligations and authorizations. In certain circumstances, we may be required by government agencies to deny transactions that may be related to persons suspected of money laundering, terrorist financing or other illegal activities, and it is possible that we may inadvertently deny transactions from customers who are making legal money transfers.</w:t>
      </w:r>
    </w:p>
    <w:p>
      <w:pPr>
        <w:spacing w:after="0" w:line="18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Licensing</w:t>
      </w:r>
      <w:r>
        <w:rPr>
          <w:rFonts w:ascii="Arial" w:cs="Arial" w:eastAsia="Arial" w:hAnsi="Arial"/>
          <w:sz w:val="16"/>
          <w:szCs w:val="16"/>
          <w:color w:val="auto"/>
        </w:rPr>
        <w:t>. In most countries, either we or our agents are required to obtain licenses or to register with a government authority in order to offer money</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services. Almost all states in the United States, the District of Columbia and Puerto Rico, as well as certain provinces in Canada, require us to be licensed to conduct business within their jurisdictions. Licensing requirements may include requirements related to net worth, providing surety bonds and letters of credit, operational procedures, agent oversight and maintenance of reserves to cover outstanding payment obligations. Acceptable forms of such reserves will vary based on jurisdiction and the applicable regulator, but generally include cash and cash equivalents, U.S. government securities and other highly rated debt instruments. Many regulators require us to file reports on a quarterly or more frequent basis to verify our compliance with their requirements. We are also subject to periodic examinations by the governmental agencies with regulatory authority over our business.</w:t>
      </w:r>
    </w:p>
    <w:p>
      <w:pPr>
        <w:spacing w:after="0" w:line="16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Escheatment</w:t>
      </w:r>
      <w:r>
        <w:rPr>
          <w:rFonts w:ascii="Arial" w:cs="Arial" w:eastAsia="Arial" w:hAnsi="Arial"/>
          <w:sz w:val="18"/>
          <w:szCs w:val="18"/>
          <w:color w:val="auto"/>
        </w:rPr>
        <w:t>. Unclaimed property laws of each state in the United States in which we operate, the District of Columbia, and Puerto Rico require us to</w:t>
      </w:r>
      <w:r>
        <w:rPr>
          <w:rFonts w:ascii="Arial" w:cs="Arial" w:eastAsia="Arial" w:hAnsi="Arial"/>
          <w:sz w:val="18"/>
          <w:szCs w:val="18"/>
          <w:i w:val="1"/>
          <w:iCs w:val="1"/>
          <w:color w:val="auto"/>
        </w:rPr>
        <w:t xml:space="preserve"> </w:t>
      </w:r>
      <w:r>
        <w:rPr>
          <w:rFonts w:ascii="Arial" w:cs="Arial" w:eastAsia="Arial" w:hAnsi="Arial"/>
          <w:sz w:val="18"/>
          <w:szCs w:val="18"/>
          <w:color w:val="auto"/>
        </w:rPr>
        <w:t>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 Certain foreign jurisdictions also have unclaimed property laws. These laws are evolving and are often unclear and inconsistent among jurisdictions, making compliance challenging. We have an ongoing program designed to comply with escheatment laws as they apply to our business.</w:t>
      </w:r>
    </w:p>
    <w:p>
      <w:pPr>
        <w:spacing w:after="0" w:line="19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Data Privacy and Cybersecurity</w:t>
      </w:r>
      <w:r>
        <w:rPr>
          <w:rFonts w:ascii="Arial" w:cs="Arial" w:eastAsia="Arial" w:hAnsi="Arial"/>
          <w:sz w:val="16"/>
          <w:szCs w:val="16"/>
          <w:color w:val="auto"/>
        </w:rPr>
        <w:t>. We are subject to federal, state and international laws and regulations relating to the collection, use, retention,</w:t>
      </w:r>
      <w:r>
        <w:rPr>
          <w:rFonts w:ascii="Arial" w:cs="Arial" w:eastAsia="Arial" w:hAnsi="Arial"/>
          <w:sz w:val="16"/>
          <w:szCs w:val="16"/>
          <w:i w:val="1"/>
          <w:iCs w:val="1"/>
          <w:color w:val="auto"/>
        </w:rPr>
        <w:t xml:space="preserve"> </w:t>
      </w:r>
      <w:r>
        <w:rPr>
          <w:rFonts w:ascii="Arial" w:cs="Arial" w:eastAsia="Arial" w:hAnsi="Arial"/>
          <w:sz w:val="16"/>
          <w:szCs w:val="16"/>
          <w:color w:val="auto"/>
        </w:rPr>
        <w:t>security, transfer, storage and disposal of personally identifiable information of our customers, agents and employees. In the United States, we are subject to various federal privacy laws, including the Gramm-Leach-Bliley Act, which requires that financial institutions provide consumers with privacy notices and have in place policies and procedures regarding the safeguarding of personal information. We are also subject to privacy and data breach laws of various states. Outside the United States, we are subject to privacy laws of numerous countries and jurisdictions, which may be more restrictive than the U.S. laws and impose more stringent duties on companies or penalties for non-compliance. Government surveillance laws and data localization laws are evolving to address increased and changing threats and risks and as these laws evolve, they may be, or become, inconsistent from jurisdiction to jurisdiction.</w:t>
      </w:r>
    </w:p>
    <w:p>
      <w:pPr>
        <w:spacing w:after="0" w:line="16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Consumer Protection</w:t>
      </w:r>
      <w:r>
        <w:rPr>
          <w:rFonts w:ascii="Arial" w:cs="Arial" w:eastAsia="Arial" w:hAnsi="Arial"/>
          <w:sz w:val="18"/>
          <w:szCs w:val="18"/>
          <w:color w:val="auto"/>
        </w:rPr>
        <w:t>. The Dodd-Frank Wall Street Reform and Consumer Protection Act (the “Dodd-Frank Act”) imposes additional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and creates additional regulatory oversight over us. The Dodd-Frank Act created the CFPB which issues and enforces consumer protection initiatives governing financial products and services, including money remittance services, in the United States through the CFPB’s Remittance Transfer Rule. Its requirements include: a disclosure requirement to provide consumers sending funds internationally from the United States enhanced pre-transaction written disclosures, an obligation to resolve certain errors, including errors that may be outside our control, and an obligation to cancel transactions that have not been completed at a customer’s request. As a “larger participant” in the market for international money transfers, we are subject to direct examination and supervision by the CFPB. We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have modified our systems and consumer disclosures in light of the requirements of the Remittance Transfer Rule. In addition, under the Dodd-Frank Act, it is unlawful for any provider of consumer financial products or services to engage in unfair, deceptive, or abusive acts or practices. The CFPB has substantial rule making and enforcement authority to prevent unfair, deceptive, or abusive acts or practices in connection with any transaction with a consumer for a financial product or service. In addition, each state of the United States from time to time, may enact new laws and regulations, such as the CCPA, which creates new consumer rights relating to the access to, deletion of, and sharing of personal information that is collected by businesses. We have taken the necessary steps to review, modify and implement, as needed, policies and procedures designed to comply with the CFPB’s Remittance Transfer Rule. The Company’s communications, advertising and sales practices and that of its agent network are subject to regulation by, among other things, state and federal consumer protection laws including the Telephone Consumer Protection Act (“TCPA”). The FTC and the Federal Communications Commission have issued regulations under the TCPA that place restrictions on, among other things, unsolicited automated telephone calls or text messages to residential and wireless telephone subscribers by means of automatic telephone dialing systems and the use of prerecorded or artificial voice messages. The Company has taken steps to insulate itself from any such wrongful conduct, including conduct engaged in by its agents, by, among other things, requiring its agents to comply with the TCPA and such regulations.</w:t>
      </w:r>
    </w:p>
    <w:p>
      <w:pPr>
        <w:spacing w:after="0" w:line="1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Anti-Bribery Regulation</w:t>
      </w:r>
      <w:r>
        <w:rPr>
          <w:rFonts w:ascii="Arial" w:cs="Arial" w:eastAsia="Arial" w:hAnsi="Arial"/>
          <w:sz w:val="18"/>
          <w:szCs w:val="18"/>
          <w:color w:val="auto"/>
        </w:rPr>
        <w:t>. We are subject to regulations imposed by the Foreign Corrupt Practices Act (the “FCPA”) in the United States and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anti-bribery laws in other jurisdictions. These laws may impose recordkeeping and other requirements on us. We maintain a compliance program designed to comply with anti-bribery laws and regulations applicable to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times, we are exposed to credit risk related to receivable balances from sending agents in the money remittance process if agents do not timely make payments to us.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Through our online and electronic platforms, we also are exposed to credit risk directly from transactions that are originated through means other than cash, such as credit, debit and “ACH” cards, and therefore are subject to “chargebacks” for insufficient funds or other collection impediments, such as fraud.</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Given the nature of our business, we are also subject to liquidity risk as the timing of the funds to be remitted by our sending agents may extend in comparison with the timing when we make the funds available to the money transfer beneficiary in the destination country. Our current liquidity sources as well as our ability to generate free cash are mitigating factors in our liquidity management strategy.</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continually monitor fraud risk, perform credit reviews before adding agents to our network and conduct periodic credit risk analyses of agents and certain other parties that we transact with directly. For the fiscal year ended December 31, 2020, our provision for bad debt was equal to 0.5% of our total revenues.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experience meaningful seasonality in our business. We may experience, however, increased transaction volume around certain holidays, such as Mother’s Day and the December holidays.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market for money remittance services is very competitive. Our competitors include a small number of large money remittance providers, financial institutions, banks as well as a large number of small niche money remittance service providers that serve select regions. We compete with larger companies, such as The Western Union Company (“Western Union”), MoneyGram International, Inc. (“MoneyGram”) and Euronet Worldwide Inc. (“Euronet”) and a number of other smaller competitors. We generally compete for money remittance agents on the basis of value, service, quality, technical and operational differences, commission, and marketing efforts. As a philosophy, we sell credible solutions to agents, not discounts or higher commissions as is typical for the industry. We compete for money remittance customers on the basis of trust, convenience, service, efficiency of outlets, value, technology and brand recognition. We believe that our ongoing investments in new products and services will help us to remain competitive in our evolving business environment, given the increasing competition from digital platform providers.</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to encounter increasing competition as new technologies emerge that enable customers to send and receive money through a variety of channels, but we do not expect adoption rates to be as significant in the near term for the customer segment we serve. Regardless, we continue to innovate in the industry by differentiating our money remittance business through programs to foster loyalty among agents as well as customers and have expanded our channels through which our services are accessed to include online and mobile offerings in preparation for customer adoption.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we had 262 employees in the United States, of whom 258 are full-time. We also have 449 employees in Mexico, of whom 217 are full-time, and 58 employees in Guatemala, all of whom are full time. As of December 31, 2020, 417 of the employees in Mexico were represented by a labor union.</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recruit employees with the skills and training relevant to functional responsibilities. Depending on the position, our recruitment reach can be national as well as local. New employees receive an orientation on the policies and practices of the Company. Also, they are provided industry-relevant compliance training and are introduced to our Code of Conduct and Ethics.</w:t>
      </w:r>
    </w:p>
    <w:p>
      <w:pPr>
        <w:spacing w:after="0" w:line="18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We invest in our workforce by offering competitive salaries, incentives, and benefits that are determined based on the preferences and needs of our employees. Our incentives are objective-based and we have a strong pay for performance culture that we believe drives superior results. All of our non-sale employees are eligible to participate in our incentive bonus plan, which is based on the achievement of certain personal objectives and our financial results.</w:t>
      </w:r>
    </w:p>
    <w:p>
      <w:pPr>
        <w:spacing w:after="0" w:line="1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During 2020 and due to the COVID-19 pandemic, we made the well-being and health of our employees a top priority. We adjusted standard operating procedures within our business operations to ensure continued worker safety. These procedures included reconfiguring facilities to reduce employee density, expanded and more frequent cleaning within facilities, implementation of appropriate and mandated distancing programs, employee temperature monitoring and requiring use of certain personal protective equipment at our U.S. headquarters and call centers in Mexico and Guatemala.</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was incorporated as a Delaware corporation on May 28, 2015. Our principal executive office is located at 9480 South Dixie Highway, Miami, Florida 33156, and our telephone number at that address is (305) 671-8000. The Company’s Annual Report on Form 10-K, quarterly reports on Form 10-Q, current reports on Form 8-K, and amendments to those reports are available free of charge through the “Investor Relations” section of the Company’s website, www.intermexonline.com, as soon as reasonably practical after they are filed with the Securities and Exchange Commission (“SEC”). The SEC maintains a website, www.sec.gov, which contains reports, proxy and information statements, and other information filed electronically with the SEC by the Company. In addition, you may automatically receive email alerts and other information when you enroll your email address by visiting the “Investor Relations” section of our website. The content of any website referred to in this document is not incorporated by reference into this document.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An investment in our securities involves certain risks. The risks and uncertainties described below are not the only risks that may have a material and adverse effect on the Company, and the risks described herein are not listed in order of the potential occurrence or severity. There is no assurance that we have identified, assessed and appropriately addressed all risks affecting our business operations. Additional risks and uncertainties could adversely affect our business and our results. If any of the following risks actually occur, our business, consolidated financial condition or results of operations could be negatively affected, and the market price for our shares could decline. Further, to the extent that any of the information contained in this Annual Report on Form 10-K constitutes forward-looking statements, the risk factors set forth below are cautionary statements, identifying important factors that could cause the Company’s actual results to differ materially from those expressed in or implied by any forward-looking statements made by or on behalf of the Company. There can also be no assurance that the actual future results, performance, benefits or achievements that we expect from our strategies, systems, initiatives or products will occur.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b w:val="1"/>
          <w:bCs w:val="1"/>
          <w:i w:val="1"/>
          <w:iCs w:val="1"/>
          <w:color w:val="auto"/>
        </w:rPr>
        <w:t>Our financial condition, results of operations, business and cash flow may be negatively affected by a public health crises, such as the recent coronavirus (COVID-19) pandemic.</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may face risks related to health epidemics and pandemics or other outbreaks of communicable diseases such as the global COVID-19 pandemic. The global spread of COVID-19 has created significant volatility, uncertainty and economic disruption, including significant volatility in the capital markets. The extent to which the COVID-19 pandemic affects our business, operations, financial results and the trading price of our common stock depends on numerous evolving factors that we may not be able to accurately predict, including: the duration and scope and possible resurgence of the pandemic; governmental and business actions that have been and continue to be taken in response to the pandemic (including mitigation efforts such as stay at home and other social distancing orders) and the impact of the pandemic on economic activity and actions taken in response (including stimulus efforts such as the Families First Coronavirus Act and the CARES Act).</w:t>
      </w:r>
    </w:p>
    <w:p>
      <w:pPr>
        <w:spacing w:after="0" w:line="17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 public health epidemic or pandemic, such as the COVID-19 pandemic, can have a material adverse effect on the demand for our money remittance services to the extent it impacts the markets in which we operate, and poses the risk that we or our employees, network of agents and consumers and their beneficiaries may be prevented from conducting business activities for an indefinite period of time, including due to shutdowns requested or mandated by governmental authorities, or that such epidemic may otherwise interrupt or impair business activities. Since the pandemic began, we have been subject, on a limited basis, to such shutdowns. We have adjusted standard operating procedures within our business operations to ensure the continued safety of our workers, continue to take further actions to mitigate the impact of the pandemic on our business, and are continually monitoring evolving health guidelines, as well as market conditions, and responding to changes as appropriate.</w:t>
      </w:r>
    </w:p>
    <w:p>
      <w:pPr>
        <w:spacing w:after="0" w:line="1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Adjustments to our operating procedures as a result of the COVID-19 pandemic only had a limited effect on the Company’s financial condition, results of operations and cash flows for the year ended December 31, 2020, however, we will continue to monitor this evolving pandemic and its potential effects on the Company’s operations. The Company and our sending agents are considered essential businesses under current federal guidance, however, the Company’s business is dependent upon the willingness and ability of its employees, network of agents and consumers to conduct money transfer services and the ultimate effects of the economic disruption caused by the pandemic and responses thereto. The ultimate impact of the COVID-19 pandemic on our results of operations and financial condition is dependent on future developments, including the duration of the pandemic and the related extent of its severity, as well as its impact on the economic conditions, particularly the level of unemployment of our customers, which remain uncertain and cannot be predicted at this time. If the global response to contain the COVID-19 pandemic is unsuccessful, or if governmental decisions to ease pandemic related restrictions are ineffective, premature or counterproductive, the Company could experience a material adverse effect on the Company’s financial condition, results of operations and cash flows.</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protect our workers, we are utilizing work from home measures. There is no guarantee that the data security and privacy safeguards we have put in place will be completely effective or that we will not encounter some of the common risks associated with employees accessing Company data and systems remotely.</w:t>
      </w:r>
    </w:p>
    <w:p>
      <w:pPr>
        <w:spacing w:after="0" w:line="184"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If we lose key sending agents, our business with key sending agents is reduced or we are unable to maintain our sending agent network under terms consistent with those currently in place, our business, financial condition and results of operations could be adversely affected.</w:t>
      </w:r>
    </w:p>
    <w:p>
      <w:pPr>
        <w:spacing w:after="0" w:line="12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Most of our revenue is earned through our sending agent network. Sending agents are the persons who generate our customers and provide them with our money remittance services. If sending agents decide to leave our network, our revenue and profits could be adversely affected. The loss of sending agents may occur for a number of reasons, including competition from other money remittance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providers, a sending agent’s dissatisfaction with its relationship with us or the revenue earned from the relationship, or a sending agent’s unwillingness or inability to comply with our standards or legal requirements, including those related to compliance with anti-money laundering regulations, anti-fraud measures or agent monitoring. Sending agents also may generate fewer transactions or reduce locations for reasons unrelated to our relationship with them, including increased competition in their business, general economic conditions, regulatory costs or other reasons. In addition, larger sending agents may demand additional financial concessions, which could increase competitive pressure.</w:t>
      </w:r>
    </w:p>
    <w:p>
      <w:pPr>
        <w:spacing w:after="0" w:line="17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if we are unable to continue to compete effectively, our business, financial condition and results of operations could be adversely affected.</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markets in which we operate are highly competitive, and we face a variety of competitors across our businesses, some of which have larger and more established customer bases and substantially greater financial, marketing and other resources than we have. We compete in a concentrated industry, with a small number of large competitors and a large number of small, niche competitors, including consumer money remittance companies, banks, card associations, web-based services, payment processors, informal remittance systems and others. We believe our services are differentiated by features and functionalities, including trust, convenience, service, efficiency of outlets, value, technology and brand recognition. Distribution channels and digital platforms such as online, account based and mobile solutions continue to evolve and impact the competitive environment for money remittances.</w:t>
      </w:r>
    </w:p>
    <w:p>
      <w:pPr>
        <w:spacing w:after="0" w:line="16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future growth depends on our ability to compete effectively. For example, if our services do not offer competitive features and functionalities, we may lose customers to our competitors, which could adversely affect our business, financial condition and results of operations. In addition, if we fail to price our services appropriately relative to our competitors, consumers may not use our services, which could adversely affect our business and financial results. For example, transaction volume where we face intense competition could be adversely affected by increasing pricing pressures between our money remittance services and those of some of our competitors, which could reduce margins and adversely affect our financial results. We have historically implemented and may continue implementing price adjustments from time to time in response to competition and other factors. If we reduce prices in order to mitigate the actions of competitors, such reductions could adversely affect our financial results in the short term and may also adversely affect our financial results in the long term if transaction volumes do not increase sufficiently or we do not implement other pricing strategies.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customer confidence in our business or in consumer money remittance providers generally deteriorates, our business, financial condition and results of operations could be adversely affected.</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business is built on customer confidence in our brand and our ability to provide convenient, reliable and value-added money remittance services. Erosion in customer confidence in our business, or in consumer money remittance service providers as a means to transfer money more generally, could adversely impact transaction volumes which would in turn adversely impact our business, financial condition and results of operations.</w:t>
      </w:r>
    </w:p>
    <w:p>
      <w:pPr>
        <w:spacing w:after="0" w:line="14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 number of factors could adversely affect customer confidence in our business, or in consumer money remittance providers more generally, many of which are beyond our control, and could have an adverse impact on our business, financial condition and results of operations. These factors include:</w:t>
      </w:r>
    </w:p>
    <w:p>
      <w:pPr>
        <w:spacing w:after="0" w:line="124" w:lineRule="exact"/>
        <w:rPr>
          <w:sz w:val="20"/>
          <w:szCs w:val="20"/>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quality of our services and our customer experience, and our ability to meet evolving customer needs and preferences;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agents to deliver services in accordance with our requirements;</w:t>
      </w:r>
    </w:p>
    <w:p>
      <w:pPr>
        <w:spacing w:after="0" w:line="225" w:lineRule="exact"/>
        <w:rPr>
          <w:rFonts w:ascii="Arial" w:cs="Arial" w:eastAsia="Arial" w:hAnsi="Arial"/>
          <w:sz w:val="18"/>
          <w:szCs w:val="18"/>
          <w:color w:val="auto"/>
        </w:rPr>
      </w:pPr>
    </w:p>
    <w:p>
      <w:pPr>
        <w:ind w:left="580" w:hanging="248"/>
        <w:spacing w:after="0" w:line="27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reputational concerns resulting from actual or perceived events, including those related to fraud, consumer protection, money laundering, corruption or other matters;</w:t>
      </w:r>
    </w:p>
    <w:p>
      <w:pPr>
        <w:spacing w:after="0" w:line="170" w:lineRule="exact"/>
        <w:rPr>
          <w:rFonts w:ascii="Arial" w:cs="Arial" w:eastAsia="Arial" w:hAnsi="Arial"/>
          <w:sz w:val="18"/>
          <w:szCs w:val="18"/>
          <w:color w:val="auto"/>
        </w:rPr>
      </w:pPr>
    </w:p>
    <w:p>
      <w:pPr>
        <w:jc w:val="both"/>
        <w:ind w:left="580" w:hanging="248"/>
        <w:spacing w:after="0" w:line="263"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regulator or judicial interpretation thereof, that have the effect of making it more difficult or less desirable to transfer money using consumer money remittance service providers, including additional customer due diligence, identification, reporting, and recordkeeping requirements;</w:t>
      </w:r>
    </w:p>
    <w:p>
      <w:pPr>
        <w:spacing w:after="0" w:line="183" w:lineRule="exact"/>
        <w:rPr>
          <w:rFonts w:ascii="Arial" w:cs="Arial" w:eastAsia="Arial" w:hAnsi="Arial"/>
          <w:sz w:val="18"/>
          <w:szCs w:val="18"/>
          <w:color w:val="auto"/>
        </w:rPr>
      </w:pPr>
    </w:p>
    <w:p>
      <w:pPr>
        <w:jc w:val="both"/>
        <w:ind w:left="580" w:hanging="248"/>
        <w:spacing w:after="0" w:line="263"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actions by federal, state or foreign regulators that interfere with our ability to remit customers’ money reliably; for example, attempts to seize money remittance funds, imposition of tariffs or limits on our ability to, or that prohibit us from, remitting money in the corridors in which we operate;</w:t>
      </w:r>
    </w:p>
    <w:p>
      <w:pPr>
        <w:spacing w:after="0" w:line="183" w:lineRule="exact"/>
        <w:rPr>
          <w:rFonts w:ascii="Arial" w:cs="Arial" w:eastAsia="Arial" w:hAnsi="Arial"/>
          <w:sz w:val="18"/>
          <w:szCs w:val="18"/>
          <w:color w:val="auto"/>
        </w:rPr>
      </w:pPr>
    </w:p>
    <w:p>
      <w:pPr>
        <w:ind w:left="580" w:hanging="248"/>
        <w:spacing w:after="0" w:line="27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federal, state or foreign legal requirements, including those that require us to provide customer or transaction data, and other requirements or to a greater extent than is currently required;</w:t>
      </w:r>
    </w:p>
    <w:p>
      <w:pPr>
        <w:spacing w:after="0" w:line="170" w:lineRule="exact"/>
        <w:rPr>
          <w:rFonts w:ascii="Arial" w:cs="Arial" w:eastAsia="Arial" w:hAnsi="Arial"/>
          <w:sz w:val="18"/>
          <w:szCs w:val="18"/>
          <w:color w:val="auto"/>
        </w:rPr>
      </w:pPr>
    </w:p>
    <w:p>
      <w:pPr>
        <w:ind w:left="580" w:hanging="248"/>
        <w:spacing w:after="0" w:line="277" w:lineRule="auto"/>
        <w:tabs>
          <w:tab w:leader="none" w:pos="57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interruption or downtime in our systems, including those caused by fire, natural disaster, power loss, telecommunications failure, terrorism, vendor failure, unauthorized entry and computer viruses or disruptions in our workforce;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ind w:left="340"/>
        <w:spacing w:after="0"/>
        <w:tabs>
          <w:tab w:leader="none" w:pos="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any attack or breach of our computer systems or other data storage facilities resulting in a compromise of personal data.</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significant portion of our customers are migrants. Consumer advocacy groups or governmental agencies could consider migrants to be disadvantaged and entitled to protection, enhanced consumer disclosure, or other different treatment. If consumer advocacy groups are able to generate widespread support for actions that are detrimental to our business, then our business, financial condition and results of operations could be adversely affected.</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profit margins may be adversely affected by expansion into new geographic or product markets, which we may enter by acquisition or otherwise, that do not have the same profitability as our core markets.</w:t>
      </w:r>
    </w:p>
    <w:p>
      <w:pPr>
        <w:spacing w:after="0" w:line="1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Although expansion of our business into new geographic or product markets may increase our aggregate revenues, such new geographic or product markets may be more expensive to operate in and may require us to receive lower payment per wire or remittance than that which we currently experience in our core geographic markets of Mexico and Guatemala or other more established product markets due to, among other things:</w:t>
      </w:r>
    </w:p>
    <w:p>
      <w:pPr>
        <w:spacing w:after="0" w:line="149" w:lineRule="exact"/>
        <w:rPr>
          <w:sz w:val="20"/>
          <w:szCs w:val="20"/>
          <w:color w:val="auto"/>
        </w:rPr>
      </w:pPr>
    </w:p>
    <w:p>
      <w:pPr>
        <w:ind w:left="580" w:hanging="248"/>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increased compliance and regulatory costs requiring us to dedicate more expense, time and resources to comply with such regulatory requirements;</w:t>
      </w:r>
    </w:p>
    <w:p>
      <w:pPr>
        <w:spacing w:after="0" w:line="248" w:lineRule="exact"/>
        <w:rPr>
          <w:rFonts w:ascii="Arial" w:cs="Arial" w:eastAsia="Arial" w:hAnsi="Arial"/>
          <w:sz w:val="16"/>
          <w:szCs w:val="16"/>
          <w:color w:val="auto"/>
        </w:rPr>
      </w:pPr>
    </w:p>
    <w:p>
      <w:pPr>
        <w:ind w:left="580" w:right="20" w:hanging="248"/>
        <w:spacing w:after="0" w:line="277"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higher operational expenses, such as higher agent fees, taxes, fees, technology costs, support costs or other charges and expense associated with engaging in the money transfer business in different jurisdictions or as a result of new product offerings;</w:t>
      </w:r>
    </w:p>
    <w:p>
      <w:pPr>
        <w:spacing w:after="0" w:line="170" w:lineRule="exact"/>
        <w:rPr>
          <w:rFonts w:ascii="Arial" w:cs="Arial" w:eastAsia="Arial" w:hAnsi="Arial"/>
          <w:sz w:val="18"/>
          <w:szCs w:val="18"/>
          <w:color w:val="auto"/>
        </w:rPr>
      </w:pPr>
    </w:p>
    <w:p>
      <w:pPr>
        <w:ind w:left="580" w:right="20" w:hanging="248"/>
        <w:spacing w:after="0" w:line="277"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pricing models due to more intense competition with entities that may have more experience and resources as well as more established relationships with relevant customers, regulators and industry participants;</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reduced demand for remittance services; and</w:t>
      </w:r>
    </w:p>
    <w:p>
      <w:pPr>
        <w:spacing w:after="0" w:line="225" w:lineRule="exact"/>
        <w:rPr>
          <w:rFonts w:ascii="Arial" w:cs="Arial" w:eastAsia="Arial" w:hAnsi="Arial"/>
          <w:sz w:val="18"/>
          <w:szCs w:val="18"/>
          <w:color w:val="auto"/>
        </w:rPr>
      </w:pPr>
    </w:p>
    <w:p>
      <w:pPr>
        <w:ind w:left="580" w:hanging="248"/>
        <w:spacing w:after="0" w:line="277" w:lineRule="auto"/>
        <w:tabs>
          <w:tab w:leader="none" w:pos="575"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building and maintaining a network of sending and paying agents in a particular geographic area or with respect to a particular product offering.</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process remittances to Africa and Asia from the United States and also recently began offering sending services from Canada to Latin America and Africa. Additionally, we have expanded our product and service portfolio to include online payment options, pre-paid debit cards and direct deposit payroll cards, which may present different cost, demand, regulatory and risk profiles relative to our core remittance business. If we are unable to capitalize on these markets, or if we spend significant time and resources on expansion plans that fail or are delayed, our business will be adversely affected. Even if we are successful, we will be exposed to additional risks in these markets that we do not face in the United States or in our core remittance business, which could have an adverse effect on our business, financial condition and results of operations.</w:t>
      </w:r>
    </w:p>
    <w:p>
      <w:pPr>
        <w:spacing w:after="0" w:line="1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Current and proposed data privacy and cybersecurity laws and regulations could adversely affect our business, financial condition and results of operations.</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subject to requirements relating to data privacy and cybersecurity under U.S. federal, state and foreign laws. For example, in the U.S. the FTC routinely investigates the privacy practices of companies and has commenced enforcement actions against many, resulting in multi-million dollar settlements and multi-year agreements governing the settling companies’ privacy practices. If we are unable to meet such requirements, we may be subject to significant fines or penalties. Furthermore, certain industry groups require us to adhere to privacy requirements in addition to federal, state and foreign laws, and certain of our business relationships depend upon our compliance with these requirements.</w:t>
      </w:r>
    </w:p>
    <w:p>
      <w:pPr>
        <w:spacing w:after="0" w:line="1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the number of jurisdictions enacting privacy and related laws increases and the scope of these laws and enforcement efforts expands, we will increasingly become subject to new and varying requirements. For example, California enacted the CCPA, which became effective in January 2020. The CCPA requires covered companies to provide California consumers with new disclosures and expands the rights afforded to consumers regarding their data. The costs of compliance with, and other burdens imposed by, the CCPA and similar laws may limit the use and adoption of our products and services and/or require us to incur substantial compliance costs, which could have an adverse impact on our business. Failure to comply with existing or future data privacy and cybersecurity laws, regulations and requirements, including by reason of inadvertent disclosure of personal information, could result in significant adverse consequences, including reputational harm, civil litigation, regulatory enforcement, costs of remediation, increased expenses for security systems and personnel, harm to our consumers and harm to our agents.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in connection with regulatory requirements to assist in the prevention of money laundering and terrorist financing and pursuant to legal obligations and authorizations, we make information available to certain U.S. federal and state, as well as certain foreign, government agencies. In recent years, we have experienced increasing data sharing requests by these agencies, particularly in connection with efforts to prevent terrorist financing or reduce the risk of identity theft. During the same period, there has also been increased public</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attention to the corporate use and disclosure of personal information, accompanied by legislation and regulations intended to strengthen data protection, information security and consumer privacy. These regulatory goals may conflict, and the law in these areas is not consistent or settled. While we believe that we are compliant with our regulatory responsibilities, the legal, political and business environments in these areas are rapidly changing, and subsequent legislation, regulation, litigation, court rulings or other events could expose us to increased program costs, liability and reputational damage that could have a material and adverse effect on our business, financial condition and results of operations.</w:t>
      </w:r>
    </w:p>
    <w:p>
      <w:pPr>
        <w:spacing w:after="0" w:line="1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current risk management and compliance systems may not be able to exhaustively assess or mitigate all risks to which we are exposed from a transaction monitoring perspective.</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engaged in ongoing efforts to enhance our risk management and compliance policies, procedures and systems to assure compliance with anti-money laundering laws and economic sanctions regulations. We have implemented, and are continuing to implement, policies, procedures and systems designed to address these laws and regulations, including monitoring on an automated and manual basis, the transactions processed through our systems and restricting business involving certain countries. However, the implementation of such policies, procedures and systems may be subject to human error. Further, we may be exposed to fraud or other misconduct committed by our employees, or other third parties, including but not limited to our customers and agents, or other events that are out of our control. Additionally, our risk management policies, procedures and systems are based upon our experience in the industry, and may not be adequate or effective in managing our future risk exposures or protecting us against unidentified or unanticipated risks, which could be significantly greater than those indicated by our past experience. As a result, we can offer no assurances that these policies, procedures and systems will be adequate to detect or prevent money laundering activity or OFAC violations. If any of these policies, procedures or systems do not operate properly, or are disabled, or are subject to intentional manipulation or inadvertent human error, we could suffer financial loss, a disruption of our business, regulatory intervention or reputational damage.</w:t>
      </w:r>
    </w:p>
    <w:p>
      <w:pPr>
        <w:spacing w:after="0" w:line="18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services might be used for illegal or improper purposes, such as consumer fraud or money laundering, which could expose us to additional liability.</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services remain susceptible to potentially illegal or improper uses as criminals are using increasingly sophisticated methods to engage in illegal activities involving internet services and payment services, such as identity theft, fraud and paper instrument counterfeiting. As we make more of our services available online and via Internet-enabled mobile devices, we subject ourselves to new types of consumer fraud risk because requirements relating to consumer authentication are more complex with internet services and such other technologies. Additionally, it is possible that our agents could engage in fraud against consumers. We use a variety of tools to protect against fraud; however, these tools may not always be successful. Allegations of fraud may result in fines, settlements, litigation expenses and reputational damage.</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Other illegal or improper uses of our services may include money laundering, terrorist financing, drug trafficking, human trafficking, illegal online gaming, romance and other online scams, illegal sexually-oriented services, prohibited sales of pharmaceuticals, fraudulent sale of goods or services, piracy of software, movies, music and other copyrighted or trademarked goods, unauthorized uses of credit and debit cards or bank accounts and similar misconduct. Users of our services also may encourage, promote, facilitate or instruct others to engage in illegal activities. If the measures we have taken are too restrictive and inadvertently screen proper transactions, this could diminish our customer experience which could harm our business. There is no assurance that the measures we have taken to detect and reduce the risk of this kind of conduct will stop all illegal or improper uses of our services. Our business could be harmed if customers use our system for illegal or improper purposes.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breach of security in the systems on which we rely could adversely affect our reputation, business, financial condition and results of operations.</w:t>
      </w:r>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rely on a variety of technologies to provide security for our systems. Advances in computer capabilities, new discoveries in the field of cryptography or other events or developments, including improper acts by third parties, may result in a compromise or breach of the security measures we use to protect our systems. We obtain, transmit and store confidential consumer, employer and agent information in connection with some of our services. These activities are subject to laws and regulations in the United States and other jurisdictions. The requirements imposed by these laws and regulations, which often differ materially among the many jurisdictions, are designed to protect the privacy of personal information and to prevent that information from being inappropriately disclosed. Any security breaches in our computer networks, databases or facilities could lead to the inappropriate use or disclosure of personal information, which could harm our business and reputation, adversely affect consumers’ confidence in our or our agents’ business, result in inquiries and fines or penalties from regulatory or governmental authorities, cause a loss of consumers, damage our reputation and subject us to lawsuits and subject us to potential financial losses. In addition, we may be required to expend significant capital and other resources to protect against these security breaches or to alleviate problems caused by these breaches. Our agents and third-party independent contractors may also experience security breaches involving the storage and transmission of our data as well as the ability to initiate unauthorized transactions. If users gain improper access to our, our agents’ or our third-party independent contractors’ computer networks or databases, they may be able to steal, publish, delete or modify confidential customer information or generate unauthorized money remittances. Such a breach could expose us to</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monetary liability, losses and legal proceedings, lead to reputational harm, cause a disruption in our operations, or make our consumers and agents less confident in our services.</w:t>
      </w:r>
    </w:p>
    <w:p>
      <w:pPr>
        <w:spacing w:after="0" w:line="170"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Our business is particularly dependent on the efficient and uninterrupted operation of our information technology, computer network systems and data centers. Disruptions to these systems and data centers could adversely affect our business, financial condition and results of operations.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ability to provide reliable services largely depends on the efficient and uninterrupted operation of our computer network systems and data centers. Our business involves the movement of large sums of money and the management of data necessary to do so. The success of our business particularly depends upon the efficient and error-free handling of transactions and data. We rely on the ability of our employees and our internal systems and procedures to process these transactions in an efficient, uninterrupted and error-free manner.</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event of a breakdown, catastrophic event (such as fire, natural disaster, power loss, telecommunications failure or physical break-in), security breach, computer virus, improper operation, improper action by our employees, agents, consumers, financial institutions or third-party vendors or any other event impacting our systems or processes or our agents’ or vendors’ systems or processes, we could suffer financial loss, loss of consumers, regulatory sanctions, lawsuits and damage to our reputation or consumers’ confidence in our business. The measures we have enacted, such as the implementation of disaster recovery plans and redundant computer systems, may not be successful. We may also experience problems other than system failures, including software defects, development delays and installation difficulties, which would harm our business and reputation and expose us to potential liability and increased operating expenses. In addition, any work stoppages or other labor actions by employees who support our systems or perform any of our major functions could adversely affect our business.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our ability to continue to provide our services to a growing number of agents and consumers in a growing number of countries, as well as to enhance our existing services and offer new services across new distribution platforms, is dependent on our information technology systems. If we are unable to effectively manage the technology associated with our business, we could experience increased costs, reductions in system availability and loss of agents or consumers.</w:t>
      </w:r>
    </w:p>
    <w:p>
      <w:pPr>
        <w:spacing w:after="0" w:line="18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Weakness in economic conditions, in both the U.S. and international markets, could adversely affect our business, financial condition and results of operations. We are subject to business cycles and other outside factors that may negatively affect our business.</w:t>
      </w:r>
    </w:p>
    <w:p>
      <w:pPr>
        <w:spacing w:after="0" w:line="1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money remittance business relies in part on the overall strength of economic conditions. Consumer money remittance transactions are affected by, among other things, employment opportunities and overall economic conditions. Additionally, consumers tend to be employed in industries such as construction, information, manufacturing, agriculture and certain service industries that tend to be cyclical and more significantly impacted by weak economic conditions than other industries. This may result in reduced job opportunities for our customers in the United States or other countries that are important to our business, which could adversely affect our business, financial condition and results of operations. In addition, increases in employment opportunities may lag other elements of any economic recovery.</w:t>
      </w:r>
    </w:p>
    <w:p>
      <w:pPr>
        <w:spacing w:after="0" w:line="19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general market conditions in the United States or other countries important to our business were to deteriorate, our business, financial condition and results of operations could be adversely impacted. Our agents may have reduced sales or business as a result of weak economic conditions. As a result, our agents may reduce their number of locations, hours of operation, or cease doing business altogether. If our consumer transactions decline due to deteriorating economic conditions, we may be unable to timely and effectively reduce our operating costs or take other actions in response, which could adversely affect our business, financial condition and results of operations. Additionally, economic or political instability, wars, civil unrest, terrorism and natural disasters may make money transfers to, from or within a particular country more difficult. The inability to timely complete money transfers could adversely affect our business.</w:t>
      </w:r>
    </w:p>
    <w:p>
      <w:pPr>
        <w:spacing w:after="0" w:line="19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If we fail to successfully develop and timely introduce new and enhanced services or if we make substantial investments in an unsuccessful new service or infrastructure change, our business, financial condition and results of operations could be adversely affected.</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future growth will depend, in part, on our ability to continue to develop and successfully introduce new and enhanced methods of providing money remittance services that keep pace with competitive introductions, technological changes, and the demands and preferences of our agents, consumers and the financial institutions with which we conduct our business. Distribution channels such as online, account based, and mobile solutions continue to evolve and impact the competitive environment for money remittances. If alternative payment mechanisms become widely accepted as substitutes for our current services, and we do not develop and offer similar alternative payment mechanisms successfully and on a timely basis, our business, financial condition and results of operations could be adversely affected. We may make future acquisitions and investments or enter into strategic alliances to develop new technologies and services or to implement infrastructure changes to further our strategic objectives, strengthen our existing businesses and remain competitive. Such acquisitions, investments and strategic alliances, however, are inherently risky, and we cannot guarantee that such investments or strategic alliances will be successful.</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percentage of our banking relationships are concentrated in a few banks.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substantial portion of the transactions that we conduct with and through banks are concentrated in a few banks, notably Wells Fargo, Bank of America and US Bank. Because of the current concentration of our major banking relationships, if we lose such a banking relationship, which could be the result of many factors including, but not limited to, changes in regulation, our business, financial condition and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paying agents are concentrated in a few large banks and financial institutions or large retail chains.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substantial portion of our paying agents are concentrated in a few large banks and financial institutions and large retail chains. Because of the current concentration, if we lose an institution as a paying agent, which could be the result of many factors including, but not limited to, changes in regulation, our business, financial condition and results of operations could be adversely affected. Elektra, our largest paying agent by volume, accounted for approximately 18% of Intermex’s total remittance volume in fiscal year 2020. The loss of Elektra as one of our paying agents could have a material adverse impact on our business and results of operations.</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Major bank failure or sustained financial market illiquidity, or illiquidity at our clearing, cash management and custodial financial institutions, could adversely affect our business, financial condition and results of operations.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face certain risks in the event of a sustained deterioration of domestic or international financial market liquidity, as well as in the event of sustained deterioration in the liquidity, or failure, of our clearing, cash management and custodial financial institutions. In particular:</w:t>
      </w:r>
    </w:p>
    <w:p>
      <w:pPr>
        <w:spacing w:after="0" w:line="170" w:lineRule="exact"/>
        <w:rPr>
          <w:sz w:val="20"/>
          <w:szCs w:val="20"/>
          <w:color w:val="auto"/>
        </w:rPr>
      </w:pPr>
    </w:p>
    <w:p>
      <w:pPr>
        <w:jc w:val="both"/>
        <w:ind w:left="580" w:hanging="248"/>
        <w:spacing w:after="0" w:line="259" w:lineRule="auto"/>
        <w:tabs>
          <w:tab w:leader="none" w:pos="5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access funds in our deposit accounts and clearing accounts on a timely basis to pay money remittances and make related settlements to agents. Any resulting need to access other sources of liquidity or short-term borrowing would increase our costs. Any delay or inability to pay money remittances or make related settlements with our agents could adversely impact our business, financial condition and results of operations.</w:t>
      </w:r>
    </w:p>
    <w:p>
      <w:pPr>
        <w:spacing w:after="0" w:line="186" w:lineRule="exact"/>
        <w:rPr>
          <w:rFonts w:ascii="Arial" w:cs="Arial" w:eastAsia="Arial" w:hAnsi="Arial"/>
          <w:sz w:val="18"/>
          <w:szCs w:val="18"/>
          <w:color w:val="auto"/>
        </w:rPr>
      </w:pPr>
    </w:p>
    <w:p>
      <w:pPr>
        <w:jc w:val="both"/>
        <w:ind w:left="580" w:hanging="248"/>
        <w:spacing w:after="0" w:line="259" w:lineRule="auto"/>
        <w:tabs>
          <w:tab w:leader="none" w:pos="5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event of a major bank failure, we could face major risks to the recovery of our bank deposits used for the purpose of settling with our agents. A substantial portion of our cash and cash equivalents held at U.S. banks are not subject to federal deposit insurance protection against loss as they exceed the federal deposit insurance limit. Similarly, we hold cash and cash equivalents at foreign banks, which may not enjoy benefits such as the United States’ federal deposit insurance protection.</w:t>
      </w:r>
    </w:p>
    <w:p>
      <w:pPr>
        <w:spacing w:after="0" w:line="186" w:lineRule="exact"/>
        <w:rPr>
          <w:rFonts w:ascii="Arial" w:cs="Arial" w:eastAsia="Arial" w:hAnsi="Arial"/>
          <w:sz w:val="18"/>
          <w:szCs w:val="18"/>
          <w:color w:val="auto"/>
        </w:rPr>
      </w:pPr>
    </w:p>
    <w:p>
      <w:pPr>
        <w:ind w:left="580" w:right="20" w:hanging="248"/>
        <w:spacing w:after="0" w:line="277" w:lineRule="auto"/>
        <w:tabs>
          <w:tab w:leader="none" w:pos="5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unable to borrow from financial institutions or institutional investors on favorable terms, or at all, which could adversely impact our ability to pursue our growth strategy and fund key strategic initiatives.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financial liquidity deteriorates, there can be no assurance we will not experience an adverse effect, which may be material, on our ability to access capital or contingent liquidity sources.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Changes in banking industry regulation and practice could make it more difficult for us and our sending agents to maintain depository accounts with banks, which would harm our business.</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banking industry, in light of increased regulatory oversight, is continually examining its business relationships with companies that offer money remittance services and with retail agents that collect and remit cash collected from end consumers. Certain major national and international banks have withdrawn from providing service to money remittance services businesses. Should our existing relationship banks decide to not offer depository services to companies engaged in processing money remittance transactions, or to retail agents that collect and remit cash from end customers, our ability to complete money remittances, and to administer and collect fees from money remittance transactions, could be adversely affected.</w:t>
      </w:r>
    </w:p>
    <w:p>
      <w:pPr>
        <w:spacing w:after="0" w:line="16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regulatory status and the regulatory status of our agents as MSBs could affect our ability to offer our services. We also rely on bank accounts to provide our payment services. We and some of our agents may in the future have difficulty establishing or maintaining banking relationships due to the banks’ policies, including policies with respect to anti-money laundering. If we or a significant number of our agents are unable to maintain existing or establish new banking relationships, or if we or these agents face higher fees and other costs to maintain or establish new bank accounts, our ability and the ability of our agents to continue to offer our services may be adversely impacted.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credit risks from our sending agents and financial institutions with which we do business.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of our business is conducted through independent sending agents that provide our services to consumers at their business locations. Our sending agents receive the proceeds from the sale of our money remittances, and we must then collect these funds from the sending agents. If a sending agent becomes insolvent, files for bankruptcy, commits fraud or otherwise fails to remit money remittance proceeds to us, we must nonetheless complete the money remittance on behalf of the consumer.</w:t>
      </w:r>
    </w:p>
    <w:p>
      <w:pPr>
        <w:sectPr>
          <w:pgSz w:w="11900" w:h="16838" w:orient="portrait"/>
          <w:cols w:equalWidth="0" w:num="1">
            <w:col w:w="11240"/>
          </w:cols>
          <w:pgMar w:left="320" w:top="125" w:right="33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monitor the creditworthiness of our sending agents and the financial institutions with which we do business on an ongoing basis. There can be no assurance that the models and approaches we use to assess and monitor the creditworthiness of our sending agents and these financial institutions will be sufficiently predictive, and we may be unable to detect and take steps to timely mitigate an increased credit risk.</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event of a sending agent bankruptcy, we would generally be in the position of creditor, possibly with limited security or financial guarantees of performance, and we would therefore be at risk of a reduced recovery. We are not insured against credit losses, except in circumstances of agent theft or fraud. Significant credit losses could have a material and adverse effect on our business, financial condition and results of operations.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Retaining our chief executive officer and other key executives and finding and retaining qualified personnel is important to our continued success, and any inability to attract and retain such personnel could harm our operations.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ability to successfully operate our business will depend upon the efforts of certain key personnel. The development and implementation of our strategy has depended in large part on our Chief Executive Officer, President and Chairman of the Board of Directors, Robert Lisy. The retention of Mr. Lisy is important to our continued success, and we expect him to remain with the Company for the foreseeable future.</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to Mr. Lisy, we have a number of key executives who have a significant impact on our business. The unexpected loss of key personnel may adversely affect the operations and profitability of the Company. Our success also depends to a large extent upon our ability to attract and retain key employees. Qualified individuals with experience in our industry are in high demand. Our IT personnel have designed and implemented key portions of our proprietary software and are crucial to the success of our business. In addition, legal or enforcement actions against compliance and other personnel in the money remittance industry may affect our ability to attract and retain key employees and directors. The lack of management continuity or the loss of one or more members of our executive management team could harm our business and future development. A failure to attract and retain key personnel including operating, marketing, financial and technical personnel, could also have a material and adverse impact on our business, financial condition and results of operations.</w:t>
      </w:r>
    </w:p>
    <w:p>
      <w:pPr>
        <w:spacing w:after="0" w:line="19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b w:val="1"/>
          <w:bCs w:val="1"/>
          <w:i w:val="1"/>
          <w:iCs w:val="1"/>
          <w:color w:val="auto"/>
        </w:rPr>
        <w:t>We and our agents are subject to numerous U.S. and international laws and regulations. Failure to comply with these laws and regulations could result in material settlements, fines or penalties and reputational harm, and changes in these laws or regulations could result in increased operating costs or reduced demand for our services, all of which may adversely affect our business, financial condition and results of operations.</w:t>
      </w:r>
    </w:p>
    <w:p>
      <w:pPr>
        <w:spacing w:after="0" w:line="14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operate in a highly regulated environment, and our business is subject to a wide range of laws and regulations that vary from jurisdiction to jurisdiction. We are also subject to oversight by various governmental agencies, both in the United States and abroad. Lawmakers and regulators in the United States in particular have increased their focus on the regulation of the financial services industry. New or modified regulations and increased oversight may have unforeseen or unintended adverse effects on the financial services industry, which could affect our business, financial condition and results of operations.</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money transfer business is subject to a variety of regulations aimed at preventing money laundering and terrorism. We are subject to U.S. federal anti-money laundering laws, including the BSA and the requirements of the U.S. Treasury Department’s OFAC, which prohibit us from transmitting money to specified countries or to or from prohibited individuals. Additionally, we are subject to anti-money laundering laws in the other countries in which we operate. We are also subject to financial services regulations, money transfer licensing regulations, consumer protection laws, currency control regulations, escheat laws, privacy and data protection laws and anti-bribery laws. Many of these laws are constantly evolving, unclear and inconsistent across various jurisdictions, making compliance challenging. Subsequent legislation, regulation, litigation, court rulings or other events could expose us to increased program costs, liability and reputational damage.</w:t>
      </w:r>
    </w:p>
    <w:p>
      <w:pPr>
        <w:spacing w:after="0" w:line="19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As a MSB, we are subject to reporting, recordkeeping and anti-money laundering provisions in the United States as well as many other jurisdictions. In the past few years there have been significant regulatory reviews and actions taken by U.S. and other regulators and law enforcement agencies against banks, MSBs and other financial institutions related to money laundering, and the trend appears to be greater scrutiny by regulators of potential money laundering activity through financial institutions. We are also subject to regulatory oversight and enforcement by FinCEN. Any determination that we have violated the anti-money-laundering laws could have an adverse effect on our business, financial condition and results of operations.</w:t>
      </w:r>
    </w:p>
    <w:p>
      <w:pPr>
        <w:spacing w:after="0" w:line="16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Dodd-Frank Act increases the regulation and oversight of the financial services industry. The Dodd-Frank Act requires enforcement by various governmental agencies, including the CFPB. We could be subject to fines or other penalties if we are found to have violated the Dodd-Frank Act’s prohibition against unfair, deceptive or abusive acts or practices. The CFPB’s authority to change regulations adopted in the past by other regulators could increase our compliance costs and litigation exposure. Our litigation exposure may also be increased by the CFPB’s authority to limit or ban pre-dispute arbitration clauses. We may also be liable for failure of our agents to comply with the Dodd-Frank Act. The legislation and implementation of regulations associated with the Dodd-Frank Act have increased our costs of compliance and required changes in the way we and our agents conduct business. In addition, we are subject to</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periodic examination by the CFPB. These examinations may require us to change the way we conduct business or increase the costs of compliance.</w:t>
      </w:r>
    </w:p>
    <w:p>
      <w:pPr>
        <w:spacing w:after="0" w:line="23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we are subject to escheatment laws in the United States and certain foreign jurisdictions in which we conduct business. We are subject to the laws of various states in the United States which from time to time take inconsistent or conflicting positions regarding the requirements to escheat property to a particular state, making compliance challenging. In some instances, we escheat items to states pursuant to statutory requirements and then subsequently pay those items to consumers. For such amounts, we must file claims for reimbursement from the states.</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Any violation by us of the laws and regulations set forth above could lead to significant settlements, fines or penalties and could limit our ability to conduct business in some jurisdictions. Our systems, employees and processes may not be sufficient to detect and prevent violations of the laws and regulations set forth above by our agents, which could also lead to us being subject to significant settlements, fines or penalties. In addition to these fines and penalties, a failure by us or our agents to comply with applicable laws and regulations also could seriously damage our reputation, result in diminished revenue and profit and increase our operating costs and could result in, among other things, revocation of required licenses or registrations, loss of approved status, termination of contracts with banks or retail representatives, administrative enforcement actions and fines, class action lawsuits, cease and desist or consent orders and civil and criminal liability. The occurrence of one or more of these events could have a material and adverse effect on our business, financial condition and results of operations.</w:t>
      </w:r>
    </w:p>
    <w:p>
      <w:pPr>
        <w:spacing w:after="0" w:line="17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certain cases, regulations may provide administrative discretion regarding enforcement. As a result, regulations may be applied inconsistently across the industry, which could result in additional costs for us that may not be required to be incurred by our competitors. If we were required to maintain a price higher than most of our competitors to reflect our regulatory costs, this could harm our ability to compete effectively, which could adversely affect our business, financial condition and results of operations. In addition, changes in laws, regulations or other industry practices and standards, or interpretations of legal or regulatory requirements, may reduce the market for or value of our services or render our services less profitable or obsolete. Changes in the laws affecting the kinds of entities that are permitted to act as money remittance agents (such as changes in requirements for capitalization or ownership) could adversely affect our ability to distribute our services and the cost of providing such services. Many of our sending agents are in the check cashing industry. Any regulatory action that negatively impacts check cashers could also cause this portion of our agent base to decline. If onerous regulatory requirements were imposed on our agents, the requirements could lead to a loss of agents, which, in turn, could adversely affect our business, financial condition or results of operations.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Regulators around the world compare approaches to the regulation of the payments and other industries. Consequently, a development in any one country, state or region may influence regulatory approaches in other jurisdictions. Similarly, new laws and regulations in a country, state or region involving one service may cause lawmakers there to extend the regulations to another service. As a result, the risks created by any new laws or regulations are magnified by the potential that they may be replicated, affecting our business in another market or involving another service. Conversely, if widely varying regulations come into existence worldwide, we may have difficulty adjusting our services, fees, foreign exchange spreads and other important aspects of our business, with the same effect.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or investigations involving us or our agents could result in material settlements, fines or penalties.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been, and in the future may be, subject to allegations and complaints that individuals or entities have used our money remittance services for fraud-induced money transfers, as well as certain money laundering activities, which may result in fines, penalties, judgments, settlements and litigation expenses. We also are the subject from time to time of litigation related to our business.</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Regulatory and judicial proceedings and potential adverse developments in connection with ongoing litigation may adversely affect our business, financial condition and results of operations. There also may be adverse publicity associated with lawsuits and investigations that could decrease agent and consumer acceptance of our services. Additionally, our business has been in the past, and may be in the future, the subject of class action lawsuits, regulatory actions and investigations and other general litigation. The outcome of class action lawsuits, regulatory actions and investigations and other litigation is difficult to assess or quantify but may include substantial fines and expenses, as well as the revocation of required licenses or registrations or the loss of approved status, which could have a material and adverse effect on our business, financial position and results of operations or consumers’ confidence in our business. Plaintiffs or regulatory agencies in these lawsuits, actions or investigations may seek recovery of very large or indeterminate amounts, and the magnitude of these actions may remain unknown for substantial periods of time. The cost to defend or settle future lawsuits or investigations may be significant. In addition, improper activities, lawsuits or investigations involving our agents may adversely impact our business, financial condition and results of operations or reputation even if we are not directly involved.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affected by violations of the U.S. Foreign Corrupt Practices Act or other similar anti-corruption laws.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operations around the world, particularly in LAC countries and Africa are subject to anti-corruption laws and regulations, including restrictions imposed by the U.S. FCPA. The FCPA and similar anti-corruption laws in other jurisdictions generally prohibit companies and their intermediaries from making improper payments to government officials or employees of commercial enterprises for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purpose of obtaining or retaining business, a business advantage or a governmental approval. We operate in parts of the world that are perceived as having higher incidence of corruption and, in certain circumstances, strict compliance with anti-corruption laws may conflict with local customs and practices. Because of the scope and nature of our operations, we experience a higher risk associated with compliance with the FCPA and similar anti-corruption laws than many other companies.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employees and agents interact with government officials on our behalf, including as necessary to obtain licenses and other regulatory approvals necessary to operate our business, employ expatriates and resolve tax disputes. We also have a number of contracts with third-party paying agents that are owned or controlled by non-U.S. governments. These interactions and contracts create a risk of payments or offers of payments by one of our employees or agents that could be in violation of the FCPA or other similar anti-corruption laws. Under the FCPA and other similar anti-corruption laws, we may be held liable for actions taken by our employees or agents.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recent years, there have been significant regulatory reviews and actions taken by the United States and other governments related to anti-corruption laws, and the trend appears to be greater scrutiny on payments to, and relationships with, foreign entities and individuals.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can be no assurance that all of our employees and agents will abide by the policies and procedures we have implemented to promote compliance with local laws and regulations as well as U.S. laws and regulations, including FCPA and similar anti-corruption laws. If we are found to be liable for violations of the FCPA or similar anti-corruption laws in other jurisdictions, either due to our own or others’ acts or inadvertence, we could suffer, among other consequences, substantial civil and criminal penalties, including fines, incarceration, prohibitions or limitations on the conduct of our business, the loss of our financing facilities and significant reputational damage, any of which could have a material and adverse effect on our results of business, financial condition or results of operations.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Government or regulatory investigations into potential violations of the FCPA or other similar anti-corruption laws by U.S. agencies or other governments could also have a material and adverse effect on our results of business, financial condition and results of operations. Furthermore, detecting, investigating and resolving actual or alleged violations of the FCPA and other similar anti-corruption laws is expensive and can consume significant time and attention of our senior management.</w:t>
      </w:r>
    </w:p>
    <w:p>
      <w:pPr>
        <w:spacing w:after="0" w:line="18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conduct money remittance transactions through agents in regions that are politically volatile or, in a limited number of cases, may be subject to certain OFAC restrictions.</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conduct money remittance transactions through agents in regions that are politically volatile or, in a limited number of cases, may be subject to certain OFAC restrictions. It is possible that our money remittance services or other services could be used in contravention of applicable law or regulations. Such circumstances could result in increased compliance costs, regulatory inquiries, suspension or revocation of required licenses or registrations, seizure or forfeiture of assets and the imposition of civil and criminal fines and penalties. In addition to monetary fines or penalties that we could incur, we could be subject to reputational harm that could have an adverse effect on our business, financial condition and results of operations.</w:t>
      </w:r>
    </w:p>
    <w:p>
      <w:pPr>
        <w:spacing w:after="0" w:line="16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New business initiatives, such as modifications to our current product offerings or the introduction of new products, may modify our risk profile from a regulatory perspective.</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number of our recent and planned business initiatives and expansions of existing businesses may bring us into contact, directly or indirectly, with information, individuals and entities that are not within our traditional customer and agent network and that could expose us to new or enhanced regulatory scrutiny. For example, we are starting to offer services across new distribution platforms, which could expose us to increased anti-money laundering, anti-terrorist financing and consumer protection regulations and compliance requirements. Any change in our risk profile stemming from this or any of our other business initiatives could result in increased compliance costs and litigation exposure, which could adversely impact our business, financial condition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tax laws could adversely affect our results of operations.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Changes in tax legislation by U.S. federal, state and local governments could impact our effective tax rates. If statutory tax rates are increased, our results of operations and cash flows could be adversely affected.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and results of operations may be adversely affected by foreign political, economic and social instability risks, foreign currency restrictions and devaluation, and various local laws associated with doing business primarily in LAC countries.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derive a substantial portion of our revenue from our money remittance transactions from the United States to the LAC corridor, particularly Mexico and Guatemala, and we are exposed to certain political, economic and other uncertainties not encountered in U.S. operations. LAC countries, in particular, have historically experienced uneven periods of economic growth, as well as recession, periods of high inflation and general economic and political instability. Additionally, as events in the LAC region have demonstrated, negative economic or political developments in one country in the region can lead to or exacerbate economic or political instability elsewhere in the region. Consequently, actions or events in LAC countries that are beyond our control could restrict our ability to operate there or otherwise adversely affect the profitability of those operations. Furthermore, changes in the business, regulatory or political climate in any of those</w:t>
      </w:r>
    </w:p>
    <w:p>
      <w:pPr>
        <w:sectPr>
          <w:pgSz w:w="11900" w:h="16838" w:orient="portrait"/>
          <w:cols w:equalWidth="0" w:num="1">
            <w:col w:w="11240"/>
          </w:cols>
          <w:pgMar w:left="320" w:top="125" w:right="339" w:bottom="1440" w:gutter="0" w:footer="0" w:header="0"/>
        </w:sect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countries, or significant fluctuations in currency exchange rates, could affect our ability to expand or continue our operations there, which could have a material and adverse impact on our business, financial condition and results of operations. In addition, we began offering remittances to Africa during 2019 and are now exposed to new political, economic and other uncertainties as a result of this geographic expansion, any of which could adversely impact our business, financial condition and results of operations.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countries in which we operate may impose or tighten foreign currency exchange control restrictions, taxes or limitations with regard to repatriation of earnings and investments from these countries. If exchange control restrictions, taxes or limitations are imposed or tightened, our ability to receive dividends or other payments from affected jurisdictions could be reduced, which could have an adverse effect on our business, financial condition and results of operations.</w:t>
      </w:r>
    </w:p>
    <w:p>
      <w:pPr>
        <w:spacing w:after="0" w:line="1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addition, corporate, contract, property, insolvency, competition, securities and other laws and regulations in many of the countries in which we operate have been, and continue to be, substantially revised. Therefore, the interpretation and procedural safeguards of the new legal and regulatory systems are in the process of being developed and defined, and existing laws and regulations may be applied inconsistently. Also, in some circumstances, it may not be possible to obtain the legal remedies provided for under these laws and regulations in a reasonably timely manner, if at all.</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ability to grow in international markets and our future results could be adversely affected by a number of factors, including:</w:t>
      </w:r>
    </w:p>
    <w:p>
      <w:pPr>
        <w:spacing w:after="0" w:line="225" w:lineRule="exact"/>
        <w:rPr>
          <w:sz w:val="20"/>
          <w:szCs w:val="20"/>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political and economic conditions and potential instability in certain regions;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money transfers to, from and between certain countries;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recruit and retain paying agents and customers for new corridors;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exchange controls, new currency adoptions and repatriation issues;</w:t>
      </w:r>
    </w:p>
    <w:p>
      <w:pPr>
        <w:spacing w:after="0" w:line="171" w:lineRule="exact"/>
        <w:rPr>
          <w:rFonts w:ascii="Arial" w:cs="Arial" w:eastAsia="Arial" w:hAnsi="Arial"/>
          <w:sz w:val="18"/>
          <w:szCs w:val="18"/>
          <w:color w:val="auto"/>
        </w:rPr>
      </w:pPr>
    </w:p>
    <w:p>
      <w:pPr>
        <w:ind w:left="580" w:hanging="248"/>
        <w:spacing w:after="0" w:line="277" w:lineRule="auto"/>
        <w:tabs>
          <w:tab w:leader="none" w:pos="5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 or in foreign policy, including the adoption of domestic or foreign laws, regulations and interpretations detrimental to our business;</w:t>
      </w:r>
    </w:p>
    <w:p>
      <w:pPr>
        <w:spacing w:after="0" w:line="116"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increased costs and additional regulatory burdens imposed on our business;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implementation of U.S. sanctions, resulting in bank closures in certain countries and the ultimate freezing of our assets;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burdens of complying with a wide variety of laws and regulations;</w:t>
      </w:r>
    </w:p>
    <w:p>
      <w:pPr>
        <w:spacing w:after="0" w:line="171" w:lineRule="exact"/>
        <w:rPr>
          <w:rFonts w:ascii="Arial" w:cs="Arial" w:eastAsia="Arial" w:hAnsi="Arial"/>
          <w:sz w:val="18"/>
          <w:szCs w:val="18"/>
          <w:color w:val="auto"/>
        </w:rPr>
      </w:pPr>
    </w:p>
    <w:p>
      <w:pPr>
        <w:ind w:left="580" w:hanging="248"/>
        <w:spacing w:after="0" w:line="277" w:lineRule="auto"/>
        <w:tabs>
          <w:tab w:leader="none" w:pos="5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fraud or theft losses, and lack of compliance by international representatives in foreign legal jurisdictions where collection and legal enforcement may be difficult or costly;</w:t>
      </w:r>
    </w:p>
    <w:p>
      <w:pPr>
        <w:spacing w:after="0" w:line="116"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maintain or improve our software and technology systems;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reduced protection of our intellectual property rights;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unfavorable tax rules or trade barriers; and</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secure, train or monitor international agents.</w:t>
      </w:r>
    </w:p>
    <w:p>
      <w:pPr>
        <w:spacing w:after="0" w:line="17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If we are unable to adequately protect our brand and the intellectual property rights related to our existing and any new or enhanced services, or if we infringe on the rights of others, our business, financial condition and results of operations could be adversely affected.</w:t>
      </w:r>
    </w:p>
    <w:p>
      <w:pPr>
        <w:spacing w:after="0" w:line="1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Intermex brand is critical to our business. We utilize trademark registrations and other tools to protect our brand. We have not applied for trademark registrations for our name and logo in all geographic markets where we provide services. In those markets where we have applied for trademark registrations, failure to secure those registrations could adversely affect our ability to enforce and defend our trademark rights. Our business would be harmed if we were unable to adequately protect our brand and the value of our brand was to decrease as a result.</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rely on a combination of patent, trademark and copyright laws and trade secret protection and invention assignment, confidentiality or license agreements to protect the intellectual property rights related to our services, all of which only offer limited protection. We may be subject to third-party claims alleging that we infringe their intellectual property rights or have misappropriated other proprietary rights. We may be required to spend resources to defend such claims or to protect and police our own rights. Some of our legal rights in information or technology that we deem proprietary may not be protected by intellectual property laws, particularly in foreign jurisdictions. The loss of our intellectual property protection, the inability to secure or enforce intellectual property protection or to successfully defend against claims of intellectual property infringement or misappropriation could have an adverse effect on our business, financial condition and results of operation.</w:t>
      </w:r>
    </w:p>
    <w:p>
      <w:pPr>
        <w:sectPr>
          <w:pgSz w:w="11900" w:h="16838" w:orient="portrait"/>
          <w:cols w:equalWidth="0" w:num="1">
            <w:col w:w="11240"/>
          </w:cols>
          <w:pgMar w:left="320" w:top="125" w:right="3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The processes and systems we employ may be subject to patent protection by other parties, and any claims could adversely affect our business and results of operations.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certain countries, including the United States, patent laws permit the protection of processes and systems. We employ processes and systems in various markets that have been used in the industry by other parties for many years. We or other companies that use these processes and systems consider many of them to be in the public domain. If a person were to assert that it holds a patent covering any of the processes or systems we use, we would be required to defend ourselves against such claim. If unsuccessful, we may be required to pay damages for past infringement, which could be trebled if the infringement was found to be willful. We also may be required to seek a license to continue to use the processes or systems. Such a license may require either a single payment or an ongoing license fee. No assurance can be given that we will be able to obtain a license which is reasonable in fee and scope. If a patent owner is unwilling to grant such a license, or we decide not to obtain such a license, we may be required to modify our processes and systems to avoid future infringement.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Indebtedness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have a substantial amount of indebtedness, which may limit our operating flexibility and could adversely affect our business, financial condition and results of operations.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had approximately $89.4 million of indebtedness as of December 31, 2020, consisting of borrowings under the term loan facility. Our indebtedness could have important consequences to our investors, including, but not limited to:</w:t>
      </w:r>
    </w:p>
    <w:p>
      <w:pPr>
        <w:spacing w:after="0" w:line="170" w:lineRule="exact"/>
        <w:rPr>
          <w:sz w:val="20"/>
          <w:szCs w:val="20"/>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increasing our vulnerability to, and reducing our flexibility to respond to, general adverse economic and industry conditions;</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servicing debt;</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competitive environment; and</w:t>
      </w:r>
    </w:p>
    <w:p>
      <w:pPr>
        <w:spacing w:after="0" w:line="171" w:lineRule="exact"/>
        <w:rPr>
          <w:rFonts w:ascii="Arial" w:cs="Arial" w:eastAsia="Arial" w:hAnsi="Arial"/>
          <w:sz w:val="18"/>
          <w:szCs w:val="18"/>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limiting our ability to borrow additional funds and increasing the cost of any such borrowing.</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interest rates in our Credit Agreement (“Credit Agreement”) vary at stated margins above either the London Interbank Offered Rate, Eurodollar Rate or a base rate established by the administrative agent of the facility, all of which are subject to fluctuation. If interest rates increase, our debt service obligations on such variable rate indebtedness would increase even though the amount borrowed remained the same. Accordingly, an increase in interest rates would adversely affect our profitability. See the section entitled “Management’s Discussion and Analysis of Financial Condition and Results of Operations of Intermex—Liquidity and Capital Resources” for more information.</w:t>
      </w:r>
    </w:p>
    <w:p>
      <w:pPr>
        <w:spacing w:after="0" w:line="2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also are subject to capital requirements imposed by various regulatory bodies in the jurisdictions in which we operate. We may need access to external capital to support these regulatory requirements in order to maintain our licenses and our ability to earn revenue in these jurisdictions. An interruption of our access to capital could impair our ability to conduct business if our regulatory capital falls below requirements.</w:t>
      </w:r>
    </w:p>
    <w:p>
      <w:pPr>
        <w:spacing w:after="0" w:line="16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July 2017, the Financial Conduct Authority in the United Kingdom, which regulates the London Inter-bank Offered Rate (“LIBOR”), publicly announced that it will no longer compel or persuade banks to make LIBOR submissions after 2021. Recently, the date for certain LIBOR tenors has been extended to June 2023. These announcements are expected to practically end LIBOR rates beginning in 2022. While other alternatives have been proposed, it is unclear which, if any, alternative to LIBOR will be available and widely accepted in major financial markets. We currently have borrowings that are subject to LIBOR-based interest rates, including borrowings under our credit facility. Any alternative to replace LIBOR after 2021 may increase the costs associated with our credit facility.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Agreement contains restrictive covenants that may impair our ability to conduct business.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Credit Agreement contains operating covenants and financial covenants that may in each case limit management’s discretion with respect to certain business matters. Among other things, these covenants restrict our and our subsidiaries’ ability to grant additional liens, consolidate or merge with other entities, purchase or sell assets, declare dividends, incur additional debt, make advances, investments and loans, transact with affiliates, issue equity interests, modify organizational documents and engage in other business. We are required to comply with a minimum fixed charge coverage ratio and a maximum consolidated leverage ratio. As a result of these covenants and restrictions, we may be limited in how we conduct our business and we may be unable to raise additional debt or other financing to compete effectively or to take advantage of new business opportunities. The terms of any future indebtedness we may incur could include more restrictive covenants. Failure to comply with such restrictive covenants may lead to default and acceleration under our Credit Agreement and may impair our ability to conduct business. We may not be able to maintain compliance with these covenants in the future and, if we fail to do so, that we will be able to obtain waivers from the lenders and/or amend the covenants, which may result in foreclosure of our assets. See the section entitled “Management’s Discussion and Analysis of Financial Condition and Results of Operations of Intermex—Liquidity and Capital Resources” for more information.</w:t>
      </w:r>
    </w:p>
    <w:p>
      <w:pPr>
        <w:sectPr>
          <w:pgSz w:w="11900" w:h="16838" w:orient="portrait"/>
          <w:cols w:equalWidth="0" w:num="1">
            <w:col w:w="11240"/>
          </w:cols>
          <w:pgMar w:left="320" w:top="125" w:right="339" w:bottom="1440" w:gutter="0" w:footer="0" w:header="0"/>
        </w:sect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our Credit Agreement, upon the occurrence of an event of default, the lenders will be able to elect to declare all amounts outstanding under the Credit Agreement to be immediately due and payable and terminate all commitments to lend additional funds. If we are unable to repay those amounts, the lenders under the Credit Agreement could proceed to foreclose against our collateral that secures that indebtedness. We have granted the lenders a security interest in substantially all of our assets, including the assets of certain subsidiaries.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As an “emerging growth company,” we cannot be certain if the reduced disclosure requirements applicable to “emerging growth companies” will make our common stock less attractive to investors.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For as long as we remain an “emerging growth company” as defined in the Jumpstart Our Business Startups Act of 2012 (the “JOBS Act”), we take advantage of certain exemptions from various reporting requirements that are applicable to other public companies that are not “emerging growth companies”, including not being required to obtain an assessment of the effectiveness of our internal controls over financial reporting from our independent registered public accounting firm pursuant to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emerging growth company can take advantage of an extended transition period for complying with new or revised accounting standards, which we have elected to do.</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remain an “emerging growth company” until the earlier of (1) the earliest of the last day of the fiscal year (a) following January 19, 2022, the fifth anniversary of us becoming a publicly-traded company, (b) in which we have total annual gross revenue of at least $1.07 billion or (c) in which we are deemed to be a large accelerated filer, which means the market value of our common stock that is held by non-affiliates exceeds $700.0 million as of the last business day of our prior second fiscal quarter, and (2) the date on which we have issued more than $1.0 billion in non-convertible debt during the prior three-year period.</w:t>
      </w:r>
    </w:p>
    <w:p>
      <w:pPr>
        <w:spacing w:after="0" w:line="18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and outstanding indebtedness and may be limited by covenants of any future indebtedness we or our subsidiaries incur. As a result, you may not receive any return on an investment in our common stock unless you sell our common stock for a price greater than that which you paid for it.</w:t>
      </w:r>
    </w:p>
    <w:p>
      <w:pPr>
        <w:spacing w:after="0" w:line="177"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Our ability to meet expectations and projections in any research or reports published by securities or industry analysts, or a lack of coverage by securities or industry analysts, could result in a depressed market price and limited liquidity for our common stock.</w:t>
      </w:r>
    </w:p>
    <w:p>
      <w:pPr>
        <w:spacing w:after="0" w:line="1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may publish about us, our business, our market, or our competitors. If no or few securities or industry analysts commence coverage of the Company, our stock price would likely be less than that which we would obtain if we had such coverage and the liquidity, or trading volume of our common stock may be limited, making it more difficult for a stockholder to sell shares at an acceptable price or amount. If any analysts do cover the Company, their projections may vary widely and may not accurately predict the results we actually achieve. Our share price may decline if our actual results do not match the projections of research analysts covering us.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our share price or trading volume could decline.</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Provisions in our charter and Delaware law may inhibit a takeover of us, which could limit the price investors might be willing to pay in the future for our common stock and could entrench management.</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charter contains provisions that opt out of Section 203 of the Delaware General Corporation Law (the “DGCL”). These provisions include the ability of the board of directors to designate the terms of and issue new series of preferred shares, which may make more</w:t>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difficult the removal of management and may discourage transactions that otherwise could involve payment of a premium over prevailing market prices for our securities.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while we have opted out of Section 203 of the DGCL, our charter contains similar provisions providing that we may not engage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580" w:hanging="248"/>
        <w:spacing w:after="0" w:line="277" w:lineRule="auto"/>
        <w:tabs>
          <w:tab w:leader="none" w:pos="5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that resulted in the stockholder becoming an interested stockholder;</w:t>
      </w:r>
    </w:p>
    <w:p>
      <w:pPr>
        <w:spacing w:after="0" w:line="116" w:lineRule="exact"/>
        <w:rPr>
          <w:rFonts w:ascii="Arial" w:cs="Arial" w:eastAsia="Arial" w:hAnsi="Arial"/>
          <w:sz w:val="18"/>
          <w:szCs w:val="18"/>
          <w:color w:val="auto"/>
        </w:rPr>
      </w:pPr>
    </w:p>
    <w:p>
      <w:pPr>
        <w:ind w:left="580" w:hanging="248"/>
        <w:spacing w:after="0" w:line="277" w:lineRule="auto"/>
        <w:tabs>
          <w:tab w:leader="none" w:pos="5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16" w:lineRule="exact"/>
        <w:rPr>
          <w:rFonts w:ascii="Arial" w:cs="Arial" w:eastAsia="Arial" w:hAnsi="Arial"/>
          <w:sz w:val="18"/>
          <w:szCs w:val="18"/>
          <w:color w:val="auto"/>
        </w:rPr>
      </w:pPr>
    </w:p>
    <w:p>
      <w:pPr>
        <w:ind w:left="580" w:right="20" w:hanging="248"/>
        <w:spacing w:after="0" w:line="277" w:lineRule="auto"/>
        <w:tabs>
          <w:tab w:leader="none" w:pos="5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two-thirds of our outstanding voting stock that is not owned by the interested stockholder.</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us. These provisions could also discourage proxy contests and make it more difficult for you and other stockholders to elect directors of your choosing and cause us to take corporate actions other than those you desire.</w:t>
      </w:r>
    </w:p>
    <w:p>
      <w:pPr>
        <w:spacing w:after="0" w:line="184"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b w:val="1"/>
          <w:bCs w:val="1"/>
          <w:i w:val="1"/>
          <w:iCs w:val="1"/>
          <w:color w:val="auto"/>
        </w:rPr>
        <w:t>Our charter designates the Court of Chancery of the State of Delaware as the exclusive forum for certain litigation that may be initiated by our stockholders, which could limit our stockholders’ ability to obtain a favorable judicial forum for disputes with us.</w:t>
      </w:r>
    </w:p>
    <w:p>
      <w:pPr>
        <w:spacing w:after="0" w:line="1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charter provides that the Court of Chancery of the State of Delaware will be the sole and exclusive forum for (i) any derivative action or proceeding brought on our behalf, (ii) any action asserting a claim of breach of a fiduciary duty owed to us or our stockholders by any of our directors, officers, employees or agents, (iii) any action asserting a claim against us arising under the DGCL or (iv) any action asserting a claim against us that is governed by the internal affairs doctrine. The exclusive forum provision of our bylaws does not establish exclusive jurisdiction in the Court of Chancery of the State of Delaware for claims that arise under the Securities Act, the Exchange Act or other federal securities laws if there is exclusive or concurrent jurisdiction in the federal courts. By becoming our stockholder, you will be deemed to have notice of and have consented to the provisions of our charter related to choice of forum. The choice of forum provision in our charter may limit our stockholders’ ability to obtain a favorable judicial forum for disputes with us.</w:t>
      </w:r>
    </w:p>
    <w:p>
      <w:pPr>
        <w:spacing w:after="0" w:line="19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Because Stella Point controls a significant percentage of our common stock, it may influence our major corporate decisions and its interests may conflict with the interests of other holders of our common stock.</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SPC Intermex, an affiliate of Stella Point, beneficially owns and has voting power over approximately 8.4% of our outstanding common stock as of December 31, 2020. Pursuant to the Shareholders Agreement, SPC Intermex has the right to designate eight of our directors until all the parties to the Shareholders Agreement hold, in aggregate, less than 10% of our outstanding common stock. SPC Intermex continues to be able to exert a significant degree of influence over the Company’s management and affairs and over matters requiring stockholder approval, including the election of directors and the approval of business combinations or dispositions and other extraordinary transactions. SPC Intermex also may have interests that differ from the interests of other holders of our common stock and may vote in a way with which you disagree and which may be adverse to your interests. The concentration of ownership may have the effect of delaying, preventing or deterring a change of control of the Company and may materially and adversely affect the market price of our common stock. In addition, Stella Point may in the future own businesses that directly compete with the business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our directors have relationships with Stella Point, which may cause conflicts of interest with respect to our business.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the filing date of this Annual Report on Form 10-K, two of our eight directors are affiliated with Stella Point. Stella Point affiliated directors have fiduciary duties to us and, in addition, have duties to their respective funds. As a result, these directors may face real or apparent conflicts of interest with respect to matters affecting both us and their funds, whose interests may be adverse to ours in some circumstances.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management’s attention.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share price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and adverse effect on our business, financial condition and results of operations. Any adverse determination in litigation could also subject us to significant liabilities.</w:t>
      </w:r>
    </w:p>
    <w:p>
      <w:pPr>
        <w:spacing w:after="0" w:line="18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240"/>
          </w:cols>
          <w:pgMar w:left="320" w:top="125" w:right="339" w:bottom="1440" w:gutter="0" w:footer="0" w:header="0"/>
        </w:sectPr>
      </w:pP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leased corporate offices are located in Miami, Florida. In addition, we lease three other facilities in Miami, Florida. As of December 31, 2020, we lease 34 Company-operated stores all located in the United States. We have two international customer service centers located in Guatemala City, Guatemala and Puebla, Mexico where our employees answer operational questions from agents and customers. Our owned and leased facilities are used for operational, sales and administrative purposes in support of our business, and are all currently being utilized as intended.</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believe that our properties are sufficient to meet our current and projected business needs. We periodically review our facility requirements and may acquire new facilities, or modify, update, consolidate, dispose of or sublet existing facilities, based on evolving business needs.</w:t>
      </w:r>
    </w:p>
    <w:p>
      <w:pPr>
        <w:spacing w:after="0" w:line="14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are subject to various claims, charges and litigation matters that arise in the ordinary course of business. We believe these actions are a normal incident of the nature and kind of business in which we are engaged. While it is not feasible to predict the outcome of these matters with certainty, we do not believe that any asserted or unasserted legal claims or proceedings, individually or in the aggregate, will have a material and adverse effect on our business, financial condition and results of operations.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Reference is made to Note 17 – Commitments and Contingencies in the Consolidated Financial Statements of International Money Express, Inc. contained elsewhere in this Annual Report on Form 10–K for information regarding certain legal proceedings to which we are a party, which information is incorporated by reference herein.</w:t>
      </w:r>
    </w:p>
    <w:p>
      <w:pPr>
        <w:spacing w:after="0" w:line="18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900" w:right="200" w:hanging="1295"/>
        <w:spacing w:after="0" w:line="282" w:lineRule="auto"/>
        <w:tabs>
          <w:tab w:leader="none" w:pos="88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 for the Company’s Common Stock</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trades on the Nasdaq Capital Market under the symbol “IMXI”.</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As of </w:t>
      </w:r>
      <w:r>
        <w:rPr>
          <w:rFonts w:ascii="Arial" w:cs="Arial" w:eastAsia="Arial" w:hAnsi="Arial"/>
          <w:sz w:val="16"/>
          <w:szCs w:val="16"/>
          <w:color w:val="auto"/>
        </w:rPr>
        <w:t>March 5, 2021</w:t>
      </w:r>
      <w:r>
        <w:rPr>
          <w:rFonts w:ascii="Arial" w:cs="Arial" w:eastAsia="Arial" w:hAnsi="Arial"/>
          <w:sz w:val="18"/>
          <w:szCs w:val="18"/>
          <w:color w:val="auto"/>
        </w:rPr>
        <w:t>, there were 151 holders of record of our common stock.</w:t>
      </w:r>
    </w:p>
    <w:p>
      <w:pPr>
        <w:spacing w:after="0" w:line="22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Following the Merger, we have not declared or paid, and do not anticipate declaring or paying in the foreseeable future, any cash dividends on our common stock. In addition, the terms of our credit facility include restrictions on our ability to issue dividends. See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 — Liquidity and Capital Resources</w:t>
      </w:r>
      <w:r>
        <w:rPr>
          <w:rFonts w:ascii="Arial" w:cs="Arial" w:eastAsia="Arial" w:hAnsi="Arial"/>
          <w:sz w:val="18"/>
          <w:szCs w:val="18"/>
          <w:color w:val="auto"/>
        </w:rPr>
        <w:t>” for a discussion of our credit facilities’ restrictions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ability to pay dividends or other payments to us. Any payment of future dividends will be at the discretion of the Company’s Board of Directors and will depend upon, among other factors, the Company’s earnings, financial condition, current and anticipated capital requirements, plans for expansion, level of indebtedness and contractual restrictions. The payment of future cash dividends, if any, would be made only from assets legally available.</w:t>
      </w:r>
    </w:p>
    <w:p>
      <w:pPr>
        <w:spacing w:after="0" w:line="1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information required by Item 5 with respect to securities authorized for issuance under equity compensation plans is incorporated herein by reference to Part III, Item 12 of this Form 10-K.</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Company’s peer group (“Peer Group”) consists of publicly-traded companies that are in the money remittance and payment industries and is comprised of the following: MoneyGram, Euronet, and Western Union.</w:t>
      </w:r>
    </w:p>
    <w:p>
      <w:pPr>
        <w:spacing w:after="0" w:line="170"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The following graph shows a comparison of cumulative total shareholder return, calculated on a dividends reinvested basis, for (1) the Company’s common stock, (2) the Total Return Index for U.S. Companies traded on the Nasdaq Global Select Market (“CRSP NASDAQ Stock Market (US Companies)”) and (3) our Peer Group, for the period from July 27, 2018 (the first day our common stock was separately traded) through December 31, 2020. The graph assumes the value of the investment in our common stock and each index was $100 on July 27, 2018 and that all dividends were reinvested. We have not paid any cash dividends and, therefore, the cumulative total return calculation for us is based solely upon stock price appreciation and not upon reinvestment of cash dividends. Historic stock price performance is not necessarily indicative of future stock price performance.</w:t>
      </w:r>
    </w:p>
    <w:p>
      <w:pPr>
        <w:spacing w:after="0" w:line="16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AMONG INTERNATIONAL MONEY EXPRESS,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NASDAQ INDEX AND PEER GROUP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160020</wp:posOffset>
            </wp:positionV>
            <wp:extent cx="5143500" cy="26574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is a summary of the monthly cumulative total return for the day our stock began trading on the Nasdaq through each of the dates shown below:</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36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7/27/2018</w:t>
            </w: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9/30/2018</w:t>
            </w:r>
          </w:p>
        </w:tc>
        <w:tc>
          <w:tcPr>
            <w:tcW w:w="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12/31/2018</w:t>
            </w: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3/31/2019</w:t>
            </w:r>
          </w:p>
        </w:tc>
        <w:tc>
          <w:tcPr>
            <w:tcW w:w="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6/30/2019</w:t>
            </w: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9/30/2019</w:t>
            </w:r>
          </w:p>
        </w:tc>
        <w:tc>
          <w:tcPr>
            <w:tcW w:w="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12/31/2019</w:t>
            </w: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3/31/2020</w:t>
            </w: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6/30/2020</w:t>
            </w:r>
          </w:p>
        </w:tc>
        <w:tc>
          <w:tcPr>
            <w:tcW w:w="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9/30/2020</w:t>
            </w:r>
          </w:p>
        </w:tc>
        <w:tc>
          <w:tcPr>
            <w:tcW w:w="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12/31/2020</w:t>
            </w:r>
          </w:p>
        </w:tc>
      </w:tr>
      <w:tr>
        <w:trPr>
          <w:trHeight w:val="243"/>
        </w:trPr>
        <w:tc>
          <w:tcPr>
            <w:tcW w:w="23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IMXI</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120.20</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119.60</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116.60</w:t>
            </w:r>
          </w:p>
        </w:tc>
        <w:tc>
          <w:tcPr>
            <w:tcW w:w="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141.00</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137.40</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120.40</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91.30</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124.60</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143.65</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155.20</w:t>
            </w:r>
          </w:p>
        </w:tc>
      </w:tr>
      <w:tr>
        <w:trPr>
          <w:trHeight w:val="215"/>
        </w:trPr>
        <w:tc>
          <w:tcPr>
            <w:tcW w:w="23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NASDAQ Stock Market (US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100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104.50</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86.94</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100.98</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105.35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105.68</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118.33</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102.60</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133.26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148.15</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170.32</w:t>
            </w:r>
          </w:p>
        </w:tc>
      </w:tr>
      <w:tr>
        <w:trPr>
          <w:trHeight w:val="237"/>
        </w:trPr>
        <w:tc>
          <w:tcPr>
            <w:tcW w:w="23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Companies)</w:t>
            </w:r>
          </w:p>
        </w:tc>
        <w:tc>
          <w:tcPr>
            <w:tcW w:w="7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r>
      <w:tr>
        <w:trPr>
          <w:trHeight w:val="250"/>
        </w:trPr>
        <w:tc>
          <w:tcPr>
            <w:tcW w:w="23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Peer Group</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98.76</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92.46</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112.47</w:t>
            </w:r>
          </w:p>
        </w:tc>
        <w:tc>
          <w:tcPr>
            <w:tcW w:w="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127.38</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130.10</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145.31</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90.61</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107.00</w:t>
            </w:r>
          </w:p>
        </w:tc>
        <w:tc>
          <w:tcPr>
            <w:tcW w:w="7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105.02</w:t>
            </w:r>
          </w:p>
        </w:tc>
        <w:tc>
          <w:tcPr>
            <w:tcW w:w="8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130.19</w:t>
            </w:r>
          </w:p>
        </w:tc>
      </w:tr>
    </w:tbl>
    <w:p>
      <w:pPr>
        <w:sectPr>
          <w:pgSz w:w="11900" w:h="16838" w:orient="portrait"/>
          <w:cols w:equalWidth="0" w:num="1">
            <w:col w:w="11260"/>
          </w:cols>
          <w:pgMar w:left="320" w:top="125" w:right="319" w:bottom="271" w:gutter="0" w:footer="0" w:header="0"/>
        </w:sectPr>
      </w:pPr>
    </w:p>
    <w:bookmarkStart w:id="27" w:name="page28"/>
    <w:bookmarkEnd w:id="27"/>
    <w:p>
      <w:pPr>
        <w:jc w:val="both"/>
        <w:ind w:firstLine="324"/>
        <w:spacing w:after="0" w:line="277" w:lineRule="auto"/>
        <w:rPr>
          <w:sz w:val="20"/>
          <w:szCs w:val="20"/>
          <w:color w:val="auto"/>
        </w:rPr>
      </w:pPr>
      <w:r>
        <w:rPr>
          <w:rFonts w:ascii="Arial" w:cs="Arial" w:eastAsia="Arial" w:hAnsi="Arial"/>
          <w:sz w:val="18"/>
          <w:szCs w:val="18"/>
          <w:color w:val="auto"/>
        </w:rPr>
        <w:t>NOTE: Index Data: Calculated (or Derived) based from CRSP NASDAQ Stock Market (US Companies), Center for Research in Security Prices (CRSP®), Graduate School of Business, The University of Chicago. Copyright 2021. Used with permission. All rights reserved.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 Corporate Performance Graph with peer group uses peer group only performance (excludes only company).</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graph is furnished and shall not be deemed “filed” with the SEC or subject to Section 18 of the Securities Exchange Act of 1934, as amended (the “Exchange Act”), and is not to be incorporated by reference into any filing of the Company, whether made before or after the date hereof, regardless of any general incorporation language in such filing.</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Repurchases of Equity Securities of the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quarter ended December 31, 2020, we did not repurchase any of our outstanding securities.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Reserved.</w:t>
      </w:r>
    </w:p>
    <w:p>
      <w:pPr>
        <w:spacing w:after="0" w:line="27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9" w:name="page30"/>
    <w:bookmarkEnd w:id="2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This Management’s Discussion and Analysis of Financial Condition and Results of Operations (“MD&amp;A”) should be read in conjunction with our Consolidated Financial Statements and related Notes included elsewhere in this Annual Report on Form 10-K. This Annual Report on Form 10-K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other sections of this Annual Report on Form 10-K. See “Special Note Regarding Forward-Looking Statements” for additional factors relating to such statements and see “Risk Factors” included in Item 1A of this Annual Report on Form 10-K. Past operating results are not necessarily indicative of operating results in any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March 2020, a global pandemic was declared by the World Health Organization related to the rapidly growing outbreak of a novel strain of coronavirus (“COVID-19”). The pandemic has had and continues to have a significant effect on economic conditions in the United States of America (“United States” or “U.S.”), as the efforts of federal, state, local and foreign governments to react to the public health crisis with mitigation measures have created and continue to cause significant uncertainties in the U.S. and global economy. The extent to which the COVID-19 pandemic affects our business, operations and financial results depends, and will continue to depend, on numerous evolving factors that we may not be able to accurately predict such as further government and health authorities restrictions, progress in and effectiveness of vaccination efforts in the United States or in the countries in which we operate and conduct business.</w:t>
      </w:r>
    </w:p>
    <w:p>
      <w:pPr>
        <w:spacing w:after="0" w:line="19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response to the pandemic, our top priority has been to take appropriate actions to protect the health and safety of our employees. We have adjusted standard operating procedures within our business operations to ensure continued worker safety, and are continually monitoring evolving health guidelines and responding to changes as appropriate. These procedures include reconfiguring facilities to reduce employee density, expanded and more frequent cleaning within facilities, implementation of appropriate and mandated distancing programs, employee temperature monitoring and requiring use of certain personal protective equipment at our U.S. headquarters and call centers in Mexico and Guatemala. As of December 31, 2020, all of our facilities are open and operating with adjustments to ensure social distancing and facial covering requirements established by state and local regulations.</w:t>
      </w:r>
    </w:p>
    <w:p>
      <w:pPr>
        <w:spacing w:after="0" w:line="16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Notwithstanding the operational challenges created by these measures, our business continues to function and, to date, our customer service has not been adversely affected in any material respect. Despite these efforts, the COVID-19 pandemic continues to pose the risk that we or our employees, sending and paying agents, as well as consumers and their beneficiaries, are or may become further restricted from conducting business activities, partially or completely, for an indefinite period of time, including due to shutdowns requested or mandated by governmental authorities or imposed by our management, or that the pandemic may otherwise interrupt or impair business activities. These risks could be magnified if the recent resurgence of COVID-19 illnesses continues or is not adequately contained and governmental authorities once again impose restrictions on commercial and social activities or businesses that employ our customers take actions that adversely affect the incomes of those employees.</w:t>
      </w:r>
    </w:p>
    <w:p>
      <w:pPr>
        <w:spacing w:after="0" w:line="17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operational changes noted above had only a limited effect on the Company’s financial results. Although we saw a slight year-over-year decrease in our volume of transactions at the beginning of the pandemic, the year ended December 31, 2020 has shown a year-over-year increase in both dollar volume and transactions, including all-time highs for one-month sales in August and again in October, as well as a quarterly record for sales in the fourth quarter of 2020. The economic effects of the pandemic caused increased foreign exchange volatility, particularly with respect to the Mexican peso, which has created additional operational challenges; however, the overall effect on our results of operations to date has been positive. Despite positive trends during the second half of the year, we continue to monitor this evolving pandemic and its potential effects on the Company’s operations.</w:t>
      </w:r>
    </w:p>
    <w:p>
      <w:pPr>
        <w:spacing w:after="0" w:line="16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Although governmental authorities took measures that restricted the normal course of operations of businesses and consumers that were in place for much of the year ended December 31, 2020, the Company and our sending agents are considered essential businesses under current governmental guidance and such measures did not have a material adverse effect on the Company’s financial condition, results of operations and cash flows for the year ended December 31, 2020. Notwithstanding the foregoing, the Company’s business is dependent upon the willingness and ability of its employees, network of agents and consumers to conduct money transfer services and the ultimate effects of the economic disruption caused by the pandemic and responses thereto. Although the Company’s operations continued effectively despite social distancing and other measures taken in response to the pandemic, the ultimate impact of the COVID-19 pandemic on our financial condition, results of operations and cash flows is subject to future developments, including the duration of the pandemic and the related extent of its severity, as well as its impact on the economic conditions, particularly the level of unemployment of our customers, which remain uncertain and cannot be predicted at this time. If the global response to contain and remedy the COVID-19 pandemic escalates further or is unsuccessful, or if governmental decisions to ease pandemic related restrictions are ineffective, premature or counterproductive, the Company could experience a material adverse effect on its financial condition, results of operations and cash flows.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Further quantification and discussion of these pandemic related effects, to the extent relevant and material, are included in the discussion of results of operations below.</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are a rapidly growing and leading money remittance services company focused primarily on the United States to Latin America and the Caribbean (“LAC”) corridor, which includes Mexico, Central and South America and the Caribbean. In 2019, we expanded our services to allow remittances to Africa from the United States and also began offering sending services from Canada to Latin America and Africa. We utilize our proprietary technology to deliver convenient, reliable and value-added services to our customers through a broad network of sending and paying agents. Our remittance services, which include a comprehensive suite of ancillary financial processing solutions and payment services, are available in all 50 states in the U.S., Washington D.C., Puerto Rico and 13 provinces in Canada, where customers can send money to beneficiaries in 17 LAC countries, seven countries in Africa and two countries in Asia. Our services are accessible in person through over 100,000 independent sending and paying agents and 34 Company-operated stores, as well as online and via Internet-enabled mobile devices. Additionally, we have expanded our product and service portfolio to include online payment options, pre-paid debit cards and direct deposit payroll cards, which may present different cost, demand, regulatory and risk profiles relative to our core remittance business.</w:t>
      </w:r>
    </w:p>
    <w:p>
      <w:pPr>
        <w:spacing w:after="0" w:line="1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Money remittance services to LAC countries, primarily Mexico and Guatemala, are the primary source of our revenue. These services involve the movement of funds on behalf of an originating customer for receipt by a designated beneficiary at a designated receiving location. Our remittances to LAC countries are primarily generated in the United States by customers with roots in Latin American and Caribbean countries, many of whom do not have an existing relationship with a traditional full-service financial institution capable of providing the services we offer. We provide these customers with flexibility and convenience to help them meet their financial needs. We believe many of our customers who use our services may have access to traditional banking services, but prefer to use our services based on reliability, convenience and value. We generate money remittance revenue from fees paid by our customers (i.e., the senders of funds), which we share with our sending agents in the originating country and our paying agents in the destination country. Remittances paid in local currencies that are not pegged to the U.S. dollar can also generate revenue through if we are successful in our daily management of currency exchange spreads.</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money remittance services enable our customers to send funds through our broad network of locations in the United States and Canada that are primarily operated by third-party businesses, as well as through our Company-operated stores. Transactions are processed and payment is collected by our agent (“sending agent(s)”) and those funds become available for pickup by the beneficiary at the designated destination, usually within minutes, at any Intermex payer location (“paying agent(s)”). We refer to our sending agents and our paying agents collectively as agents. In addition, our services are offered digitally through Intermexonline.com and via Internet-enabled mobile devices. During the three years ended December 31, 2020, we have grown our agent network by approximately 40% and increased our remittance transactions volume by more than 33%. In 2020, we processed approximately 32 million remittances, representing over 12% growth in transactions as compared to 2019.</w:t>
      </w:r>
    </w:p>
    <w:p>
      <w:pPr>
        <w:spacing w:after="0" w:line="17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a non-bank financial institution in the United States, we are regulated by the Department of Treasury, the Internal Revenue Service, FinCEN, the Consumer Financial Protection Bureau (“CFPB”), the Department of Banking and Finance of the State of Florida and additionally by the various regulatory institutions of those states in which we hold an operating license. We are duly registered as a Money Service Business (“MSB”) with FinCEN, the financial intelligence unit of the U.S. Department of the Treasury. We are also subject to a wide range of regulations in the United States and other countries, including anti-money laundering laws and regulations; financial services regulations; currency control regulations; anti-bribery laws; money transfer and payment instrument licensing laws; escheatment laws; privacy, data protection and information security laws, such as the Graham-Leach-Bliley Act (“GLBA”); and consumer disclosure and consumer protection laws, such as the California Consumer Privacy Act (“CCPA”).</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Key Factors and Trends Affecting our Business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Various trends and other factors have affected and may continue to affect our business, financial condition and operating results, including, but not limited to:</w:t>
      </w:r>
    </w:p>
    <w:p>
      <w:pPr>
        <w:spacing w:after="0" w:line="170" w:lineRule="exact"/>
        <w:rPr>
          <w:sz w:val="20"/>
          <w:szCs w:val="20"/>
          <w:color w:val="auto"/>
        </w:rPr>
      </w:pPr>
    </w:p>
    <w:p>
      <w:pPr>
        <w:ind w:left="900" w:hanging="325"/>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COVID-19 pandemic, responses thereto and the economic and market effects thereof, including unemployment levels and increased capital market volatility;</w:t>
      </w:r>
    </w:p>
    <w:p>
      <w:pPr>
        <w:spacing w:after="0" w:line="17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in the markets in which we operate;</w:t>
      </w:r>
    </w:p>
    <w:p>
      <w:pPr>
        <w:spacing w:after="0" w:line="225" w:lineRule="exact"/>
        <w:rPr>
          <w:rFonts w:ascii="Arial" w:cs="Arial" w:eastAsia="Arial" w:hAnsi="Arial"/>
          <w:sz w:val="18"/>
          <w:szCs w:val="18"/>
          <w:color w:val="auto"/>
        </w:rPr>
      </w:pPr>
    </w:p>
    <w:p>
      <w:pPr>
        <w:ind w:left="900" w:hanging="325"/>
        <w:spacing w:after="0" w:line="277" w:lineRule="auto"/>
        <w:tabs>
          <w:tab w:leader="none" w:pos="8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in foreign exchange rates that could affect the volume of consumer remittance activity and/or affect our foreign exchange related gains and losses;</w:t>
      </w:r>
    </w:p>
    <w:p>
      <w:pPr>
        <w:spacing w:after="0" w:line="17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cyber-attacks or disruptions to our information technology, computer network systems and data centers;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maintain banking relationships necessary for us to conduct our business;</w:t>
      </w:r>
    </w:p>
    <w:p>
      <w:pPr>
        <w:sectPr>
          <w:pgSz w:w="11900" w:h="16838" w:orient="portrait"/>
          <w:cols w:equalWidth="0" w:num="1">
            <w:col w:w="11240"/>
          </w:cols>
          <w:pgMar w:left="320" w:top="125" w:right="33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1" w:name="page32"/>
    <w:bookmarkEnd w:id="3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credit risks from our agents and the financial institutions with which we do business;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bank failures, sustained financial illiquidity, or illiquidity at our clearing, cash management or custodial financial institutions;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technology or competitors that disrupt the current ecosystem by introducing digital platforms;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satisfy our debt obligations and remain in compliance with our credit facility requirements;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 risk from elimination of LIBOR as a benchmark interest rate;</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success in developing and introducing new products, services and infrastructure;</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confidence in our brand and in consumer money transfers generally;</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225" w:lineRule="exact"/>
        <w:rPr>
          <w:rFonts w:ascii="Arial" w:cs="Arial" w:eastAsia="Arial" w:hAnsi="Arial"/>
          <w:sz w:val="18"/>
          <w:szCs w:val="18"/>
          <w:color w:val="auto"/>
        </w:rPr>
      </w:pPr>
    </w:p>
    <w:p>
      <w:pPr>
        <w:ind w:left="900" w:hanging="325"/>
        <w:spacing w:after="0" w:line="277" w:lineRule="auto"/>
        <w:tabs>
          <w:tab w:leader="none" w:pos="8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international political factors or implementation of tariffs, border taxes or restrictions on remittances or transfers of money out of the United States and Canada;</w:t>
      </w:r>
    </w:p>
    <w:p>
      <w:pPr>
        <w:spacing w:after="0" w:line="17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U.S. tax laws;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instability, currency restrictions and volatility in countries in which we operate or plan to operate;</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consumer fraud and other risks relating to customer authentication;</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weakness in U.S. or international economic conditions;</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immigration laws and their enforcement;</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protect our brand and intellectual property rights; and</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Throughout 2020, Latin American political and economic conditions have remained unstable, as evidenced by high unemployment rates in key markets, currency reserves, currency controls, restricted lending activity, weak currencies, low consumer confidence, some of which reflect the impact of the COVID-19 pandemic, among other factors. Specifically, continued political and economic unrest in parts of Mexico and some countries in South America contributed to volatility. Our business has generally been resilient during times of economic instability as money remittances are essential to many recipients, with the funds used by the receiving parties for their daily needs; however, long-term sustained appreciation of the Mexican peso or Guatemalan quetzal as compared to the U.S. Dollar could negatively affect our revenues and profitability.</w:t>
      </w:r>
    </w:p>
    <w:p>
      <w:pPr>
        <w:spacing w:after="0" w:line="17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Money remittance businesses have continued to be subject to strict legal and regulatory requirements, and we continue to focus on and regularly review our compliance programs. In connection with these reviews, and in light of regulatory complexity and heightened attention of governmental and regulatory authorities related to cybersecurity and compliance activities, we have made, and continue to make, enhancements to our processes and systems designed to detect and prevent cyber-attacks, consumer fraud, money laundering, terrorist financing and other illicit activities, along with enhancements to improve consumer protection, including the Dodd-Frank Wall Street Reform and Consumer Protection Act and similar regulations outside the United States. In coming periods, we expect these enhancements will continue to result in changes to certain of our business practices and may result in increased costs.</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maintain a regulatory compliance department, under the direction of our Chief Compliance Officer, whose responsibility is to monitor transactions, detect suspicious activity, maintain financial records and train our employees and agents. An independent third-party consulting firm periodically reviews our policies and procedures to ensure the efficacy of our anti-money laundering and regulatory compliance program.</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market for money remittance services is very competitive. Our competitors include a small number of large money remittance providers, financial institutions, banks and a large number of small niche money remittance service providers that serve select regions. We compete with larger companies, such as Western Union, MoneyGram and Euronet, and a number of other smaller MSB entities. We generally compete for money remittance agents on the basis of value, service, quality, technical and operational differences, commission structure and marketing efforts. As a philosophy, we sell credible solutions to our sending agents, not discounts or higher commissions, as is typical for the industry. We compete for money remittance customers on the basis of trust, convenience, service, efficiency of outlets, value, technology and brand recognition.</w:t>
      </w:r>
    </w:p>
    <w:p>
      <w:pPr>
        <w:sectPr>
          <w:pgSz w:w="11900" w:h="16838" w:orient="portrait"/>
          <w:cols w:equalWidth="0" w:num="1">
            <w:col w:w="11240"/>
          </w:cols>
          <w:pgMar w:left="320" w:top="125" w:right="339" w:bottom="1440" w:gutter="0" w:footer="0" w:header="0"/>
        </w:sect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encountered and continue to expect to encounter increasing competition as new electronic platforms emerge that enable customers to send and receive money through a variety of channels, but we do not expect adoption rates to be as significant in the near term for the customer segment we serve. Regardless, we continue to innovate in the industry by differentiating our money remittance business through programs to foster loyalty among agents as well as customers and have expanded our channels through which our services are accessed to include online and mobile offerings which are experiencing customer adoption.</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qualify as an “emerging growth company” pursuant to the provisions of the Jumpstart Our Business Startups Act of 2012 (the “JOBS Act”), enacted on April 5, 2012. An “emerging growth company” can take advantage of certain exemptions from various reporting requirements that are applicable to other public companies that are not “emerging growth companies.” These provisions include:</w:t>
      </w:r>
    </w:p>
    <w:p>
      <w:pPr>
        <w:spacing w:after="0" w:line="184" w:lineRule="exact"/>
        <w:rPr>
          <w:sz w:val="20"/>
          <w:szCs w:val="20"/>
          <w:color w:val="auto"/>
        </w:rPr>
      </w:pPr>
    </w:p>
    <w:p>
      <w:pPr>
        <w:ind w:left="580" w:right="20" w:hanging="248"/>
        <w:spacing w:after="0" w:line="277" w:lineRule="auto"/>
        <w:tabs>
          <w:tab w:leader="none" w:pos="5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exemption from the auditor attestation requirement of Section 404 of the Sarbanes-Oxley Act in the assessment of the emerging growth company’s internal control over financial reporting;</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exemption from the adoption of new or revised financial accounting standards until they would apply to private companies; and</w:t>
      </w:r>
    </w:p>
    <w:p>
      <w:pPr>
        <w:spacing w:after="0" w:line="225" w:lineRule="exact"/>
        <w:rPr>
          <w:rFonts w:ascii="Arial" w:cs="Arial" w:eastAsia="Arial" w:hAnsi="Arial"/>
          <w:sz w:val="18"/>
          <w:szCs w:val="18"/>
          <w:color w:val="auto"/>
        </w:rPr>
      </w:pPr>
    </w:p>
    <w:p>
      <w:pPr>
        <w:jc w:val="both"/>
        <w:ind w:left="580" w:hanging="248"/>
        <w:spacing w:after="0" w:line="301" w:lineRule="auto"/>
        <w:tabs>
          <w:tab w:leader="none" w:pos="57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exemption from compliance with any new requirements adopted by the Public Company Accounting Oversight Board requiring mandatory audit firm rotation or communication of Critical Audit Matters (“CAMs”) in the auditor’s report. A CAM is defined as any matter arising from the audit of the financial statements that was communicated or required to be communicated to the audit committee and that (1) relates to accounts or disclosures that are material to the financial statements; and (2) involves especially challenging, subjective, or complex auditor judgment.</w:t>
      </w:r>
    </w:p>
    <w:p>
      <w:pPr>
        <w:spacing w:after="0" w:line="18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will remain an “emerging growth company” until the earlier of (1) the earliest of the last day of the fiscal year (a) following January 19, 2022, the fifth anniversary of us becoming a publicly-traded company, (b) in which we have total annual gross revenue of at least $1.07 billion or (c) in which we are deemed to be a large accelerated filer, which means the market value of our common stock that is held by non-affiliates exceeds $700.0 million as of the last business day of our prior second fiscal quarter, and (2) the date on which we have issued more than $1.0 billion in non-convertible debt during the prior three-year period. As of June 30, 2020, the market value of our common stock that is held by non-affiliates approximated $307.5 million.</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As discussed in Part I of this Annual Report on Form 10-K, the Merger was completed on July 26, 2018 (the “Closing Date”) and was accounted for as a reverse recapitalization where FinTech was treated as the “acquired” company for financial reporting purposes. Accordingly, the Merger was treated as the equivalent of Intermex issuing stock for the net assets of FinTech, accompanied by a recapitalization. The net assets of FinTech were stated at historical cost, with no goodwill or other intangible assets resulting from the Merger. The consolidated assets, liabilities and results of operations prior to the Closing Date of the Merger are those of Intermex, and FinTech’s assets, liabilities and results of operations are consolidated with Intermex beginning on the Closing Date. The shares and corresponding capital amounts included in common stock and additional paid-in capital, pre-merger, have been retroactively restated as shares reflecting the exchange ratio in the Merger for all periods. The historical financial information and operating results of FinTech prior to the Merger have not been separately presented in this Annual Report as they were not significant or meaningful.</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closing of the Merger, FinTech redeemed a total of 4.9 million shares of its common stock at a redemption price of $10.086957 per share, resulting in a total payment to redeemed stockholders of approximately $49.8 million. The aggregate consideration paid in the Merger consisted of approximately (i) $102.0 million in cash and (ii) 17.2 million shares of FinTech common stock.</w:t>
      </w:r>
    </w:p>
    <w:p>
      <w:pPr>
        <w:spacing w:after="0" w:line="21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After the completion of the transactions on the Closing Date, there were 36.2 million shares of International Money Express, Inc. outstanding common stock, warrants to purchase 9 million shares of common stock (“Warrants”) and 3.4 million shares reserved for issuance under the International Money Express, Inc. 2018 Equity Compensation Plan, of which stock options to purchase 2.8 million shares of common stock and restricted stock units in respect of 21.2 thousand shares of common stock were granted to employees and independent directors of the Company in connection with the completion of the transaction. All of the Warrants were eliminated following the Closing Date through a tender offer and mandatory conversion that resulted in the issuance, between April and May of 2019, of approximately 1.8 million shares of common stock and the payment by the Company of approximately $10.0 million in cash in exchange for the Warrants tendered in the tender offer (the “Warrants Offer”). These transactions resulted in the Company having a total of approximately 38.0 million shares of Common Stock outstanding following the issuance.</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Secondary Offerings</w:t>
      </w:r>
    </w:p>
    <w:p>
      <w:pPr>
        <w:spacing w:after="0" w:line="229"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6"/>
          <w:szCs w:val="16"/>
          <w:color w:val="auto"/>
        </w:rPr>
        <w:t>In September 2020 and September 2019, the Company conducted underwritten secondary public offerings in which certain selling stockholders sold an aggregate of 5.7 million shares of the Company’s common stock at a price to the public of $13.50 per share and 6.0 million shares of the Company’s common stock at a price to the public of $12.75 per share, respectively. The Company did not receive any proceeds from these sales of common stock.</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assessing the performance of our business, we consider a variety of performance and financial measures. The key indicators of the financial condition and operating performance of our business are revenues, service charges from agents and banks, salaries and benefits, other selling, general and administrative expenses and net income. To help us assess our performance with these key indicators, we use Adjusted net income, Adjusted earnings per share and Adjusted EBITDA as non-GAAP financial measures. We believe these non-GAAP measures provide useful information to investors and expanded insight to measure our revenue and cost performance as a supplement to our U.S. GAAP consolidated financial statements. See the “Adjusted Net Income and Adjusted Earnings per Share” and “Adjusted EBITDA” sections below for reconciliations of these non-GAAP financial measures to net income and earnings per share, our closest GAAP measures.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Transaction volume is the primary generator of revenue in our business. Revenue on transactions is derived primarily from transaction fees paid by customers to transfer money. Revenues per transaction vary based upon send and receive locations and the amount sent. In certain transactions involving different send and receive currencies, we generate foreign exchange gains based on the difference between the set exchange rate charged by us to the sender and the rate available to us in the wholesale foreign exchange market.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Service Charges from Agents and Banks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Service charges and fees primarily consist of agent commissions and bank fees. Service charges and fees vary based on agent commission percentages and the amount of fees charged by the banks. Sending agents earn a commission on each transaction they process of approximately 50% of the transaction fee. Service charges and fees may increase if banks or payer organizations increase their fee structure or sending agents use higher fee methods to remit funds to us. Service charges also vary based on the method the customer selects to send the transfer and the payer organization that facilitates the transaction.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Salaries and benefits include cash and share-based compensation associated with our corporate employees and sales team as well as employees at our Company-operated stores. Corporate employees include management, customer service, compliance, information technology, finance and human resources. Our sales team, located throughout the United States and Canada, is focused on supporting and growing our sending agent network. Share-based compensation is recognized as an expense on a straight-line basis over the requisite service period; unrecognized compensation expense related to options and restricted stock units (“RSUs”) of approximately $6.3 million is expected to be recognized over a weighted-average period of 2.2 years.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Selling, General and Administrative</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General and administrative expenses primarily consist of fixed overhead expenses associated with our operations, such as information technology, rent, insurance, professional services, non-income taxes, facilities maintenance and other similar types of expenses. A portion of these expenses relate to our Company-operated stores; however, the majority relate to the overall business and compliance requirements of a regulated publicly traded financial services company. Selling expenses include expenses such as advertising and promotion, provision for bad debt and expenses associated with increasing our network of agents. These expenses are expected to continue to increase at a slower pace than our increase in revenues.</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Transaction Costs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incurred transaction costs associated with the Merger in 2018. These costs included all internal and external costs directly related to the transaction, consisting primarily of legal, consulting, accounting, advisory fees and certain incentive bonuses. Due to their significance, they are presented separately in our consolidated financial statements. There were no similar transaction costs incurred in 2020 and 2019.</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largely consists of depreciation of computer equipment and software that supports our technology platform. Amortization of intangible assets is primarily related to our agent relationships, trade name and developed technology.</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Interest expense consists primarily of interest associated with our debt, which consists of a term loan and revolving credit facility. The effective interest rates for the year ended December 31, 2020 for the term loan facility and revolving credit facility were 5.78% and 1.00%, respectively. Interest on the term loan and revolving credit facilities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income tax provision includes the expected benefit of all deferred tax assets, including our net operating loss carryforwards. With few exceptions, our net operating loss carryforwards will expire from 2029 through 2037. After consideration of all evidence, both positive and negative, management has determined that no valuation allowance is required at December 31, 2020 on the Company’s U.S. federal or state deferred tax assets; however, a valuation allowance of $0.2 million as of December 31, 2020 has been recorded on deferred tax assets associated with Canadian net operating loss carryforwards. Our income tax provision reflects the effects of state taxes, non-deductible expenses, share-based compensation expenses, and foreign tax rates applicable to the Company’s foreign subsidiaries that are higher or lower than the U.S. statutory rate. The Tax Cuts and Jobs Act, enacted in December 2017, reduced our federal corporate tax rate from 34% to 21% beginning in 2018.</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income (loss) is determined by subtracting operating and non-operating expenses from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Basic earnings (loss) per share is calculated by dividing net income (loss) by the weighted-average number of common shares outstanding for each period. Diluted earnings (loss) per share is calculated by dividing net income (loss) by the weighted-average number of common shares and common share equivalents outstanding for each period. Diluted earnings (loss) per share reflects the potential dilution that could occur if outstanding stock options and warrants at the presented dates are exercised and shares of restricted stock have vested, using the treasury stock method.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business is organized around one reportable segment that provides money transmittal services between the United States and Canada to Mexico, Guatemala and other countries in Latin America, Africa and Asia through a network of authorized agents located in various unaffiliated retail establishments and 34 Company-operated stores throughout the U.S. and Canada. This is based on the objectives of the business and how our chief operating decision maker, the CEO and President, monitors operating performance and allocates resources.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key components of our results of operations for the periods indicated: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color w:val="auto"/>
              </w:rPr>
              <w:t>Year Ended December 31,</w:t>
            </w:r>
          </w:p>
        </w:tc>
        <w:tc>
          <w:tcPr>
            <w:tcW w:w="980" w:type="dxa"/>
            <w:vAlign w:val="bottom"/>
            <w:tcBorders>
              <w:bottom w:val="single" w:sz="8" w:color="auto"/>
            </w:tcBorders>
          </w:tcPr>
          <w:p>
            <w:pPr>
              <w:spacing w:after="0"/>
              <w:rPr>
                <w:sz w:val="20"/>
                <w:szCs w:val="20"/>
                <w:color w:val="auto"/>
              </w:rPr>
            </w:pPr>
          </w:p>
        </w:tc>
      </w:tr>
      <w:tr>
        <w:trPr>
          <w:trHeight w:val="23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 except for share data)</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307,909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273,081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232,380</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exchange gain,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39,765</w:t>
            </w:r>
          </w:p>
        </w:tc>
      </w:tr>
      <w:tr>
        <w:trPr>
          <w:trHeight w:val="236"/>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w:t>
            </w: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273,901</w:t>
            </w:r>
          </w:p>
        </w:tc>
      </w:tr>
      <w:tr>
        <w:trPr>
          <w:trHeight w:val="270"/>
        </w:trPr>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160" w:type="dxa"/>
            <w:vAlign w:val="bottom"/>
          </w:tcPr>
          <w:p>
            <w:pPr>
              <w:ind w:left="140"/>
              <w:spacing w:after="0"/>
              <w:rPr>
                <w:sz w:val="20"/>
                <w:szCs w:val="20"/>
                <w:color w:val="auto"/>
              </w:rPr>
            </w:pPr>
            <w:r>
              <w:rPr>
                <w:rFonts w:ascii="Arial" w:cs="Arial" w:eastAsia="Arial" w:hAnsi="Arial"/>
                <w:sz w:val="18"/>
                <w:szCs w:val="18"/>
                <w:color w:val="auto"/>
              </w:rPr>
              <w:t>Service charges from agents and banks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238,597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212,670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182,471</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benefits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32,926</w:t>
            </w:r>
          </w:p>
        </w:tc>
      </w:tr>
      <w:tr>
        <w:trPr>
          <w:trHeight w:val="229"/>
        </w:trPr>
        <w:tc>
          <w:tcPr>
            <w:tcW w:w="5160" w:type="dxa"/>
            <w:vAlign w:val="bottom"/>
          </w:tcPr>
          <w:p>
            <w:pPr>
              <w:ind w:left="180"/>
              <w:spacing w:after="0"/>
              <w:rPr>
                <w:sz w:val="20"/>
                <w:szCs w:val="20"/>
                <w:color w:val="auto"/>
              </w:rPr>
            </w:pPr>
            <w:r>
              <w:rPr>
                <w:rFonts w:ascii="Arial" w:cs="Arial" w:eastAsia="Arial" w:hAnsi="Arial"/>
                <w:sz w:val="18"/>
                <w:szCs w:val="18"/>
                <w:color w:val="auto"/>
              </w:rPr>
              <w:t>Other selling, general and administrative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27,095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19,442</w:t>
            </w:r>
          </w:p>
        </w:tc>
      </w:tr>
      <w:tr>
        <w:trPr>
          <w:trHeight w:val="230"/>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w:t>
            </w:r>
          </w:p>
        </w:tc>
      </w:tr>
      <w:tr>
        <w:trPr>
          <w:trHeight w:val="236"/>
        </w:trPr>
        <w:tc>
          <w:tcPr>
            <w:tcW w:w="5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15,671</w:t>
            </w: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260,829</w:t>
            </w:r>
          </w:p>
        </w:tc>
      </w:tr>
      <w:tr>
        <w:trPr>
          <w:trHeight w:val="270"/>
        </w:trPr>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5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13,072</w:t>
            </w:r>
          </w:p>
        </w:tc>
      </w:tr>
      <w:tr>
        <w:trPr>
          <w:trHeight w:val="270"/>
        </w:trPr>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7"/>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18,448</w:t>
            </w:r>
          </w:p>
        </w:tc>
      </w:tr>
      <w:tr>
        <w:trPr>
          <w:trHeight w:val="256"/>
        </w:trPr>
        <w:tc>
          <w:tcPr>
            <w:tcW w:w="5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5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r>
      <w:tr>
        <w:trPr>
          <w:trHeight w:val="270"/>
        </w:trPr>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36"/>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provision</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57"/>
        </w:trPr>
        <w:tc>
          <w:tcPr>
            <w:tcW w:w="5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5"/>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33,784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the Year Ended December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for the above periods are presented below:</w:t>
      </w:r>
    </w:p>
    <w:p>
      <w:pPr>
        <w:spacing w:after="0" w:line="26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Year Ended December 31,</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in thousands)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Revenues:</w:t>
      </w:r>
    </w:p>
    <w:p>
      <w:pPr>
        <w:spacing w:after="0" w:line="23" w:lineRule="exact"/>
        <w:rPr>
          <w:sz w:val="20"/>
          <w:szCs w:val="20"/>
          <w:color w:val="auto"/>
        </w:rPr>
      </w:pPr>
    </w:p>
    <w:p>
      <w:pPr>
        <w:ind w:left="140" w:right="760"/>
        <w:spacing w:after="0" w:line="289" w:lineRule="auto"/>
        <w:rPr>
          <w:sz w:val="20"/>
          <w:szCs w:val="20"/>
          <w:color w:val="auto"/>
        </w:rPr>
      </w:pPr>
      <w:r>
        <w:rPr>
          <w:rFonts w:ascii="Arial" w:cs="Arial" w:eastAsia="Arial" w:hAnsi="Arial"/>
          <w:sz w:val="17"/>
          <w:szCs w:val="17"/>
          <w:color w:val="auto"/>
        </w:rPr>
        <w:t>Wire transfer and money order fees, net Foreign exchange gain, net</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income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3"/>
        </w:trPr>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2020</w:t>
            </w:r>
          </w:p>
        </w:tc>
        <w:tc>
          <w:tcPr>
            <w:tcW w:w="1260" w:type="dxa"/>
            <w:vAlign w:val="bottom"/>
            <w:tcBorders>
              <w:top w:val="single" w:sz="8" w:color="auto"/>
            </w:tcBorders>
          </w:tcPr>
          <w:p>
            <w:pPr>
              <w:jc w:val="right"/>
              <w:ind w:right="370"/>
              <w:spacing w:after="0" w:line="182" w:lineRule="exact"/>
              <w:rPr>
                <w:sz w:val="20"/>
                <w:szCs w:val="20"/>
                <w:color w:val="auto"/>
              </w:rPr>
            </w:pPr>
            <w:r>
              <w:rPr>
                <w:rFonts w:ascii="Arial" w:cs="Arial" w:eastAsia="Arial" w:hAnsi="Arial"/>
                <w:sz w:val="18"/>
                <w:szCs w:val="18"/>
                <w:color w:val="auto"/>
              </w:rPr>
              <w:t>% of</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vMerge w:val="restart"/>
          </w:tcPr>
          <w:p>
            <w:pPr>
              <w:jc w:val="right"/>
              <w:ind w:right="350"/>
              <w:spacing w:after="0"/>
              <w:rPr>
                <w:sz w:val="20"/>
                <w:szCs w:val="20"/>
                <w:color w:val="auto"/>
              </w:rPr>
            </w:pPr>
            <w:r>
              <w:rPr>
                <w:rFonts w:ascii="Arial" w:cs="Arial" w:eastAsia="Arial" w:hAnsi="Arial"/>
                <w:sz w:val="18"/>
                <w:szCs w:val="18"/>
                <w:color w:val="auto"/>
              </w:rPr>
              <w:t>2019</w:t>
            </w:r>
          </w:p>
        </w:tc>
        <w:tc>
          <w:tcPr>
            <w:tcW w:w="1180" w:type="dxa"/>
            <w:vAlign w:val="bottom"/>
            <w:tcBorders>
              <w:top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 of</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445"/>
        </w:trPr>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307,909</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86 %</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273,081</w:t>
            </w:r>
          </w:p>
        </w:tc>
        <w:tc>
          <w:tcPr>
            <w:tcW w:w="1180" w:type="dxa"/>
            <w:vAlign w:val="bottom"/>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29"/>
        </w:trPr>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46,763</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13 %</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44,268</w:t>
            </w:r>
          </w:p>
        </w:tc>
        <w:tc>
          <w:tcPr>
            <w:tcW w:w="11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7"/>
        </w:trPr>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1 %</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w:t>
            </w:r>
          </w:p>
        </w:tc>
        <w:tc>
          <w:tcPr>
            <w:tcW w:w="1180" w:type="dxa"/>
            <w:vAlign w:val="bottom"/>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9"/>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357,209</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319,601</w:t>
            </w:r>
          </w:p>
        </w:tc>
        <w:tc>
          <w:tcPr>
            <w:tcW w:w="118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-779145</wp:posOffset>
            </wp:positionV>
            <wp:extent cx="5974715"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74715" cy="145415"/>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-488315</wp:posOffset>
            </wp:positionV>
            <wp:extent cx="597471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74715" cy="1460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-187960</wp:posOffset>
            </wp:positionV>
            <wp:extent cx="5974715"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720"/>
            <w:col w:w="6760"/>
          </w:cols>
          <w:pgMar w:left="320" w:top="125" w:right="339" w:bottom="1440" w:gutter="0" w:footer="0" w:header="0"/>
          <w:type w:val="continuous"/>
        </w:sectPr>
      </w:pPr>
    </w:p>
    <w:p>
      <w:pPr>
        <w:spacing w:after="0" w:line="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Wire transfer and money order fees, net of $307.9 million, for the year ended December 31, 2020 increased by $34.8 million from $273.1 million for the year ended December 31, 2019. This increase of $34.8 million was primarily due to a 18% increase in transaction volume largely due to the continued growth in our agent network, which grew by 5% from December 2019 to December 2020.</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Revenues from foreign exchange gain, net of $46.8 million for the year ended December 31, 2020 increased by $2.5 million from $44.3 million for the year ended December 31, 2019. This increase was primarily due to higher transaction volume achieved by growth in our agent network and a higher average amount sent by our customers as a result of increased foreign exchange volatility during the year.</w:t>
      </w:r>
    </w:p>
    <w:p>
      <w:pPr>
        <w:sectPr>
          <w:pgSz w:w="11900" w:h="16838" w:orient="portrait"/>
          <w:cols w:equalWidth="0" w:num="1">
            <w:col w:w="11240"/>
          </w:cols>
          <w:pgMar w:left="320" w:top="125" w:right="339" w:bottom="1440" w:gutter="0" w:footer="0" w:header="0"/>
          <w:type w:val="continuous"/>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4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15"/>
                <w:szCs w:val="15"/>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color w:val="auto"/>
              </w:rPr>
              <w:t>2020</w:t>
            </w:r>
          </w:p>
        </w:tc>
        <w:tc>
          <w:tcPr>
            <w:tcW w:w="1280" w:type="dxa"/>
            <w:vAlign w:val="bottom"/>
          </w:tcPr>
          <w:p>
            <w:pPr>
              <w:jc w:val="right"/>
              <w:ind w:right="370"/>
              <w:spacing w:after="0" w:line="176" w:lineRule="exact"/>
              <w:rPr>
                <w:sz w:val="20"/>
                <w:szCs w:val="20"/>
                <w:color w:val="auto"/>
              </w:rPr>
            </w:pPr>
            <w:r>
              <w:rPr>
                <w:rFonts w:ascii="Arial" w:cs="Arial" w:eastAsia="Arial" w:hAnsi="Arial"/>
                <w:sz w:val="18"/>
                <w:szCs w:val="18"/>
                <w:color w:val="auto"/>
              </w:rPr>
              <w:t>% of</w:t>
            </w:r>
          </w:p>
        </w:tc>
        <w:tc>
          <w:tcPr>
            <w:tcW w:w="280" w:type="dxa"/>
            <w:vAlign w:val="bottom"/>
          </w:tcPr>
          <w:p>
            <w:pPr>
              <w:spacing w:after="0"/>
              <w:rPr>
                <w:sz w:val="15"/>
                <w:szCs w:val="15"/>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2019</w:t>
            </w:r>
          </w:p>
        </w:tc>
        <w:tc>
          <w:tcPr>
            <w:tcW w:w="120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 of</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Service charges from agents and banks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238,597</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67 %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212,670</w:t>
            </w:r>
          </w:p>
        </w:tc>
        <w:tc>
          <w:tcPr>
            <w:tcW w:w="1200" w:type="dxa"/>
            <w:vAlign w:val="bottom"/>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benefits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32,831</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22,086</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6 %</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27,095</w:t>
            </w:r>
          </w:p>
        </w:tc>
        <w:tc>
          <w:tcPr>
            <w:tcW w:w="120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10,828</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3 %</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304,342</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85 %</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283,159</w:t>
            </w:r>
          </w:p>
        </w:tc>
        <w:tc>
          <w:tcPr>
            <w:tcW w:w="120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Service charges from agents and banks</w:t>
      </w:r>
      <w:r>
        <w:rPr>
          <w:rFonts w:ascii="Arial" w:cs="Arial" w:eastAsia="Arial" w:hAnsi="Arial"/>
          <w:sz w:val="18"/>
          <w:szCs w:val="18"/>
          <w:color w:val="auto"/>
        </w:rPr>
        <w:t>— Service charges from agents and banks were $238.6 million for the year ended December 31, 2020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$212.7 million for the year ended December 31, 2019. The increase of $25.9 million, or 12%, was primarily due to the increase in transaction volume described above.</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Salaries and benefits</w:t>
      </w:r>
      <w:r>
        <w:rPr>
          <w:rFonts w:ascii="Arial" w:cs="Arial" w:eastAsia="Arial" w:hAnsi="Arial"/>
          <w:sz w:val="18"/>
          <w:szCs w:val="18"/>
          <w:color w:val="auto"/>
        </w:rPr>
        <w:t>— Salaries and benefits were $32.8 million for the year ended December 31, 2020, which represented an increase of $2.1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$30.7 million for the year ended December 31, 2019. The increase of $2.1 million is primarily due to $1.9 million in increased wages, largely in management and other areas, to support the continued growth of our business and $0.6 million increase in share-based compensation. These increases are partially offset by a $0.4 million decrease in commission expense for our representatives primarily due to a lower than expected gross margin achieved compared to established goals.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Other selling, general and administrative expenses</w:t>
      </w:r>
      <w:r>
        <w:rPr>
          <w:rFonts w:ascii="Arial" w:cs="Arial" w:eastAsia="Arial" w:hAnsi="Arial"/>
          <w:sz w:val="18"/>
          <w:szCs w:val="18"/>
          <w:color w:val="auto"/>
        </w:rPr>
        <w:t>— Other selling, general and administrative expenses of $22.1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 decreased by $5.0 million from $27.1 million for the year ended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the result of:</w:t>
      </w:r>
    </w:p>
    <w:p>
      <w:pPr>
        <w:spacing w:after="0" w:line="225" w:lineRule="exact"/>
        <w:rPr>
          <w:sz w:val="20"/>
          <w:szCs w:val="20"/>
          <w:color w:val="auto"/>
        </w:rPr>
      </w:pPr>
    </w:p>
    <w:p>
      <w:pPr>
        <w:ind w:left="660" w:hanging="328"/>
        <w:spacing w:after="0" w:line="258" w:lineRule="auto"/>
        <w:tabs>
          <w:tab w:leader="none" w:pos="655"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$3.7 million - nonrecurrence of settlement and legal fees associated with a Telephone Consumer Protection Act of 1991 (“TCPA”) class action lawsuit in 2019;</w:t>
      </w:r>
    </w:p>
    <w:p>
      <w:pPr>
        <w:spacing w:after="0" w:line="1" w:lineRule="exact"/>
        <w:rPr>
          <w:rFonts w:ascii="Arial" w:cs="Arial" w:eastAsia="Arial" w:hAnsi="Arial"/>
          <w:sz w:val="18"/>
          <w:szCs w:val="18"/>
          <w:i w:val="1"/>
          <w:iCs w:val="1"/>
          <w:color w:val="auto"/>
        </w:rPr>
      </w:pPr>
    </w:p>
    <w:p>
      <w:pPr>
        <w:ind w:left="660" w:hanging="328"/>
        <w:spacing w:after="0" w:line="250"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$1.2 million - primarily lower legal and professional fees in connection with the 2020 secondary offering of the Company’s common stock as compared to the 2019 fees, as well as the fees related to the Warrants Offer in 2019;</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$1.1 million - decrease in travel expenses due to reduced employee travel due to the COVID-19 pandemic;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$0.9 million - reduction in advertising and promotion expense due to a change in marketing strategy.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These decreases were partially offset by:</w:t>
      </w:r>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 million - higher IT related expenses incurred to sustain our business expansion;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$0.4 million - higher rent and other operating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$0.3 million - loss incurred in the closure of a financial institution in Mexico;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$0.2 million - higher provision for bad debt as a result of higher account receivable balances due to the increase in volume.</w:t>
      </w:r>
    </w:p>
    <w:p>
      <w:pPr>
        <w:spacing w:after="0" w:line="2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of $10.8 million for the year ended December 31, 2020 decreased by $1.9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$12.7 million for the year ended December 31, 2019. This decrease is mainly due to $2.4 million less amortization related to the trade name, developed technology and agent relationships during the year ended December 31, 2020 as these intangibles are being amortized on an accelerated basis, which declines over time. This decrease was partially offset by an increase in depreciation of $0.5 million associated primarily with additional computer equipment to support our growing business and agent network.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$6.6 million for the year ended December 31, 2020, a decrease of $1.9 million from $8.5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2019. The decrease was primarily due to a reduction in interest rates paid under the Credit Agreement (as defined below) and lower drawings under the revolving credit facility.</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Income tax provision</w:t>
      </w:r>
      <w:r>
        <w:rPr>
          <w:rFonts w:ascii="Arial" w:cs="Arial" w:eastAsia="Arial" w:hAnsi="Arial"/>
          <w:sz w:val="18"/>
          <w:szCs w:val="18"/>
          <w:color w:val="auto"/>
        </w:rPr>
        <w:t>— Income tax provision was $12.5 million for the year ended December 31, 2020, an increase of $4.2 million from an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of $8.3 million for the year ended December 31, 2019. The increase in the income tax provision was mainly attributable to higher taxable income resulting from higher revenues.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reported net income of $33.8 million for the year ended December 31, 2020 compared to net income of $19.6 million for the year ended December 31, 2019, which resulted in an increase of $14.2 million due to the same factors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Earnings per Share - Basic for the year ended December 31, 2020 was $0.89, representing an increase of $0.37, or 71.2%, compared to $0.52 for the year ended December 31, 2019 due to the same factors discussed above.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Earnings per Share - Diluted for the year ended December 31, 2020 was $0.88, representing an increase of $0.36, or 69.2%, compared to $0.52 for the year ended December 31, 2019 due to the same factors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use Adjusted Net Income, Adjusted Earnings Per Share and Adjusted EBITDA to evaluate our performance, both internally and as compared with our peers, because these measures exclude certain items that may not be indicative of our core operating results, as well as items that can vary widely among companies within our industry. For example, non-cash compensation costs can be subject to volatility from changes in the market price per share of our common stock or variations in the value and number of shares granted, and amortization of intangible assets is subject to acquisition activity, which varies from period to period and amortization of intangibles expense is primarily related to the effects of push down accounting resulting from acquisitions.</w:t>
      </w:r>
    </w:p>
    <w:p>
      <w:pPr>
        <w:spacing w:after="0" w:line="16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present these non-GAAP financial measures because we believe they are frequently used by analysts, investors and other interested parties to evaluate companies in our industry. Furthermore, we believe they are helpful in highlighting trends in our operating results by focusing on our core operating results and are useful to evaluate our performance in conjunction with our GAAP financial measures. Adjusted Net Income, Adjusted Earnings Per Share and Adjusted EBITDA are non-GAAP financial measures and should not be considered as an alternative to operating income, net income or earnings per share as a measure of operating performance or cash flows or as a measure of liquidity. Non-GAAP financial measures are not necessarily calculated the same way by different companies and should not be considered a substitute for or superior to GAAP measures.</w:t>
      </w:r>
    </w:p>
    <w:p>
      <w:pPr>
        <w:spacing w:after="0" w:line="17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one of the primary metrics used by management to evaluate the financial performance of our business because it excludes,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particular, Adjusted EBITDA is subject to certain limitations, including the following:</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Adjusted EBITDA does not reflect interest expense, or the amounts necessary to service interest or principal payments on our Credit Agreement;</w:t>
      </w:r>
    </w:p>
    <w:p>
      <w:pPr>
        <w:spacing w:after="0" w:line="248"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income tax provision (benefit), and because the payment of taxes is part of our operations, tax provision is a necessary element of our costs and ability to operate;</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Although depreciation and amortization are eliminated in the calculation of Adjusted EBITDA, the assets being depreciated and amortized will often have to be replaced in the future, and Adjusted EBITDA does not reflect any costs of such replacements;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the noncash component of share-based compensation;</w:t>
      </w:r>
    </w:p>
    <w:p>
      <w:pPr>
        <w:spacing w:after="0" w:line="22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the impact of earnings or charges resulting from matters we consider not to be reflective, on a recurring basis, of our ongoing operations;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EBITDA or similarly titled measures differently than we do, limiting its usefulness as a comparative measure.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adjust for these limitations by relying primarily on our GAAP results and using Adjusted EBITDA, as well as our other non-GAAP financial measures, only as supplemental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Earnings per Share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Adjusted Net Income is defined as net income adjusted to add back certain charges and expenses, such as non-cash amortization of intangible assets resulting from push-down accounting, which will recur in future periods until these assets have been fully amortized, and excludes the amortization of other intangible assets related to the acquisition of Company-operated stores, non-cash compensation costs, litigation settlements and other items set forth in the table below, as these charges and expenses are not considered a part of our core business operations and are not an indicator of ongoing, future company performance.</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Earnings per Share - Basic and Diluted is calculated by dividing Adjusted Net Income by GAAP weighted-average common shares outstanding (basic and diluted).</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Net Income for the year ended December 31, 2020 was $42.3 million, representing an increase of $9.7 million, or 30.0%, from Adjusted Net Income of $32.6 million for the year ended December 31, 2019. The increase in Adjusted Net Income was primarily due to the increase in revenues of $37.6 million, offset primarily by an increase in service charges from agents and banks of $25.9 million due to higher transaction volume.</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Net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w w:val="95"/>
              </w:rPr>
              <w:t>Year Ended December 31,</w:t>
            </w:r>
          </w:p>
        </w:tc>
      </w:tr>
      <w:tr>
        <w:trPr>
          <w:trHeight w:val="236"/>
        </w:trPr>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for share data)</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243"/>
        </w:trPr>
        <w:tc>
          <w:tcPr>
            <w:tcW w:w="6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19,609</w:t>
            </w:r>
          </w:p>
        </w:tc>
      </w:tr>
      <w:tr>
        <w:trPr>
          <w:trHeight w:val="257"/>
        </w:trPr>
        <w:tc>
          <w:tcPr>
            <w:tcW w:w="6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Share-based compensation (a)</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2,609</w:t>
            </w: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Offering costs (b)</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TCPA Settlement (c)</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3,736</w:t>
            </w: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bank closure (d)</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Other employee severance (e)</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charges and expenses (f)</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Amortization of intangibles (g)</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9,248</w:t>
            </w:r>
          </w:p>
        </w:tc>
      </w:tr>
      <w:tr>
        <w:trPr>
          <w:trHeight w:val="237"/>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benefit related to adjustments (h)</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42,339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32,559</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6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0.87</w:t>
            </w:r>
          </w:p>
        </w:tc>
      </w:tr>
      <w:tr>
        <w:trPr>
          <w:trHeight w:val="257"/>
        </w:trPr>
        <w:tc>
          <w:tcPr>
            <w:tcW w:w="66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38,060,290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37,428,345</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38,358,171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37,594,158</w:t>
            </w:r>
          </w:p>
        </w:tc>
      </w:tr>
    </w:tbl>
    <w:p>
      <w:pPr>
        <w:spacing w:after="0" w:line="336"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 options and restricted stock were granted to employees and independent directors of the Company.</w:t>
      </w:r>
    </w:p>
    <w:p>
      <w:pPr>
        <w:spacing w:after="0" w:line="23"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expenses incurred for professional and legal fees in connection with secondary offerings for the Company’s common stock and Warrants Offer.</w:t>
      </w: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legal fees and charge for the settlement of a class action lawsuit related to the TCPA.</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 loss incurred in 2020 related to the closure of a financial institution in Mexico.</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severance costs incurred during 2019 related to departmental changes.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loss on disposal of fixed assets and foreign currency (gains) losses.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amortization of certain intangible assets that resulted from the application of push-down accounting.</w:t>
      </w:r>
    </w:p>
    <w:p>
      <w:pPr>
        <w:spacing w:after="0" w:line="9" w:lineRule="exact"/>
        <w:rPr>
          <w:rFonts w:ascii="Arial" w:cs="Arial" w:eastAsia="Arial" w:hAnsi="Arial"/>
          <w:sz w:val="18"/>
          <w:szCs w:val="18"/>
          <w:color w:val="auto"/>
        </w:rPr>
      </w:pPr>
    </w:p>
    <w:p>
      <w:pPr>
        <w:ind w:left="340" w:hanging="332"/>
        <w:spacing w:after="0" w:line="260" w:lineRule="auto"/>
        <w:tabs>
          <w:tab w:leader="none" w:pos="3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the current and deferred tax impact of the taxable adjustments to net income using the Company’s blended federal and state tax rate for each period. Relevant tax-deductible adjustments include all adjustments to net income.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Adjusted Earnings per Share - Basic (previously defined and used as described above) for the year ended December 31, 2020 was $1.11, representing an increase of $0.24, or 27.6%, compared to $0.87 for the year ended December 31, 2019.</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Adjusted Earnings per Share - Diluted (previously defined and used as described above) for the year ended December 31, 2020 was $1.10, representing an increase of $0.23, or 26.4%, compared to $0.87 for the year ended December 31, 2019.</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reconciliation of GAAP Earnings per Share, our closest GAAP measure, to Adjusted Earnings per Share: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940" w:type="dxa"/>
            <w:vAlign w:val="bottom"/>
            <w:gridSpan w:val="8"/>
          </w:tcPr>
          <w:p>
            <w:pPr>
              <w:ind w:left="480"/>
              <w:spacing w:after="0"/>
              <w:rPr>
                <w:sz w:val="20"/>
                <w:szCs w:val="20"/>
                <w:color w:val="auto"/>
              </w:rPr>
            </w:pPr>
            <w:r>
              <w:rPr>
                <w:rFonts w:ascii="Arial" w:cs="Arial" w:eastAsia="Arial" w:hAnsi="Arial"/>
                <w:sz w:val="18"/>
                <w:szCs w:val="18"/>
                <w:color w:val="auto"/>
              </w:rPr>
              <w:t>Year Ended December 31,</w:t>
            </w:r>
          </w:p>
        </w:tc>
      </w:tr>
      <w:tr>
        <w:trPr>
          <w:trHeight w:val="237"/>
        </w:trPr>
        <w:tc>
          <w:tcPr>
            <w:tcW w:w="4240" w:type="dxa"/>
            <w:vAlign w:val="bottom"/>
            <w:tcBorders>
              <w:bottom w:val="single" w:sz="8" w:color="CCEEFF"/>
            </w:tcBorders>
          </w:tcPr>
          <w:p>
            <w:pPr>
              <w:spacing w:after="0"/>
              <w:rPr>
                <w:sz w:val="20"/>
                <w:szCs w:val="20"/>
                <w:color w:val="auto"/>
              </w:rPr>
            </w:pPr>
          </w:p>
        </w:tc>
        <w:tc>
          <w:tcPr>
            <w:tcW w:w="10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gridSpan w:val="3"/>
          </w:tcPr>
          <w:p>
            <w:pPr>
              <w:jc w:val="right"/>
              <w:ind w:right="90"/>
              <w:spacing w:after="0"/>
              <w:rPr>
                <w:sz w:val="20"/>
                <w:szCs w:val="20"/>
                <w:color w:val="auto"/>
              </w:rPr>
            </w:pPr>
            <w:r>
              <w:rPr>
                <w:rFonts w:ascii="Arial" w:cs="Arial" w:eastAsia="Arial" w:hAnsi="Arial"/>
                <w:sz w:val="18"/>
                <w:szCs w:val="18"/>
                <w:color w:val="auto"/>
              </w:rPr>
              <w:t>2020</w:t>
            </w:r>
          </w:p>
        </w:tc>
        <w:tc>
          <w:tcPr>
            <w:tcW w:w="12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r>
      <w:tr>
        <w:trPr>
          <w:trHeight w:val="229"/>
        </w:trPr>
        <w:tc>
          <w:tcPr>
            <w:tcW w:w="424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Basic</w:t>
            </w:r>
          </w:p>
        </w:tc>
        <w:tc>
          <w:tcPr>
            <w:tcW w:w="5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Diluted</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8"/>
              </w:rPr>
              <w:t>Basic and Diluted</w:t>
            </w:r>
          </w:p>
        </w:tc>
        <w:tc>
          <w:tcPr>
            <w:tcW w:w="100" w:type="dxa"/>
            <w:vAlign w:val="bottom"/>
            <w:shd w:val="clear" w:color="auto" w:fill="CCEEFF"/>
          </w:tcPr>
          <w:p>
            <w:pPr>
              <w:spacing w:after="0"/>
              <w:rPr>
                <w:sz w:val="19"/>
                <w:szCs w:val="19"/>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GAAP Earnings per Share</w:t>
            </w:r>
          </w:p>
        </w:tc>
        <w:tc>
          <w:tcPr>
            <w:tcW w:w="1000" w:type="dxa"/>
            <w:vAlign w:val="bottom"/>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0.89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0.88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0.52</w:t>
            </w:r>
          </w:p>
        </w:tc>
        <w:tc>
          <w:tcPr>
            <w:tcW w:w="100" w:type="dxa"/>
            <w:vAlign w:val="bottom"/>
          </w:tcPr>
          <w:p>
            <w:pPr>
              <w:spacing w:after="0"/>
              <w:rPr>
                <w:sz w:val="19"/>
                <w:szCs w:val="19"/>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Offering costs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TCPA settlement</w:t>
            </w:r>
          </w:p>
        </w:tc>
        <w:tc>
          <w:tcPr>
            <w:tcW w:w="1000" w:type="dxa"/>
            <w:vAlign w:val="bottom"/>
          </w:tcPr>
          <w:p>
            <w:pPr>
              <w:spacing w:after="0"/>
              <w:rPr>
                <w:sz w:val="19"/>
                <w:szCs w:val="19"/>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NM</w:t>
            </w:r>
          </w:p>
        </w:tc>
        <w:tc>
          <w:tcPr>
            <w:tcW w:w="300" w:type="dxa"/>
            <w:vAlign w:val="bottom"/>
          </w:tcPr>
          <w:p>
            <w:pPr>
              <w:spacing w:after="0"/>
              <w:rPr>
                <w:sz w:val="19"/>
                <w:szCs w:val="19"/>
                <w:color w:val="auto"/>
              </w:rPr>
            </w:pP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bank closure</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Other employee severance</w:t>
            </w:r>
          </w:p>
        </w:tc>
        <w:tc>
          <w:tcPr>
            <w:tcW w:w="10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NM</w:t>
            </w: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charges and expenses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benefit related to adjustments</w:t>
            </w:r>
          </w:p>
        </w:tc>
        <w:tc>
          <w:tcPr>
            <w:tcW w:w="10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(0.08)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0.87</w:t>
            </w:r>
          </w:p>
        </w:tc>
        <w:tc>
          <w:tcPr>
            <w:tcW w:w="100" w:type="dxa"/>
            <w:vAlign w:val="bottom"/>
          </w:tcPr>
          <w:p>
            <w:pPr>
              <w:spacing w:after="0"/>
              <w:rPr>
                <w:sz w:val="19"/>
                <w:szCs w:val="19"/>
                <w:color w:val="auto"/>
              </w:rPr>
            </w:pPr>
          </w:p>
        </w:tc>
      </w:tr>
      <w:tr>
        <w:trPr>
          <w:trHeight w:val="21"/>
        </w:trPr>
        <w:tc>
          <w:tcPr>
            <w:tcW w:w="4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 - Per share amounts are not meaningful.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above may contain slight summation differences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Adjusted EBITDA is defined as net income before depreciation and amortization, interest expense, income taxes, and also adjusted to add back certain charges and expenses, such as non-cash compensation costs and other items set forth in the table below, as these charges and expenses are not considered a part of our core business operations and are not an indicator of ongoing, future company performance.</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Adjusted EBITDA for the year ended December 31, 2020 was $68.4 million, representing an increase of $10.8 million, or 18.7%, from $57.6 million for the year ended December 31, 2019. The increase in Adjusted EBITDA was primarily due to the increase in revenues of $37.6 million, offset by an increase in service charges from agents and banks of $25.9 million due to an increase in volume transaction as well as increases in other operating expenses to support the growth in our business.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our closest GAAP measure, to Adjusted EBITDA: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w w:val="95"/>
              </w:rPr>
              <w:t>Year Ended December 31,</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243"/>
        </w:trPr>
        <w:tc>
          <w:tcPr>
            <w:tcW w:w="6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19,609</w:t>
            </w:r>
          </w:p>
        </w:tc>
      </w:tr>
      <w:tr>
        <w:trPr>
          <w:trHeight w:val="257"/>
        </w:trPr>
        <w:tc>
          <w:tcPr>
            <w:tcW w:w="6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8,510</w:t>
            </w: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w:t>
            </w:r>
          </w:p>
        </w:tc>
      </w:tr>
      <w:tr>
        <w:trPr>
          <w:trHeight w:val="237"/>
        </w:trPr>
        <w:tc>
          <w:tcPr>
            <w:tcW w:w="6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12,689</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63,695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49,131</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Share-based compensation (a)</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2,609</w:t>
            </w: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Offering costs (b)</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TCPA Settlement (c)</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3,736</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bank closure (d)</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Other employee severance (e)</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7"/>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charges and expenses (f)</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68,390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57,622</w:t>
            </w:r>
          </w:p>
        </w:tc>
      </w:tr>
      <w:tr>
        <w:trPr>
          <w:trHeight w:val="21"/>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 options and restricted stock were granted to employees and independent directors of the Company.</w:t>
      </w:r>
    </w:p>
    <w:p>
      <w:pPr>
        <w:spacing w:after="0" w:line="23" w:lineRule="exact"/>
        <w:rPr>
          <w:rFonts w:ascii="Arial" w:cs="Arial" w:eastAsia="Arial" w:hAnsi="Arial"/>
          <w:sz w:val="18"/>
          <w:szCs w:val="18"/>
          <w:color w:val="auto"/>
        </w:rPr>
      </w:pPr>
    </w:p>
    <w:p>
      <w:pPr>
        <w:ind w:left="340" w:hanging="332"/>
        <w:spacing w:after="0" w:line="250" w:lineRule="auto"/>
        <w:tabs>
          <w:tab w:leader="none" w:pos="3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expenses incurred for professional and legal fees in connection with secondary offerings for the Company’s common stock and Warrants Offer.</w:t>
      </w: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legal fees and charge for the settlement of a class action lawsuit related to the TCPA.</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a loss incurred in 2020 related to the closure of a financial institution in Mexico.</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severance costs incurred during 2019 related to departmental changes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loss on disposal of fixed assets and foreign currency (gains) losses.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2019 Compared to the Year Ended December 31,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Revenues for the above periods are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color w:val="auto"/>
              </w:rPr>
              <w:t>Year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80" w:type="dxa"/>
            <w:vAlign w:val="bottom"/>
            <w:vMerge w:val="restart"/>
            <w:shd w:val="clear" w:color="auto" w:fill="CCEEFF"/>
          </w:tcPr>
          <w:p>
            <w:pPr>
              <w:ind w:left="20"/>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2019</w:t>
            </w:r>
          </w:p>
        </w:tc>
        <w:tc>
          <w:tcPr>
            <w:tcW w:w="1260" w:type="dxa"/>
            <w:vAlign w:val="bottom"/>
            <w:shd w:val="clear" w:color="auto" w:fill="CCEEFF"/>
          </w:tcPr>
          <w:p>
            <w:pPr>
              <w:jc w:val="right"/>
              <w:ind w:right="370"/>
              <w:spacing w:after="0" w:line="176" w:lineRule="exact"/>
              <w:rPr>
                <w:sz w:val="20"/>
                <w:szCs w:val="20"/>
                <w:color w:val="auto"/>
              </w:rPr>
            </w:pPr>
            <w:r>
              <w:rPr>
                <w:rFonts w:ascii="Arial" w:cs="Arial" w:eastAsia="Arial" w:hAnsi="Arial"/>
                <w:sz w:val="18"/>
                <w:szCs w:val="18"/>
                <w:color w:val="auto"/>
              </w:rPr>
              <w:t>% of</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350"/>
              <w:spacing w:after="0"/>
              <w:rPr>
                <w:sz w:val="20"/>
                <w:szCs w:val="20"/>
                <w:color w:val="auto"/>
              </w:rPr>
            </w:pPr>
            <w:r>
              <w:rPr>
                <w:rFonts w:ascii="Arial" w:cs="Arial" w:eastAsia="Arial" w:hAnsi="Arial"/>
                <w:sz w:val="18"/>
                <w:szCs w:val="18"/>
                <w:color w:val="auto"/>
              </w:rPr>
              <w:t>2018</w:t>
            </w:r>
          </w:p>
        </w:tc>
        <w:tc>
          <w:tcPr>
            <w:tcW w:w="1180" w:type="dxa"/>
            <w:vAlign w:val="bottom"/>
            <w:shd w:val="clear" w:color="auto" w:fill="CCEEFF"/>
          </w:tcPr>
          <w:p>
            <w:pPr>
              <w:jc w:val="right"/>
              <w:ind w:right="270"/>
              <w:spacing w:after="0" w:line="176" w:lineRule="exact"/>
              <w:rPr>
                <w:sz w:val="20"/>
                <w:szCs w:val="20"/>
                <w:color w:val="auto"/>
              </w:rPr>
            </w:pPr>
            <w:r>
              <w:rPr>
                <w:rFonts w:ascii="Arial" w:cs="Arial" w:eastAsia="Arial" w:hAnsi="Arial"/>
                <w:sz w:val="18"/>
                <w:szCs w:val="18"/>
                <w:color w:val="auto"/>
              </w:rPr>
              <w:t>% of</w:t>
            </w:r>
          </w:p>
        </w:tc>
        <w:tc>
          <w:tcPr>
            <w:tcW w:w="0" w:type="dxa"/>
            <w:vAlign w:val="bottom"/>
          </w:tcPr>
          <w:p>
            <w:pPr>
              <w:spacing w:after="0"/>
              <w:rPr>
                <w:sz w:val="1"/>
                <w:szCs w:val="1"/>
                <w:color w:val="auto"/>
              </w:rPr>
            </w:pPr>
          </w:p>
        </w:tc>
      </w:tr>
      <w:tr>
        <w:trPr>
          <w:trHeight w:val="236"/>
        </w:trPr>
        <w:tc>
          <w:tcPr>
            <w:tcW w:w="4480" w:type="dxa"/>
            <w:vAlign w:val="bottom"/>
            <w:tcBorders>
              <w:bottom w:val="single" w:sz="8" w:color="CCEEFF"/>
            </w:tcBorders>
            <w:vMerge w:val="continue"/>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03"/>
        </w:trPr>
        <w:tc>
          <w:tcPr>
            <w:tcW w:w="4480" w:type="dxa"/>
            <w:vAlign w:val="bottom"/>
          </w:tcPr>
          <w:p>
            <w:pPr>
              <w:ind w:left="20"/>
              <w:spacing w:after="0" w:line="203" w:lineRule="exact"/>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273,081</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85 %</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232,380</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29"/>
        </w:trPr>
        <w:tc>
          <w:tcPr>
            <w:tcW w:w="4480" w:type="dxa"/>
            <w:vAlign w:val="bottom"/>
          </w:tcPr>
          <w:p>
            <w:pPr>
              <w:ind w:left="140"/>
              <w:spacing w:after="0"/>
              <w:rPr>
                <w:sz w:val="20"/>
                <w:szCs w:val="20"/>
                <w:color w:val="auto"/>
              </w:rPr>
            </w:pPr>
            <w:r>
              <w:rPr>
                <w:rFonts w:ascii="Arial" w:cs="Arial" w:eastAsia="Arial" w:hAnsi="Arial"/>
                <w:sz w:val="18"/>
                <w:szCs w:val="18"/>
                <w:color w:val="auto"/>
              </w:rPr>
              <w:t>Foreign exchange gain, net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44,268</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14 %</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39,765</w:t>
            </w:r>
          </w:p>
        </w:tc>
        <w:tc>
          <w:tcPr>
            <w:tcW w:w="118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7"/>
        </w:trPr>
        <w:tc>
          <w:tcPr>
            <w:tcW w:w="4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1 %</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319,601</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273,901</w:t>
            </w:r>
          </w:p>
        </w:tc>
        <w:tc>
          <w:tcPr>
            <w:tcW w:w="118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Wire transfer and money order fees, net of $273.1 million for the year ended December 31, 2019 increased by $40.7 million from $232.4 million for the year ended December 31, 2018. This increase of $40.7 million was primarily due to a 19% increase in transaction volume largely due to the continued growth in our agent network, which has grown by 10% from December 2018 to December 2019.</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Revenues from foreign exchange of $44.3 million for the year ended December 31, 2019 increased by $4.5 million from $39.8 million for the year ended December 31, 2018. This increase was primarily due to higher transaction volume achieved by growth in our agent network.</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expenses for the above periods are presented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44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thousands)</w:t>
            </w:r>
          </w:p>
        </w:tc>
        <w:tc>
          <w:tcPr>
            <w:tcW w:w="280" w:type="dxa"/>
            <w:vAlign w:val="bottom"/>
          </w:tcPr>
          <w:p>
            <w:pPr>
              <w:spacing w:after="0"/>
              <w:rPr>
                <w:sz w:val="15"/>
                <w:szCs w:val="15"/>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color w:val="auto"/>
              </w:rPr>
              <w:t>2019</w:t>
            </w:r>
          </w:p>
        </w:tc>
        <w:tc>
          <w:tcPr>
            <w:tcW w:w="1280" w:type="dxa"/>
            <w:vAlign w:val="bottom"/>
          </w:tcPr>
          <w:p>
            <w:pPr>
              <w:jc w:val="right"/>
              <w:ind w:right="370"/>
              <w:spacing w:after="0" w:line="176" w:lineRule="exact"/>
              <w:rPr>
                <w:sz w:val="20"/>
                <w:szCs w:val="20"/>
                <w:color w:val="auto"/>
              </w:rPr>
            </w:pPr>
            <w:r>
              <w:rPr>
                <w:rFonts w:ascii="Arial" w:cs="Arial" w:eastAsia="Arial" w:hAnsi="Arial"/>
                <w:sz w:val="18"/>
                <w:szCs w:val="18"/>
                <w:color w:val="auto"/>
              </w:rPr>
              <w:t>% of</w:t>
            </w:r>
          </w:p>
        </w:tc>
        <w:tc>
          <w:tcPr>
            <w:tcW w:w="280" w:type="dxa"/>
            <w:vAlign w:val="bottom"/>
          </w:tcPr>
          <w:p>
            <w:pPr>
              <w:spacing w:after="0"/>
              <w:rPr>
                <w:sz w:val="15"/>
                <w:szCs w:val="15"/>
                <w:color w:val="auto"/>
              </w:rPr>
            </w:pPr>
          </w:p>
        </w:tc>
        <w:tc>
          <w:tcPr>
            <w:tcW w:w="960" w:type="dxa"/>
            <w:vAlign w:val="bottom"/>
            <w:vMerge w:val="restart"/>
          </w:tcPr>
          <w:p>
            <w:pPr>
              <w:jc w:val="right"/>
              <w:ind w:right="350"/>
              <w:spacing w:after="0"/>
              <w:rPr>
                <w:sz w:val="20"/>
                <w:szCs w:val="20"/>
                <w:color w:val="auto"/>
              </w:rPr>
            </w:pPr>
            <w:r>
              <w:rPr>
                <w:rFonts w:ascii="Arial" w:cs="Arial" w:eastAsia="Arial" w:hAnsi="Arial"/>
                <w:sz w:val="18"/>
                <w:szCs w:val="18"/>
                <w:color w:val="auto"/>
              </w:rPr>
              <w:t>2018</w:t>
            </w:r>
          </w:p>
        </w:tc>
        <w:tc>
          <w:tcPr>
            <w:tcW w:w="1200" w:type="dxa"/>
            <w:vAlign w:val="bottom"/>
          </w:tcPr>
          <w:p>
            <w:pPr>
              <w:jc w:val="right"/>
              <w:ind w:right="270"/>
              <w:spacing w:after="0" w:line="176" w:lineRule="exact"/>
              <w:rPr>
                <w:sz w:val="20"/>
                <w:szCs w:val="20"/>
                <w:color w:val="auto"/>
              </w:rPr>
            </w:pPr>
            <w:r>
              <w:rPr>
                <w:rFonts w:ascii="Arial" w:cs="Arial" w:eastAsia="Arial" w:hAnsi="Arial"/>
                <w:sz w:val="18"/>
                <w:szCs w:val="18"/>
                <w:color w:val="auto"/>
              </w:rPr>
              <w:t>% of</w:t>
            </w: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rPr>
              <w:t>Revenues</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Service charges from agents and banks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212,670</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67 %</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182,471</w:t>
            </w:r>
          </w:p>
        </w:tc>
        <w:tc>
          <w:tcPr>
            <w:tcW w:w="1200" w:type="dxa"/>
            <w:vAlign w:val="bottom"/>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Salaries and benefits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30,705</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32,926</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27,095</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8 %</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19,442</w:t>
            </w:r>
          </w:p>
        </w:tc>
        <w:tc>
          <w:tcPr>
            <w:tcW w:w="120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12,689</w:t>
            </w:r>
          </w:p>
        </w:tc>
        <w:tc>
          <w:tcPr>
            <w:tcW w:w="1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4 %</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15,671</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55"/>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283,159</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89 %</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260,829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Service charges from agents and banks</w:t>
      </w:r>
      <w:r>
        <w:rPr>
          <w:rFonts w:ascii="Arial" w:cs="Arial" w:eastAsia="Arial" w:hAnsi="Arial"/>
          <w:sz w:val="18"/>
          <w:szCs w:val="18"/>
          <w:color w:val="auto"/>
        </w:rPr>
        <w:t>— Service charges from agents and banks were $212.7 million for the year ended December 31, 2019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$182.5 million for the year ended December 31, 2018. The increase of $30.2 million, or 17%, million was primarily due to the increase in transaction volume.</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Salaries and benefits</w:t>
      </w:r>
      <w:r>
        <w:rPr>
          <w:rFonts w:ascii="Arial" w:cs="Arial" w:eastAsia="Arial" w:hAnsi="Arial"/>
          <w:sz w:val="18"/>
          <w:szCs w:val="18"/>
          <w:color w:val="auto"/>
        </w:rPr>
        <w:t>— Salaries and benefits were $30.7 million for the year ended December 31, 2019, which represented a decrease of $2.2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$32.9 million for the year ended December 31, 2018. The decrease of $2.2 million is primarily due to $4.7 million of share-based compensation in the year ended December 31, 2018 related to the accelerated vesting of incentive units in connection with the Merger that did not reoccur in 2019. This decrease during the year ended December 31, 2019 was offset by $1.0 million in increased wages, largely in management and other areas to support our growing operations and a $1.5 million increase related to share-based compensation.</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Other selling, general and administrative expenses</w:t>
      </w:r>
      <w:r>
        <w:rPr>
          <w:rFonts w:ascii="Arial" w:cs="Arial" w:eastAsia="Arial" w:hAnsi="Arial"/>
          <w:sz w:val="18"/>
          <w:szCs w:val="18"/>
          <w:color w:val="auto"/>
        </w:rPr>
        <w:t>— Other selling, general and administrative expenses of $27.1 million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2019 increased by $7.7 million from $19.4 million for the year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the result of:</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$3.7 million - settlement and legal fees associated with a TCPA class action lawsuit;</w:t>
      </w:r>
    </w:p>
    <w:p>
      <w:pPr>
        <w:spacing w:after="0" w:line="23" w:lineRule="exact"/>
        <w:rPr>
          <w:rFonts w:ascii="Arial" w:cs="Arial" w:eastAsia="Arial" w:hAnsi="Arial"/>
          <w:sz w:val="18"/>
          <w:szCs w:val="18"/>
          <w:i w:val="1"/>
          <w:iCs w:val="1"/>
          <w:color w:val="auto"/>
        </w:rPr>
      </w:pPr>
    </w:p>
    <w:p>
      <w:pPr>
        <w:ind w:left="660" w:right="20" w:hanging="328"/>
        <w:spacing w:after="0" w:line="250" w:lineRule="auto"/>
        <w:tabs>
          <w:tab w:leader="none" w:pos="655"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$1.8 million - legal and other professional fees associated with the Company’s SEC filings, including the Warrants Offer and a secondary offering in 2019 of the Company’s common stock;</w:t>
      </w:r>
    </w:p>
    <w:p>
      <w:pPr>
        <w:ind w:left="660" w:hanging="328"/>
        <w:spacing w:after="0"/>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$1.1 million - higher insurance premiums, property taxes and other operating expenses; and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22"/>
        </w:numPr>
        <w:rPr>
          <w:rFonts w:ascii="Arial" w:cs="Arial" w:eastAsia="Arial" w:hAnsi="Arial"/>
          <w:sz w:val="18"/>
          <w:szCs w:val="18"/>
          <w:i w:val="1"/>
          <w:iCs w:val="1"/>
          <w:color w:val="auto"/>
        </w:rPr>
      </w:pPr>
      <w:r>
        <w:rPr>
          <w:rFonts w:ascii="Arial" w:cs="Arial" w:eastAsia="Arial" w:hAnsi="Arial"/>
          <w:sz w:val="18"/>
          <w:szCs w:val="18"/>
          <w:color w:val="auto"/>
        </w:rPr>
        <w:t>$1.1 million - higher IT related expenses incurred to sustain our business expansion.</w:t>
      </w:r>
    </w:p>
    <w:p>
      <w:pPr>
        <w:spacing w:after="0" w:line="23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Transaction costs</w:t>
      </w:r>
      <w:r>
        <w:rPr>
          <w:rFonts w:ascii="Arial" w:cs="Arial" w:eastAsia="Arial" w:hAnsi="Arial"/>
          <w:sz w:val="18"/>
          <w:szCs w:val="18"/>
          <w:color w:val="auto"/>
        </w:rPr>
        <w:t>— Transaction costs of $10.3 million for the year ended December 31, 2018 include costs related to the Merger, consisting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of employee bonuses, termination of management fee agreement, change in control fee to our lender and legal and other professional fees. There were no transaction costs for the year ended December 31, 2019.</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of $12.7 million for the year ended December 31, 2019 decreased by $3.0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$15.7 million for the year ended December 31, 2018. This decrease is due to $3.1 million less amortization related to the trade name, developed technology and agent relationships during the year ended December 31, 2019 as these intangibles are being amortized on an accelerated basis, which declines over time. This decrease was partially offset by an increase in depreciation of $0.1 million associated primarily with additional computer equipment to support our growing business and agent network.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$8.5 million for the year ended December 31, 2019, a decrease of $9.9 million from $18.4 million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The decrease of $9.9 million was due to a reduction in the interest rates paid under the Credit Agreement, which accounted for $4.6 million, and the write-off of unamortized debt origination costs and a prepayment penalty of $3.5 million and $1.8 million, respectively, related to the November 2018 refinancing of our senior secured credit facility, which were recorded during the year ended December 31, 2018 and did not reoccur in 2019.</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Income tax provision</w:t>
      </w:r>
      <w:r>
        <w:rPr>
          <w:rFonts w:ascii="Arial" w:cs="Arial" w:eastAsia="Arial" w:hAnsi="Arial"/>
          <w:sz w:val="18"/>
          <w:szCs w:val="18"/>
          <w:color w:val="auto"/>
        </w:rPr>
        <w:t>— Income tax provision was $8.3 million for the year ended December 31, 2019, an increase of $6.4 million from an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of $1.9 million for the year ended December 31, 2018. The increase in the income tax provision was mainly due to an $8.5 million increase attributable to higher taxable income, offset by $1.6 million less non-deductible expenses and $0.5 million of write-offs of transaction costs and net operating losses and other items.</w:t>
      </w:r>
    </w:p>
    <w:p>
      <w:pPr>
        <w:sectPr>
          <w:pgSz w:w="11900" w:h="16838" w:orient="portrait"/>
          <w:cols w:equalWidth="0" w:num="1">
            <w:col w:w="11240"/>
          </w:cols>
          <w:pgMar w:left="320" w:top="125" w:right="33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reported net income of $19.6 million for the year ended December 31, 2019 compared to net loss of $7.2 million for the year ended December 31, 2018, which resulted in an increase of $26.8 million due primarily to the same factors discussed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Earnings per Share - Basic and Diluted for the year ended December 31, 2019 was $0.52, representing an increase of $0.80, or 285.7%, compared to a Loss per Share - Basic and Diluted of $0.28 for the year ended December 31, 2018 due primarily to the same factors discussed above.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Net Income and Adjusted Earnings per Share</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Adjusted Net Income (previously defined and used as described above) for the year ended December 31, 2019 was $32.6 million, representing an increase of $14.2 million, or 77%, from Adjusted Net Income of $18.4 million for the year ended December 31, 2018. The increase in Adjusted Net Income was primarily due to the increase in revenues of $45.7 million and a decrease in interest expense and salaries and benefits, offset by an increase in service charges from agents and banks of $30.2 million as well as increases in other operating expenses to support the growth in our business.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(Loss), our closest GAAP measure, to Adjusted Net Income: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w w:val="95"/>
              </w:rPr>
              <w:t>Year Ended December 31,</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for share data)</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r>
      <w:tr>
        <w:trPr>
          <w:trHeight w:val="243"/>
        </w:trPr>
        <w:tc>
          <w:tcPr>
            <w:tcW w:w="6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(7,244)</w:t>
            </w:r>
          </w:p>
        </w:tc>
      </w:tr>
      <w:tr>
        <w:trPr>
          <w:trHeight w:val="257"/>
        </w:trPr>
        <w:tc>
          <w:tcPr>
            <w:tcW w:w="6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Transaction costs (a)</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10,319</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units plan (b)</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Share-based compensation (c)</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1,091</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Offering costs (d)</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Transition expenses (e)</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 fee (f)</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TCPA Settlement (g)</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related to registering stock underlying warrants (h)</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Other employee severance (i)</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charges and expenses (j)</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Amortization of intangibles (k)</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12,392</w:t>
            </w:r>
          </w:p>
        </w:tc>
      </w:tr>
      <w:tr>
        <w:trPr>
          <w:trHeight w:val="237"/>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benefit related to adjustments (l)</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32,559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18,362</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6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r>
      <w:tr>
        <w:trPr>
          <w:trHeight w:val="256"/>
        </w:trPr>
        <w:tc>
          <w:tcPr>
            <w:tcW w:w="6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37,428,345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25,484,386</w:t>
            </w: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37,594,158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25,484,386</w:t>
            </w:r>
          </w:p>
        </w:tc>
      </w:tr>
    </w:tbl>
    <w:p>
      <w:pPr>
        <w:spacing w:after="0" w:line="337"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direct costs related to the Merger, which consist primarily of legal, consulting, accounting, advisory fees and certain incentive bonuses.</w:t>
      </w:r>
    </w:p>
    <w:p>
      <w:pPr>
        <w:spacing w:after="0" w:line="46" w:lineRule="exact"/>
        <w:rPr>
          <w:rFonts w:ascii="Arial" w:cs="Arial" w:eastAsia="Arial" w:hAnsi="Arial"/>
          <w:sz w:val="16"/>
          <w:szCs w:val="16"/>
          <w:color w:val="auto"/>
        </w:rPr>
      </w:pPr>
    </w:p>
    <w:p>
      <w:pPr>
        <w:ind w:left="340" w:hanging="332"/>
        <w:spacing w:after="0" w:line="250" w:lineRule="auto"/>
        <w:tabs>
          <w:tab w:leader="none" w:pos="334"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connection with the Merger, incentive units were granted to our employees, which became fully vested and were paid out upon the closing of the Merger.</w:t>
      </w: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Stock options and restricted stock were granted to employees and independent directors of the Company.</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ind w:left="340" w:right="20" w:hanging="332"/>
        <w:spacing w:after="0" w:line="258" w:lineRule="auto"/>
        <w:tabs>
          <w:tab w:leader="none" w:pos="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expenses incurred for professional and legal fees in connection with a secondary offering of the Company’s common stock and the Warrants Offer.</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Represents recruiting fees and severance costs related to managerial changes in connection with becoming a publicly-traded company in 2018.</w:t>
      </w:r>
    </w:p>
    <w:p>
      <w:pPr>
        <w:spacing w:after="0" w:line="20" w:lineRule="exact"/>
        <w:rPr>
          <w:rFonts w:ascii="Arial" w:cs="Arial" w:eastAsia="Arial" w:hAnsi="Arial"/>
          <w:sz w:val="17"/>
          <w:szCs w:val="17"/>
          <w:color w:val="auto"/>
        </w:rPr>
      </w:pPr>
    </w:p>
    <w:p>
      <w:pPr>
        <w:ind w:left="340" w:hanging="332"/>
        <w:spacing w:after="0" w:line="250" w:lineRule="auto"/>
        <w:tabs>
          <w:tab w:leader="none" w:pos="331"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payments under a management agreement with a related party pursuant to which we paid a quarterly fee for certain advisory and consulting services. In connection with the Merger, this agreement was terminated.</w:t>
      </w: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legal fees and charges for settlement of class action lawsuits related to the TCPA.</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professional fees in connection with the registration of common stock underlying outstanding warrants.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severance costs incurred related to departmental changes.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loss on disposal of fixed assets, foreign currency (gains) losses and legal expenses considered to be non-recurring.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amortization of certain intangible assets that resulted from the application of push-down accounting.</w:t>
      </w:r>
    </w:p>
    <w:p>
      <w:pPr>
        <w:spacing w:after="0" w:line="9" w:lineRule="exact"/>
        <w:rPr>
          <w:rFonts w:ascii="Arial" w:cs="Arial" w:eastAsia="Arial" w:hAnsi="Arial"/>
          <w:sz w:val="18"/>
          <w:szCs w:val="18"/>
          <w:color w:val="auto"/>
        </w:rPr>
      </w:pPr>
    </w:p>
    <w:p>
      <w:pPr>
        <w:jc w:val="both"/>
        <w:ind w:left="340" w:hanging="332"/>
        <w:spacing w:after="0" w:line="253" w:lineRule="auto"/>
        <w:tabs>
          <w:tab w:leader="none" w:pos="334"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Represents the current and deferred tax impact of the taxable adjustments to net income using the Company’s blended federal and state tax rate for each period. Relevant tax-deductible adjustments include all adjustments to net income except for $1.7 million of offering costs for the year ended December 31, 2019, $4.3 million of non-deductible transaction costs and $4.7 million of non-deductible incentive units plan expense in the year ended December 31, 2018.</w:t>
      </w:r>
    </w:p>
    <w:p>
      <w:pPr>
        <w:spacing w:after="0" w:line="32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Adjusted Earnings per Share - Basic and Diluted (previously defined and used as described above) for the year ended December 31, 2019 was $0.87, representing an increase of $0.15, or 20.8%, compared to $0.72 for the year ended December 31,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reconciliation of GAAP Earnings per Share, our closest GAAP measure, to Adjusted Earnings per Share: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Year Ended December 31,</w:t>
            </w:r>
          </w:p>
        </w:tc>
      </w:tr>
      <w:tr>
        <w:trPr>
          <w:trHeight w:val="237"/>
        </w:trPr>
        <w:tc>
          <w:tcPr>
            <w:tcW w:w="60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2018</w:t>
            </w:r>
          </w:p>
        </w:tc>
      </w:tr>
      <w:tr>
        <w:trPr>
          <w:trHeight w:val="229"/>
        </w:trPr>
        <w:tc>
          <w:tcPr>
            <w:tcW w:w="60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0"/>
              </w:rPr>
              <w:t>Basic and Diluted</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0"/>
              </w:rPr>
              <w:t>Basic and Diluted</w:t>
            </w: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GAAP Earnings (loss) per Share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0.52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(0.28)</w:t>
            </w: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Transaction costs</w:t>
            </w:r>
          </w:p>
        </w:tc>
        <w:tc>
          <w:tcPr>
            <w:tcW w:w="1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units plan</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Share-based compensation</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0.04</w:t>
            </w: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Offering costs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Transition expenses</w:t>
            </w:r>
          </w:p>
        </w:tc>
        <w:tc>
          <w:tcPr>
            <w:tcW w:w="1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 fee</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29"/>
        </w:trPr>
        <w:tc>
          <w:tcPr>
            <w:tcW w:w="6040" w:type="dxa"/>
            <w:vAlign w:val="bottom"/>
          </w:tcPr>
          <w:p>
            <w:pPr>
              <w:ind w:left="140"/>
              <w:spacing w:after="0"/>
              <w:rPr>
                <w:sz w:val="20"/>
                <w:szCs w:val="20"/>
                <w:color w:val="auto"/>
              </w:rPr>
            </w:pPr>
            <w:r>
              <w:rPr>
                <w:rFonts w:ascii="Arial" w:cs="Arial" w:eastAsia="Arial" w:hAnsi="Arial"/>
                <w:sz w:val="18"/>
                <w:szCs w:val="18"/>
                <w:color w:val="auto"/>
              </w:rPr>
              <w:t>TCPA Settlement</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0.01</w:t>
            </w: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related to registering stock underlying warrants</w:t>
            </w:r>
          </w:p>
        </w:tc>
        <w:tc>
          <w:tcPr>
            <w:tcW w:w="1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Other employee severance</w:t>
            </w:r>
          </w:p>
        </w:tc>
        <w:tc>
          <w:tcPr>
            <w:tcW w:w="120" w:type="dxa"/>
            <w:vAlign w:val="bottom"/>
          </w:tcPr>
          <w:p>
            <w:pPr>
              <w:spacing w:after="0"/>
              <w:rPr>
                <w:sz w:val="19"/>
                <w:szCs w:val="19"/>
                <w:color w:val="auto"/>
              </w:rPr>
            </w:pPr>
          </w:p>
        </w:tc>
        <w:tc>
          <w:tcPr>
            <w:tcW w:w="1620" w:type="dxa"/>
            <w:vAlign w:val="bottom"/>
            <w:gridSpan w:val="2"/>
          </w:tcPr>
          <w:p>
            <w:pPr>
              <w:ind w:left="12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charges and expenses</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0.49</w:t>
            </w:r>
          </w:p>
        </w:tc>
      </w:tr>
      <w:tr>
        <w:trPr>
          <w:trHeight w:val="236"/>
        </w:trPr>
        <w:tc>
          <w:tcPr>
            <w:tcW w:w="6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tax benefit related to adjustments</w:t>
            </w:r>
          </w:p>
        </w:tc>
        <w:tc>
          <w:tcPr>
            <w:tcW w:w="1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Adjusted Earnings per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0.87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0.72</w:t>
            </w:r>
          </w:p>
        </w:tc>
      </w:tr>
      <w:tr>
        <w:trPr>
          <w:trHeight w:val="20"/>
        </w:trPr>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 - Per share amounts are not meaningful.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above may contain slight summation differences due to rounding.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w:t>
      </w:r>
    </w:p>
    <w:p>
      <w:pPr>
        <w:spacing w:after="0" w:line="22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Adjusted EBITDA (previously defined and used as described above) for the year ended December 31, 2019 was $57.6 million, representing an increase of $10.5 million, or 22%, from $47.1 million for the year ended December 31, 2018. The increase in Adjusted EBITDA was primarily due to the increase in revenues of $45.7 million, offset by an increase in service charges from agents and banks of $30.2 million as well as increases in other operating expenses to support the growth in our business.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reconciliation of Net Income (Loss), our closest GAAP measure, to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w w:val="95"/>
              </w:rPr>
              <w:t>Year Ended December 31,</w:t>
            </w:r>
          </w:p>
        </w:tc>
      </w:tr>
      <w:tr>
        <w:trPr>
          <w:trHeight w:val="237"/>
        </w:trPr>
        <w:tc>
          <w:tcPr>
            <w:tcW w:w="664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r>
      <w:tr>
        <w:trPr>
          <w:trHeight w:val="243"/>
        </w:trPr>
        <w:tc>
          <w:tcPr>
            <w:tcW w:w="6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(7,244)</w:t>
            </w:r>
          </w:p>
        </w:tc>
      </w:tr>
      <w:tr>
        <w:trPr>
          <w:trHeight w:val="257"/>
        </w:trPr>
        <w:tc>
          <w:tcPr>
            <w:tcW w:w="6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 for:</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18,448</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36"/>
        </w:trPr>
        <w:tc>
          <w:tcPr>
            <w:tcW w:w="66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15,671</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28,743</w:t>
            </w: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Transaction costs (a)</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10,319</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Incentive units plan (b)</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w:t>
            </w: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Share-based compensation (c)</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1,091</w:t>
            </w: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Offering costs (d)</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Transition expenses (e)</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 fee (f)</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TCPA Settlement (g)</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Costs related to registering stock underlying warrants (h)</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Other employee severance (i)</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6"/>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charges and expenses (j)</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57,622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47,144</w:t>
            </w:r>
          </w:p>
        </w:tc>
      </w:tr>
      <w:tr>
        <w:trPr>
          <w:trHeight w:val="20"/>
        </w:trPr>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direct costs related to the Merger, which consist primarily of legal, consulting, accounting, advisory fees and certain incentive bonuses.</w:t>
      </w:r>
    </w:p>
    <w:p>
      <w:pPr>
        <w:spacing w:after="0" w:line="46" w:lineRule="exact"/>
        <w:rPr>
          <w:rFonts w:ascii="Arial" w:cs="Arial" w:eastAsia="Arial" w:hAnsi="Arial"/>
          <w:sz w:val="16"/>
          <w:szCs w:val="16"/>
          <w:color w:val="auto"/>
        </w:rPr>
      </w:pPr>
    </w:p>
    <w:p>
      <w:pPr>
        <w:ind w:left="340" w:right="300" w:hanging="332"/>
        <w:spacing w:after="0" w:line="250" w:lineRule="auto"/>
        <w:tabs>
          <w:tab w:leader="none" w:pos="3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connection with the Merger, incentive units were granted to our employees, which became fully vested and were paid out upon the closing of the Merger.</w:t>
      </w: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Stock options and restricted stock were granted to employees and independent directors of the Company.</w:t>
      </w:r>
    </w:p>
    <w:p>
      <w:pPr>
        <w:spacing w:after="0" w:line="9" w:lineRule="exact"/>
        <w:rPr>
          <w:rFonts w:ascii="Arial" w:cs="Arial" w:eastAsia="Arial" w:hAnsi="Arial"/>
          <w:sz w:val="18"/>
          <w:szCs w:val="18"/>
          <w:color w:val="auto"/>
        </w:rPr>
      </w:pPr>
    </w:p>
    <w:p>
      <w:pPr>
        <w:ind w:left="340" w:right="680" w:hanging="332"/>
        <w:spacing w:after="0" w:line="250" w:lineRule="auto"/>
        <w:tabs>
          <w:tab w:leader="none" w:pos="334"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expenses incurred for professional and legal fees in connection with a secondary offering of the Company’s common stock and the Warrants Offer.</w:t>
      </w:r>
    </w:p>
    <w:p>
      <w:pPr>
        <w:ind w:left="320" w:hanging="312"/>
        <w:spacing w:after="0"/>
        <w:tabs>
          <w:tab w:leader="none" w:pos="3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recruiting fees and severance costs related to managerial changes in connection with becoming a publicly-traded company in 2018.</w:t>
      </w:r>
    </w:p>
    <w:p>
      <w:pPr>
        <w:spacing w:after="0" w:line="20" w:lineRule="exact"/>
        <w:rPr>
          <w:rFonts w:ascii="Arial" w:cs="Arial" w:eastAsia="Arial" w:hAnsi="Arial"/>
          <w:sz w:val="17"/>
          <w:szCs w:val="17"/>
          <w:color w:val="auto"/>
        </w:rPr>
      </w:pPr>
    </w:p>
    <w:p>
      <w:pPr>
        <w:ind w:left="340" w:right="40" w:hanging="332"/>
        <w:spacing w:after="0" w:line="250" w:lineRule="auto"/>
        <w:tabs>
          <w:tab w:leader="none" w:pos="331"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payments under a management agreement with a related party pursuant to which we paid a quarterly fee for certain advisory and consulting services. In connection with the Merger, this agreement was terminated.</w:t>
      </w: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legal fees and charges for settlement of class action lawsuits related to the TCPA.</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professional fees in connection with the registration of common stock underlying outstanding warrants.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severance costs incurred related to departmental changes.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loss on disposal of fixed assets, foreign currency (gains) losses and legal expenses considered to be non-recurring.</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consider liquidity in terms of cash flows from operations and their sufficiency to fund business operations, including working capital needs, debt service, acquisitions, contractual obligations and other commitments. In particular, to meet our payment service obligations at all times, we must have sufficient highly liquid assets and be able to move funds on a timely basis.</w:t>
      </w:r>
    </w:p>
    <w:p>
      <w:pPr>
        <w:spacing w:after="0" w:line="184"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principal sources of liquidity are our cash generated by operating activities supplemented with borrowings under our revolving credit facility. Our primary cash needs are for day to day operations, to pay interest and principal on our indebtedness, to fund working capital requirements and to make capital expenditures.</w:t>
      </w:r>
    </w:p>
    <w:p>
      <w:pPr>
        <w:sectPr>
          <w:pgSz w:w="11900" w:h="16838" w:orient="portrait"/>
          <w:cols w:equalWidth="0" w:num="1">
            <w:col w:w="11240"/>
          </w:cols>
          <w:pgMar w:left="320" w:top="125" w:right="339" w:bottom="1440" w:gutter="0" w:footer="0" w:header="0"/>
        </w:sect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Notwithstanding the recent effects of the COVID-19 pandemic in the U.S. economy, we have funded and still expect to continue funding our liquidity requirements through internally generated funds, supplemented in the ordinary course, with borrowings under our revolving credit facility. While our operating cash flows may be affected by the economic conditions resulting from the pandemic and other factors, we maintain a strong cash balance position and have access to committed funding sources, which we have used only on a limited and ordinary course basis during the year ended December 31, 2020. Therefore, we believe that our projected cash flows generated from operations, together with borrowings under our revolving credit facility are sufficient to fund our principal debt payments, interest expense, our working capital needs and our expected capital expenditures for at least the next twelve months. We will, however, continue to evaluate the nature and extent of these potential impacts to our business and liquidity and capital resources and take action, as necessary, to preserve adequate liquidity, such as limiting discretionary spending and re-prioritizing our capital projects, to ensure that our business can continue to operate during these uncertain times.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and certain of its domestic subsidiaries as borrowers (the “Loan Parties”) entered into a financing agreement (as amended, the “Credit Agreement”) with a group of banking institutions. The Credit Agreement provides for a $35 million revolving credit facility, a $90 million term loan facility and an up to $30 million incremental facility of which $12 million was utilized in the second quarter of 2019 to pay for the cash portion of the Warrants Offer. The Credit Agreement also provides for the issuance of letters of credit, which would reduce availability under the revolving credit facility. The maturity date of the Credit Agreement is November 7, 2023.</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we had total indebtedness of $89.4 million, consisting of borrowings under the term loan facility and excluding debt origination costs of $1.8 million. As of December 31, 2020 and 2019, there were no outstanding amounts drawn on the revolving credit facility. There were $53.0 million of additional borrowings available under these facilities as of December 31, 2020.</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on the term loan facility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The effective interest rates for the year ended December 31, 2020 for the term loan and revolving credit facility were 5.78% and 1.00%, respectively.</w:t>
      </w:r>
    </w:p>
    <w:p>
      <w:pPr>
        <w:spacing w:after="0" w:line="18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principal amount of the term loan facility under the Credit Agreement must be repaid in consecutive quarterly installments of 5.0% in year 1, 7.5% in years 2 and 3, and 10.0% in years 4 and 5, in each case on the last day of each quarter, which commenced in March 2019 with a final payment at maturity. The loans under the Credit Agreement may be prepaid at any time without payment or penalty.</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Credit Agreement contains financial covenants that require the Company to maintain a quarterly minimum fixed charge coverage ratio of 1.25:1.00 and a quarterly maximum consolidated leverage ratio of 3.25:1.00. As of December 31, 2020 and 2019, we were in compliance with the covenants of the Credit Agreement.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the Credit Agreement establishes certain restrictions on payment of dividends or cash distributions other than for certain purposes, including the following: i) to pay cash dividends to the Company in an amount necessary to cover reasonable and customary corporate and operating expenses, ii) to purchase, redeem or otherwise acquire warrants, rights or options on the Company’s common stock of an aggregate amount of up to $10 million plus the Available Amount (as defined in the Credit Agreement), iii) to repurchase the Company’s common stock from current or former employees in an aggregate amount of up to $5 million per calendar year, and iv) other restricted payments in an aggregate amount not to exceed $5 million plus the Available Amount.</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 restrictions described above, among others, substantially all of the Company’s net assets as of December 31, 2020 and 2019 are considered restricted net assets.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obligations under the Credit Agreement are guaranteed by the Company and certain domestic subsidiaries of the Company and secured by liens on substantially all of the assets of the Loan Parties, subject to certain exclusions and limitations.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April 20, 2020, the Company received funds under the Paycheck Protection Program (the “Program”) in the amount of $3.5 million. Although the Company believes that it met all eligibility criteria for a loan under the Program at the time of its application, subsequent to receiving the funds, the Small Business Administration (“SBA”), in consultation with the Department of the Treasury (“Treasury”), provided additional guidance to address public, borrower and lender questions concerning the eligibility criteria under the Program. Based on this guidance provided by the SBA and Treasury, the Company returned the funds received under the Program on April 29, 2020.</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indebtedness could adversely affect our ability to raise additional capital, limit our ability to react to changes in the economy or our industry, expose us to interest rate risk and prevent us from meeting our obligations. See “</w:t>
      </w:r>
      <w:r>
        <w:rPr>
          <w:rFonts w:ascii="Arial" w:cs="Arial" w:eastAsia="Arial" w:hAnsi="Arial"/>
          <w:sz w:val="18"/>
          <w:szCs w:val="18"/>
          <w:i w:val="1"/>
          <w:iCs w:val="1"/>
          <w:color w:val="auto"/>
        </w:rPr>
        <w:t>Risk Factors—Risks Relating to Our</w:t>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Indebtedness—We have a substantial amount of indebtedness, which may limit our operating flexibility and could adversely affect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to our cash flows for the periods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37"/>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Statement of Cash Flows Data:</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52,534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19,838</w:t>
            </w: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(5,451)</w:t>
            </w: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(1,113)</w:t>
            </w: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7"/>
        </w:trPr>
        <w:tc>
          <w:tcPr>
            <w:tcW w:w="4220" w:type="dxa"/>
            <w:vAlign w:val="bottom"/>
          </w:tcPr>
          <w:p>
            <w:pPr>
              <w:ind w:left="20"/>
              <w:spacing w:after="0"/>
              <w:rPr>
                <w:sz w:val="20"/>
                <w:szCs w:val="20"/>
                <w:color w:val="auto"/>
              </w:rPr>
            </w:pPr>
            <w:r>
              <w:rPr>
                <w:rFonts w:ascii="Arial" w:cs="Arial" w:eastAsia="Arial" w:hAnsi="Arial"/>
                <w:sz w:val="18"/>
                <w:szCs w:val="18"/>
                <w:color w:val="auto"/>
              </w:rPr>
              <w:t>Net (decrease) increase in cash</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13,234</w:t>
            </w:r>
          </w:p>
        </w:tc>
      </w:tr>
      <w:tr>
        <w:trPr>
          <w:trHeight w:val="23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beginning of the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86,117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59,795</w:t>
            </w: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Cash, end of the year</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86,117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73,029</w:t>
            </w:r>
          </w:p>
        </w:tc>
      </w:tr>
      <w:tr>
        <w:trPr>
          <w:trHeight w:val="20"/>
        </w:trPr>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cash used in operating activities was $0.9 million for the year ended December 31, 2020, a decrease of $53.4 million from net cash provided by operating activities of $52.5 million for the year ended December 31, 2019. The decrease of $53.4 million is a result of $66.3 million related to changes in working capital, primarily due to prefunding activity with our paying agents, offset by $12.9 million of cash generated by our operating results for the year ended December 31, 2020, which were positively impacted by the further growth of the business.</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cash provided by operating activities was $52.5 million for the year ended December 31, 2019, an increase of $32.7 million from $19.8 million for the year ended December 31, 2018. The increase of $32.7 million is a result of additional cash generated by our operating results for the year ended December 31, 2019, which were positively impacted by the further growth of the business, and also $15.5 million related to changes in working capital.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was $4.1 million for the year ended December 31, 2020, a decrease of $2.6 million from $6.7 million for the year ended December 31, 2019. This decrease in cash used was primarily due to lower purchases of property and equipment, partially as a result of the COVID-19 pandemic, and no acquisitions of agent locations during the year ended December 31, 2020.</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investing activities was $6.7 million for the year ended December 31, 2019, an increase of $1.2 million from $5.5 million for the year ended December 31, 2018. This increase in cash used was primarily due to higher purchases of property and equipment during the year ended December 31, 2019 consistent with the growth of our agent network and IT department infrastructure.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cash used in financing activities was $6.2 million for the year ended December 31, 2020, which consisted of scheduled quarterly repayments due on the term loan facility, offset by proceeds from issuance of stock as a result of the exercise of options.</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Net cash used in financing activities was $32.9 million for the year ended December 31, 2019, which consisted primarily of $30.0 million in revolving credit line repayments, $10.0 million related to payments made in connection with the Warrants Offer and $5.0 million of quarterly payments due on the term loan facility, partially offset by $12.0 million in borrowings under the Credit Agreement.</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cash used in financing activities was $1.1 million for the year ended December 31, 2018. The year ended December 31, 2018 included the repayment of the term loan of $95.8 million, the payment of $3.5 million in debt origination costs and $1.8 million of a prepayment penalty, offset by borrowings of $90.0 million as part of the refinancing of a former senior secured credit facility, $10.0 million of net borrowings under the revolving facility and net proceeds related to the Merger.</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includes aggregated information about contractual obligations that affect our liquidity and capital needs. At December 31, 2020, our contractual obligations over the next several periods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Less than</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ind w:left="20"/>
              <w:spacing w:after="0"/>
              <w:rPr>
                <w:sz w:val="20"/>
                <w:szCs w:val="20"/>
                <w:color w:val="auto"/>
              </w:rPr>
            </w:pPr>
            <w:r>
              <w:rPr>
                <w:rFonts w:ascii="Arial" w:cs="Arial" w:eastAsia="Arial" w:hAnsi="Arial"/>
                <w:sz w:val="18"/>
                <w:szCs w:val="18"/>
                <w:b w:val="1"/>
                <w:bCs w:val="1"/>
                <w:color w:val="auto"/>
              </w:rPr>
              <w:t>More than 5</w:t>
            </w:r>
          </w:p>
        </w:tc>
      </w:tr>
      <w:tr>
        <w:trPr>
          <w:trHeight w:val="237"/>
        </w:trPr>
        <w:tc>
          <w:tcPr>
            <w:tcW w:w="29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1 year</w:t>
            </w:r>
          </w:p>
        </w:tc>
        <w:tc>
          <w:tcPr>
            <w:tcW w:w="140" w:type="dxa"/>
            <w:vAlign w:val="bottom"/>
          </w:tcPr>
          <w:p>
            <w:pPr>
              <w:spacing w:after="0"/>
              <w:rPr>
                <w:sz w:val="20"/>
                <w:szCs w:val="20"/>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b w:val="1"/>
                <w:bCs w:val="1"/>
                <w:color w:val="auto"/>
              </w:rPr>
              <w:t>1 to 3 years</w:t>
            </w:r>
          </w:p>
        </w:tc>
        <w:tc>
          <w:tcPr>
            <w:tcW w:w="12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3 to 5 years</w:t>
            </w:r>
          </w:p>
        </w:tc>
        <w:tc>
          <w:tcPr>
            <w:tcW w:w="120" w:type="dxa"/>
            <w:vAlign w:val="bottom"/>
          </w:tcPr>
          <w:p>
            <w:pPr>
              <w:spacing w:after="0"/>
              <w:rPr>
                <w:sz w:val="20"/>
                <w:szCs w:val="20"/>
                <w:color w:val="auto"/>
              </w:rPr>
            </w:pPr>
          </w:p>
        </w:tc>
        <w:tc>
          <w:tcPr>
            <w:tcW w:w="1080" w:type="dxa"/>
            <w:vAlign w:val="bottom"/>
          </w:tcPr>
          <w:p>
            <w:pPr>
              <w:ind w:left="280"/>
              <w:spacing w:after="0"/>
              <w:rPr>
                <w:sz w:val="20"/>
                <w:szCs w:val="20"/>
                <w:color w:val="auto"/>
              </w:rPr>
            </w:pPr>
            <w:r>
              <w:rPr>
                <w:rFonts w:ascii="Arial" w:cs="Arial" w:eastAsia="Arial" w:hAnsi="Arial"/>
                <w:sz w:val="18"/>
                <w:szCs w:val="18"/>
                <w:b w:val="1"/>
                <w:bCs w:val="1"/>
                <w:color w:val="auto"/>
              </w:rPr>
              <w:t>years</w:t>
            </w:r>
          </w:p>
        </w:tc>
      </w:tr>
      <w:tr>
        <w:trPr>
          <w:trHeight w:val="229"/>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principal payments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89,383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81,722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2960" w:type="dxa"/>
            <w:vAlign w:val="bottom"/>
          </w:tcPr>
          <w:p>
            <w:pPr>
              <w:ind w:left="20"/>
              <w:spacing w:after="0"/>
              <w:rPr>
                <w:sz w:val="20"/>
                <w:szCs w:val="20"/>
                <w:color w:val="auto"/>
              </w:rPr>
            </w:pPr>
            <w:r>
              <w:rPr>
                <w:rFonts w:ascii="Arial" w:cs="Arial" w:eastAsia="Arial" w:hAnsi="Arial"/>
                <w:sz w:val="18"/>
                <w:szCs w:val="18"/>
                <w:color w:val="auto"/>
              </w:rPr>
              <w:t>Interest payments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7"/>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Non-cancelable operating leases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105,292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90,501</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w:t>
            </w:r>
          </w:p>
        </w:tc>
      </w:tr>
      <w:tr>
        <w:trPr>
          <w:trHeight w:val="20"/>
        </w:trPr>
        <w:tc>
          <w:tcPr>
            <w:tcW w:w="2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consolidated balance sheet reflects $87.6 million of debt as of December 31, 2020, as the principal payment obligations of $89.4 million are gross of unamortized debt origination costs of $1.8 million. The above table reflects the principal and interest of the revolver and term loan under the Credit Agreement that will be paid through the maturity of the debt using the rates in effect on December 31, 2020 and assuming no voluntary prepayments of principal.</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Non-cancelable operating leases include various office leases, including our office headquarters.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not a party to any material off-balance sheet arrangements, such as guarantee contracts, retained or contingent interests, certain derivative instruments and variable interest entities that either have, or are reasonably likely to have, a current or future material effect on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The preparation of financial statements in accordance with accounting principles generally accepted in the United States requires management to make estimates and assumptions about future events that affect amounts reported in our consolidated financial statements and related notes, as well as the related disclosure of contingent assets and liabilities at the date of the financial statements. Management evaluates its accounting policies, estimates and judgments on an on-going basis. Management bases its estimates and judgments on historical experience and various other factors that are believed to be reasonable under the circumstances. Actual results may differ from these estimates under different assumptions and conditions. Our significant accounting policies are discussed in Part II, Item 8, </w:t>
      </w:r>
      <w:r>
        <w:rPr>
          <w:rFonts w:ascii="Arial" w:cs="Arial" w:eastAsia="Arial" w:hAnsi="Arial"/>
          <w:sz w:val="16"/>
          <w:szCs w:val="16"/>
          <w:i w:val="1"/>
          <w:iCs w:val="1"/>
          <w:color w:val="auto"/>
        </w:rPr>
        <w:t>Financial Statements and Supplementary Data, Note 2, “Summary of Significant Accounting Policies.”</w:t>
      </w:r>
    </w:p>
    <w:p>
      <w:pPr>
        <w:spacing w:after="0" w:line="16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Critical accounting policies are those policies that management believes are very important to the portrayal of our financial position and results of operations, and that require management to make estimates that are difficult, subjective or otherwise complex. Based on these criteria, management has identified the following critical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Revenues for wire transfer and money order fees are recognized at the time the transaction is processed. The Company acts as the principal for these transactions as the Company controls the service at all times prior to transferring the funds to the beneficiary, is primarily responsible for fulfilling the customer contracts, has the risk of loss and has the ability to establish transaction prices. Therefore, these fees are recognized on a gross basis equal to the full amount of the fee charged to the customer. These fees also vary by transaction primarily depending upon, the principal amount sent, the send and receive locations, as well as the respective currencies of the send and receive locations. Foreign exchange gain, which represents the difference between the exchange rate set by the Company and the rate realized, is recognized upon the disbursement of U.S. dollars to entities from which the Company is acquiring foreign currency. Other income primarily represents revenues for technology services provided to the independent network of agents who utilize the Company’s technology in processing transactions and check cashing services, for which revenue is derived by a fee per transaction.</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On January 1, 2019, the Company adopted the new accounting standard, Revenue from Contracts with Customers, as amended, which modified the existing accounting standards for revenue recognition. Refer to Part II, Item 8, </w:t>
      </w:r>
      <w:r>
        <w:rPr>
          <w:rFonts w:ascii="Arial" w:cs="Arial" w:eastAsia="Arial" w:hAnsi="Arial"/>
          <w:sz w:val="18"/>
          <w:szCs w:val="18"/>
          <w:i w:val="1"/>
          <w:iCs w:val="1"/>
          <w:color w:val="auto"/>
        </w:rPr>
        <w:t>Financial Statements and Supplementary Data, Note 4, “Revenue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Standard” </w:t>
      </w:r>
      <w:r>
        <w:rPr>
          <w:rFonts w:ascii="Arial" w:cs="Arial" w:eastAsia="Arial" w:hAnsi="Arial"/>
          <w:sz w:val="18"/>
          <w:szCs w:val="18"/>
          <w:color w:val="auto"/>
        </w:rPr>
        <w:t>for further information about the impact of the adoption of this new accounting standard.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Accounts receivable are recorded upon initiation of the wire transfer and are typically due to us within five days. We maintain an allowance for credit losses for estimated losses resulting primarily from the inability of our sending agents to make required payments. When preparing these estimates, we consider a number of factors, including the aging of a sending agent’s account, creditworthiness of specific sending agents, historical trends and other information. We review our allowance for credit losses policy periodically, reflecting current risks and changes in industry conditions and, when necessary, will increase our allowance for credit losses and recognize a</w:t>
      </w:r>
    </w:p>
    <w:p>
      <w:pPr>
        <w:sectPr>
          <w:pgSz w:w="11900" w:h="16838" w:orient="portrait"/>
          <w:cols w:equalWidth="0" w:num="1">
            <w:col w:w="11240"/>
          </w:cols>
          <w:pgMar w:left="320" w:top="125" w:right="339" w:bottom="1440"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8" w:name="page49"/>
    <w:bookmarkEnd w:id="4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provision for bad debt expense, included in other selling, general and administrative expenses in the consolidated statements of operations and comprehensive income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and intangible assets result primarily from business combination acquisitions. Intangible assets include agent relationships, trade name, developed technology and other intangibles, all with finite lives. Our agent relationships, trade name and developed technology are currently amortized utilizing an accelerated method over their estimated useful lives. Other intangible assets are amortized straight-line over a useful life of 10 years. Upon the acquisition, the purchase price is first allocated to identifiable assets and liabilities, including the trade name and other intangibles, with any remaining purchase price recorded as goodwill.</w:t>
      </w:r>
    </w:p>
    <w:p>
      <w:pPr>
        <w:spacing w:after="0" w:line="1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Goodwill is not amortized, rather, an impairment test is conducted on an annual basis, at the beginning of the fourth quarter, or more frequently if indicators of impairment are present. For purposes of the annual impairment test, management initially performs a qualitative assessment, which includes consideration of the economic, industry and market conditions in addition to our overall financial performance and the performance of these assets. If our qualitative assessment does not conclude that it is more likely than not that the estimated fair value of the reporting unit is greater than the carrying value, we perform a quantitative analysis. In a quantitative test, the fair value of a reporting unit is determined based on a discounted cash flow analysis. A discounted cash flow analysis requires us to make various assumptions, including assumptions about future cash flows, growth rates and discount rates. The assumptions about future cash flows and growth rates are based on our long-term projections. Assumptions used in our impairment testing are consistent with our internal forecasts and operating plans. If the fair value of the reporting unit exceeds its carrying amount, there is no impairment. If not, we compare the implied fair value of goodwill with its carrying amount. To the extent the carrying amount exceeds its implied fair value, an impairment charge would be necessary.</w:t>
      </w:r>
    </w:p>
    <w:p>
      <w:pPr>
        <w:spacing w:after="0" w:line="1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review for impairment indicators of finite-lived intangibles and other long-lived assets whenever events or changes in circumstances indicate that the carrying amount of an asset may not be recoverable.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account for income taxes in accordance with GAAP which require, among other things, recognition of future tax benefits measured at enacted tax rates attributable to deductible temporary differences between financial statement and income tax bases of assets and liabilities and to tax net operating loss carryforwards to the extent that realization of said benefits is more likely than not.</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account for tax contingencies by assessing all material positions, including all significant uncertain positions, for all tax years that are open to assessment or challenge under tax statutes. Those positions that have only timing consequences are separately analyzed based on the recognition and measurement model provided in the tax guidance.</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required by the uncertain tax position guidance, we recognize the financial statement benefit of a position only after determining that the relevant tax authority would more likely than not sustain the positions following an audit. For tax positions meeting the more likely-than-not threshold, the amount recognized in the financial statements is the largest benefit that has a greater than 50 percent likelihood of being realized upon ultimate settlement with the relevant tax authority. We are subject to income taxes in the U.S. federal jurisdiction and various state jurisdictions. Tax regulations within each jurisdiction are subject to the interpretation of the related tax laws and regulations and require significant judgment to apply. We apply the uncertain tax position guidance to all tax positions for which the statute of limitations remains open. Our policy is to classify interest accrued as interest expense and penalties as operating expenses.</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foreign subsidiaries are subject to taxes by local tax authorities.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Refer to Part II, Item 8, </w:t>
      </w:r>
      <w:r>
        <w:rPr>
          <w:rFonts w:ascii="Arial" w:cs="Arial" w:eastAsia="Arial" w:hAnsi="Arial"/>
          <w:sz w:val="16"/>
          <w:szCs w:val="16"/>
          <w:i w:val="1"/>
          <w:iCs w:val="1"/>
          <w:color w:val="auto"/>
        </w:rPr>
        <w:t>Financial Statements and Supplementary Data, Note 2, “Summary of Significant Accounting Policies”</w:t>
      </w:r>
      <w:r>
        <w:rPr>
          <w:rFonts w:ascii="Arial" w:cs="Arial" w:eastAsia="Arial" w:hAnsi="Arial"/>
          <w:sz w:val="16"/>
          <w:szCs w:val="16"/>
          <w:color w:val="auto"/>
        </w:rPr>
        <w:t>, for further discussion.</w:t>
      </w:r>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manage foreign currency risk through the structure of the business and an active risk management process. We currently settle with our payers in Latin America primarily by entering into foreign exchange spot transactions with local and foreign currency providers (“counterparties”). The foreign currency exposure on our foreign exchange spot transactions is limited by the fact that all transactions are settled within two business days from trade date. Foreign currency fluctuations, however, may negatively affect our average exchange gain per transaction.</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9" w:name="page50"/>
    <w:bookmarkEnd w:id="4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included in wire transfers and money orders payable, net in our consolidated balance sheets as of December 31, 2020 and 2019, there are $7.6 million and $12.6 million, respectively, of wire transfers payable denominated in foreign currencies, primarily in Mexican pesos and Guatemalan quetzales.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Also, included in prepaid wires, net in our consolidated balance sheets as of December 31, 2020 and 2019, there are $50.1 million and $16.4 million, respectively, of prepaid wires denominated in foreign currencies, primarily in Mexican pesos and Guatemalan quetzales.</w:t>
      </w:r>
    </w:p>
    <w:p>
      <w:pPr>
        <w:spacing w:after="0" w:line="17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also exposed to changes in currency rates as a result of our investments in foreign operations and revenues generated in currencies other than the U.S. dollar. Revenues and profits generated by international operations will increase or decrease because of changes in foreign currency exchange rates. This foreign currency risk is related primarily to our operations in our foreign subsidiaries. Revenues from our foreign subsidiaries represent less than 1% of our consolidated revenues for the year ended December 31, 2020. Therefore, a 10% increase or decrease in these currency rates against the U.S. Dollar would result in a de minimis change to our overall operating results.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spot and average exchange rates for Mexico, Guatemala and Canada currencies to U.S. dollar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580" w:type="dxa"/>
            <w:vAlign w:val="bottom"/>
          </w:tcPr>
          <w:p>
            <w:pPr>
              <w:spacing w:after="0"/>
              <w:rPr>
                <w:sz w:val="19"/>
                <w:szCs w:val="19"/>
                <w:color w:val="auto"/>
              </w:rPr>
            </w:pPr>
          </w:p>
        </w:tc>
        <w:tc>
          <w:tcPr>
            <w:tcW w:w="208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19"/>
                <w:szCs w:val="19"/>
                <w:color w:val="auto"/>
              </w:rPr>
            </w:pPr>
          </w:p>
        </w:tc>
        <w:tc>
          <w:tcPr>
            <w:tcW w:w="21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212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2018</w:t>
            </w:r>
          </w:p>
        </w:tc>
      </w:tr>
      <w:tr>
        <w:trPr>
          <w:trHeight w:val="245"/>
        </w:trPr>
        <w:tc>
          <w:tcPr>
            <w:tcW w:w="2580" w:type="dxa"/>
            <w:vAlign w:val="bottom"/>
          </w:tcPr>
          <w:p>
            <w:pPr>
              <w:spacing w:after="0"/>
              <w:rPr>
                <w:sz w:val="21"/>
                <w:szCs w:val="21"/>
                <w:color w:val="auto"/>
              </w:rPr>
            </w:pPr>
          </w:p>
        </w:tc>
        <w:tc>
          <w:tcPr>
            <w:tcW w:w="1080" w:type="dxa"/>
            <w:vAlign w:val="bottom"/>
            <w:gridSpan w:val="2"/>
          </w:tcPr>
          <w:p>
            <w:pPr>
              <w:ind w:left="240"/>
              <w:spacing w:after="0" w:line="237" w:lineRule="exact"/>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260" w:type="dxa"/>
            <w:vAlign w:val="bottom"/>
            <w:gridSpan w:val="2"/>
          </w:tcPr>
          <w:p>
            <w:pPr>
              <w:ind w:left="120"/>
              <w:spacing w:after="0" w:line="237" w:lineRule="exact"/>
              <w:rPr>
                <w:sz w:val="20"/>
                <w:szCs w:val="20"/>
                <w:color w:val="auto"/>
              </w:rPr>
            </w:pPr>
            <w:r>
              <w:rPr>
                <w:rFonts w:ascii="Arial" w:cs="Arial" w:eastAsia="Arial" w:hAnsi="Arial"/>
                <w:sz w:val="18"/>
                <w:szCs w:val="18"/>
                <w:b w:val="1"/>
                <w:bCs w:val="1"/>
                <w:color w:val="auto"/>
              </w:rPr>
              <w:t>Average</w:t>
            </w:r>
            <w:r>
              <w:rPr>
                <w:rFonts w:ascii="Arial" w:cs="Arial" w:eastAsia="Arial" w:hAnsi="Arial"/>
                <w:sz w:val="23"/>
                <w:szCs w:val="23"/>
                <w:b w:val="1"/>
                <w:bCs w:val="1"/>
                <w:color w:val="auto"/>
                <w:vertAlign w:val="superscript"/>
              </w:rPr>
              <w:t>(2)</w:t>
            </w:r>
          </w:p>
        </w:tc>
        <w:tc>
          <w:tcPr>
            <w:tcW w:w="1100" w:type="dxa"/>
            <w:vAlign w:val="bottom"/>
            <w:gridSpan w:val="2"/>
          </w:tcPr>
          <w:p>
            <w:pPr>
              <w:ind w:left="260"/>
              <w:spacing w:after="0" w:line="237" w:lineRule="exact"/>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280" w:type="dxa"/>
            <w:vAlign w:val="bottom"/>
            <w:gridSpan w:val="2"/>
          </w:tcPr>
          <w:p>
            <w:pPr>
              <w:ind w:left="140"/>
              <w:spacing w:after="0" w:line="237" w:lineRule="exact"/>
              <w:rPr>
                <w:sz w:val="20"/>
                <w:szCs w:val="20"/>
                <w:color w:val="auto"/>
              </w:rPr>
            </w:pPr>
            <w:r>
              <w:rPr>
                <w:rFonts w:ascii="Arial" w:cs="Arial" w:eastAsia="Arial" w:hAnsi="Arial"/>
                <w:sz w:val="18"/>
                <w:szCs w:val="18"/>
                <w:b w:val="1"/>
                <w:bCs w:val="1"/>
                <w:color w:val="auto"/>
              </w:rPr>
              <w:t>Average</w:t>
            </w:r>
            <w:r>
              <w:rPr>
                <w:rFonts w:ascii="Arial" w:cs="Arial" w:eastAsia="Arial" w:hAnsi="Arial"/>
                <w:sz w:val="23"/>
                <w:szCs w:val="23"/>
                <w:b w:val="1"/>
                <w:bCs w:val="1"/>
                <w:color w:val="auto"/>
                <w:vertAlign w:val="superscript"/>
              </w:rPr>
              <w:t>(2)</w:t>
            </w:r>
          </w:p>
        </w:tc>
        <w:tc>
          <w:tcPr>
            <w:tcW w:w="1100" w:type="dxa"/>
            <w:vAlign w:val="bottom"/>
            <w:gridSpan w:val="2"/>
          </w:tcPr>
          <w:p>
            <w:pPr>
              <w:ind w:left="260"/>
              <w:spacing w:after="0" w:line="237" w:lineRule="exact"/>
              <w:rPr>
                <w:sz w:val="20"/>
                <w:szCs w:val="20"/>
                <w:color w:val="auto"/>
              </w:rPr>
            </w:pPr>
            <w:r>
              <w:rPr>
                <w:rFonts w:ascii="Arial" w:cs="Arial" w:eastAsia="Arial" w:hAnsi="Arial"/>
                <w:sz w:val="18"/>
                <w:szCs w:val="18"/>
                <w:b w:val="1"/>
                <w:bCs w:val="1"/>
                <w:color w:val="auto"/>
              </w:rPr>
              <w:t>Spot</w:t>
            </w:r>
            <w:r>
              <w:rPr>
                <w:rFonts w:ascii="Arial" w:cs="Arial" w:eastAsia="Arial" w:hAnsi="Arial"/>
                <w:sz w:val="23"/>
                <w:szCs w:val="23"/>
                <w:b w:val="1"/>
                <w:bCs w:val="1"/>
                <w:color w:val="auto"/>
                <w:vertAlign w:val="superscript"/>
              </w:rPr>
              <w:t>(1)</w:t>
            </w:r>
          </w:p>
        </w:tc>
        <w:tc>
          <w:tcPr>
            <w:tcW w:w="1020" w:type="dxa"/>
            <w:vAlign w:val="bottom"/>
          </w:tcPr>
          <w:p>
            <w:pPr>
              <w:jc w:val="right"/>
              <w:ind w:right="30"/>
              <w:spacing w:after="0" w:line="237" w:lineRule="exact"/>
              <w:rPr>
                <w:sz w:val="20"/>
                <w:szCs w:val="20"/>
                <w:color w:val="auto"/>
              </w:rPr>
            </w:pPr>
            <w:r>
              <w:rPr>
                <w:rFonts w:ascii="Arial" w:cs="Arial" w:eastAsia="Arial" w:hAnsi="Arial"/>
                <w:sz w:val="18"/>
                <w:szCs w:val="18"/>
                <w:b w:val="1"/>
                <w:bCs w:val="1"/>
                <w:color w:val="auto"/>
                <w:w w:val="97"/>
              </w:rPr>
              <w:t>Average</w:t>
            </w:r>
            <w:r>
              <w:rPr>
                <w:rFonts w:ascii="Arial" w:cs="Arial" w:eastAsia="Arial" w:hAnsi="Arial"/>
                <w:sz w:val="23"/>
                <w:szCs w:val="23"/>
                <w:b w:val="1"/>
                <w:bCs w:val="1"/>
                <w:color w:val="auto"/>
                <w:w w:val="97"/>
                <w:vertAlign w:val="superscript"/>
              </w:rPr>
              <w:t>(2)</w:t>
            </w:r>
          </w:p>
        </w:tc>
      </w:tr>
      <w:tr>
        <w:trPr>
          <w:trHeight w:val="229"/>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dollar/Mexico Peso</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2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2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U.S. dollar/Guatemala Quetzal</w:t>
            </w:r>
          </w:p>
        </w:tc>
        <w:tc>
          <w:tcPr>
            <w:tcW w:w="980" w:type="dxa"/>
            <w:vAlign w:val="bottom"/>
          </w:tcPr>
          <w:p>
            <w:pPr>
              <w:jc w:val="right"/>
              <w:spacing w:after="0"/>
              <w:rPr>
                <w:sz w:val="20"/>
                <w:szCs w:val="20"/>
                <w:color w:val="auto"/>
              </w:rPr>
            </w:pPr>
            <w:r>
              <w:rPr>
                <w:rFonts w:ascii="Arial" w:cs="Arial" w:eastAsia="Arial" w:hAnsi="Arial"/>
                <w:sz w:val="18"/>
                <w:szCs w:val="18"/>
                <w:color w:val="auto"/>
              </w:rPr>
              <w:t>7.79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7.71</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7.69</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229"/>
        </w:trPr>
        <w:tc>
          <w:tcPr>
            <w:tcW w:w="2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U.S. dollar/Canadian Dollar</w:t>
            </w:r>
            <w:r>
              <w:rPr>
                <w:rFonts w:ascii="Arial" w:cs="Arial" w:eastAsia="Arial" w:hAnsi="Arial"/>
                <w:sz w:val="23"/>
                <w:szCs w:val="23"/>
                <w:color w:val="auto"/>
                <w:vertAlign w:val="superscript"/>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60"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Spot exchange rates are as of December 31, 2020, 2019 and 2018.</w:t>
      </w:r>
    </w:p>
    <w:p>
      <w:pPr>
        <w:spacing w:after="0" w:line="1"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Average exchange rates are for the years ended December 31, 2020, 2019 and 2018.</w:t>
      </w:r>
    </w:p>
    <w:p>
      <w:pPr>
        <w:spacing w:after="0" w:line="2"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26"/>
        </w:numPr>
        <w:rPr>
          <w:rFonts w:ascii="Arial" w:cs="Arial" w:eastAsia="Arial" w:hAnsi="Arial"/>
          <w:sz w:val="23"/>
          <w:szCs w:val="23"/>
          <w:color w:val="auto"/>
          <w:vertAlign w:val="superscript"/>
        </w:rPr>
      </w:pPr>
      <w:r>
        <w:rPr>
          <w:rFonts w:ascii="Arial" w:cs="Arial" w:eastAsia="Arial" w:hAnsi="Arial"/>
          <w:sz w:val="18"/>
          <w:szCs w:val="18"/>
          <w:color w:val="auto"/>
        </w:rPr>
        <w:t>We commenced operations in Canada during 2019, therefore we did not include information prior to this year.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Long-term sustained appreciation of the Mexican peso or Guatemalan quetzal as compared to the U.S. dollar could affect our margins.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Beginning in March 2020, we have experienced increased volatility in the U.S. dollar/Mexican peso rates related to economic effects of the COVID-19 pandemic, as well as actions taken by governments and central banks in response to the pandemic. We cannot, however, reasonably estimate the duration or extent of that volatility.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Interest on the term loan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Because interest expense is subject to fluctuation, if interest rates increase, our debt service obligations on such variable rate indebtedness would increase even though the amount borrowed remained the same. Accordingly, an increase in interest rates would adversely affect our profitability. Due to the economic effects of the COVID-19 pandemic, market interest rates have declined significantly, with the 10-year Treasury bond yield falling below 1.00% on March 3, 2020 and averaging 0.89% for the year ended December 31, 2020, and the 30-day LIBOR rate decreasing to 0.15% as of December 31, 2020, favorably affecting interest expense on the variable-rate portion of our debt for the year ended December 31, 2020. We cannot predict, however, whether or for how long interest rates will remain at these low levels.</w:t>
      </w:r>
    </w:p>
    <w:p>
      <w:pPr>
        <w:spacing w:after="0" w:line="16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December 31, 2020, we had $89.4 million in outstanding borrowings under the term loan. A hypothetical 1% increase or decrease in the interest rate on our indebtedness as of December 31, 2020 would have increased or decreased cash interest expense on our term loan by approximately $0.9 million per annum.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certain cash balances in various U.S. banks, which at times, may exceed federally insured limits. We have not incurred any losses on these accounts. In addition, we maintain various bank accounts in Mexico, Guatemala and Canada, which are not insured. During the year ended December 31, 2020, we have not incurred material losses on these uninsured accounts. To manage our exposures to credit risk with respect to cash balances and other credit risk exposures resulting from our relationships with banks and financial institutions, we regularly review cash concentrations, and we attempt to diversify our cash balances among global financial institutions.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also exposed to credit risk related to receivable balances from sending agents. We perform a credit review before each agent signing and conduct ongoing analyses of sending agents and certain other parties we transact with directly. As of December 31, 2020, we also had $1.5 million outstanding of notes receivable from sending agents. Most of the notes are collateralized by personal guarantees from the sending agents and by assets from their businesses. Due to the COVID-19 pandemic, it is possible we could be adversely affected by</w:t>
      </w:r>
    </w:p>
    <w:p>
      <w:pPr>
        <w:sectPr>
          <w:pgSz w:w="11900" w:h="16838" w:orient="portrait"/>
          <w:cols w:equalWidth="0" w:num="1">
            <w:col w:w="11240"/>
          </w:cols>
          <w:pgMar w:left="320" w:top="125" w:right="339"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0" w:name="page51"/>
    <w:bookmarkEnd w:id="5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credit losses, such as those related to our outstanding notes receivables from sending agents. At the date of this report, however, we are not aware of any significant exposure and are continuing to monitor our credit risk.</w:t>
      </w:r>
    </w:p>
    <w:p>
      <w:pPr>
        <w:spacing w:after="0" w:line="170"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6"/>
          <w:szCs w:val="16"/>
          <w:color w:val="auto"/>
        </w:rPr>
        <w:t>Our provision for bad debt was approximately $1.8 million for the year ended December 31, 2020 (0.5% of total revenues), $1.6 million for the year ended December 31, 2019 (0.5% of total revenues) and $1.2 million for the year ended December 31, 2018 (0.5% of total revenues). The increase in our provision for bad debt in the year ended December 31, 2020 is consistent with the increase in account receivable balances due to our growth in volume.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8760" w:type="dxa"/>
            <w:vAlign w:val="bottom"/>
          </w:tcPr>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8760" w:type="dxa"/>
            <w:vAlign w:val="bottom"/>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60" w:type="dxa"/>
            <w:vAlign w:val="bottom"/>
          </w:tcPr>
          <w:p>
            <w:pPr>
              <w:ind w:left="3840"/>
              <w:spacing w:after="0"/>
              <w:rPr>
                <w:sz w:val="20"/>
                <w:szCs w:val="20"/>
                <w:color w:val="auto"/>
              </w:rPr>
            </w:pPr>
            <w:r>
              <w:rPr>
                <w:rFonts w:ascii="Arial" w:cs="Arial" w:eastAsia="Arial" w:hAnsi="Arial"/>
                <w:sz w:val="18"/>
                <w:szCs w:val="18"/>
                <w:b w:val="1"/>
                <w:bCs w:val="1"/>
                <w:color w:val="auto"/>
              </w:rPr>
              <w:t>INTERNATIONAL MONEY EXPRESS, INC.</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60" w:type="dxa"/>
            <w:vAlign w:val="bottom"/>
          </w:tcPr>
          <w:p>
            <w:pPr>
              <w:ind w:left="3280"/>
              <w:spacing w:after="0"/>
              <w:rPr>
                <w:sz w:val="20"/>
                <w:szCs w:val="20"/>
                <w:color w:val="auto"/>
              </w:rPr>
            </w:pPr>
            <w:r>
              <w:rPr>
                <w:rFonts w:ascii="Arial" w:cs="Arial" w:eastAsia="Arial" w:hAnsi="Arial"/>
                <w:sz w:val="18"/>
                <w:szCs w:val="18"/>
                <w:b w:val="1"/>
                <w:bCs w:val="1"/>
                <w:color w:val="auto"/>
              </w:rPr>
              <w:t>INDEX TO CONSOLIDATED FINANCIAL STATEMENTS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20"/>
              <w:spacing w:after="0"/>
              <w:rPr>
                <w:rFonts w:ascii="Arial" w:cs="Arial" w:eastAsia="Arial" w:hAnsi="Arial"/>
                <w:sz w:val="18"/>
                <w:szCs w:val="18"/>
                <w:color w:val="0000FF"/>
              </w:rPr>
            </w:pPr>
            <w:hyperlink w:anchor="page52">
              <w:r>
                <w:rPr>
                  <w:rFonts w:ascii="Arial" w:cs="Arial" w:eastAsia="Arial" w:hAnsi="Arial"/>
                  <w:sz w:val="18"/>
                  <w:szCs w:val="18"/>
                  <w:color w:val="0000FF"/>
                </w:rPr>
                <w:t>Report of Independent Registered Public Accounting Firm</w:t>
              </w:r>
            </w:hyperlink>
          </w:p>
        </w:tc>
        <w:tc>
          <w:tcPr>
            <w:tcW w:w="660" w:type="dxa"/>
            <w:vAlign w:val="bottom"/>
            <w:shd w:val="clear" w:color="auto" w:fill="CCEEFF"/>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F-1</w:t>
              </w:r>
            </w:hyperlink>
          </w:p>
        </w:tc>
        <w:tc>
          <w:tcPr>
            <w:tcW w:w="0" w:type="dxa"/>
            <w:vAlign w:val="bottom"/>
          </w:tcPr>
          <w:p>
            <w:pPr>
              <w:spacing w:after="0"/>
              <w:rPr>
                <w:sz w:val="1"/>
                <w:szCs w:val="1"/>
                <w:color w:val="auto"/>
              </w:rPr>
            </w:pPr>
          </w:p>
        </w:tc>
      </w:tr>
      <w:tr>
        <w:trPr>
          <w:trHeight w:val="229"/>
        </w:trPr>
        <w:tc>
          <w:tcPr>
            <w:tcW w:w="8760" w:type="dxa"/>
            <w:vAlign w:val="bottom"/>
          </w:tcPr>
          <w:p>
            <w:pPr>
              <w:ind w:left="20"/>
              <w:spacing w:after="0"/>
              <w:rPr>
                <w:rFonts w:ascii="Arial" w:cs="Arial" w:eastAsia="Arial" w:hAnsi="Arial"/>
                <w:sz w:val="18"/>
                <w:szCs w:val="18"/>
                <w:color w:val="0000FF"/>
              </w:rPr>
            </w:pPr>
            <w:hyperlink w:anchor="page53">
              <w:r>
                <w:rPr>
                  <w:rFonts w:ascii="Arial" w:cs="Arial" w:eastAsia="Arial" w:hAnsi="Arial"/>
                  <w:sz w:val="18"/>
                  <w:szCs w:val="18"/>
                  <w:color w:val="0000FF"/>
                </w:rPr>
                <w:t>Consolidated Balance Sheets as of December 31, 2020 and 2019</w:t>
              </w:r>
            </w:hyperlink>
          </w:p>
        </w:tc>
        <w:tc>
          <w:tcPr>
            <w:tcW w:w="660" w:type="dxa"/>
            <w:vAlign w:val="bottom"/>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F-2</w:t>
              </w:r>
            </w:hyperlink>
          </w:p>
        </w:tc>
        <w:tc>
          <w:tcPr>
            <w:tcW w:w="0" w:type="dxa"/>
            <w:vAlign w:val="bottom"/>
          </w:tcPr>
          <w:p>
            <w:pPr>
              <w:spacing w:after="0"/>
              <w:rPr>
                <w:sz w:val="1"/>
                <w:szCs w:val="1"/>
                <w:color w:val="auto"/>
              </w:rPr>
            </w:pPr>
          </w:p>
        </w:tc>
      </w:tr>
      <w:tr>
        <w:trPr>
          <w:trHeight w:val="176"/>
        </w:trPr>
        <w:tc>
          <w:tcPr>
            <w:tcW w:w="8760" w:type="dxa"/>
            <w:vAlign w:val="bottom"/>
            <w:shd w:val="clear" w:color="auto" w:fill="CCEEFF"/>
          </w:tcPr>
          <w:p>
            <w:pPr>
              <w:ind w:left="20"/>
              <w:spacing w:after="0" w:line="176" w:lineRule="exact"/>
              <w:rPr>
                <w:rFonts w:ascii="Arial" w:cs="Arial" w:eastAsia="Arial" w:hAnsi="Arial"/>
                <w:sz w:val="18"/>
                <w:szCs w:val="18"/>
                <w:color w:val="0000FF"/>
                <w:w w:val="94"/>
              </w:rPr>
            </w:pPr>
            <w:hyperlink w:anchor="page54">
              <w:r>
                <w:rPr>
                  <w:rFonts w:ascii="Arial" w:cs="Arial" w:eastAsia="Arial" w:hAnsi="Arial"/>
                  <w:sz w:val="18"/>
                  <w:szCs w:val="18"/>
                  <w:color w:val="0000FF"/>
                  <w:w w:val="94"/>
                </w:rPr>
                <w:t>Consolidated Statements of Operations and Comprehensive Income (Loss) for the years ended December 31, 2020,</w:t>
              </w:r>
            </w:hyperlink>
          </w:p>
        </w:tc>
        <w:tc>
          <w:tcPr>
            <w:tcW w:w="660" w:type="dxa"/>
            <w:vAlign w:val="bottom"/>
            <w:vMerge w:val="restart"/>
            <w:shd w:val="clear" w:color="auto" w:fill="CCEEFF"/>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F-3</w:t>
              </w:r>
            </w:hyperlink>
          </w:p>
        </w:tc>
        <w:tc>
          <w:tcPr>
            <w:tcW w:w="0" w:type="dxa"/>
            <w:vAlign w:val="bottom"/>
          </w:tcPr>
          <w:p>
            <w:pPr>
              <w:spacing w:after="0"/>
              <w:rPr>
                <w:sz w:val="1"/>
                <w:szCs w:val="1"/>
                <w:color w:val="auto"/>
              </w:rPr>
            </w:pPr>
          </w:p>
        </w:tc>
      </w:tr>
      <w:tr>
        <w:trPr>
          <w:trHeight w:val="135"/>
        </w:trPr>
        <w:tc>
          <w:tcPr>
            <w:tcW w:w="8760" w:type="dxa"/>
            <w:vAlign w:val="bottom"/>
            <w:vMerge w:val="restart"/>
            <w:shd w:val="clear" w:color="auto" w:fill="CCEEFF"/>
          </w:tcPr>
          <w:p>
            <w:pPr>
              <w:ind w:left="20"/>
              <w:spacing w:after="0"/>
              <w:rPr>
                <w:rFonts w:ascii="Arial" w:cs="Arial" w:eastAsia="Arial" w:hAnsi="Arial"/>
                <w:sz w:val="18"/>
                <w:szCs w:val="18"/>
                <w:color w:val="0000FF"/>
              </w:rPr>
            </w:pPr>
            <w:hyperlink w:anchor="page54">
              <w:r>
                <w:rPr>
                  <w:rFonts w:ascii="Arial" w:cs="Arial" w:eastAsia="Arial" w:hAnsi="Arial"/>
                  <w:sz w:val="18"/>
                  <w:szCs w:val="18"/>
                  <w:color w:val="0000FF"/>
                </w:rPr>
                <w:t>2019 and 2018</w:t>
              </w:r>
            </w:hyperlink>
          </w:p>
        </w:tc>
        <w:tc>
          <w:tcPr>
            <w:tcW w:w="6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8760" w:type="dxa"/>
            <w:vAlign w:val="bottom"/>
            <w:vMerge w:val="continue"/>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8760" w:type="dxa"/>
            <w:vAlign w:val="bottom"/>
          </w:tcPr>
          <w:p>
            <w:pPr>
              <w:ind w:left="20"/>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Consolidated Statements of Changes in Stockholders’ Equity for the years ended December 31, 2020, 2019 and 2018</w:t>
              </w:r>
            </w:hyperlink>
          </w:p>
        </w:tc>
        <w:tc>
          <w:tcPr>
            <w:tcW w:w="660" w:type="dxa"/>
            <w:vAlign w:val="bottom"/>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F-4</w:t>
              </w:r>
            </w:hyperlink>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20"/>
              <w:spacing w:after="0"/>
              <w:rPr>
                <w:rFonts w:ascii="Arial" w:cs="Arial" w:eastAsia="Arial" w:hAnsi="Arial"/>
                <w:sz w:val="18"/>
                <w:szCs w:val="18"/>
                <w:color w:val="0000FF"/>
              </w:rPr>
            </w:pPr>
            <w:hyperlink w:anchor="page56">
              <w:r>
                <w:rPr>
                  <w:rFonts w:ascii="Arial" w:cs="Arial" w:eastAsia="Arial" w:hAnsi="Arial"/>
                  <w:sz w:val="18"/>
                  <w:szCs w:val="18"/>
                  <w:color w:val="0000FF"/>
                </w:rPr>
                <w:t>Consolidated Statements of Cash Flows for the years ended December 31, 2020, 2019 and 2018</w:t>
              </w:r>
            </w:hyperlink>
          </w:p>
        </w:tc>
        <w:tc>
          <w:tcPr>
            <w:tcW w:w="660" w:type="dxa"/>
            <w:vAlign w:val="bottom"/>
            <w:shd w:val="clear" w:color="auto" w:fill="CCEEFF"/>
          </w:tcPr>
          <w:p>
            <w:pPr>
              <w:jc w:val="right"/>
              <w:spacing w:after="0"/>
              <w:rPr>
                <w:rFonts w:ascii="Arial" w:cs="Arial" w:eastAsia="Arial" w:hAnsi="Arial"/>
                <w:sz w:val="18"/>
                <w:szCs w:val="18"/>
                <w:color w:val="0000FF"/>
              </w:rPr>
            </w:pPr>
            <w:hyperlink w:anchor="page56">
              <w:r>
                <w:rPr>
                  <w:rFonts w:ascii="Arial" w:cs="Arial" w:eastAsia="Arial" w:hAnsi="Arial"/>
                  <w:sz w:val="18"/>
                  <w:szCs w:val="18"/>
                  <w:color w:val="0000FF"/>
                </w:rPr>
                <w:t>F-5</w:t>
              </w:r>
            </w:hyperlink>
          </w:p>
        </w:tc>
        <w:tc>
          <w:tcPr>
            <w:tcW w:w="0" w:type="dxa"/>
            <w:vAlign w:val="bottom"/>
          </w:tcPr>
          <w:p>
            <w:pPr>
              <w:spacing w:after="0"/>
              <w:rPr>
                <w:sz w:val="1"/>
                <w:szCs w:val="1"/>
                <w:color w:val="auto"/>
              </w:rPr>
            </w:pPr>
          </w:p>
        </w:tc>
      </w:tr>
      <w:tr>
        <w:trPr>
          <w:trHeight w:val="229"/>
        </w:trPr>
        <w:tc>
          <w:tcPr>
            <w:tcW w:w="8760" w:type="dxa"/>
            <w:vAlign w:val="bottom"/>
          </w:tcPr>
          <w:p>
            <w:pPr>
              <w:ind w:left="20"/>
              <w:spacing w:after="0"/>
              <w:rPr>
                <w:rFonts w:ascii="Arial" w:cs="Arial" w:eastAsia="Arial" w:hAnsi="Arial"/>
                <w:sz w:val="18"/>
                <w:szCs w:val="18"/>
                <w:color w:val="0000FF"/>
              </w:rPr>
            </w:pPr>
            <w:hyperlink w:anchor="page58">
              <w:r>
                <w:rPr>
                  <w:rFonts w:ascii="Arial" w:cs="Arial" w:eastAsia="Arial" w:hAnsi="Arial"/>
                  <w:sz w:val="18"/>
                  <w:szCs w:val="18"/>
                  <w:color w:val="0000FF"/>
                </w:rPr>
                <w:t>Notes to Consolidated Financial Statements</w:t>
              </w:r>
            </w:hyperlink>
          </w:p>
        </w:tc>
        <w:tc>
          <w:tcPr>
            <w:tcW w:w="660" w:type="dxa"/>
            <w:vAlign w:val="bottom"/>
          </w:tcPr>
          <w:p>
            <w:pPr>
              <w:jc w:val="right"/>
              <w:spacing w:after="0"/>
              <w:rPr>
                <w:rFonts w:ascii="Arial" w:cs="Arial" w:eastAsia="Arial" w:hAnsi="Arial"/>
                <w:sz w:val="18"/>
                <w:szCs w:val="18"/>
                <w:color w:val="0000FF"/>
              </w:rPr>
            </w:pPr>
            <w:hyperlink w:anchor="page58">
              <w:r>
                <w:rPr>
                  <w:rFonts w:ascii="Arial" w:cs="Arial" w:eastAsia="Arial" w:hAnsi="Arial"/>
                  <w:sz w:val="18"/>
                  <w:szCs w:val="18"/>
                  <w:color w:val="0000FF"/>
                </w:rPr>
                <w:t>F-7</w:t>
              </w:r>
            </w:hyperlink>
          </w:p>
        </w:tc>
        <w:tc>
          <w:tcPr>
            <w:tcW w:w="0" w:type="dxa"/>
            <w:vAlign w:val="bottom"/>
          </w:tcPr>
          <w:p>
            <w:pPr>
              <w:spacing w:after="0"/>
              <w:rPr>
                <w:sz w:val="1"/>
                <w:szCs w:val="1"/>
                <w:color w:val="auto"/>
              </w:rPr>
            </w:pPr>
          </w:p>
        </w:tc>
      </w:tr>
      <w:tr>
        <w:trPr>
          <w:trHeight w:val="230"/>
        </w:trPr>
        <w:tc>
          <w:tcPr>
            <w:tcW w:w="8760" w:type="dxa"/>
            <w:vAlign w:val="bottom"/>
            <w:shd w:val="clear" w:color="auto" w:fill="CCEEFF"/>
          </w:tcPr>
          <w:p>
            <w:pPr>
              <w:ind w:left="20"/>
              <w:spacing w:after="0"/>
              <w:rPr>
                <w:rFonts w:ascii="Arial" w:cs="Arial" w:eastAsia="Arial" w:hAnsi="Arial"/>
                <w:sz w:val="18"/>
                <w:szCs w:val="18"/>
                <w:color w:val="0000FF"/>
              </w:rPr>
            </w:pPr>
            <w:hyperlink w:anchor="page78">
              <w:r>
                <w:rPr>
                  <w:rFonts w:ascii="Arial" w:cs="Arial" w:eastAsia="Arial" w:hAnsi="Arial"/>
                  <w:sz w:val="18"/>
                  <w:szCs w:val="18"/>
                  <w:color w:val="0000FF"/>
                </w:rPr>
                <w:t>Schedule I - Condensed Financial Information of the Registrant (Parent Company Only)</w:t>
              </w:r>
            </w:hyperlink>
          </w:p>
        </w:tc>
        <w:tc>
          <w:tcPr>
            <w:tcW w:w="660" w:type="dxa"/>
            <w:vAlign w:val="bottom"/>
            <w:shd w:val="clear" w:color="auto" w:fill="CCEEFF"/>
          </w:tcPr>
          <w:p>
            <w:pPr>
              <w:jc w:val="right"/>
              <w:spacing w:after="0"/>
              <w:rPr>
                <w:rFonts w:ascii="Arial" w:cs="Arial" w:eastAsia="Arial" w:hAnsi="Arial"/>
                <w:sz w:val="18"/>
                <w:szCs w:val="18"/>
                <w:color w:val="0000FF"/>
              </w:rPr>
            </w:pPr>
            <w:hyperlink w:anchor="page78">
              <w:r>
                <w:rPr>
                  <w:rFonts w:ascii="Arial" w:cs="Arial" w:eastAsia="Arial" w:hAnsi="Arial"/>
                  <w:sz w:val="18"/>
                  <w:szCs w:val="18"/>
                  <w:color w:val="0000FF"/>
                </w:rPr>
                <w:t>F-27</w:t>
              </w:r>
            </w:hyperlink>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other financial statement schedules for International Money Express, Inc. have been omitted because they are not applicable, or because the information required is included in the respective consolidated financial statements or notes thereto.</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Money Express,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consolidated balance sheets of International Money Express, Inc. and subsidiaries (the “Company”) as of December 31, 2020 and 2019, the related consolidated statements of operations and comprehensive income (loss), changes in stockholders’ equity, and cash flows for each of the three years in the period ended December 31, 2020, and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accounting principles generally accepted in the United States of America.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430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rPr>
              <w:t>INTERNATIONAL MONEY EXPRESS, INC.</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18"/>
                <w:szCs w:val="18"/>
                <w:color w:val="auto"/>
              </w:rPr>
            </w:pPr>
          </w:p>
        </w:tc>
        <w:tc>
          <w:tcPr>
            <w:tcW w:w="4300" w:type="dxa"/>
            <w:vAlign w:val="bottom"/>
            <w:gridSpan w:val="4"/>
          </w:tcPr>
          <w:p>
            <w:pPr>
              <w:jc w:val="center"/>
              <w:ind w:right="620"/>
              <w:spacing w:after="0"/>
              <w:rPr>
                <w:sz w:val="20"/>
                <w:szCs w:val="20"/>
                <w:color w:val="auto"/>
              </w:rPr>
            </w:pPr>
            <w:r>
              <w:rPr>
                <w:rFonts w:ascii="Arial" w:cs="Arial" w:eastAsia="Arial" w:hAnsi="Arial"/>
                <w:sz w:val="18"/>
                <w:szCs w:val="18"/>
                <w:b w:val="1"/>
                <w:bCs w:val="1"/>
                <w:color w:val="auto"/>
                <w:w w:val="99"/>
              </w:rPr>
              <w:t>CONSOLIDATED BALANCE SHEETS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p>
        </w:tc>
        <w:tc>
          <w:tcPr>
            <w:tcW w:w="3300" w:type="dxa"/>
            <w:vAlign w:val="bottom"/>
            <w:gridSpan w:val="2"/>
          </w:tcPr>
          <w:p>
            <w:pPr>
              <w:jc w:val="center"/>
              <w:ind w:left="290"/>
              <w:spacing w:after="0"/>
              <w:rPr>
                <w:sz w:val="20"/>
                <w:szCs w:val="20"/>
                <w:color w:val="auto"/>
              </w:rPr>
            </w:pPr>
            <w:r>
              <w:rPr>
                <w:rFonts w:ascii="Arial" w:cs="Arial" w:eastAsia="Arial" w:hAnsi="Arial"/>
                <w:sz w:val="18"/>
                <w:szCs w:val="18"/>
                <w:b w:val="1"/>
                <w:bCs w:val="1"/>
                <w:color w:val="auto"/>
                <w:w w:val="88"/>
              </w:rPr>
              <w:t>(in thousands, except for share data)</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8"/>
        </w:trPr>
        <w:tc>
          <w:tcPr>
            <w:tcW w:w="37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tcPr>
          <w:p>
            <w:pPr>
              <w:spacing w:after="0"/>
              <w:rPr>
                <w:sz w:val="20"/>
                <w:szCs w:val="20"/>
                <w:color w:val="auto"/>
              </w:rPr>
            </w:pPr>
          </w:p>
        </w:tc>
        <w:tc>
          <w:tcPr>
            <w:tcW w:w="28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2020</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4"/>
              </w:rPr>
              <w:t>2019</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000"/>
              <w:spacing w:after="0"/>
              <w:rPr>
                <w:sz w:val="20"/>
                <w:szCs w:val="20"/>
                <w:color w:val="auto"/>
              </w:rPr>
            </w:pPr>
            <w:r>
              <w:rPr>
                <w:rFonts w:ascii="Arial" w:cs="Arial" w:eastAsia="Arial" w:hAnsi="Arial"/>
                <w:sz w:val="18"/>
                <w:szCs w:val="18"/>
                <w:color w:val="auto"/>
              </w:rPr>
              <w:t>ASSETS</w:t>
            </w:r>
          </w:p>
        </w:tc>
        <w:tc>
          <w:tcPr>
            <w:tcW w:w="28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330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86,117</w:t>
            </w:r>
          </w:p>
        </w:tc>
        <w:tc>
          <w:tcPr>
            <w:tcW w:w="0" w:type="dxa"/>
            <w:vAlign w:val="bottom"/>
          </w:tcPr>
          <w:p>
            <w:pPr>
              <w:spacing w:after="0"/>
              <w:rPr>
                <w:sz w:val="1"/>
                <w:szCs w:val="1"/>
                <w:color w:val="auto"/>
              </w:rPr>
            </w:pPr>
          </w:p>
        </w:tc>
      </w:tr>
      <w:tr>
        <w:trPr>
          <w:trHeight w:val="230"/>
        </w:trPr>
        <w:tc>
          <w:tcPr>
            <w:tcW w:w="7080" w:type="dxa"/>
            <w:vAlign w:val="bottom"/>
            <w:gridSpan w:val="3"/>
          </w:tcPr>
          <w:p>
            <w:pPr>
              <w:ind w:left="140"/>
              <w:spacing w:after="0"/>
              <w:rPr>
                <w:sz w:val="20"/>
                <w:szCs w:val="20"/>
                <w:color w:val="auto"/>
              </w:rPr>
            </w:pPr>
            <w:r>
              <w:rPr>
                <w:rFonts w:ascii="Arial" w:cs="Arial" w:eastAsia="Arial" w:hAnsi="Arial"/>
                <w:sz w:val="18"/>
                <w:szCs w:val="18"/>
                <w:color w:val="auto"/>
              </w:rPr>
              <w:t>Accounts receivable, net of allowance of $1,503 and $759, respectively</w:t>
            </w:r>
          </w:p>
        </w:tc>
        <w:tc>
          <w:tcPr>
            <w:tcW w:w="900" w:type="dxa"/>
            <w:vAlign w:val="bottom"/>
          </w:tcPr>
          <w:p>
            <w:pPr>
              <w:jc w:val="right"/>
              <w:spacing w:after="0"/>
              <w:rPr>
                <w:sz w:val="20"/>
                <w:szCs w:val="20"/>
                <w:color w:val="auto"/>
              </w:rPr>
            </w:pPr>
            <w:r>
              <w:rPr>
                <w:rFonts w:ascii="Arial" w:cs="Arial" w:eastAsia="Arial" w:hAnsi="Arial"/>
                <w:sz w:val="18"/>
                <w:szCs w:val="18"/>
                <w:color w:val="auto"/>
              </w:rPr>
              <w:t>55,017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39,754</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wires, net</w:t>
            </w:r>
          </w:p>
        </w:tc>
        <w:tc>
          <w:tcPr>
            <w:tcW w:w="2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18,201</w:t>
            </w: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4,155</w:t>
            </w: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8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186,726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148,227</w:t>
            </w: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13,282</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36,260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Deferred tax asset, net</w:t>
            </w:r>
          </w:p>
        </w:tc>
        <w:tc>
          <w:tcPr>
            <w:tcW w:w="2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49"/>
        </w:trPr>
        <w:tc>
          <w:tcPr>
            <w:tcW w:w="3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0" w:type="dxa"/>
            <w:vAlign w:val="bottom"/>
          </w:tcPr>
          <w:p>
            <w:pPr>
              <w:spacing w:after="0"/>
              <w:rPr>
                <w:sz w:val="1"/>
                <w:szCs w:val="1"/>
                <w:color w:val="auto"/>
              </w:rPr>
            </w:pPr>
          </w:p>
        </w:tc>
      </w:tr>
      <w:tr>
        <w:trPr>
          <w:trHeight w:val="217"/>
        </w:trPr>
        <w:tc>
          <w:tcPr>
            <w:tcW w:w="378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286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259,473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227,306</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8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2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2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tcPr>
          <w:p>
            <w:pPr>
              <w:ind w:left="140"/>
              <w:spacing w:after="0"/>
              <w:rPr>
                <w:sz w:val="20"/>
                <w:szCs w:val="20"/>
                <w:color w:val="auto"/>
              </w:rPr>
            </w:pPr>
            <w:r>
              <w:rPr>
                <w:rFonts w:ascii="Arial" w:cs="Arial" w:eastAsia="Arial" w:hAnsi="Arial"/>
                <w:sz w:val="18"/>
                <w:szCs w:val="18"/>
                <w:color w:val="auto"/>
              </w:rPr>
              <w:t>Current portion of long-term debt, net</w:t>
            </w:r>
          </w:p>
        </w:tc>
        <w:tc>
          <w:tcPr>
            <w:tcW w:w="330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7,044</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7,044</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13,401</w:t>
            </w: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w w:val="99"/>
              </w:rPr>
              <w:t>Wire transfers and money orders payable, net</w:t>
            </w:r>
          </w:p>
        </w:tc>
        <w:tc>
          <w:tcPr>
            <w:tcW w:w="2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40,197</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and other liabilities</w:t>
            </w:r>
          </w:p>
        </w:tc>
        <w:tc>
          <w:tcPr>
            <w:tcW w:w="2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23,074</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83,941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83,716</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liabilities:</w:t>
            </w:r>
          </w:p>
        </w:tc>
        <w:tc>
          <w:tcPr>
            <w:tcW w:w="2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Debt, net</w:t>
            </w:r>
          </w:p>
        </w:tc>
        <w:tc>
          <w:tcPr>
            <w:tcW w:w="2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80,579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87,623</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liabilities, net</w:t>
            </w:r>
          </w:p>
        </w:tc>
        <w:tc>
          <w:tcPr>
            <w:tcW w:w="2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Total long-term liabilities</w:t>
            </w:r>
          </w:p>
        </w:tc>
        <w:tc>
          <w:tcPr>
            <w:tcW w:w="2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81,271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87,623</w:t>
            </w: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spacing w:after="0"/>
              <w:rPr>
                <w:sz w:val="23"/>
                <w:szCs w:val="23"/>
                <w:color w:val="auto"/>
              </w:rPr>
            </w:pPr>
          </w:p>
        </w:tc>
        <w:tc>
          <w:tcPr>
            <w:tcW w:w="28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Commitments and contingencies, see Note 17</w:t>
            </w:r>
          </w:p>
        </w:tc>
        <w:tc>
          <w:tcPr>
            <w:tcW w:w="2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780" w:type="dxa"/>
            <w:vAlign w:val="bottom"/>
            <w:shd w:val="clear" w:color="auto" w:fill="CCEEFF"/>
          </w:tcPr>
          <w:p>
            <w:pPr>
              <w:spacing w:after="0"/>
              <w:rPr>
                <w:sz w:val="23"/>
                <w:szCs w:val="23"/>
                <w:color w:val="auto"/>
              </w:rPr>
            </w:pPr>
          </w:p>
        </w:tc>
        <w:tc>
          <w:tcPr>
            <w:tcW w:w="28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080" w:type="dxa"/>
            <w:vAlign w:val="bottom"/>
            <w:gridSpan w:val="3"/>
            <w:shd w:val="clear" w:color="auto" w:fill="CCEEFF"/>
          </w:tcPr>
          <w:p>
            <w:pPr>
              <w:ind w:left="140"/>
              <w:spacing w:after="0" w:line="176" w:lineRule="exact"/>
              <w:rPr>
                <w:sz w:val="20"/>
                <w:szCs w:val="20"/>
                <w:color w:val="auto"/>
              </w:rPr>
            </w:pPr>
            <w:r>
              <w:rPr>
                <w:rFonts w:ascii="Arial" w:cs="Arial" w:eastAsia="Arial" w:hAnsi="Arial"/>
                <w:sz w:val="18"/>
                <w:szCs w:val="18"/>
                <w:color w:val="auto"/>
              </w:rPr>
              <w:t>Common stock $0.0001 par value; 230,000,000 shares authorized, 38,217,125 and</w:t>
            </w: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080" w:type="dxa"/>
            <w:vAlign w:val="bottom"/>
            <w:gridSpan w:val="3"/>
            <w:shd w:val="clear" w:color="auto" w:fill="CCEEFF"/>
          </w:tcPr>
          <w:p>
            <w:pPr>
              <w:ind w:left="140"/>
              <w:spacing w:after="0" w:line="176" w:lineRule="exact"/>
              <w:rPr>
                <w:sz w:val="20"/>
                <w:szCs w:val="20"/>
                <w:color w:val="auto"/>
              </w:rPr>
            </w:pPr>
            <w:r>
              <w:rPr>
                <w:rFonts w:ascii="Arial" w:cs="Arial" w:eastAsia="Arial" w:hAnsi="Arial"/>
                <w:sz w:val="18"/>
                <w:szCs w:val="18"/>
                <w:color w:val="auto"/>
              </w:rPr>
              <w:t>38,034,389 shares issued and outstanding as of December 31, 2020 and 2019,</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respectively</w:t>
            </w:r>
          </w:p>
        </w:tc>
        <w:tc>
          <w:tcPr>
            <w:tcW w:w="2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2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54,694</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Retained earnings</w:t>
            </w:r>
          </w:p>
        </w:tc>
        <w:tc>
          <w:tcPr>
            <w:tcW w:w="2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3"/>
              </w:rPr>
              <w:t>Accumulated other comprehensive (loss) income</w:t>
            </w:r>
          </w:p>
        </w:tc>
        <w:tc>
          <w:tcPr>
            <w:tcW w:w="28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94,261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86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259,473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227,306</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4" w:name="page55"/>
    <w:bookmarkEnd w:id="5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CONSOLIDATED STATEMENTS OF OPERATIONS AND</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 except for share data)</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Year Ended December 31,</w:t>
            </w:r>
          </w:p>
        </w:tc>
        <w:tc>
          <w:tcPr>
            <w:tcW w:w="1020" w:type="dxa"/>
            <w:vAlign w:val="bottom"/>
            <w:tcBorders>
              <w:bottom w:val="single" w:sz="8" w:color="auto"/>
            </w:tcBorders>
          </w:tcPr>
          <w:p>
            <w:pPr>
              <w:spacing w:after="0"/>
              <w:rPr>
                <w:sz w:val="20"/>
                <w:szCs w:val="20"/>
                <w:color w:val="auto"/>
              </w:rPr>
            </w:pPr>
          </w:p>
        </w:tc>
      </w:tr>
      <w:tr>
        <w:trPr>
          <w:trHeight w:val="236"/>
        </w:trPr>
        <w:tc>
          <w:tcPr>
            <w:tcW w:w="5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486"/>
        </w:trPr>
        <w:tc>
          <w:tcPr>
            <w:tcW w:w="5240" w:type="dxa"/>
            <w:vAlign w:val="bottom"/>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Wire transfer and money order fees,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232,380</w:t>
            </w: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Foreign exchange gain, net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46,763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39,765</w:t>
            </w:r>
          </w:p>
        </w:tc>
      </w:tr>
      <w:tr>
        <w:trPr>
          <w:trHeight w:val="237"/>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w:t>
            </w:r>
          </w:p>
        </w:tc>
      </w:tr>
      <w:tr>
        <w:trPr>
          <w:trHeight w:val="237"/>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357,209</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319,601</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273,901</w:t>
            </w:r>
          </w:p>
        </w:tc>
      </w:tr>
      <w:tr>
        <w:trPr>
          <w:trHeight w:val="257"/>
        </w:trPr>
        <w:tc>
          <w:tcPr>
            <w:tcW w:w="5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charges from agents and banks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182,471</w:t>
            </w: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Salaries and benefits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32,831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30,705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32,926</w:t>
            </w: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selling, general and administrative expenses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19,442</w:t>
            </w: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Transaction costs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10,319</w:t>
            </w:r>
          </w:p>
        </w:tc>
      </w:tr>
      <w:tr>
        <w:trPr>
          <w:trHeight w:val="236"/>
        </w:trPr>
        <w:tc>
          <w:tcPr>
            <w:tcW w:w="5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15,671</w:t>
            </w:r>
          </w:p>
        </w:tc>
      </w:tr>
      <w:tr>
        <w:trPr>
          <w:trHeight w:val="237"/>
        </w:trPr>
        <w:tc>
          <w:tcPr>
            <w:tcW w:w="5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304,342</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283,159</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260,829</w:t>
            </w:r>
          </w:p>
        </w:tc>
      </w:tr>
      <w:tr>
        <w:trPr>
          <w:trHeight w:val="257"/>
        </w:trPr>
        <w:tc>
          <w:tcPr>
            <w:tcW w:w="5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52,867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13,072</w:t>
            </w:r>
          </w:p>
        </w:tc>
      </w:tr>
      <w:tr>
        <w:trPr>
          <w:trHeight w:val="270"/>
        </w:trPr>
        <w:tc>
          <w:tcPr>
            <w:tcW w:w="5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7"/>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8,510</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18,448</w:t>
            </w:r>
          </w:p>
        </w:tc>
      </w:tr>
      <w:tr>
        <w:trPr>
          <w:trHeight w:val="257"/>
        </w:trPr>
        <w:tc>
          <w:tcPr>
            <w:tcW w:w="5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29"/>
        </w:trPr>
        <w:tc>
          <w:tcPr>
            <w:tcW w:w="5240" w:type="dxa"/>
            <w:vAlign w:val="bottom"/>
          </w:tcPr>
          <w:p>
            <w:pPr>
              <w:ind w:left="36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46,301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(5,376)</w:t>
            </w:r>
          </w:p>
        </w:tc>
      </w:tr>
      <w:tr>
        <w:trPr>
          <w:trHeight w:val="270"/>
        </w:trPr>
        <w:tc>
          <w:tcPr>
            <w:tcW w:w="5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7"/>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1,868</w:t>
            </w:r>
          </w:p>
        </w:tc>
      </w:tr>
      <w:tr>
        <w:trPr>
          <w:trHeight w:val="256"/>
        </w:trPr>
        <w:tc>
          <w:tcPr>
            <w:tcW w:w="5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19,609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(7,244)</w:t>
            </w:r>
          </w:p>
        </w:tc>
      </w:tr>
      <w:tr>
        <w:trPr>
          <w:trHeight w:val="270"/>
        </w:trPr>
        <w:tc>
          <w:tcPr>
            <w:tcW w:w="5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7"/>
        </w:trPr>
        <w:tc>
          <w:tcPr>
            <w:tcW w:w="5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2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Comprehensive income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33,678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52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Earnings (loss) per common share:</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(0.28)</w:t>
            </w:r>
          </w:p>
        </w:tc>
      </w:tr>
      <w:tr>
        <w:trPr>
          <w:trHeight w:val="270"/>
        </w:trPr>
        <w:tc>
          <w:tcPr>
            <w:tcW w:w="5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38,060,290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37,428,345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25,484,386</w:t>
            </w: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38,358,171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37,594,158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25,484,386</w:t>
            </w:r>
          </w:p>
        </w:tc>
      </w:tr>
    </w:tbl>
    <w:p>
      <w:pPr>
        <w:spacing w:after="0" w:line="336"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5" w:name="page56"/>
    <w:bookmarkEnd w:id="5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21" w:lineRule="exact"/>
        <w:rPr>
          <w:sz w:val="20"/>
          <w:szCs w:val="20"/>
          <w:color w:val="auto"/>
        </w:rPr>
      </w:pPr>
    </w:p>
    <w:p>
      <w:pPr>
        <w:jc w:val="center"/>
        <w:ind w:left="1160" w:right="1520"/>
        <w:spacing w:after="0" w:line="266" w:lineRule="auto"/>
        <w:rPr>
          <w:sz w:val="20"/>
          <w:szCs w:val="20"/>
          <w:color w:val="auto"/>
        </w:rPr>
      </w:pPr>
      <w:r>
        <w:rPr>
          <w:rFonts w:ascii="Arial" w:cs="Arial" w:eastAsia="Arial" w:hAnsi="Arial"/>
          <w:sz w:val="18"/>
          <w:szCs w:val="18"/>
          <w:b w:val="1"/>
          <w:bCs w:val="1"/>
          <w:color w:val="auto"/>
        </w:rPr>
        <w:t>INTERNATIONAL MONEY EXPRESS, INC. CONSOLIDATED STATEMENTS OF CHANGES IN STOCKHOLDERS’ EQUITY (in thousands, except for share data)</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Retained</w:t>
            </w:r>
          </w:p>
        </w:tc>
        <w:tc>
          <w:tcPr>
            <w:tcW w:w="1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17"/>
                <w:szCs w:val="17"/>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920" w:type="dxa"/>
            <w:vAlign w:val="bottom"/>
            <w:gridSpan w:val="4"/>
            <w:vMerge w:val="restart"/>
          </w:tcPr>
          <w:p>
            <w:pPr>
              <w:jc w:val="right"/>
              <w:ind w:right="270"/>
              <w:spacing w:after="0"/>
              <w:rPr>
                <w:sz w:val="20"/>
                <w:szCs w:val="20"/>
                <w:color w:val="auto"/>
              </w:rPr>
            </w:pPr>
            <w:r>
              <w:rPr>
                <w:rFonts w:ascii="Arial" w:cs="Arial" w:eastAsia="Arial" w:hAnsi="Arial"/>
                <w:sz w:val="18"/>
                <w:szCs w:val="18"/>
                <w:b w:val="1"/>
                <w:bCs w:val="1"/>
                <w:color w:val="auto"/>
              </w:rPr>
              <w:t>Common Stock</w:t>
            </w:r>
          </w:p>
        </w:tc>
        <w:tc>
          <w:tcPr>
            <w:tcW w:w="80" w:type="dxa"/>
            <w:vAlign w:val="bottom"/>
            <w:vMerge w:val="restart"/>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0"/>
              </w:rPr>
              <w:t>Earnings</w:t>
            </w:r>
          </w:p>
        </w:tc>
        <w:tc>
          <w:tcPr>
            <w:tcW w:w="120" w:type="dxa"/>
            <w:vAlign w:val="bottom"/>
          </w:tcPr>
          <w:p>
            <w:pPr>
              <w:spacing w:after="0"/>
              <w:rPr>
                <w:sz w:val="15"/>
                <w:szCs w:val="15"/>
                <w:color w:val="auto"/>
              </w:rPr>
            </w:pPr>
          </w:p>
        </w:tc>
        <w:tc>
          <w:tcPr>
            <w:tcW w:w="134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3360" w:type="dxa"/>
            <w:vAlign w:val="bottom"/>
          </w:tcPr>
          <w:p>
            <w:pPr>
              <w:spacing w:after="0"/>
              <w:rPr>
                <w:sz w:val="12"/>
                <w:szCs w:val="12"/>
                <w:color w:val="auto"/>
              </w:rPr>
            </w:pPr>
          </w:p>
        </w:tc>
        <w:tc>
          <w:tcPr>
            <w:tcW w:w="1920" w:type="dxa"/>
            <w:vAlign w:val="bottom"/>
            <w:tcBorders>
              <w:bottom w:val="single" w:sz="8" w:color="auto"/>
            </w:tcBorders>
            <w:gridSpan w:val="4"/>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240"/>
              <w:spacing w:after="0" w:line="142" w:lineRule="exact"/>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2"/>
                <w:szCs w:val="12"/>
                <w:color w:val="auto"/>
              </w:rPr>
            </w:pPr>
          </w:p>
        </w:tc>
        <w:tc>
          <w:tcPr>
            <w:tcW w:w="1280" w:type="dxa"/>
            <w:vAlign w:val="bottom"/>
            <w:gridSpan w:val="2"/>
          </w:tcPr>
          <w:p>
            <w:pPr>
              <w:jc w:val="center"/>
              <w:ind w:right="200"/>
              <w:spacing w:after="0" w:line="142" w:lineRule="exact"/>
              <w:rPr>
                <w:sz w:val="20"/>
                <w:szCs w:val="20"/>
                <w:color w:val="auto"/>
              </w:rPr>
            </w:pPr>
            <w:r>
              <w:rPr>
                <w:rFonts w:ascii="Arial" w:cs="Arial" w:eastAsia="Arial" w:hAnsi="Arial"/>
                <w:sz w:val="16"/>
                <w:szCs w:val="16"/>
                <w:b w:val="1"/>
                <w:bCs w:val="1"/>
                <w:color w:val="auto"/>
              </w:rPr>
              <w:t>(Accumulated</w:t>
            </w:r>
          </w:p>
        </w:tc>
        <w:tc>
          <w:tcPr>
            <w:tcW w:w="1460" w:type="dxa"/>
            <w:vAlign w:val="bottom"/>
            <w:gridSpan w:val="3"/>
          </w:tcPr>
          <w:p>
            <w:pPr>
              <w:jc w:val="center"/>
              <w:ind w:right="100"/>
              <w:spacing w:after="0" w:line="142" w:lineRule="exact"/>
              <w:rPr>
                <w:sz w:val="20"/>
                <w:szCs w:val="20"/>
                <w:color w:val="auto"/>
              </w:rPr>
            </w:pPr>
            <w:r>
              <w:rPr>
                <w:rFonts w:ascii="Arial" w:cs="Arial" w:eastAsia="Arial" w:hAnsi="Arial"/>
                <w:sz w:val="16"/>
                <w:szCs w:val="16"/>
                <w:b w:val="1"/>
                <w:bCs w:val="1"/>
                <w:color w:val="auto"/>
                <w:w w:val="99"/>
              </w:rPr>
              <w:t>Comprehensive</w:t>
            </w:r>
          </w:p>
        </w:tc>
        <w:tc>
          <w:tcPr>
            <w:tcW w:w="110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250"/>
        </w:trPr>
        <w:tc>
          <w:tcPr>
            <w:tcW w:w="3360" w:type="dxa"/>
            <w:vAlign w:val="bottom"/>
          </w:tcPr>
          <w:p>
            <w:pPr>
              <w:spacing w:after="0"/>
              <w:rPr>
                <w:sz w:val="21"/>
                <w:szCs w:val="21"/>
                <w:color w:val="auto"/>
              </w:rPr>
            </w:pPr>
          </w:p>
        </w:tc>
        <w:tc>
          <w:tcPr>
            <w:tcW w:w="100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1"/>
                <w:szCs w:val="21"/>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1"/>
                <w:szCs w:val="21"/>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1"/>
                <w:szCs w:val="21"/>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Deficit)</w:t>
            </w:r>
          </w:p>
        </w:tc>
        <w:tc>
          <w:tcPr>
            <w:tcW w:w="12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(Loss) Income</w:t>
            </w:r>
          </w:p>
        </w:tc>
        <w:tc>
          <w:tcPr>
            <w:tcW w:w="200" w:type="dxa"/>
            <w:vAlign w:val="bottom"/>
          </w:tcPr>
          <w:p>
            <w:pPr>
              <w:spacing w:after="0"/>
              <w:rPr>
                <w:sz w:val="21"/>
                <w:szCs w:val="21"/>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43"/>
        </w:trPr>
        <w:tc>
          <w:tcPr>
            <w:tcW w:w="3360" w:type="dxa"/>
            <w:vAlign w:val="bottom"/>
            <w:tcBorders>
              <w:top w:val="single" w:sz="8" w:color="CCEEFF"/>
            </w:tcBorders>
            <w:shd w:val="clear" w:color="auto" w:fill="CCEEFF"/>
          </w:tcPr>
          <w:p>
            <w:pPr>
              <w:spacing w:after="0"/>
              <w:rPr>
                <w:sz w:val="21"/>
                <w:szCs w:val="21"/>
                <w:color w:val="auto"/>
              </w:rPr>
            </w:pPr>
          </w:p>
        </w:tc>
        <w:tc>
          <w:tcPr>
            <w:tcW w:w="92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90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920" w:type="dxa"/>
            <w:vAlign w:val="bottom"/>
          </w:tcPr>
          <w:p>
            <w:pPr>
              <w:jc w:val="right"/>
              <w:spacing w:after="0"/>
              <w:rPr>
                <w:sz w:val="20"/>
                <w:szCs w:val="20"/>
                <w:color w:val="auto"/>
              </w:rPr>
            </w:pPr>
            <w:r>
              <w:rPr>
                <w:rFonts w:ascii="Arial" w:cs="Arial" w:eastAsia="Arial" w:hAnsi="Arial"/>
                <w:sz w:val="18"/>
                <w:szCs w:val="18"/>
                <w:color w:val="auto"/>
                <w:w w:val="93"/>
              </w:rPr>
              <w:t>17,227,682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46,076</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(10,174)</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35,902</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line="176" w:lineRule="exact"/>
              <w:rPr>
                <w:sz w:val="20"/>
                <w:szCs w:val="20"/>
                <w:color w:val="auto"/>
              </w:rPr>
            </w:pPr>
            <w:r>
              <w:rPr>
                <w:rFonts w:ascii="Arial" w:cs="Arial" w:eastAsia="Arial" w:hAnsi="Arial"/>
                <w:sz w:val="18"/>
                <w:szCs w:val="18"/>
                <w:color w:val="auto"/>
              </w:rPr>
              <w:t>Net equity infusion from reverse</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93"/>
              </w:rPr>
              <w:t>18,955,101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9,987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340" w:type="dxa"/>
            <w:vAlign w:val="bottom"/>
            <w:gridSpan w:val="2"/>
            <w:vMerge w:val="restart"/>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9,989</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recapitalization</w:t>
            </w:r>
          </w:p>
        </w:tc>
        <w:tc>
          <w:tcPr>
            <w:tcW w:w="9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w:t>
            </w:r>
          </w:p>
        </w:tc>
        <w:tc>
          <w:tcPr>
            <w:tcW w:w="0" w:type="dxa"/>
            <w:vAlign w:val="bottom"/>
          </w:tcPr>
          <w:p>
            <w:pPr>
              <w:spacing w:after="0"/>
              <w:rPr>
                <w:sz w:val="1"/>
                <w:szCs w:val="1"/>
                <w:color w:val="auto"/>
              </w:rPr>
            </w:pPr>
          </w:p>
        </w:tc>
      </w:tr>
      <w:tr>
        <w:trPr>
          <w:trHeight w:val="230"/>
        </w:trPr>
        <w:tc>
          <w:tcPr>
            <w:tcW w:w="33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36,182,783</w:t>
            </w: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61,889</w:t>
            </w: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(17,418)</w:t>
            </w: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44,473</w:t>
            </w:r>
          </w:p>
        </w:tc>
        <w:tc>
          <w:tcPr>
            <w:tcW w:w="0" w:type="dxa"/>
            <w:vAlign w:val="bottom"/>
          </w:tcPr>
          <w:p>
            <w:pPr>
              <w:spacing w:after="0"/>
              <w:rPr>
                <w:sz w:val="1"/>
                <w:szCs w:val="1"/>
                <w:color w:val="auto"/>
              </w:rPr>
            </w:pP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Adoption of new accounting pronouncement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Warrant exchange</w:t>
            </w:r>
          </w:p>
        </w:tc>
        <w:tc>
          <w:tcPr>
            <w:tcW w:w="920" w:type="dxa"/>
            <w:vAlign w:val="bottom"/>
          </w:tcPr>
          <w:p>
            <w:pPr>
              <w:jc w:val="right"/>
              <w:spacing w:after="0"/>
              <w:rPr>
                <w:sz w:val="20"/>
                <w:szCs w:val="20"/>
                <w:color w:val="auto"/>
              </w:rPr>
            </w:pPr>
            <w:r>
              <w:rPr>
                <w:rFonts w:ascii="Arial" w:cs="Arial" w:eastAsia="Arial" w:hAnsi="Arial"/>
                <w:sz w:val="18"/>
                <w:szCs w:val="18"/>
                <w:color w:val="auto"/>
              </w:rPr>
              <w:t>1,800,065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(10,031)</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19,609</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Issuance of common stock:</w:t>
            </w: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3360" w:type="dxa"/>
            <w:vAlign w:val="bottom"/>
          </w:tcPr>
          <w:p>
            <w:pPr>
              <w:ind w:left="160"/>
              <w:spacing w:after="0"/>
              <w:rPr>
                <w:sz w:val="20"/>
                <w:szCs w:val="20"/>
                <w:color w:val="auto"/>
              </w:rPr>
            </w:pPr>
            <w:r>
              <w:rPr>
                <w:rFonts w:ascii="Arial" w:cs="Arial" w:eastAsia="Arial" w:hAnsi="Arial"/>
                <w:sz w:val="18"/>
                <w:szCs w:val="18"/>
                <w:color w:val="auto"/>
              </w:rPr>
              <w:t>Restricted stock units</w:t>
            </w:r>
          </w:p>
        </w:tc>
        <w:tc>
          <w:tcPr>
            <w:tcW w:w="920" w:type="dxa"/>
            <w:vAlign w:val="bottom"/>
          </w:tcPr>
          <w:p>
            <w:pPr>
              <w:jc w:val="right"/>
              <w:spacing w:after="0"/>
              <w:rPr>
                <w:sz w:val="20"/>
                <w:szCs w:val="20"/>
                <w:color w:val="auto"/>
              </w:rPr>
            </w:pPr>
            <w:r>
              <w:rPr>
                <w:rFonts w:ascii="Arial" w:cs="Arial" w:eastAsia="Arial" w:hAnsi="Arial"/>
                <w:sz w:val="18"/>
                <w:szCs w:val="18"/>
                <w:color w:val="auto"/>
              </w:rPr>
              <w:t>21,192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line="176" w:lineRule="exact"/>
              <w:rPr>
                <w:sz w:val="20"/>
                <w:szCs w:val="20"/>
                <w:color w:val="auto"/>
              </w:rPr>
            </w:pPr>
            <w:r>
              <w:rPr>
                <w:rFonts w:ascii="Arial" w:cs="Arial" w:eastAsia="Arial" w:hAnsi="Arial"/>
                <w:sz w:val="18"/>
                <w:szCs w:val="18"/>
                <w:color w:val="auto"/>
                <w:w w:val="92"/>
              </w:rPr>
              <w:t>Adjustment from foreign currency translation,</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60" w:type="dxa"/>
            <w:vAlign w:val="bottom"/>
            <w:vMerge w:val="restart"/>
          </w:tcPr>
          <w:p>
            <w:pPr>
              <w:ind w:left="10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net</w:t>
            </w:r>
          </w:p>
        </w:tc>
        <w:tc>
          <w:tcPr>
            <w:tcW w:w="10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38,034,389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360" w:type="dxa"/>
            <w:vAlign w:val="bottom"/>
            <w:tcBorders>
              <w:top w:val="single" w:sz="8" w:color="CCEEFF"/>
            </w:tcBorders>
            <w:vMerge w:val="continue"/>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33,784</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ind w:left="102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33,784</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163,783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stock units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3,237</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Adjustment from foreign currency translation,</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0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Balance, December 31, 2020</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38,217,125</w:t>
            </w: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59,310</w:t>
            </w: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34,960</w:t>
            </w: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top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94,261</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8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125" w:right="1159" w:bottom="1440" w:gutter="0" w:footer="0" w:header="0"/>
        </w:sectPr>
      </w:pPr>
    </w:p>
    <w:bookmarkStart w:id="56" w:name="page57"/>
    <w:bookmarkEnd w:id="5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gridSpan w:val="8"/>
          </w:tcPr>
          <w:p>
            <w:pPr>
              <w:jc w:val="center"/>
              <w:ind w:left="3150"/>
              <w:spacing w:after="0"/>
              <w:rPr>
                <w:sz w:val="20"/>
                <w:szCs w:val="20"/>
                <w:color w:val="auto"/>
              </w:rPr>
            </w:pPr>
            <w:r>
              <w:rPr>
                <w:rFonts w:ascii="Arial" w:cs="Arial" w:eastAsia="Arial" w:hAnsi="Arial"/>
                <w:sz w:val="18"/>
                <w:szCs w:val="18"/>
                <w:b w:val="1"/>
                <w:bCs w:val="1"/>
                <w:color w:val="auto"/>
              </w:rPr>
              <w:t>INTERNATIONAL MONEY EXPRESS, INC.</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8020" w:type="dxa"/>
            <w:vAlign w:val="bottom"/>
            <w:gridSpan w:val="8"/>
          </w:tcPr>
          <w:p>
            <w:pPr>
              <w:jc w:val="center"/>
              <w:ind w:left="313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4840" w:type="dxa"/>
            <w:vAlign w:val="bottom"/>
          </w:tcPr>
          <w:p>
            <w:pPr>
              <w:spacing w:after="0"/>
              <w:rPr>
                <w:sz w:val="20"/>
                <w:szCs w:val="20"/>
                <w:color w:val="auto"/>
              </w:rPr>
            </w:pPr>
          </w:p>
        </w:tc>
        <w:tc>
          <w:tcPr>
            <w:tcW w:w="174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803"/>
        </w:trPr>
        <w:tc>
          <w:tcPr>
            <w:tcW w:w="4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Year Ended December 31,</w:t>
            </w:r>
          </w:p>
        </w:tc>
        <w:tc>
          <w:tcPr>
            <w:tcW w:w="1000" w:type="dxa"/>
            <w:vAlign w:val="bottom"/>
            <w:tcBorders>
              <w:bottom w:val="single" w:sz="8" w:color="auto"/>
            </w:tcBorders>
          </w:tcPr>
          <w:p>
            <w:pPr>
              <w:spacing w:after="0"/>
              <w:rPr>
                <w:sz w:val="24"/>
                <w:szCs w:val="24"/>
                <w:color w:val="auto"/>
              </w:rPr>
            </w:pPr>
          </w:p>
        </w:tc>
      </w:tr>
      <w:tr>
        <w:trPr>
          <w:trHeight w:val="237"/>
        </w:trPr>
        <w:tc>
          <w:tcPr>
            <w:tcW w:w="48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43"/>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57"/>
        </w:trPr>
        <w:tc>
          <w:tcPr>
            <w:tcW w:w="48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6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33,784</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19,609</w:t>
            </w:r>
          </w:p>
        </w:tc>
        <w:tc>
          <w:tcPr>
            <w:tcW w:w="120" w:type="dxa"/>
            <w:vAlign w:val="bottom"/>
          </w:tcPr>
          <w:p>
            <w:pPr>
              <w:spacing w:after="0"/>
              <w:rPr>
                <w:sz w:val="22"/>
                <w:szCs w:val="22"/>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(7,244)</w:t>
            </w:r>
          </w:p>
        </w:tc>
      </w:tr>
      <w:tr>
        <w:trPr>
          <w:trHeight w:val="215"/>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Adjustments to reconcile net income (loss) to net cash (used in)</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4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provided by operating activities:</w:t>
            </w:r>
          </w:p>
        </w:tc>
        <w:tc>
          <w:tcPr>
            <w:tcW w:w="3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r>
      <w:tr>
        <w:trPr>
          <w:trHeight w:val="229"/>
        </w:trPr>
        <w:tc>
          <w:tcPr>
            <w:tcW w:w="48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15,671</w:t>
            </w:r>
          </w:p>
        </w:tc>
      </w:tr>
      <w:tr>
        <w:trPr>
          <w:trHeight w:val="229"/>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5,826</w:t>
            </w:r>
          </w:p>
        </w:tc>
      </w:tr>
      <w:tr>
        <w:trPr>
          <w:trHeight w:val="230"/>
        </w:trPr>
        <w:tc>
          <w:tcPr>
            <w:tcW w:w="4840" w:type="dxa"/>
            <w:vAlign w:val="bottom"/>
          </w:tcPr>
          <w:p>
            <w:pPr>
              <w:ind w:left="360"/>
              <w:spacing w:after="0"/>
              <w:rPr>
                <w:sz w:val="20"/>
                <w:szCs w:val="20"/>
                <w:color w:val="auto"/>
              </w:rPr>
            </w:pPr>
            <w:r>
              <w:rPr>
                <w:rFonts w:ascii="Arial" w:cs="Arial" w:eastAsia="Arial" w:hAnsi="Arial"/>
                <w:sz w:val="18"/>
                <w:szCs w:val="18"/>
                <w:color w:val="auto"/>
              </w:rPr>
              <w:t>Provision for bad debt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1,236</w:t>
            </w:r>
          </w:p>
        </w:tc>
      </w:tr>
      <w:tr>
        <w:trPr>
          <w:trHeight w:val="229"/>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origination costs amortization</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w:t>
            </w:r>
          </w:p>
        </w:tc>
      </w:tr>
      <w:tr>
        <w:trPr>
          <w:trHeight w:val="230"/>
        </w:trPr>
        <w:tc>
          <w:tcPr>
            <w:tcW w:w="4840" w:type="dxa"/>
            <w:vAlign w:val="bottom"/>
          </w:tcPr>
          <w:p>
            <w:pPr>
              <w:ind w:left="360"/>
              <w:spacing w:after="0"/>
              <w:rPr>
                <w:sz w:val="20"/>
                <w:szCs w:val="20"/>
                <w:color w:val="auto"/>
              </w:rPr>
            </w:pPr>
            <w:r>
              <w:rPr>
                <w:rFonts w:ascii="Arial" w:cs="Arial" w:eastAsia="Arial" w:hAnsi="Arial"/>
                <w:sz w:val="18"/>
                <w:szCs w:val="18"/>
                <w:color w:val="auto"/>
              </w:rPr>
              <w:t>Deferred income tax provision, net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29"/>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extinguishment costs</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r>
      <w:tr>
        <w:trPr>
          <w:trHeight w:val="237"/>
        </w:trPr>
        <w:tc>
          <w:tcPr>
            <w:tcW w:w="48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adjustments</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29,431</w:t>
            </w: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14,337</w:t>
            </w:r>
          </w:p>
        </w:tc>
      </w:tr>
      <w:tr>
        <w:trPr>
          <w:trHeight w:val="229"/>
        </w:trPr>
        <w:tc>
          <w:tcPr>
            <w:tcW w:w="4840" w:type="dxa"/>
            <w:vAlign w:val="bottom"/>
          </w:tcPr>
          <w:p>
            <w:pPr>
              <w:ind w:left="360"/>
              <w:spacing w:after="0"/>
              <w:rPr>
                <w:sz w:val="20"/>
                <w:szCs w:val="20"/>
                <w:color w:val="auto"/>
              </w:rPr>
            </w:pPr>
            <w:r>
              <w:rPr>
                <w:rFonts w:ascii="Arial" w:cs="Arial" w:eastAsia="Arial" w:hAnsi="Arial"/>
                <w:sz w:val="18"/>
                <w:szCs w:val="18"/>
                <w:color w:val="auto"/>
              </w:rPr>
              <w:t>Prepaid wires, net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(35,598)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(19,000)</w:t>
            </w:r>
          </w:p>
        </w:tc>
      </w:tr>
      <w:tr>
        <w:trPr>
          <w:trHeight w:val="230"/>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r>
      <w:tr>
        <w:trPr>
          <w:trHeight w:val="229"/>
        </w:trPr>
        <w:tc>
          <w:tcPr>
            <w:tcW w:w="4840" w:type="dxa"/>
            <w:vAlign w:val="bottom"/>
          </w:tcPr>
          <w:p>
            <w:pPr>
              <w:ind w:left="360"/>
              <w:spacing w:after="0"/>
              <w:rPr>
                <w:sz w:val="20"/>
                <w:szCs w:val="20"/>
                <w:color w:val="auto"/>
              </w:rPr>
            </w:pPr>
            <w:r>
              <w:rPr>
                <w:rFonts w:ascii="Arial" w:cs="Arial" w:eastAsia="Arial" w:hAnsi="Arial"/>
                <w:sz w:val="18"/>
                <w:szCs w:val="18"/>
                <w:color w:val="auto"/>
              </w:rPr>
              <w:t>Wire transfers and money orders payable, net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(11,899)</w:t>
            </w:r>
          </w:p>
        </w:tc>
      </w:tr>
      <w:tr>
        <w:trPr>
          <w:trHeight w:val="249"/>
        </w:trPr>
        <w:tc>
          <w:tcPr>
            <w:tcW w:w="4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payable and accrued and other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16,293</w:t>
            </w:r>
          </w:p>
        </w:tc>
      </w:tr>
      <w:tr>
        <w:trPr>
          <w:trHeight w:val="217"/>
        </w:trPr>
        <w:tc>
          <w:tcPr>
            <w:tcW w:w="4840" w:type="dxa"/>
            <w:vAlign w:val="bottom"/>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52,534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19,838</w:t>
            </w:r>
          </w:p>
        </w:tc>
      </w:tr>
      <w:tr>
        <w:trPr>
          <w:trHeight w:val="216"/>
        </w:trPr>
        <w:tc>
          <w:tcPr>
            <w:tcW w:w="4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w:t>
            </w:r>
          </w:p>
        </w:tc>
      </w:tr>
      <w:tr>
        <w:trPr>
          <w:trHeight w:val="237"/>
        </w:trPr>
        <w:tc>
          <w:tcPr>
            <w:tcW w:w="4840" w:type="dxa"/>
            <w:vAlign w:val="bottom"/>
          </w:tcPr>
          <w:p>
            <w:pPr>
              <w:ind w:left="140"/>
              <w:spacing w:after="0"/>
              <w:rPr>
                <w:sz w:val="20"/>
                <w:szCs w:val="20"/>
                <w:color w:val="auto"/>
              </w:rPr>
            </w:pPr>
            <w:r>
              <w:rPr>
                <w:rFonts w:ascii="Arial" w:cs="Arial" w:eastAsia="Arial" w:hAnsi="Arial"/>
                <w:sz w:val="18"/>
                <w:szCs w:val="18"/>
                <w:color w:val="auto"/>
              </w:rPr>
              <w:t>Acquisition of agent locations</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(5,451)</w:t>
            </w:r>
          </w:p>
        </w:tc>
      </w:tr>
      <w:tr>
        <w:trPr>
          <w:trHeight w:val="216"/>
        </w:trPr>
        <w:tc>
          <w:tcPr>
            <w:tcW w:w="4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Borrowings under term loan</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90,000</w:t>
            </w: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term loan</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(95,788)</w:t>
            </w: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(Repayments) borrowings under revolving loan, net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origination costs</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(3,487)</w:t>
            </w:r>
          </w:p>
        </w:tc>
      </w:tr>
      <w:tr>
        <w:trPr>
          <w:trHeight w:val="229"/>
        </w:trPr>
        <w:tc>
          <w:tcPr>
            <w:tcW w:w="4840" w:type="dxa"/>
            <w:vAlign w:val="bottom"/>
          </w:tcPr>
          <w:p>
            <w:pPr>
              <w:ind w:left="140"/>
              <w:spacing w:after="0"/>
              <w:rPr>
                <w:sz w:val="20"/>
                <w:szCs w:val="20"/>
                <w:color w:val="auto"/>
              </w:rPr>
            </w:pPr>
            <w:r>
              <w:rPr>
                <w:rFonts w:ascii="Arial" w:cs="Arial" w:eastAsia="Arial" w:hAnsi="Arial"/>
                <w:sz w:val="18"/>
                <w:szCs w:val="18"/>
                <w:color w:val="auto"/>
              </w:rPr>
              <w:t>Debt extinguishment costs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(1,843)</w:t>
            </w: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reverse recapitalization</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101,664</w:t>
            </w:r>
          </w:p>
        </w:tc>
      </w:tr>
      <w:tr>
        <w:trPr>
          <w:trHeight w:val="230"/>
        </w:trPr>
        <w:tc>
          <w:tcPr>
            <w:tcW w:w="4840" w:type="dxa"/>
            <w:vAlign w:val="bottom"/>
          </w:tcPr>
          <w:p>
            <w:pPr>
              <w:ind w:left="140"/>
              <w:spacing w:after="0"/>
              <w:rPr>
                <w:sz w:val="20"/>
                <w:szCs w:val="20"/>
                <w:color w:val="auto"/>
              </w:rPr>
            </w:pPr>
            <w:r>
              <w:rPr>
                <w:rFonts w:ascii="Arial" w:cs="Arial" w:eastAsia="Arial" w:hAnsi="Arial"/>
                <w:sz w:val="18"/>
                <w:szCs w:val="18"/>
                <w:color w:val="auto"/>
              </w:rPr>
              <w:t>Cash consideration to Intermex shareholders</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(101,659)</w:t>
            </w:r>
          </w:p>
        </w:tc>
      </w:tr>
      <w:tr>
        <w:trPr>
          <w:trHeight w:val="230"/>
        </w:trPr>
        <w:tc>
          <w:tcPr>
            <w:tcW w:w="4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in warrant exchange</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4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Proceeds from exercise of options</w:t>
            </w: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216"/>
        </w:trPr>
        <w:tc>
          <w:tcPr>
            <w:tcW w:w="4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0"/>
        </w:trPr>
        <w:tc>
          <w:tcPr>
            <w:tcW w:w="48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13,234</w:t>
            </w:r>
          </w:p>
        </w:tc>
      </w:tr>
      <w:tr>
        <w:trPr>
          <w:trHeight w:val="216"/>
        </w:trPr>
        <w:tc>
          <w:tcPr>
            <w:tcW w:w="4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beginning of the year</w:t>
            </w: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59,795</w:t>
            </w:r>
          </w:p>
        </w:tc>
      </w:tr>
      <w:tr>
        <w:trPr>
          <w:trHeight w:val="210"/>
        </w:trPr>
        <w:tc>
          <w:tcPr>
            <w:tcW w:w="484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54"/>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end of the year</w:t>
            </w:r>
          </w:p>
        </w:tc>
        <w:tc>
          <w:tcPr>
            <w:tcW w:w="3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73,029</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4"/>
        </w:trPr>
        <w:tc>
          <w:tcPr>
            <w:tcW w:w="8020" w:type="dxa"/>
            <w:vAlign w:val="bottom"/>
            <w:gridSpan w:val="8"/>
          </w:tcPr>
          <w:p>
            <w:pPr>
              <w:jc w:val="center"/>
              <w:ind w:left="3150"/>
              <w:spacing w:after="0"/>
              <w:rPr>
                <w:sz w:val="20"/>
                <w:szCs w:val="20"/>
                <w:color w:val="auto"/>
              </w:rPr>
            </w:pPr>
            <w:r>
              <w:rPr>
                <w:rFonts w:ascii="Arial" w:cs="Arial" w:eastAsia="Arial" w:hAnsi="Arial"/>
                <w:sz w:val="18"/>
                <w:szCs w:val="18"/>
                <w:b w:val="1"/>
                <w:bCs w:val="1"/>
                <w:color w:val="auto"/>
              </w:rPr>
              <w:t>INTERNATIONAL MONEY EXPRESS, INC.</w:t>
            </w: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8440" w:type="dxa"/>
            <w:vAlign w:val="bottom"/>
            <w:gridSpan w:val="9"/>
          </w:tcPr>
          <w:p>
            <w:pPr>
              <w:jc w:val="center"/>
              <w:ind w:left="2730"/>
              <w:spacing w:after="0"/>
              <w:rPr>
                <w:sz w:val="20"/>
                <w:szCs w:val="20"/>
                <w:color w:val="auto"/>
              </w:rPr>
            </w:pPr>
            <w:r>
              <w:rPr>
                <w:rFonts w:ascii="Arial" w:cs="Arial" w:eastAsia="Arial" w:hAnsi="Arial"/>
                <w:sz w:val="18"/>
                <w:szCs w:val="18"/>
                <w:b w:val="1"/>
                <w:bCs w:val="1"/>
                <w:color w:val="auto"/>
                <w:w w:val="99"/>
              </w:rPr>
              <w:t>CONSOLIDATED STATEMENTS OF CASH FLOWS (CONTINUED)</w:t>
            </w:r>
          </w:p>
        </w:tc>
        <w:tc>
          <w:tcPr>
            <w:tcW w:w="900" w:type="dxa"/>
            <w:vAlign w:val="bottom"/>
          </w:tcPr>
          <w:p>
            <w:pPr>
              <w:spacing w:after="0"/>
              <w:rPr>
                <w:sz w:val="18"/>
                <w:szCs w:val="18"/>
                <w:color w:val="auto"/>
              </w:rPr>
            </w:pPr>
          </w:p>
        </w:tc>
      </w:tr>
      <w:tr>
        <w:trPr>
          <w:trHeight w:val="234"/>
        </w:trPr>
        <w:tc>
          <w:tcPr>
            <w:tcW w:w="4800" w:type="dxa"/>
            <w:vAlign w:val="bottom"/>
          </w:tcPr>
          <w:p>
            <w:pPr>
              <w:spacing w:after="0"/>
              <w:rPr>
                <w:sz w:val="20"/>
                <w:szCs w:val="20"/>
                <w:color w:val="auto"/>
              </w:rPr>
            </w:pPr>
          </w:p>
        </w:tc>
        <w:tc>
          <w:tcPr>
            <w:tcW w:w="18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8"/>
              </w:rPr>
              <w:t>(in thousands)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79"/>
        </w:trPr>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color w:val="auto"/>
              </w:rPr>
              <w:t>Year Ended December 31,</w:t>
            </w:r>
          </w:p>
        </w:tc>
        <w:tc>
          <w:tcPr>
            <w:tcW w:w="900" w:type="dxa"/>
            <w:vAlign w:val="bottom"/>
            <w:tcBorders>
              <w:bottom w:val="single" w:sz="8" w:color="auto"/>
            </w:tcBorders>
          </w:tcPr>
          <w:p>
            <w:pPr>
              <w:spacing w:after="0"/>
              <w:rPr>
                <w:sz w:val="24"/>
                <w:szCs w:val="24"/>
                <w:color w:val="auto"/>
              </w:rPr>
            </w:pPr>
          </w:p>
        </w:tc>
      </w:tr>
      <w:tr>
        <w:trPr>
          <w:trHeight w:val="237"/>
        </w:trPr>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2018</w:t>
            </w:r>
          </w:p>
        </w:tc>
      </w:tr>
      <w:tr>
        <w:trPr>
          <w:trHeight w:val="216"/>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9"/>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paid for interest</w:t>
            </w:r>
          </w:p>
        </w:tc>
        <w:tc>
          <w:tcPr>
            <w:tcW w:w="6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10,703</w:t>
            </w:r>
          </w:p>
        </w:tc>
      </w:tr>
      <w:tr>
        <w:trPr>
          <w:trHeight w:val="223"/>
        </w:trPr>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Cash paid for income taxes</w:t>
            </w:r>
          </w:p>
        </w:tc>
        <w:tc>
          <w:tcPr>
            <w:tcW w:w="36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11,140</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4,870</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w:t>
            </w:r>
          </w:p>
        </w:tc>
      </w:tr>
      <w:tr>
        <w:trPr>
          <w:trHeight w:val="250"/>
        </w:trPr>
        <w:tc>
          <w:tcPr>
            <w:tcW w:w="48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w w:val="99"/>
              </w:rPr>
              <w:t>Supplemental disclosure of non-cash investing activity:</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Agent business acquired in exchange for receivables</w:t>
            </w:r>
          </w:p>
        </w:tc>
        <w:tc>
          <w:tcPr>
            <w:tcW w:w="6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4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r>
      <w:tr>
        <w:trPr>
          <w:trHeight w:val="229"/>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6"/>
              </w:rPr>
              <w:t>Supplemental disclosure of non-cash financing activities:</w:t>
            </w: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4800" w:type="dxa"/>
            <w:vAlign w:val="bottom"/>
          </w:tcPr>
          <w:p>
            <w:pPr>
              <w:ind w:left="140"/>
              <w:spacing w:after="0"/>
              <w:rPr>
                <w:sz w:val="20"/>
                <w:szCs w:val="20"/>
                <w:color w:val="auto"/>
              </w:rPr>
            </w:pPr>
            <w:r>
              <w:rPr>
                <w:rFonts w:ascii="Arial" w:cs="Arial" w:eastAsia="Arial" w:hAnsi="Arial"/>
                <w:sz w:val="18"/>
                <w:szCs w:val="18"/>
                <w:color w:val="auto"/>
                <w:w w:val="98"/>
              </w:rPr>
              <w:t>Issuance of common stock for cashless exercise of options</w:t>
            </w:r>
          </w:p>
        </w:tc>
        <w:tc>
          <w:tcPr>
            <w:tcW w:w="6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5"/>
              </w:rPr>
              <w:t>Intermex transaction accruals settled by acquisition proceeds</w:t>
            </w:r>
          </w:p>
        </w:tc>
        <w:tc>
          <w:tcPr>
            <w:tcW w:w="3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9,062</w:t>
            </w:r>
          </w:p>
        </w:tc>
      </w:tr>
      <w:tr>
        <w:trPr>
          <w:trHeight w:val="223"/>
        </w:trPr>
        <w:tc>
          <w:tcPr>
            <w:tcW w:w="4800" w:type="dxa"/>
            <w:vAlign w:val="bottom"/>
          </w:tcPr>
          <w:p>
            <w:pPr>
              <w:ind w:left="140"/>
              <w:spacing w:after="0"/>
              <w:rPr>
                <w:sz w:val="20"/>
                <w:szCs w:val="20"/>
                <w:color w:val="auto"/>
              </w:rPr>
            </w:pPr>
            <w:r>
              <w:rPr>
                <w:rFonts w:ascii="Arial" w:cs="Arial" w:eastAsia="Arial" w:hAnsi="Arial"/>
                <w:sz w:val="18"/>
                <w:szCs w:val="18"/>
                <w:color w:val="auto"/>
              </w:rPr>
              <w:t>Net assets acquired in the Merger</w:t>
            </w:r>
          </w:p>
        </w:tc>
        <w:tc>
          <w:tcPr>
            <w:tcW w:w="36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8" w:name="page59"/>
    <w:bookmarkEnd w:id="5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 AND BUSINESS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International Money Express, Inc. (the “Company” or “us” or “we”) operates as a money transmitter between the United States of America (“United States” or “U.S.”) and Canada to Mexico, Guatemala and other countries in Latin America, Africa and Asia through a network of authorized agents located in various unaffiliated retail establishments and 34 Company-operated stores throughout the U.S. and Canada.</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March 2020, a global pandemic was declared by the World Health Organization related to the rapidly growing outbreak of a novel strain of coronavirus (“COVID-19”). The pandemic has had and continues to have a significant effect on economic conditions in the United States of America, as the efforts of federal, state, local and foreign governments to react to the public health crisis with mitigation measures have created and continue to cause significant uncertainties in the U.S. and global economy. The extent to which the COVID-19 pandemic affects our business, operations and financial results depends, and will continue to depend, on numerous evolving factors that we may not be able to accurately predict. Although the Company’s operations continued effectively despite social distancing and other measures taken in response to the pandemic, the ultimate impact of the COVID-19 pandemic on our financial condition, results of operations and cash flows is dependent on future developments, including the duration of the pandemic and the related extent of its severity, as well as its impact on the economic conditions, particularly the level of unemployment of our customers, which remain uncertain and cannot be predicted at this time. If the global response to contain the COVID-19 pandemic escalates further or is unsuccessful, or if governmental decisions to ease pandemic related restrictions are ineffective, premature or counterproductive, the Company could experience a material adverse effect on its financial condition, results of operations and cash flows.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consolidated financial statements of the Company include Intermex Holdings, Inc., its wholly-owned indirect subsidiary, Intermex Wire Transfer, LLC (“LLC”), Intermex Wire Transfers de Guatemala, S.A. (“Intermex Guatemala”) - 99.8% owned by LLC, Intermex Wire Transfer de Mexico, S.A. and Intermex Transfers de Mexico, S.A. (“Intermex Mexico”) - 98% owned by LLC, Intermex Wire Transfer Corp. - 100% owned by LLC, Intermex Wire Transfer II, LLC - 100% owned by LLC and Canada International Transfers Corp. - 100% owned by LLC. Non-controlling interest in the results of operations of consolidated subsidiaries represents the minority stockholders’ share of the profit or loss of Intermex Mexico and Intermex Guatemala. The non-controlling interest in net assets of these subsidiaries, and the net income or loss attributable to the non-controlling interest, were not recorded by the Company as they are considered immaterial.</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financial statements in this Annual Report on Form 10-K are presented on a consolidated basis and include the accounts of the Company and its majority-owned subsidiaries. All significant inter-company balances and transactions have been eliminated in consolidation. The consolidated financial statements are prepared in accordance with accounting principles generally accepted in the U.S. (“GAAP”).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the disclosure of contingent assets and liabilities, and the reported amounts of revenues and expenses. Actual results could differ from these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(Loss) per Share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Basic earnings (loss) per share is calculated by dividing net income (loss) by the weighted-average number of common shares outstanding for each period. Diluted earnings (loss) per share is calculated by dividing net income (loss) by the weighted-average number of common shares and common share equivalents outstanding for each period. Diluted earnings (loss) per share reflects the potential dilution that could occur if outstanding stock options and warrants at the presented dates are exercised and shares of restricted stock have vested, using the treasury stock method. Potential common shares are excluded from the computation of diluted earnings per common share when the effect would be anti-dilutive. All potential common shares are anti-dilutive in periods of net loss. Stock options, restricted stock units (“RSUs”) and warrants are anti-dilutive when the exercise price of these instruments is greater than the average market price of the Company’s common stock for the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is comprised of deposits in U.S. and foreign banks. The Company recognizes interest income from its cash deposits on an accrual basis. The Company considers cash equivalents to be short term, highly liquid investments with original maturities of three months or less.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maintains certain of its cash balances in various U.S. banks, which at times, may exceed federally insured limits. The Company has not incurred any losses on these accounts. In addition, the Company maintains various bank accounts in Mexico, Guatemala and Canada, which are not insured. During the year ended December 31, 2020, the Company has not incurred any material losses on these uninsured foreign bank accounts, and management believes it is not exposed to any significant credit risk regarding these accounts as it performs periodic reviews of the creditworthiness of the financial institutions the Company uses. Cash balances were as follows (in thousands):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237"/>
        </w:trPr>
        <w:tc>
          <w:tcPr>
            <w:tcW w:w="4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December 31,</w:t>
            </w:r>
          </w:p>
        </w:tc>
      </w:tr>
      <w:tr>
        <w:trPr>
          <w:trHeight w:val="237"/>
        </w:trPr>
        <w:tc>
          <w:tcPr>
            <w:tcW w:w="44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2019</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 U.S. dollars in U.S. banks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80,736</w:t>
            </w: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Cash in foreign banks and foreign currency</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2,332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5,372</w:t>
            </w:r>
          </w:p>
        </w:tc>
      </w:tr>
      <w:tr>
        <w:trPr>
          <w:trHeight w:val="237"/>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Petty cash</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44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74,907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86,117</w:t>
            </w:r>
          </w:p>
        </w:tc>
      </w:tr>
      <w:tr>
        <w:trPr>
          <w:trHeight w:val="21"/>
        </w:trPr>
        <w:tc>
          <w:tcPr>
            <w:tcW w:w="4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 substantial portion of our paying agents are concentrated in a few large banks and financial institutions and large retail chains. Our largest paying agent by volume accounted for approximately 18% of the Company’s total remittance volume for the years ended December 31, 2020 and 2019, primarily from the U.S. to Mexico.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Revenues for wire transfer and money order fees are recognized at the time the transaction is processed. The Company acts as the principal for these transactions as the Company controls the service at all times prior to transferring the funds to the beneficiary, is primarily responsible for fulfilling the customer contracts, has the risk of loss and has the ability to establish transaction prices. Therefore, these fees are recognized on a gross basis equal to the full amount of the fee charged to the customer. These fees also vary by transaction primarily depending upon, the principal amount sent, the send and receive locations, as well as the respective currencies of the send and receive locations. Foreign exchange gain, net, which represents the difference between the exchange rate set by the Company and the rate realized, is recognized upon the disbursement of U.S. dollars to the entities from which the Company is acquiring foreign currency. Other income primarily represents revenues for technology services provided to the independent network of agents who utilize the Company’s technology in processing transactions and check cashing services, for which revenue is derived by a fee per transaction.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Refer to Note 4 for the discussion related to revenue recognition and additional information on the Company’s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Combinations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accounts for its business combinations using the acquisition method, which requires that intangible assets be recognized apart from goodwill if they are contractual in nature or separately identifiable. Acquisitions are measured on the fair value of consideration exchanged and, if the consideration given is not cash, measurement is based on the fair value of the consideration given or the fair value of the assets acquired, whichever is more reliably measurable. The excess of cost of an acquired entity over the fair value of identifiable acquired assets and liabilities assumed is allocated to goodwill.</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valuation and allocation processes rely on significant assumptions made by management. In certain situations, the allocations of excess purchase price are based upon preliminary estimates and assumptions. Accordingly, the allocations are subject to revision when the Company receives updated information, including valuations and other analyses, which are completed within one year of the acquisition. Revisions to the fair values, which may be significant, are recorded when pending information is finalized, within one year from the acquisition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Credit Losses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Accounts receivable are recorded upon initiation of the wire transfer and are typically due to the Company within five days. The Company maintains an allowance for credit losses for estimated losses resulting from the inability of its sending agents to make required payments. When preparing these estimates, management considers a number of factors, including the aging of a sending agent’s account, creditworthiness of specific sending agents, historical trends and other information. The Company reviews its allowance for credit losses policy periodically, reflecting current risks and changes in industry conditions and when necessary, will increase its allowance for credit losses and recognize a provision for bad debt, included in other selling, general and administrative expenses in the consolidated statements of operations and comprehensive income (loss). Accounts receivable that are more than 90 days past due are charged off against the allowance for credit losses.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Prepaid Wires, Net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Prepaid wires, net represents funds provided to certain paying agents in advance of a transaction, net of wires pending to be picked up by the beneficiary of the money transfer.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Prepaid Expenses and Other Assets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Prepaid expenses and other assets consist primarily of prepaid expenses, notes receivable (see Note 6) and deferred financing costs. Interest income on notes receivable is recognized on a cash basis due at the end of each calendar month, which is when the interest payments are due from the majority of the notes receivable.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Wire Transfers Payable, Net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Wire transfers payable, net represent wires pending to be picked up by the beneficiary of the money transfer net of funds provided to certain paying agents in advance of a transaction.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Property and equipment, including leasehold improvements, are stated at cost, or the allocated fair value in purchase accounting, less accumulated depreciation and amortization. The costs of additions and betterments that substantially extend the useful life of an asset are capitalized and the expenditures for ordinary repairs and maintenance are expensed in the period incurred as part of other selling, general and administrative expenses in the consolidated statements of operations and comprehensive income (loss). Depreciation is computed using the straight-line method over the estimated useful lives of the related assets. Leasehold improvements are amortized over the lease term or the estimated useful life of the improvement, whichever is shorter. At the time depreciable assets are retired or otherwise disposed, the cost and the related accumulated depreciation of such assets are eliminated from the accounts and any gain or loss is recognized in the current period. The Company capitalizes costs incurred for the development of internal use computer software, which are depreciated over five years using the straight-line method.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Intangible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and Intangible assets result primarily from business combination acquisitions. Intangible assets include agent relationships, trade name, developed technology and other intangibles, all with finite lives. Other intangibles primarily relate to the acquisition of certain agent locations. Upon the acquisition, the purchase price is first allocated to identifiable assets and liabilities, including the trade name and other intangibles, with any remaining purchase price recorded as goodwill.</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Goodwill is not amortized, rather, an impairment test is conducted on an annual basis, at the beginning of the fourth quarter, or more frequently if indicators of impairment are present. For purposes of the annual impairment test, management initially performs a qualitative assessment, which includes consideration of the economic, industry and market conditions in addition to our overall financial performance and the performance of these assets. If our qualitative assessment does not conclude that it is more likely than not that the estimated fair value of the reporting unit is greater than the carrying value, we perform a quantitative analysis. In a quantitative test, the fair value of a reporting unit is determined based on a discounted cash flow analysis. A discounted cash flow analysis requires us to make various assumptions, including assumptions about future cash flows, growth rates and discount rates. The assumptions about future cash flows and growth rates are based on our long-term projections. Assumptions used in our impairment testing are consistent with our internal forecasts and operating plans. If the fair value of the reporting unit exceeds its carrying amount, there is no impairment. If not, we compare the implied fair value of goodwill with its carrying amount. To the extent the carrying amount exceeds its implied fair value, an impairment charge would be necessary.</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agent relationships, trade name and developed technology are amortized utilizing an accelerated method over their estimated useful lives of 15 years. Other intangible assets are amortized on a straight-line basis over a useful life of 10 years. The Company reviews for impairment indicators of finite-lived intangibles and other long-lived assets as described below in “Impairment of Long-Lived Assets.”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evaluates long-lived assets, including amortizable intangible assets, for impairment whenever events or changes in circumstances indicate that the carrying amount of an asset may not be recoverable. Upon such an occurrence, recoverability of assets to be held and used is measured by comparing the carrying amount of an asset to forecasted undiscounted future net cash flows expected to be generated by the asset. If the carrying amount of the asset exceeds its estimated future cash flows, an impairment charge is recognized for the amount by which the carrying amount of the asset exceeds the fair value of the asset. For long-lived assets held for sale, assets are written down to fair value, less cost to sell. Fair value is determined based on discounted cash flows, appraised values or management’s estimates, depending upon the nature of the assets.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Origination Costs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incurred debt origination costs related to the credit agreement, consisting of a term loan and a revolving credit facility and amortizes these costs over the life of the related debt using the straight-line method, which approximates the effective interest method. The unamortized portion of debt origination costs related to the term loan is recorded on the consolidated balance sheets as an offset to the related debt, while deferred up-front commitment fees paid directly to the lender related to the revolving credit facility are recorded within other assets in the consolidated balance sheets. Amortization of debt origination costs is included as a component of interest expense in the consolidated statements of operations and comprehensive income (loss).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Advertising costs are included in other selling, general and administrative expenses in the consolidated statements of operations and comprehensive income (loss) and are expensed as incurred. The Company incurred advertising costs of approximately $0.4 million, $1.2 million and $1.8 million for the years ended December 31, 2020, 2019 and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accounts for income taxes in accordance with GAAP which require, among other things, recognition of future tax benefits measured at enacted rates attributable to deductible temporary differences between financial statement and income tax bases of assets and liabilities and to tax net operating loss carryforwards to the extent that realization of said benefits is more likely than not.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accounts for tax contingencies by assessing all material positions, including all significant uncertain positions, for all tax years that are open to assessment or challenge under tax statutes. Those positions that have only timing consequences are separately analyzed based on the recognition and measurement model provided in the tax guidance.</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required by the uncertain tax position guidance, the Company recognizes the financial statement benefit of a position only after determining that the relevant tax authority would more likely than not sustain the position following an audit. For tax positions meeting the more likely-than-not threshold, the amount recognized in the financial statements is the largest benefit that has a greater than 50 percent likelihood of being realized upon ultimate settlement with the relevant tax authority. The Company is subject to income taxes in the U.S. federal jurisdiction and various state jurisdictions. Tax regulations within each jurisdiction are subject to the interpretation of the related tax laws and regulations and require significant judgment to apply. The Company applies the uncertain tax position guidance to all tax positions for which the statute of limitations remains open. The Company’s policy is to classify interest accrued as interest expense and penalties as other selling, general and administrative expenses.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Foreign subsidiaries of the Company are subject to taxes by local tax authorities.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Translation and Transactions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financial statements and transactions of the Company’s foreign operations are maintained in their functional currency, which is other than the U.S. dollar. Assets and liabilities are translated at current exchange rates in effect at the balance sheet date. Revenue and expenses are translated at the average exchange rate for each period. Translation adjustments, which result from the process of translating the financial statements of the Company’s foreign operations into U.S. dollars, are recorded as a component of accumulated other comprehensive income (loss).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Gains from foreign currency transactions amounted to approximately $217.6 thousand, $41.0 thousand and $29.8 thousand for the years ended December 31, 2020, 2019 and 2018, respectively, and are included in other selling, general and administrative expenses in the consolidated statements of operations and comprehensive income (loss).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manage foreign currency risk through the structure of the business and an active risk management process. We currently settle with our payers in Latin America primarily by entering into foreign exchange spot transactions with local and foreign currency providers (“counterparties”). The foreign currency exposure on our foreign exchange spot transactions is limited by the fact that all transactions are settled within two business days from trade date. Foreign currency fluctuations, however, may negatively affect our average exchange gain per transaction. The Company had open spot foreign exchange contracts for Mexico and Guatemala amounting to approximately $42.5 million and $2.5 million at December 31, 2020 and 2019, respectively.</w:t>
      </w:r>
    </w:p>
    <w:p>
      <w:pPr>
        <w:spacing w:after="0" w:line="16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included in wire transfers and money orders payable, net in our consolidated balance sheets as of December 31, 2020 and 2019, there are $7.6 million and $12.6 million, respectively, of wire transfers payable denominated in foreign currencies, primarily in Mexican pesos and Guatemalan quetzales.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included in prepaid wires, net in our consolidated balance sheets as of December 31, 2020 and 2019, there are $50.1 million and $16.4 million, respectively, of prepaid wires denominated in foreign currencies, primarily in Mexican pesos and Guatemalan quetzales.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Comprehensive Income (Loss)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Comprehensive income (loss) consists of net income (loss) and the foreign currency translation adjustment and is presented in the consolidated statements of operations and comprehensive income (loss).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Compensation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accounts for its share-based compensation expense related to stock options and RSUs under GAAP, which requires the measurement and recognition of compensation costs for all equity-based payment awards made to employees and directors based on estimated fair values. We have elected to account for forfeitures as they occur. See Note 14 for further discussion related to the Company’s share-based compensation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business is organized around one reportable segment that provides money transmittal services between the U.S. and Canada to Mexico, Guatemala and other countries in Latin America, Africa and Asia through a network of authorized agents located in various unaffiliated retail establishments and 34 Company-operated stores throughout the U.S. and Canada. This is based on the objectives of the business and how our chief operating decision maker, the CEO and President, monitors operating performance and allocates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Financial Accounting Standards Board (“FASB”) issued amended guidance, </w:t>
      </w:r>
      <w:r>
        <w:rPr>
          <w:rFonts w:ascii="Arial" w:cs="Arial" w:eastAsia="Arial" w:hAnsi="Arial"/>
          <w:sz w:val="18"/>
          <w:szCs w:val="18"/>
          <w:i w:val="1"/>
          <w:iCs w:val="1"/>
          <w:color w:val="auto"/>
        </w:rPr>
        <w:t>Intangibles – Goodwill and other (Topic 350): Simplifying the Test for</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Impairment</w:t>
      </w:r>
      <w:r>
        <w:rPr>
          <w:rFonts w:ascii="Arial" w:cs="Arial" w:eastAsia="Arial" w:hAnsi="Arial"/>
          <w:sz w:val="18"/>
          <w:szCs w:val="18"/>
          <w:color w:val="auto"/>
        </w:rPr>
        <w:t>. The amended standard simplifies how an entity tests goodwill by eliminating Step 2 of the goodwill impairment test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measuring an impairment charge. Instead, impairment will be recorded for the amount that the carrying amount of a reporting unit exceeds its fair value. This new guidance is effective for the Company on January 1, 2021. The adoption of this guidance is not expected to have a material impact on the consolidated financial statements.</w:t>
      </w:r>
    </w:p>
    <w:p>
      <w:pPr>
        <w:spacing w:after="0" w:line="18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FASB issued amended guidance,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That Is a Service Contract. </w:t>
      </w:r>
      <w:r>
        <w:rPr>
          <w:rFonts w:ascii="Arial" w:cs="Arial" w:eastAsia="Arial" w:hAnsi="Arial"/>
          <w:sz w:val="17"/>
          <w:szCs w:val="17"/>
          <w:color w:val="auto"/>
        </w:rPr>
        <w:t>The amended standard requires implementation costs</w:t>
      </w:r>
      <w:r>
        <w:rPr>
          <w:rFonts w:ascii="Arial" w:cs="Arial" w:eastAsia="Arial" w:hAnsi="Arial"/>
          <w:sz w:val="17"/>
          <w:szCs w:val="17"/>
          <w:i w:val="1"/>
          <w:iCs w:val="1"/>
          <w:color w:val="auto"/>
        </w:rPr>
        <w:t xml:space="preserve"> </w:t>
      </w:r>
      <w:r>
        <w:rPr>
          <w:rFonts w:ascii="Arial" w:cs="Arial" w:eastAsia="Arial" w:hAnsi="Arial"/>
          <w:sz w:val="17"/>
          <w:szCs w:val="17"/>
          <w:color w:val="auto"/>
        </w:rPr>
        <w:t>incurred by customers in cloud computing arrangements to be deferred and recognized over the term of the arrangement, if those costs would be capitalized by the customers in a software licensing arrangement. This new guidance is effective for the Company on January 1, 2021. The adoption of this guidance is not expected to have a material impact on the consolidated financial statements.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FASB issued guidance, </w:t>
      </w:r>
      <w:r>
        <w:rPr>
          <w:rFonts w:ascii="Arial" w:cs="Arial" w:eastAsia="Arial" w:hAnsi="Arial"/>
          <w:sz w:val="18"/>
          <w:szCs w:val="18"/>
          <w:i w:val="1"/>
          <w:iCs w:val="1"/>
          <w:color w:val="auto"/>
        </w:rPr>
        <w:t>Simplifying the Accounting for Income Taxes (Topic 740)</w:t>
      </w:r>
      <w:r>
        <w:rPr>
          <w:rFonts w:ascii="Arial" w:cs="Arial" w:eastAsia="Arial" w:hAnsi="Arial"/>
          <w:sz w:val="18"/>
          <w:szCs w:val="18"/>
          <w:color w:val="auto"/>
        </w:rPr>
        <w:t>, which removes certain exceptions to the general principles in Topic 740 and improves consistent application of and simplifies GAAP for other areas of Topic 740 by clarifying and amending existing guidance. This new guidance is effective for the Company on January 1, 2021. The Company will adopt this guidance on a prospective basis and it is not expected to have a material impact on the consolidated financial statements.</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FASB issued guidance, </w:t>
      </w:r>
      <w:r>
        <w:rPr>
          <w:rFonts w:ascii="Arial" w:cs="Arial" w:eastAsia="Arial" w:hAnsi="Arial"/>
          <w:sz w:val="17"/>
          <w:szCs w:val="17"/>
          <w:i w:val="1"/>
          <w:iCs w:val="1"/>
          <w:color w:val="auto"/>
        </w:rPr>
        <w:t>Leases (Topic 842)</w:t>
      </w:r>
      <w:r>
        <w:rPr>
          <w:rFonts w:ascii="Arial" w:cs="Arial" w:eastAsia="Arial" w:hAnsi="Arial"/>
          <w:sz w:val="17"/>
          <w:szCs w:val="17"/>
          <w:color w:val="auto"/>
        </w:rPr>
        <w:t>, to increase transparency and comparability among organizations by recognizing lease assets and lease liabilities on the balance sheet for those leases classified as operating leases under previous GAAP. The guidance requires that a lessee recognizes a liability to make lease payments (the lease liability) and a right-of-use asset representing its right to use the underlying asset for the lease term on the balance sheet. This guidance is required to be adopted by the Company on January 1, 2022 using the modified retrospective approach. The Company is currently evaluating the impact this guidance will have on the consolidated financial statements.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FASB issued guidance, </w:t>
      </w:r>
      <w:r>
        <w:rPr>
          <w:rFonts w:ascii="Arial" w:cs="Arial" w:eastAsia="Arial" w:hAnsi="Arial"/>
          <w:sz w:val="18"/>
          <w:szCs w:val="18"/>
          <w:i w:val="1"/>
          <w:iCs w:val="1"/>
          <w:color w:val="auto"/>
        </w:rPr>
        <w:t>Financial Instruments – Credit Losses (Topic 326): Measurement of Credit Losses on Financial Instruments</w:t>
      </w:r>
      <w:r>
        <w:rPr>
          <w:rFonts w:ascii="Arial" w:cs="Arial" w:eastAsia="Arial" w:hAnsi="Arial"/>
          <w:sz w:val="18"/>
          <w:szCs w:val="18"/>
          <w:color w:val="auto"/>
        </w:rPr>
        <w:t>, regarding the measurement of credit losses for certain financial instruments. The new standard replaces the incurred loss model with a current expected credit loss (“CECL”) model. The CECL model is based on historical experience, adjusted for current conditions and reasonable and supportable forecasts. The Company is required to adopt the new guidance on January 1, 2023. The Company is currently evaluating the impact this guidance will have on the consolidated financial statements.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FASB issued guidance, </w:t>
      </w:r>
      <w:r>
        <w:rPr>
          <w:rFonts w:ascii="Arial" w:cs="Arial" w:eastAsia="Arial" w:hAnsi="Arial"/>
          <w:sz w:val="17"/>
          <w:szCs w:val="17"/>
          <w:i w:val="1"/>
          <w:iCs w:val="1"/>
          <w:color w:val="auto"/>
        </w:rPr>
        <w:t>Reference Rate Reform (Topic 848): Facilitation of the Effects of Reference Rate Reform on Financial Reporting</w:t>
      </w:r>
      <w:r>
        <w:rPr>
          <w:rFonts w:ascii="Arial" w:cs="Arial" w:eastAsia="Arial" w:hAnsi="Arial"/>
          <w:sz w:val="17"/>
          <w:szCs w:val="17"/>
          <w:color w:val="auto"/>
        </w:rPr>
        <w:t>, which provides optional expedient and exceptions for applying generally accepted accounting principles to contracts, hedging relationships, and other transactions affected by reference rate reform if certain criteria are met. In response to the concerns about structural risks of interbank offered rates (“IBORs”) and, particularly, the risk of cessation of the LIBOR, regulators in several jurisdictions around the world have undertaken reference rate reform initiatives to identify alternative reference rates that are more observable or transaction based and less susceptible to manipulation. This accounting standards update provides companies with optional guidance to ease the potential accounting burden associated with transitioning away from reference rates that are expected to be discontinued. This new guidance may be adopted by the Company no later than December 1, 2022, with early adoption permitted. The potential adoption of this guidance is not expected to have a material impact on the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prior-year amounts to conform with current-year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3 – FINTECH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FinTech Merger</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26, 2018, the Company (formerly known as Fintech Acquisition Corp. II) consummated the merger transaction (the “Merger”), by and among FinTech Acquisition Corp. II, a Delaware corporation (“FinTech”), FinTech II Merger Sub Inc., FinTech II Merger Sub 2 LLC, Intermex Holdings II, Inc. (“Intermex”) and SPC Intermex Representative LLC, which was accounted for as a reverse recapitalization.</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Immediately prior to the Merger, FinTech’s shareholders exercised their right to redeem certain of their outstanding shares for cash, resulting in the redemption of 4.9 million shares of FinTech for gross redemption payments of $49.8 million. Subsequent to this redemption, there were 18.9 million outstanding shares. The aggregate consideration paid in the Merger by FinTech to the Intermex shareholders consisted of approximately (i) $102.0 million in cash and (ii) 17.2 million shares of FinTech common stock. In accounting for the reverse recapitalization, the net cash proceeds received from FinTech amounted to $5.0 thousand as shown in the table below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balance available to Intermex prior to the consummation of the Merger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110,726</w:t>
            </w:r>
          </w:p>
        </w:tc>
      </w:tr>
      <w:tr>
        <w:trPr>
          <w:trHeight w:val="229"/>
        </w:trPr>
        <w:tc>
          <w:tcPr>
            <w:tcW w:w="6540" w:type="dxa"/>
            <w:vAlign w:val="bottom"/>
          </w:tcPr>
          <w:p>
            <w:pPr>
              <w:ind w:left="2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Intermex Merger costs paid from acquisition proceeds at closing</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(9,062)</w:t>
            </w:r>
          </w:p>
        </w:tc>
      </w:tr>
      <w:tr>
        <w:trPr>
          <w:trHeight w:val="237"/>
        </w:trPr>
        <w:tc>
          <w:tcPr>
            <w:tcW w:w="65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Cash consideration to Intermex shareholders</w:t>
            </w: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(101,659)</w:t>
            </w:r>
          </w:p>
        </w:tc>
      </w:tr>
      <w:tr>
        <w:trPr>
          <w:trHeight w:val="254"/>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proceeds from reverse recapitalization</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balance available to Intermex prior to the consummation of the Merger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110,726</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Less:</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consideration to Intermex shareholders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(101,659)</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Other FinTech assets acquired and liabilities assumed in the Merger:</w:t>
            </w: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654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36"/>
        </w:trPr>
        <w:tc>
          <w:tcPr>
            <w:tcW w:w="6540" w:type="dxa"/>
            <w:vAlign w:val="bottom"/>
            <w:tcBorders>
              <w:bottom w:val="single" w:sz="8" w:color="CCEEFF"/>
            </w:tcBorders>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Deferred tax assets </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30"/>
        </w:trPr>
        <w:tc>
          <w:tcPr>
            <w:tcW w:w="6540" w:type="dxa"/>
            <w:vAlign w:val="bottom"/>
          </w:tcPr>
          <w:p>
            <w:pPr>
              <w:ind w:left="20"/>
              <w:spacing w:after="0"/>
              <w:rPr>
                <w:sz w:val="20"/>
                <w:szCs w:val="20"/>
                <w:color w:val="auto"/>
              </w:rPr>
            </w:pPr>
            <w:r>
              <w:rPr>
                <w:rFonts w:ascii="Arial" w:cs="Arial" w:eastAsia="Arial" w:hAnsi="Arial"/>
                <w:sz w:val="18"/>
                <w:szCs w:val="18"/>
                <w:color w:val="auto"/>
              </w:rPr>
              <w:t>Net equity infusion from FinTech</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9,989</w:t>
            </w:r>
          </w:p>
        </w:tc>
      </w:tr>
      <w:tr>
        <w:trPr>
          <w:trHeight w:val="20"/>
        </w:trPr>
        <w:tc>
          <w:tcPr>
            <w:tcW w:w="65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8"/>
        <w:spacing w:after="0" w:line="269" w:lineRule="auto"/>
        <w:tabs>
          <w:tab w:leader="none" w:pos="181" w:val="left"/>
        </w:tabs>
        <w:numPr>
          <w:ilvl w:val="0"/>
          <w:numId w:val="27"/>
        </w:numPr>
        <w:rPr>
          <w:rFonts w:ascii="Arial" w:cs="Arial" w:eastAsia="Arial" w:hAnsi="Arial"/>
          <w:sz w:val="21"/>
          <w:szCs w:val="21"/>
          <w:color w:val="auto"/>
          <w:vertAlign w:val="superscript"/>
        </w:rPr>
      </w:pPr>
      <w:r>
        <w:rPr>
          <w:rFonts w:ascii="Arial" w:cs="Arial" w:eastAsia="Arial" w:hAnsi="Arial"/>
          <w:sz w:val="16"/>
          <w:szCs w:val="16"/>
          <w:color w:val="auto"/>
        </w:rPr>
        <w:t>The Company acquired approximately $1.0 million of deferred tax assets from FinTech. These deferred tax assets relate to capitalized transaction costs incurred by FinTech prior to the Merger; therefore, they were recorded through APIC and are amortizable on the Company’s post-Merger tax returns over a period of 15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Costs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Direct costs related to the Merger were expensed as incurred and included as “transaction costs” in the consolidated statements of operations and comprehensive income (loss). Transaction costs included all internal and external costs directly related to the Merger, consisting primarily of legal, consulting, accounting, advisory and financing fees and certain incentive bonuses. Transaction costs for the year ended December 31, 2018 amounted to $10.3 million and related specifically to the Merger. There were no transaction costs for the years ended December 31, 2020 and 2019.</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4" w:name="page65"/>
    <w:bookmarkEnd w:id="6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4 – REVENUE</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 2019, the Company adopted the new accounting standard, Revenue from Contracts with Customers, as amended, which modified the existing accounting standards for revenue recognition. The guidance establishes that an entity should recognize revenue to depict the transfer of promised goods or services, that is, the satisfaction of performance obligations, to customers in an amount that reflects the consideration to which the entity expects to be entitled in exchange for those goods or services. The guidance establishes a five-step model to determine when revenue recognition is appropriate. The Company adopted the guidance using the modified retrospective approach recording the cumulative effect of initially applying the new guidance as an adjustment to the opening balance of retained earnings in the consolidated balance sheet, amounting to $1.0 million, net of tax, with a corresponding increase to deferred revenue liability, included within accrued and other liabilities in the consolidated balance sheet. In accordance with the modified retrospective approach, the 2018 comparative information was not restated and continues to be reported under the accounting standards in effect for that year.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recognized in revenues from contracts with customers for the years ended December 31, 2020 and 2019, the following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December 31,</w:t>
            </w:r>
          </w:p>
        </w:tc>
        <w:tc>
          <w:tcPr>
            <w:tcW w:w="1140" w:type="dxa"/>
            <w:vAlign w:val="bottom"/>
            <w:tcBorders>
              <w:bottom w:val="single" w:sz="8" w:color="auto"/>
            </w:tcBorders>
          </w:tcPr>
          <w:p>
            <w:pPr>
              <w:spacing w:after="0"/>
              <w:rPr>
                <w:sz w:val="20"/>
                <w:szCs w:val="20"/>
                <w:color w:val="auto"/>
              </w:rPr>
            </w:pPr>
          </w:p>
        </w:tc>
      </w:tr>
      <w:tr>
        <w:trPr>
          <w:trHeight w:val="237"/>
        </w:trPr>
        <w:tc>
          <w:tcPr>
            <w:tcW w:w="626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2019</w:t>
            </w:r>
          </w:p>
        </w:tc>
      </w:tr>
      <w:tr>
        <w:trPr>
          <w:trHeight w:val="230"/>
        </w:trPr>
        <w:tc>
          <w:tcPr>
            <w:tcW w:w="6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Wire transfer and money order fees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308,850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274,161</w:t>
            </w:r>
          </w:p>
        </w:tc>
      </w:tr>
      <w:tr>
        <w:trPr>
          <w:trHeight w:val="236"/>
        </w:trPr>
        <w:tc>
          <w:tcPr>
            <w:tcW w:w="62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Discounts and promotions</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(1,080)</w:t>
            </w:r>
          </w:p>
        </w:tc>
      </w:tr>
      <w:tr>
        <w:trPr>
          <w:trHeight w:val="230"/>
        </w:trPr>
        <w:tc>
          <w:tcPr>
            <w:tcW w:w="6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Wire transfer and money order fees, net</w:t>
            </w:r>
          </w:p>
        </w:tc>
        <w:tc>
          <w:tcPr>
            <w:tcW w:w="10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307,909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273,081</w:t>
            </w:r>
          </w:p>
        </w:tc>
      </w:tr>
      <w:tr>
        <w:trPr>
          <w:trHeight w:val="229"/>
        </w:trPr>
        <w:tc>
          <w:tcPr>
            <w:tcW w:w="6260" w:type="dxa"/>
            <w:vAlign w:val="bottom"/>
          </w:tcPr>
          <w:p>
            <w:pPr>
              <w:ind w:left="80"/>
              <w:spacing w:after="0"/>
              <w:rPr>
                <w:sz w:val="20"/>
                <w:szCs w:val="20"/>
                <w:color w:val="auto"/>
              </w:rPr>
            </w:pPr>
            <w:r>
              <w:rPr>
                <w:rFonts w:ascii="Arial" w:cs="Arial" w:eastAsia="Arial" w:hAnsi="Arial"/>
                <w:sz w:val="18"/>
                <w:szCs w:val="18"/>
                <w:color w:val="auto"/>
              </w:rPr>
              <w:t>Foreign exchange gain, net</w:t>
            </w:r>
          </w:p>
        </w:tc>
        <w:tc>
          <w:tcPr>
            <w:tcW w:w="10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46,763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44,268</w:t>
            </w:r>
          </w:p>
        </w:tc>
      </w:tr>
      <w:tr>
        <w:trPr>
          <w:trHeight w:val="237"/>
        </w:trPr>
        <w:tc>
          <w:tcPr>
            <w:tcW w:w="62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Other income</w:t>
            </w:r>
          </w:p>
        </w:tc>
        <w:tc>
          <w:tcPr>
            <w:tcW w:w="10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r>
      <w:tr>
        <w:trPr>
          <w:trHeight w:val="229"/>
        </w:trPr>
        <w:tc>
          <w:tcPr>
            <w:tcW w:w="6260" w:type="dxa"/>
            <w:vAlign w:val="bottom"/>
          </w:tcPr>
          <w:p>
            <w:pPr>
              <w:ind w:left="60"/>
              <w:spacing w:after="0"/>
              <w:rPr>
                <w:sz w:val="20"/>
                <w:szCs w:val="20"/>
                <w:color w:val="auto"/>
              </w:rPr>
            </w:pPr>
            <w:r>
              <w:rPr>
                <w:rFonts w:ascii="Arial" w:cs="Arial" w:eastAsia="Arial" w:hAnsi="Arial"/>
                <w:sz w:val="18"/>
                <w:szCs w:val="18"/>
                <w:color w:val="auto"/>
              </w:rPr>
              <w:t>Total revenues</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357,209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319,601</w:t>
            </w:r>
          </w:p>
        </w:tc>
      </w:tr>
      <w:tr>
        <w:trPr>
          <w:trHeight w:val="21"/>
        </w:trPr>
        <w:tc>
          <w:tcPr>
            <w:tcW w:w="6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are no significant initial costs incurred to obtain contracts with customers, although the Company has a loyalty program under which customers earn one point for each wire transfer completed. Points can be redeemed for a discounted wire transaction fee or higher foreign exchange rate. The discounts vary by country, and the earned points expire if the customer has not initiated and completed an eligible wire transfer transaction within the immediately preceding 180-day period. In addition, earned points will expire 30 days after the end of the program. Therefore, because the loyalty program benefits represent a future performance obligation, a portion of the initial consideration is recorded as deferred revenue loyalty program (see Note 10) and a corresponding loyalty program expense is recorded as contra revenue. Revenue from this performance obligation is recognized upon customers redeeming points or upon expiration of any points outstanding.</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Based on our assessment of the new standard, except for the loyalty program discussed above, we have determined that our revenues include only one performance obligation, which is to collect the consumer’s money and make funds available for payment, generally on the same day, to a designated recipient in the currency requested. As part of the adoption of ASC 606, the loyalty program reserve balance as of January 1, 2019 of $0.6 million, was credited to accumulated deficit as this became part of the beginning balance of the new deferred revenue loyalty program liability.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5 – ACCOUNTS RECEIVABLE AND NOTES RECEIVABLE, NET OF ALLOWANCE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represents outstanding balances from sending agents for pending wire transfers or money orders from our customers. The outstanding balance, net of allowance for credit losses, consists of the following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w w:val="99"/>
              </w:rPr>
              <w:t>December 31,</w:t>
            </w:r>
          </w:p>
        </w:tc>
        <w:tc>
          <w:tcPr>
            <w:tcW w:w="1140" w:type="dxa"/>
            <w:vAlign w:val="bottom"/>
            <w:tcBorders>
              <w:bottom w:val="single" w:sz="8" w:color="auto"/>
            </w:tcBorders>
          </w:tcPr>
          <w:p>
            <w:pPr>
              <w:spacing w:after="0"/>
              <w:rPr>
                <w:sz w:val="20"/>
                <w:szCs w:val="20"/>
                <w:color w:val="auto"/>
              </w:rPr>
            </w:pPr>
          </w:p>
        </w:tc>
        <w:tc>
          <w:tcPr>
            <w:tcW w:w="1440" w:type="dxa"/>
            <w:vAlign w:val="bottom"/>
          </w:tcPr>
          <w:p>
            <w:pPr>
              <w:spacing w:after="0"/>
              <w:rPr>
                <w:sz w:val="20"/>
                <w:szCs w:val="20"/>
                <w:color w:val="auto"/>
              </w:rPr>
            </w:pPr>
          </w:p>
        </w:tc>
      </w:tr>
      <w:tr>
        <w:trPr>
          <w:trHeight w:val="236"/>
        </w:trPr>
        <w:tc>
          <w:tcPr>
            <w:tcW w:w="62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2019</w:t>
            </w:r>
          </w:p>
        </w:tc>
        <w:tc>
          <w:tcPr>
            <w:tcW w:w="1440" w:type="dxa"/>
            <w:vAlign w:val="bottom"/>
          </w:tcPr>
          <w:p>
            <w:pPr>
              <w:spacing w:after="0"/>
              <w:rPr>
                <w:sz w:val="20"/>
                <w:szCs w:val="20"/>
                <w:color w:val="auto"/>
              </w:rPr>
            </w:pP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56,520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40,513</w:t>
            </w:r>
          </w:p>
        </w:tc>
        <w:tc>
          <w:tcPr>
            <w:tcW w:w="1440" w:type="dxa"/>
            <w:vAlign w:val="bottom"/>
          </w:tcPr>
          <w:p>
            <w:pPr>
              <w:spacing w:after="0"/>
              <w:rPr>
                <w:sz w:val="19"/>
                <w:szCs w:val="19"/>
                <w:color w:val="auto"/>
              </w:rPr>
            </w:pPr>
          </w:p>
        </w:tc>
      </w:tr>
      <w:tr>
        <w:trPr>
          <w:trHeight w:val="236"/>
        </w:trPr>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1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4"/>
              </w:rPr>
              <w:t>(1,503)</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1440" w:type="dxa"/>
            <w:vAlign w:val="bottom"/>
          </w:tcPr>
          <w:p>
            <w:pPr>
              <w:spacing w:after="0"/>
              <w:rPr>
                <w:sz w:val="20"/>
                <w:szCs w:val="20"/>
                <w:color w:val="auto"/>
              </w:rPr>
            </w:pPr>
          </w:p>
        </w:tc>
      </w:tr>
      <w:tr>
        <w:trPr>
          <w:trHeight w:val="255"/>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55,017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39,754</w:t>
            </w:r>
          </w:p>
        </w:tc>
        <w:tc>
          <w:tcPr>
            <w:tcW w:w="1440" w:type="dxa"/>
            <w:vAlign w:val="bottom"/>
          </w:tcPr>
          <w:p>
            <w:pPr>
              <w:spacing w:after="0"/>
              <w:rPr>
                <w:sz w:val="21"/>
                <w:szCs w:val="2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061"/>
        </w:trPr>
        <w:tc>
          <w:tcPr>
            <w:tcW w:w="6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Receivable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notes receivable, net of allowance for credit losses, from sending agents as follows (in thousands):</w:t>
      </w:r>
    </w:p>
    <w:p>
      <w:pPr>
        <w:spacing w:after="0" w:line="50"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8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54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current</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710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36"/>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5"/>
              </w:rPr>
              <w:t>(244)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r>
      <w:tr>
        <w:trPr>
          <w:trHeight w:val="25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current</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3"/>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long-term</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3"/>
              </w:rPr>
              <w:t>816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36"/>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1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5"/>
              </w:rPr>
              <w:t>(295)</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r>
      <w:tr>
        <w:trPr>
          <w:trHeight w:val="255"/>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long-term</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3"/>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current portion is included in prepaid expenses and other current assets, and the net long-term portion is included in other assets in the consolidated balance sheets. The notes have interest rates ranging from 0% to 15.5% per annum. At December 31, 2020 and 2019, there were $1.5 million and $1.3 million, respectively, of notes collateralized by personal guarantees from the sending agents and assets from their businesses in case of a default by the agent.</w:t>
      </w:r>
    </w:p>
    <w:p>
      <w:pPr>
        <w:sectPr>
          <w:pgSz w:w="11900" w:h="16838" w:orient="portrait"/>
          <w:cols w:equalWidth="0" w:num="1">
            <w:col w:w="11240"/>
          </w:cols>
          <w:pgMar w:left="320" w:top="125" w:right="3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maturities of notes receivable at December 31, 2020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5974715"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74715"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Under 1 year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Between 1 and 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74715" cy="16256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Between 2 and 3 years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381"/>
        <w:spacing w:after="0"/>
        <w:rPr>
          <w:sz w:val="20"/>
          <w:szCs w:val="20"/>
          <w:color w:val="auto"/>
        </w:rPr>
      </w:pPr>
      <w:r>
        <w:rPr>
          <w:rFonts w:ascii="Arial" w:cs="Arial" w:eastAsia="Arial" w:hAnsi="Arial"/>
          <w:sz w:val="18"/>
          <w:szCs w:val="18"/>
          <w:color w:val="auto"/>
        </w:rPr>
        <w:t>Unpaid</w:t>
      </w:r>
    </w:p>
    <w:p>
      <w:pPr>
        <w:ind w:left="321"/>
        <w:spacing w:after="0" w:line="203" w:lineRule="auto"/>
        <w:rPr>
          <w:sz w:val="20"/>
          <w:szCs w:val="20"/>
          <w:color w:val="auto"/>
        </w:rPr>
      </w:pPr>
      <w:r>
        <w:rPr>
          <w:rFonts w:ascii="Arial" w:cs="Arial" w:eastAsia="Arial" w:hAnsi="Arial"/>
          <w:sz w:val="18"/>
          <w:szCs w:val="18"/>
          <w:color w:val="auto"/>
        </w:rPr>
        <w:t>Principle</w:t>
      </w:r>
    </w:p>
    <w:p>
      <w:pPr>
        <w:ind w:left="361"/>
        <w:spacing w:after="0"/>
        <w:rPr>
          <w:sz w:val="20"/>
          <w:szCs w:val="20"/>
          <w:color w:val="auto"/>
        </w:rPr>
      </w:pPr>
      <w:r>
        <w:rPr>
          <w:rFonts w:ascii="Arial" w:cs="Arial" w:eastAsia="Arial" w:hAnsi="Arial"/>
          <w:sz w:val="18"/>
          <w:szCs w:val="18"/>
          <w:color w:val="auto"/>
        </w:rPr>
        <w:t>Balance</w:t>
      </w:r>
    </w:p>
    <w:p>
      <w:pPr>
        <w:spacing w:after="0" w:line="34" w:lineRule="exact"/>
        <w:rPr>
          <w:sz w:val="20"/>
          <w:szCs w:val="20"/>
          <w:color w:val="auto"/>
        </w:rPr>
      </w:pPr>
    </w:p>
    <w:p>
      <w:pPr>
        <w:ind w:left="981" w:hanging="981"/>
        <w:spacing w:after="0"/>
        <w:tabs>
          <w:tab w:leader="none" w:pos="981" w:val="left"/>
        </w:tabs>
        <w:numPr>
          <w:ilvl w:val="0"/>
          <w:numId w:val="28"/>
        </w:numPr>
        <w:rPr>
          <w:rFonts w:ascii="Arial" w:cs="Arial" w:eastAsia="Arial" w:hAnsi="Arial"/>
          <w:sz w:val="15"/>
          <w:szCs w:val="15"/>
          <w:color w:val="auto"/>
        </w:rPr>
      </w:pPr>
      <w:r>
        <w:rPr>
          <w:rFonts w:ascii="Arial" w:cs="Arial" w:eastAsia="Arial" w:hAnsi="Arial"/>
          <w:sz w:val="15"/>
          <w:szCs w:val="15"/>
          <w:color w:val="auto"/>
        </w:rPr>
        <w:t>710</w:t>
      </w:r>
    </w:p>
    <w:p>
      <w:pPr>
        <w:spacing w:after="0" w:line="57" w:lineRule="exact"/>
        <w:rPr>
          <w:rFonts w:ascii="Arial" w:cs="Arial" w:eastAsia="Arial" w:hAnsi="Arial"/>
          <w:sz w:val="15"/>
          <w:szCs w:val="15"/>
          <w:color w:val="auto"/>
        </w:rPr>
      </w:pPr>
    </w:p>
    <w:p>
      <w:pPr>
        <w:ind w:left="981"/>
        <w:spacing w:after="0"/>
        <w:rPr>
          <w:rFonts w:ascii="Arial" w:cs="Arial" w:eastAsia="Arial" w:hAnsi="Arial"/>
          <w:sz w:val="15"/>
          <w:szCs w:val="15"/>
          <w:color w:val="auto"/>
        </w:rPr>
      </w:pPr>
      <w:r>
        <w:rPr>
          <w:rFonts w:ascii="Arial" w:cs="Arial" w:eastAsia="Arial" w:hAnsi="Arial"/>
          <w:sz w:val="15"/>
          <w:szCs w:val="15"/>
          <w:color w:val="auto"/>
        </w:rPr>
        <w:t>459</w:t>
      </w:r>
    </w:p>
    <w:p>
      <w:pPr>
        <w:spacing w:after="0" w:line="57" w:lineRule="exact"/>
        <w:rPr>
          <w:rFonts w:ascii="Arial" w:cs="Arial" w:eastAsia="Arial" w:hAnsi="Arial"/>
          <w:sz w:val="15"/>
          <w:szCs w:val="15"/>
          <w:color w:val="auto"/>
        </w:rPr>
      </w:pPr>
    </w:p>
    <w:p>
      <w:pPr>
        <w:ind w:left="981"/>
        <w:spacing w:after="0"/>
        <w:rPr>
          <w:rFonts w:ascii="Arial" w:cs="Arial" w:eastAsia="Arial" w:hAnsi="Arial"/>
          <w:sz w:val="15"/>
          <w:szCs w:val="15"/>
          <w:color w:val="auto"/>
        </w:rPr>
      </w:pPr>
      <w:r>
        <w:rPr>
          <w:rFonts w:ascii="Arial" w:cs="Arial" w:eastAsia="Arial" w:hAnsi="Arial"/>
          <w:sz w:val="15"/>
          <w:szCs w:val="15"/>
          <w:color w:val="auto"/>
        </w:rPr>
        <w:t>357</w:t>
      </w:r>
    </w:p>
    <w:p>
      <w:pPr>
        <w:spacing w:after="0" w:line="83" w:lineRule="exact"/>
        <w:rPr>
          <w:sz w:val="20"/>
          <w:szCs w:val="20"/>
          <w:color w:val="auto"/>
        </w:rPr>
      </w:pPr>
    </w:p>
    <w:p>
      <w:pPr>
        <w:ind w:left="841" w:hanging="841"/>
        <w:spacing w:after="0"/>
        <w:tabs>
          <w:tab w:leader="none" w:pos="841" w:val="left"/>
        </w:tabs>
        <w:numPr>
          <w:ilvl w:val="0"/>
          <w:numId w:val="29"/>
        </w:numPr>
        <w:rPr>
          <w:rFonts w:ascii="Arial" w:cs="Arial" w:eastAsia="Arial" w:hAnsi="Arial"/>
          <w:sz w:val="15"/>
          <w:szCs w:val="15"/>
          <w:color w:val="auto"/>
        </w:rPr>
      </w:pPr>
      <w:r>
        <w:rPr>
          <w:rFonts w:ascii="Arial" w:cs="Arial" w:eastAsia="Arial" w:hAnsi="Arial"/>
          <w:sz w:val="15"/>
          <w:szCs w:val="15"/>
          <w:color w:val="auto"/>
        </w:rPr>
        <w:t>1,526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36830</wp:posOffset>
            </wp:positionV>
            <wp:extent cx="8483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4836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62230</wp:posOffset>
            </wp:positionV>
            <wp:extent cx="8483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7379" w:space="720"/>
            <w:col w:w="3141"/>
          </w:cols>
          <w:pgMar w:left="320" w:top="125" w:right="339" w:bottom="1440" w:gutter="0" w:footer="0" w:header="0"/>
          <w:type w:val="continuous"/>
        </w:sect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allowance for credit losses related to accounts receivable and notes receivable are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4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Year Ended December 31,</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440" w:type="dxa"/>
            <w:vAlign w:val="bottom"/>
          </w:tcPr>
          <w:p>
            <w:pPr>
              <w:spacing w:after="0"/>
              <w:rPr>
                <w:sz w:val="20"/>
                <w:szCs w:val="20"/>
                <w:color w:val="auto"/>
              </w:rPr>
            </w:pPr>
          </w:p>
        </w:tc>
      </w:tr>
      <w:tr>
        <w:trPr>
          <w:trHeight w:val="236"/>
        </w:trPr>
        <w:tc>
          <w:tcPr>
            <w:tcW w:w="44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2018</w:t>
            </w:r>
          </w:p>
        </w:tc>
        <w:tc>
          <w:tcPr>
            <w:tcW w:w="1440" w:type="dxa"/>
            <w:vAlign w:val="bottom"/>
          </w:tcPr>
          <w:p>
            <w:pPr>
              <w:spacing w:after="0"/>
              <w:rPr>
                <w:sz w:val="20"/>
                <w:szCs w:val="20"/>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440" w:type="dxa"/>
            <w:vAlign w:val="bottom"/>
          </w:tcPr>
          <w:p>
            <w:pPr>
              <w:spacing w:after="0"/>
              <w:rPr>
                <w:sz w:val="19"/>
                <w:szCs w:val="19"/>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Provision</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1,236</w:t>
            </w:r>
          </w:p>
        </w:tc>
        <w:tc>
          <w:tcPr>
            <w:tcW w:w="1440" w:type="dxa"/>
            <w:vAlign w:val="bottom"/>
          </w:tcPr>
          <w:p>
            <w:pPr>
              <w:spacing w:after="0"/>
              <w:rPr>
                <w:sz w:val="19"/>
                <w:szCs w:val="19"/>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440" w:type="dxa"/>
            <w:vAlign w:val="bottom"/>
          </w:tcPr>
          <w:p>
            <w:pPr>
              <w:spacing w:after="0"/>
              <w:rPr>
                <w:sz w:val="19"/>
                <w:szCs w:val="19"/>
                <w:color w:val="auto"/>
              </w:rPr>
            </w:pPr>
          </w:p>
        </w:tc>
      </w:tr>
      <w:tr>
        <w:trPr>
          <w:trHeight w:val="23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440" w:type="dxa"/>
            <w:vAlign w:val="bottom"/>
          </w:tcPr>
          <w:p>
            <w:pPr>
              <w:spacing w:after="0"/>
              <w:rPr>
                <w:sz w:val="20"/>
                <w:szCs w:val="20"/>
                <w:color w:val="auto"/>
              </w:rPr>
            </w:pPr>
          </w:p>
        </w:tc>
      </w:tr>
      <w:tr>
        <w:trPr>
          <w:trHeight w:val="255"/>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440" w:type="dxa"/>
            <w:vAlign w:val="bottom"/>
          </w:tcPr>
          <w:p>
            <w:pPr>
              <w:spacing w:after="0"/>
              <w:rPr>
                <w:sz w:val="21"/>
                <w:szCs w:val="2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541"/>
        </w:trPr>
        <w:tc>
          <w:tcPr>
            <w:tcW w:w="8080" w:type="dxa"/>
            <w:vAlign w:val="bottom"/>
            <w:gridSpan w:val="7"/>
          </w:tcPr>
          <w:p>
            <w:pPr>
              <w:spacing w:after="0"/>
              <w:rPr>
                <w:sz w:val="20"/>
                <w:szCs w:val="20"/>
                <w:color w:val="auto"/>
              </w:rPr>
            </w:pPr>
            <w:r>
              <w:rPr>
                <w:rFonts w:ascii="Arial" w:cs="Arial" w:eastAsia="Arial" w:hAnsi="Arial"/>
                <w:sz w:val="18"/>
                <w:szCs w:val="18"/>
                <w:color w:val="auto"/>
                <w:w w:val="99"/>
              </w:rPr>
              <w:t>The allowance for credit losses allocated by financial instrument category is as follows (in thousands):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63"/>
        </w:trPr>
        <w:tc>
          <w:tcPr>
            <w:tcW w:w="44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8"/>
              </w:rPr>
              <w:t>December 31,</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440" w:type="dxa"/>
            <w:vAlign w:val="bottom"/>
          </w:tcPr>
          <w:p>
            <w:pPr>
              <w:spacing w:after="0"/>
              <w:rPr>
                <w:sz w:val="22"/>
                <w:szCs w:val="22"/>
                <w:color w:val="auto"/>
              </w:rPr>
            </w:pPr>
          </w:p>
        </w:tc>
      </w:tr>
      <w:tr>
        <w:trPr>
          <w:trHeight w:val="236"/>
        </w:trPr>
        <w:tc>
          <w:tcPr>
            <w:tcW w:w="444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2019</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2018</w:t>
            </w:r>
          </w:p>
        </w:tc>
        <w:tc>
          <w:tcPr>
            <w:tcW w:w="1440" w:type="dxa"/>
            <w:vAlign w:val="bottom"/>
          </w:tcPr>
          <w:p>
            <w:pPr>
              <w:spacing w:after="0"/>
              <w:rPr>
                <w:sz w:val="20"/>
                <w:szCs w:val="20"/>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440" w:type="dxa"/>
            <w:vAlign w:val="bottom"/>
          </w:tcPr>
          <w:p>
            <w:pPr>
              <w:spacing w:after="0"/>
              <w:rPr>
                <w:sz w:val="19"/>
                <w:szCs w:val="19"/>
                <w:color w:val="auto"/>
              </w:rPr>
            </w:pPr>
          </w:p>
        </w:tc>
      </w:tr>
      <w:tr>
        <w:trPr>
          <w:trHeight w:val="23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Notes receivable</w:t>
            </w: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440" w:type="dxa"/>
            <w:vAlign w:val="bottom"/>
          </w:tcPr>
          <w:p>
            <w:pPr>
              <w:spacing w:after="0"/>
              <w:rPr>
                <w:sz w:val="20"/>
                <w:szCs w:val="20"/>
                <w:color w:val="auto"/>
              </w:rPr>
            </w:pPr>
          </w:p>
        </w:tc>
      </w:tr>
      <w:tr>
        <w:trPr>
          <w:trHeight w:val="254"/>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credit losses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440" w:type="dxa"/>
            <w:vAlign w:val="bottom"/>
          </w:tcPr>
          <w:p>
            <w:pPr>
              <w:spacing w:after="0"/>
              <w:rPr>
                <w:sz w:val="21"/>
                <w:szCs w:val="2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811"/>
        </w:trPr>
        <w:tc>
          <w:tcPr>
            <w:tcW w:w="4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rPr>
              <w:t>F-14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1"/>
        </w:trPr>
        <w:tc>
          <w:tcPr>
            <w:tcW w:w="4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6 – PREPAID EXPENSES AND OTHER CURRENT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99"/>
              </w:rPr>
              <w:t>December 31,</w:t>
            </w:r>
          </w:p>
        </w:tc>
        <w:tc>
          <w:tcPr>
            <w:tcW w:w="1140" w:type="dxa"/>
            <w:vAlign w:val="bottom"/>
            <w:tcBorders>
              <w:bottom w:val="single" w:sz="8" w:color="auto"/>
            </w:tcBorders>
          </w:tcPr>
          <w:p>
            <w:pPr>
              <w:spacing w:after="0"/>
              <w:rPr>
                <w:sz w:val="20"/>
                <w:szCs w:val="20"/>
                <w:color w:val="auto"/>
              </w:rPr>
            </w:pPr>
          </w:p>
        </w:tc>
      </w:tr>
      <w:tr>
        <w:trPr>
          <w:trHeight w:val="237"/>
        </w:trPr>
        <w:tc>
          <w:tcPr>
            <w:tcW w:w="6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5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2019</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Prepaid fees and services</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1,609</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receivable, net of allowance</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Assets pending settlement</w:t>
            </w:r>
          </w:p>
        </w:tc>
        <w:tc>
          <w:tcPr>
            <w:tcW w:w="1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taxes</w:t>
            </w:r>
          </w:p>
        </w:tc>
        <w:tc>
          <w:tcPr>
            <w:tcW w:w="1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r>
      <w:tr>
        <w:trPr>
          <w:trHeight w:val="237"/>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Prepaid expenses and current assets - other</w:t>
            </w: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r>
      <w:tr>
        <w:trPr>
          <w:trHeight w:val="254"/>
        </w:trPr>
        <w:tc>
          <w:tcPr>
            <w:tcW w:w="6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4,155</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NOTE 7 – PROPERTY AND EQUIPMENT</w:t>
            </w:r>
          </w:p>
        </w:tc>
        <w:tc>
          <w:tcPr>
            <w:tcW w:w="4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60" w:type="dxa"/>
            <w:vAlign w:val="bottom"/>
            <w:gridSpan w:val="2"/>
          </w:tcPr>
          <w:p>
            <w:pPr>
              <w:spacing w:after="0"/>
              <w:rPr>
                <w:sz w:val="20"/>
                <w:szCs w:val="20"/>
                <w:color w:val="auto"/>
              </w:rPr>
            </w:pPr>
            <w:r>
              <w:rPr>
                <w:rFonts w:ascii="Arial" w:cs="Arial" w:eastAsia="Arial" w:hAnsi="Arial"/>
                <w:sz w:val="18"/>
                <w:szCs w:val="18"/>
                <w:color w:val="auto"/>
                <w:w w:val="94"/>
              </w:rPr>
              <w:t>Property and equipment consists of the following (in thousands):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0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December 31,</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Estimated</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3"/>
            <w:vMerge w:val="continue"/>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2" w:lineRule="exact"/>
              <w:rPr>
                <w:sz w:val="20"/>
                <w:szCs w:val="20"/>
                <w:color w:val="auto"/>
              </w:rPr>
            </w:pPr>
            <w:r>
              <w:rPr>
                <w:rFonts w:ascii="Arial" w:cs="Arial" w:eastAsia="Arial" w:hAnsi="Arial"/>
                <w:sz w:val="16"/>
                <w:szCs w:val="16"/>
                <w:color w:val="auto"/>
              </w:rPr>
              <w:t>Useful Life</w:t>
            </w:r>
          </w:p>
        </w:tc>
        <w:tc>
          <w:tcPr>
            <w:tcW w:w="0" w:type="dxa"/>
            <w:vAlign w:val="bottom"/>
          </w:tcPr>
          <w:p>
            <w:pPr>
              <w:spacing w:after="0"/>
              <w:rPr>
                <w:sz w:val="1"/>
                <w:szCs w:val="1"/>
                <w:color w:val="auto"/>
              </w:rPr>
            </w:pPr>
          </w:p>
        </w:tc>
      </w:tr>
      <w:tr>
        <w:trPr>
          <w:trHeight w:val="250"/>
        </w:trPr>
        <w:tc>
          <w:tcPr>
            <w:tcW w:w="438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(in years)</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to 5</w:t>
            </w:r>
          </w:p>
        </w:tc>
        <w:tc>
          <w:tcPr>
            <w:tcW w:w="0" w:type="dxa"/>
            <w:vAlign w:val="bottom"/>
          </w:tcPr>
          <w:p>
            <w:pPr>
              <w:spacing w:after="0"/>
              <w:rPr>
                <w:sz w:val="1"/>
                <w:szCs w:val="1"/>
                <w:color w:val="auto"/>
              </w:rPr>
            </w:pPr>
          </w:p>
        </w:tc>
      </w:tr>
      <w:tr>
        <w:trPr>
          <w:trHeight w:val="229"/>
        </w:trPr>
        <w:tc>
          <w:tcPr>
            <w:tcW w:w="4380" w:type="dxa"/>
            <w:vAlign w:val="bottom"/>
          </w:tcPr>
          <w:p>
            <w:pPr>
              <w:ind w:left="20"/>
              <w:spacing w:after="0"/>
              <w:rPr>
                <w:sz w:val="20"/>
                <w:szCs w:val="20"/>
                <w:color w:val="auto"/>
              </w:rPr>
            </w:pPr>
            <w:r>
              <w:rPr>
                <w:rFonts w:ascii="Arial" w:cs="Arial" w:eastAsia="Arial" w:hAnsi="Arial"/>
                <w:sz w:val="18"/>
                <w:szCs w:val="18"/>
                <w:color w:val="auto"/>
              </w:rPr>
              <w:t>Office improvements</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1,225</w:t>
            </w:r>
          </w:p>
        </w:tc>
        <w:tc>
          <w:tcPr>
            <w:tcW w:w="1800" w:type="dxa"/>
            <w:vAlign w:val="bottom"/>
            <w:gridSpan w:val="2"/>
          </w:tcPr>
          <w:p>
            <w:pPr>
              <w:jc w:val="center"/>
              <w:ind w:left="30"/>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4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8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29"/>
        </w:trPr>
        <w:tc>
          <w:tcPr>
            <w:tcW w:w="4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23,965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21,355</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4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(10,944)</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(8,073)</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Computer software and equipment above includes equipment assigned and used by sending agents of approximately $11.0 million and $9.3 million at December 31, 2020 and 2019, respectively. Also, it includes internal use software of approximately $2.8 million and $2.4 million at December 31, 2020 and 2019, respectively.</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Depreciation expense included in depreciation and amortization expense in the consolidated statements of operations and comprehensive income (loss) was approximately $3.9 million, $3.3 million and $3.2 million for the years ended December 31, 2020, 2019 and 2018, respectively.</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Repairs and maintenance expenses included in other selling, general and administrative expenses in the consolidated statements of operations and comprehensive income (loss) were approximately $2.0 million, $1.7 million and $1.4 million for the years ended December 31, 2020, 2019 and 2018,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8 – 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Goodwill consists of the following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December 31,</w:t>
            </w:r>
          </w:p>
        </w:tc>
        <w:tc>
          <w:tcPr>
            <w:tcW w:w="1140" w:type="dxa"/>
            <w:vAlign w:val="bottom"/>
            <w:tcBorders>
              <w:bottom w:val="single" w:sz="8" w:color="auto"/>
            </w:tcBorders>
          </w:tcPr>
          <w:p>
            <w:pPr>
              <w:spacing w:after="0"/>
              <w:rPr>
                <w:sz w:val="20"/>
                <w:szCs w:val="20"/>
                <w:color w:val="auto"/>
              </w:rPr>
            </w:pPr>
          </w:p>
        </w:tc>
        <w:tc>
          <w:tcPr>
            <w:tcW w:w="1440" w:type="dxa"/>
            <w:vAlign w:val="bottom"/>
          </w:tcPr>
          <w:p>
            <w:pPr>
              <w:spacing w:after="0"/>
              <w:rPr>
                <w:sz w:val="20"/>
                <w:szCs w:val="20"/>
                <w:color w:val="auto"/>
              </w:rPr>
            </w:pPr>
          </w:p>
        </w:tc>
      </w:tr>
      <w:tr>
        <w:trPr>
          <w:trHeight w:val="237"/>
        </w:trPr>
        <w:tc>
          <w:tcPr>
            <w:tcW w:w="3600" w:type="dxa"/>
            <w:vAlign w:val="bottom"/>
            <w:tcBorders>
              <w:bottom w:val="single" w:sz="8" w:color="CCEEFF"/>
            </w:tcBorders>
          </w:tcPr>
          <w:p>
            <w:pPr>
              <w:spacing w:after="0"/>
              <w:rPr>
                <w:sz w:val="20"/>
                <w:szCs w:val="20"/>
                <w:color w:val="auto"/>
              </w:rPr>
            </w:pPr>
          </w:p>
        </w:tc>
        <w:tc>
          <w:tcPr>
            <w:tcW w:w="266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2019</w:t>
            </w:r>
          </w:p>
        </w:tc>
        <w:tc>
          <w:tcPr>
            <w:tcW w:w="1440" w:type="dxa"/>
            <w:vAlign w:val="bottom"/>
          </w:tcPr>
          <w:p>
            <w:pPr>
              <w:spacing w:after="0"/>
              <w:rPr>
                <w:sz w:val="20"/>
                <w:szCs w:val="20"/>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 life:</w:t>
            </w:r>
          </w:p>
        </w:tc>
        <w:tc>
          <w:tcPr>
            <w:tcW w:w="2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40" w:type="dxa"/>
            <w:vAlign w:val="bottom"/>
          </w:tcPr>
          <w:p>
            <w:pPr>
              <w:spacing w:after="0"/>
              <w:rPr>
                <w:sz w:val="18"/>
                <w:szCs w:val="18"/>
                <w:color w:val="auto"/>
              </w:rPr>
            </w:pPr>
          </w:p>
        </w:tc>
      </w:tr>
      <w:tr>
        <w:trPr>
          <w:trHeight w:val="236"/>
        </w:trPr>
        <w:tc>
          <w:tcPr>
            <w:tcW w:w="36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306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36,260</w:t>
            </w:r>
          </w:p>
        </w:tc>
        <w:tc>
          <w:tcPr>
            <w:tcW w:w="1440" w:type="dxa"/>
            <w:vAlign w:val="bottom"/>
          </w:tcPr>
          <w:p>
            <w:pPr>
              <w:spacing w:after="0"/>
              <w:rPr>
                <w:sz w:val="20"/>
                <w:szCs w:val="20"/>
                <w:color w:val="auto"/>
              </w:rPr>
            </w:pPr>
          </w:p>
        </w:tc>
      </w:tr>
      <w:tr>
        <w:trPr>
          <w:trHeight w:val="236"/>
        </w:trPr>
        <w:tc>
          <w:tcPr>
            <w:tcW w:w="3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indefinite life</w:t>
            </w:r>
          </w:p>
        </w:tc>
        <w:tc>
          <w:tcPr>
            <w:tcW w:w="266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440" w:type="dxa"/>
            <w:vAlign w:val="bottom"/>
          </w:tcPr>
          <w:p>
            <w:pPr>
              <w:spacing w:after="0"/>
              <w:rPr>
                <w:sz w:val="20"/>
                <w:szCs w:val="20"/>
                <w:color w:val="auto"/>
              </w:rPr>
            </w:pPr>
          </w:p>
        </w:tc>
      </w:tr>
      <w:tr>
        <w:trPr>
          <w:trHeight w:val="621"/>
        </w:trPr>
        <w:tc>
          <w:tcPr>
            <w:tcW w:w="3600" w:type="dxa"/>
            <w:vAlign w:val="bottom"/>
          </w:tcPr>
          <w:p>
            <w:pPr>
              <w:spacing w:after="0"/>
              <w:rPr>
                <w:sz w:val="24"/>
                <w:szCs w:val="24"/>
                <w:color w:val="auto"/>
              </w:rPr>
            </w:pPr>
          </w:p>
        </w:tc>
        <w:tc>
          <w:tcPr>
            <w:tcW w:w="3060" w:type="dxa"/>
            <w:vAlign w:val="bottom"/>
            <w:gridSpan w:val="2"/>
          </w:tcPr>
          <w:p>
            <w:pPr>
              <w:jc w:val="right"/>
              <w:ind w:right="770"/>
              <w:spacing w:after="0"/>
              <w:rPr>
                <w:sz w:val="20"/>
                <w:szCs w:val="20"/>
                <w:color w:val="auto"/>
              </w:rPr>
            </w:pPr>
            <w:r>
              <w:rPr>
                <w:rFonts w:ascii="Arial" w:cs="Arial" w:eastAsia="Arial" w:hAnsi="Arial"/>
                <w:sz w:val="18"/>
                <w:szCs w:val="18"/>
                <w:color w:val="auto"/>
              </w:rPr>
              <w:t>F-15</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1"/>
        </w:trPr>
        <w:tc>
          <w:tcPr>
            <w:tcW w:w="36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December 31, 2020</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8"/>
              </w:rPr>
              <w:t>December 31, 2019</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w w:val="94"/>
              </w:rPr>
              <w:t>Gross Carrying</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2"/>
              </w:rPr>
              <w:t>Net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ind w:right="330"/>
              <w:spacing w:after="0" w:line="176" w:lineRule="exact"/>
              <w:rPr>
                <w:sz w:val="20"/>
                <w:szCs w:val="20"/>
                <w:color w:val="auto"/>
              </w:rPr>
            </w:pPr>
            <w:r>
              <w:rPr>
                <w:rFonts w:ascii="Arial" w:cs="Arial" w:eastAsia="Arial" w:hAnsi="Arial"/>
                <w:sz w:val="18"/>
                <w:szCs w:val="18"/>
                <w:color w:val="auto"/>
              </w:rPr>
              <w:t>Gross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176"/>
        </w:trPr>
        <w:tc>
          <w:tcPr>
            <w:tcW w:w="3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center"/>
              <w:ind w:right="400"/>
              <w:spacing w:after="0" w:line="176" w:lineRule="exact"/>
              <w:rPr>
                <w:sz w:val="20"/>
                <w:szCs w:val="20"/>
                <w:color w:val="auto"/>
              </w:rPr>
            </w:pPr>
            <w:r>
              <w:rPr>
                <w:rFonts w:ascii="Arial" w:cs="Arial" w:eastAsia="Arial" w:hAnsi="Arial"/>
                <w:sz w:val="18"/>
                <w:szCs w:val="18"/>
                <w:color w:val="auto"/>
                <w:w w:val="94"/>
              </w:rPr>
              <w:t>Carrying</w:t>
            </w:r>
          </w:p>
        </w:tc>
        <w:tc>
          <w:tcPr>
            <w:tcW w:w="180" w:type="dxa"/>
            <w:vAlign w:val="bottom"/>
          </w:tcPr>
          <w:p>
            <w:pPr>
              <w:spacing w:after="0"/>
              <w:rPr>
                <w:sz w:val="15"/>
                <w:szCs w:val="15"/>
                <w:color w:val="auto"/>
              </w:rPr>
            </w:pPr>
          </w:p>
        </w:tc>
        <w:tc>
          <w:tcPr>
            <w:tcW w:w="1020" w:type="dxa"/>
            <w:vAlign w:val="bottom"/>
          </w:tcPr>
          <w:p>
            <w:pPr>
              <w:jc w:val="right"/>
              <w:ind w:right="190"/>
              <w:spacing w:after="0" w:line="176" w:lineRule="exact"/>
              <w:rPr>
                <w:sz w:val="20"/>
                <w:szCs w:val="20"/>
                <w:color w:val="auto"/>
              </w:rPr>
            </w:pPr>
            <w:r>
              <w:rPr>
                <w:rFonts w:ascii="Arial" w:cs="Arial" w:eastAsia="Arial" w:hAnsi="Arial"/>
                <w:sz w:val="18"/>
                <w:szCs w:val="18"/>
                <w:color w:val="auto"/>
              </w:rPr>
              <w:t>Carrying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94"/>
              </w:rPr>
              <w:t>Carrying</w:t>
            </w:r>
          </w:p>
        </w:tc>
        <w:tc>
          <w:tcPr>
            <w:tcW w:w="0" w:type="dxa"/>
            <w:vAlign w:val="bottom"/>
          </w:tcPr>
          <w:p>
            <w:pPr>
              <w:spacing w:after="0"/>
              <w:rPr>
                <w:sz w:val="1"/>
                <w:szCs w:val="1"/>
                <w:color w:val="auto"/>
              </w:rPr>
            </w:pPr>
          </w:p>
        </w:tc>
      </w:tr>
      <w:tr>
        <w:trPr>
          <w:trHeight w:val="236"/>
        </w:trPr>
        <w:tc>
          <w:tcPr>
            <w:tcW w:w="3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Amortization</w:t>
            </w:r>
          </w:p>
        </w:tc>
        <w:tc>
          <w:tcPr>
            <w:tcW w:w="180" w:type="dxa"/>
            <w:vAlign w:val="bottom"/>
          </w:tcPr>
          <w:p>
            <w:pPr>
              <w:spacing w:after="0"/>
              <w:rPr>
                <w:sz w:val="20"/>
                <w:szCs w:val="20"/>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Value</w:t>
            </w:r>
          </w:p>
        </w:tc>
        <w:tc>
          <w:tcPr>
            <w:tcW w:w="18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Value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Amortization</w:t>
            </w:r>
          </w:p>
        </w:tc>
        <w:tc>
          <w:tcPr>
            <w:tcW w:w="180" w:type="dxa"/>
            <w:vAlign w:val="bottom"/>
          </w:tcPr>
          <w:p>
            <w:pPr>
              <w:spacing w:after="0"/>
              <w:rPr>
                <w:sz w:val="20"/>
                <w:szCs w:val="20"/>
                <w:color w:val="auto"/>
              </w:rPr>
            </w:pPr>
          </w:p>
        </w:tc>
        <w:tc>
          <w:tcPr>
            <w:tcW w:w="1020" w:type="dxa"/>
            <w:vAlign w:val="bottom"/>
          </w:tcPr>
          <w:p>
            <w:pPr>
              <w:jc w:val="center"/>
              <w:ind w:right="110"/>
              <w:spacing w:after="0"/>
              <w:rPr>
                <w:sz w:val="20"/>
                <w:szCs w:val="20"/>
                <w:color w:val="auto"/>
              </w:rPr>
            </w:pPr>
            <w:r>
              <w:rPr>
                <w:rFonts w:ascii="Arial" w:cs="Arial" w:eastAsia="Arial" w:hAnsi="Arial"/>
                <w:sz w:val="18"/>
                <w:szCs w:val="18"/>
                <w:color w:val="auto"/>
                <w:w w:val="91"/>
              </w:rPr>
              <w:t>Value</w:t>
            </w:r>
          </w:p>
        </w:tc>
        <w:tc>
          <w:tcPr>
            <w:tcW w:w="0" w:type="dxa"/>
            <w:vAlign w:val="bottom"/>
          </w:tcPr>
          <w:p>
            <w:pPr>
              <w:spacing w:after="0"/>
              <w:rPr>
                <w:sz w:val="1"/>
                <w:szCs w:val="1"/>
                <w:color w:val="auto"/>
              </w:rPr>
            </w:pPr>
          </w:p>
        </w:tc>
      </w:tr>
      <w:tr>
        <w:trPr>
          <w:trHeight w:val="216"/>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Amortizable:</w:t>
            </w: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rPr>
              <w:t>Agent relationships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(29,759)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10,741</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40,500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(25,259)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15,241</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Trade name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w:t>
            </w: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rPr>
              <w:t>Developed technology</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intangibles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23"/>
        </w:trPr>
        <w:tc>
          <w:tcPr>
            <w:tcW w:w="3100" w:type="dxa"/>
            <w:vAlign w:val="bottom"/>
          </w:tcPr>
          <w:p>
            <w:pPr>
              <w:ind w:left="360"/>
              <w:spacing w:after="0"/>
              <w:rPr>
                <w:sz w:val="20"/>
                <w:szCs w:val="20"/>
                <w:color w:val="auto"/>
              </w:rPr>
            </w:pPr>
            <w:r>
              <w:rPr>
                <w:rFonts w:ascii="Arial" w:cs="Arial" w:eastAsia="Arial" w:hAnsi="Arial"/>
                <w:sz w:val="18"/>
                <w:szCs w:val="18"/>
                <w:color w:val="auto"/>
              </w:rPr>
              <w:t>Net amortizable intangible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63,755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20,430</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63,755</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(36,374)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and the majority of intangible assets on the consolidated balance sheets of the Company were recognized from a prior acquisition. The fair value measurements were based on significant inputs, such as the Company’s forecasted revenues, assumed turnover of agent locations, obsolescence assumptions for technology, market discount and royalty rates. These inputs are based on information not observable in the market and represent Level 3 measurements within the fair value hierarchy. Trade name refers to the Intermex name, branded on all agent locations and well recognized in the market. This fair value was determined using the relief-from-royalty method, which is based on the Company’s expected revenues and a royalty rate estimated using comparable market data. The Company determined it was appropriate to assign a finite useful life of 15 years to the trade name to provide better matching of the amortization expense during the period of expected benefits.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agent relationships intangible represents the network of independent sending agents. This intangible was valued using the excess earnings method, which was based on the Company’s forecasts and historical activity at agent locations in order to develop a turnover rate and expected useful life. Assuming a year-over-year location turnover rate of 17.4%, this resulted in an expected useful life for this intangible of 15 years. Developed technology includes the state-of-the-art system that the Company has continued to develop and improve upon over the past 20 years. This intangible was valued using the relief-from-royalty method based on the Company’s forecasted revenues, a royalty rate estimated using comparable market data, an expected obsolescence rate of 18.0% and an estimated useful life of 15 years. Other intangibles primarily relate to the acquisition of Company-operated stores, which are amortized on a straight-line basis over 10 years. The net book value of these intangibles was $0.8 million and $0.9 million at December 31, 2020 and 2019, respectively.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believes it has made reasonable estimates and judgments concerning these risks and uncertainties. A change in the conditions, circumstances or strategy of the Company may result in a need to recognize an impairment charge.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annual impairment tests, the Company determined that goodwill was not impaired as of December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goodwill and intangible assets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2"/>
          </w:tcPr>
          <w:p>
            <w:pPr>
              <w:ind w:left="20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0"/>
                <w:szCs w:val="20"/>
                <w:color w:val="auto"/>
              </w:rPr>
            </w:pPr>
          </w:p>
        </w:tc>
        <w:tc>
          <w:tcPr>
            <w:tcW w:w="1540" w:type="dxa"/>
            <w:vAlign w:val="bottom"/>
          </w:tcPr>
          <w:p>
            <w:pPr>
              <w:jc w:val="right"/>
              <w:ind w:right="150"/>
              <w:spacing w:after="0"/>
              <w:rPr>
                <w:sz w:val="20"/>
                <w:szCs w:val="20"/>
                <w:color w:val="auto"/>
              </w:rPr>
            </w:pPr>
            <w:r>
              <w:rPr>
                <w:rFonts w:ascii="Arial" w:cs="Arial" w:eastAsia="Arial" w:hAnsi="Arial"/>
                <w:sz w:val="18"/>
                <w:szCs w:val="18"/>
                <w:color w:val="auto"/>
                <w:w w:val="93"/>
              </w:rPr>
              <w:t>Intangible Assets</w:t>
            </w:r>
          </w:p>
        </w:tc>
        <w:tc>
          <w:tcPr>
            <w:tcW w:w="0" w:type="dxa"/>
            <w:vAlign w:val="bottom"/>
          </w:tcPr>
          <w:p>
            <w:pPr>
              <w:spacing w:after="0"/>
              <w:rPr>
                <w:sz w:val="1"/>
                <w:szCs w:val="1"/>
                <w:color w:val="auto"/>
              </w:rPr>
            </w:pPr>
          </w:p>
        </w:tc>
      </w:tr>
      <w:tr>
        <w:trPr>
          <w:trHeight w:val="255"/>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48,741</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Acquisition of agent locations</w:t>
            </w:r>
          </w:p>
        </w:tc>
        <w:tc>
          <w:tcPr>
            <w:tcW w:w="3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60" w:type="dxa"/>
            <w:vAlign w:val="bottom"/>
            <w:tcBorders>
              <w:top w:val="single" w:sz="8" w:color="CCEEFF"/>
            </w:tcBorders>
            <w:vMerge w:val="continue"/>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7"/>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expense</w:t>
            </w:r>
          </w:p>
        </w:tc>
        <w:tc>
          <w:tcPr>
            <w:tcW w:w="32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0" w:type="dxa"/>
            <w:vAlign w:val="bottom"/>
          </w:tcPr>
          <w:p>
            <w:pPr>
              <w:spacing w:after="0"/>
              <w:rPr>
                <w:sz w:val="1"/>
                <w:szCs w:val="1"/>
                <w:color w:val="auto"/>
              </w:rPr>
            </w:pPr>
          </w:p>
        </w:tc>
      </w:tr>
      <w:tr>
        <w:trPr>
          <w:trHeight w:val="229"/>
        </w:trPr>
        <w:tc>
          <w:tcPr>
            <w:tcW w:w="6260" w:type="dxa"/>
            <w:vAlign w:val="bottom"/>
            <w:tcBorders>
              <w:top w:val="single" w:sz="8" w:color="CCEEFF"/>
            </w:tcBorders>
          </w:tcPr>
          <w:p>
            <w:pPr>
              <w:ind w:left="20"/>
              <w:spacing w:after="0"/>
              <w:rPr>
                <w:sz w:val="20"/>
                <w:szCs w:val="20"/>
                <w:color w:val="auto"/>
              </w:rPr>
            </w:pPr>
            <w:r>
              <w:rPr>
                <w:rFonts w:ascii="Arial" w:cs="Arial" w:eastAsia="Arial" w:hAnsi="Arial"/>
                <w:sz w:val="18"/>
                <w:szCs w:val="18"/>
                <w:color w:val="auto"/>
              </w:rPr>
              <w:t>Balance at December 31, 2018</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36,395</w:t>
            </w:r>
          </w:p>
        </w:tc>
        <w:tc>
          <w:tcPr>
            <w:tcW w:w="0" w:type="dxa"/>
            <w:vAlign w:val="bottom"/>
          </w:tcPr>
          <w:p>
            <w:pPr>
              <w:spacing w:after="0"/>
              <w:rPr>
                <w:sz w:val="1"/>
                <w:szCs w:val="1"/>
                <w:color w:val="auto"/>
              </w:rPr>
            </w:pPr>
          </w:p>
        </w:tc>
      </w:tr>
      <w:tr>
        <w:trPr>
          <w:trHeight w:val="20"/>
        </w:trPr>
        <w:tc>
          <w:tcPr>
            <w:tcW w:w="6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agent locations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6"/>
        </w:trPr>
        <w:tc>
          <w:tcPr>
            <w:tcW w:w="6260" w:type="dxa"/>
            <w:vAlign w:val="bottom"/>
          </w:tcPr>
          <w:p>
            <w:pPr>
              <w:ind w:left="20"/>
              <w:spacing w:after="0"/>
              <w:rPr>
                <w:sz w:val="20"/>
                <w:szCs w:val="20"/>
                <w:color w:val="auto"/>
              </w:rPr>
            </w:pPr>
            <w:r>
              <w:rPr>
                <w:rFonts w:ascii="Arial" w:cs="Arial" w:eastAsia="Arial" w:hAnsi="Arial"/>
                <w:sz w:val="18"/>
                <w:szCs w:val="18"/>
                <w:color w:val="auto"/>
              </w:rPr>
              <w:t>Amortization expense</w:t>
            </w:r>
          </w:p>
        </w:tc>
        <w:tc>
          <w:tcPr>
            <w:tcW w:w="32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(9,349)</w:t>
            </w:r>
          </w:p>
        </w:tc>
        <w:tc>
          <w:tcPr>
            <w:tcW w:w="0" w:type="dxa"/>
            <w:vAlign w:val="bottom"/>
          </w:tcPr>
          <w:p>
            <w:pPr>
              <w:spacing w:after="0"/>
              <w:rPr>
                <w:sz w:val="1"/>
                <w:szCs w:val="1"/>
                <w:color w:val="auto"/>
              </w:rPr>
            </w:pPr>
          </w:p>
        </w:tc>
      </w:tr>
      <w:tr>
        <w:trPr>
          <w:trHeight w:val="230"/>
        </w:trPr>
        <w:tc>
          <w:tcPr>
            <w:tcW w:w="6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27,381</w:t>
            </w:r>
          </w:p>
        </w:tc>
        <w:tc>
          <w:tcPr>
            <w:tcW w:w="0" w:type="dxa"/>
            <w:vAlign w:val="bottom"/>
          </w:tcPr>
          <w:p>
            <w:pPr>
              <w:spacing w:after="0"/>
              <w:rPr>
                <w:sz w:val="1"/>
                <w:szCs w:val="1"/>
                <w:color w:val="auto"/>
              </w:rPr>
            </w:pPr>
          </w:p>
        </w:tc>
      </w:tr>
      <w:tr>
        <w:trPr>
          <w:trHeight w:val="237"/>
        </w:trPr>
        <w:tc>
          <w:tcPr>
            <w:tcW w:w="6260" w:type="dxa"/>
            <w:vAlign w:val="bottom"/>
          </w:tcPr>
          <w:p>
            <w:pPr>
              <w:ind w:left="20"/>
              <w:spacing w:after="0"/>
              <w:rPr>
                <w:sz w:val="20"/>
                <w:szCs w:val="20"/>
                <w:color w:val="auto"/>
              </w:rPr>
            </w:pPr>
            <w:r>
              <w:rPr>
                <w:rFonts w:ascii="Arial" w:cs="Arial" w:eastAsia="Arial" w:hAnsi="Arial"/>
                <w:sz w:val="18"/>
                <w:szCs w:val="18"/>
                <w:color w:val="auto"/>
              </w:rPr>
              <w:t>Amortization expense</w:t>
            </w:r>
          </w:p>
        </w:tc>
        <w:tc>
          <w:tcPr>
            <w:tcW w:w="320" w:type="dxa"/>
            <w:vAlign w:val="bottom"/>
          </w:tcPr>
          <w:p>
            <w:pPr>
              <w:spacing w:after="0"/>
              <w:rPr>
                <w:sz w:val="20"/>
                <w:szCs w:val="20"/>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(6,951)</w:t>
            </w:r>
          </w:p>
        </w:tc>
        <w:tc>
          <w:tcPr>
            <w:tcW w:w="0" w:type="dxa"/>
            <w:vAlign w:val="bottom"/>
          </w:tcPr>
          <w:p>
            <w:pPr>
              <w:spacing w:after="0"/>
              <w:rPr>
                <w:sz w:val="1"/>
                <w:szCs w:val="1"/>
                <w:color w:val="auto"/>
              </w:rPr>
            </w:pPr>
          </w:p>
        </w:tc>
      </w:tr>
      <w:tr>
        <w:trPr>
          <w:trHeight w:val="254"/>
        </w:trPr>
        <w:tc>
          <w:tcPr>
            <w:tcW w:w="6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20,430</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intangible assets for the next five years and thereafter is as follows (in thousands):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tc>
        <w:tc>
          <w:tcPr>
            <w:tcW w:w="6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513"/>
        </w:trPr>
        <w:tc>
          <w:tcPr>
            <w:tcW w:w="8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5,161</w:t>
            </w:r>
          </w:p>
        </w:tc>
      </w:tr>
      <w:tr>
        <w:trPr>
          <w:trHeight w:val="230"/>
        </w:trPr>
        <w:tc>
          <w:tcPr>
            <w:tcW w:w="8120" w:type="dxa"/>
            <w:vAlign w:val="bottom"/>
          </w:tcPr>
          <w:p>
            <w:pPr>
              <w:ind w:left="20"/>
              <w:spacing w:after="0"/>
              <w:rPr>
                <w:sz w:val="20"/>
                <w:szCs w:val="20"/>
                <w:color w:val="auto"/>
              </w:rPr>
            </w:pPr>
            <w:r>
              <w:rPr>
                <w:rFonts w:ascii="Arial" w:cs="Arial" w:eastAsia="Arial" w:hAnsi="Arial"/>
                <w:sz w:val="18"/>
                <w:szCs w:val="18"/>
                <w:color w:val="auto"/>
              </w:rPr>
              <w:t>2022</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3,997</w:t>
            </w: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2024</w:t>
            </w:r>
          </w:p>
        </w:tc>
        <w:tc>
          <w:tcPr>
            <w:tcW w:w="6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2,270</w:t>
            </w: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r>
      <w:tr>
        <w:trPr>
          <w:trHeight w:val="237"/>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w:t>
            </w:r>
          </w:p>
        </w:tc>
      </w:tr>
      <w:tr>
        <w:trPr>
          <w:trHeight w:val="254"/>
        </w:trPr>
        <w:tc>
          <w:tcPr>
            <w:tcW w:w="8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 9 – WIRE TRANSFERS AND MONEY ORDERS PAYABLE,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Wire transfers and money orders payable, net, consisted of the following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6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December 31,</w:t>
            </w:r>
          </w:p>
        </w:tc>
        <w:tc>
          <w:tcPr>
            <w:tcW w:w="1160" w:type="dxa"/>
            <w:vAlign w:val="bottom"/>
            <w:tcBorders>
              <w:bottom w:val="single" w:sz="8" w:color="auto"/>
            </w:tcBorders>
          </w:tcPr>
          <w:p>
            <w:pPr>
              <w:spacing w:after="0"/>
              <w:rPr>
                <w:sz w:val="20"/>
                <w:szCs w:val="20"/>
                <w:color w:val="auto"/>
              </w:rPr>
            </w:pPr>
          </w:p>
        </w:tc>
      </w:tr>
      <w:tr>
        <w:trPr>
          <w:trHeight w:val="237"/>
        </w:trPr>
        <w:tc>
          <w:tcPr>
            <w:tcW w:w="62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2019</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Wire transfers payable, net</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11,806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16,058</w:t>
            </w:r>
          </w:p>
        </w:tc>
      </w:tr>
      <w:tr>
        <w:trPr>
          <w:trHeight w:val="229"/>
        </w:trPr>
        <w:tc>
          <w:tcPr>
            <w:tcW w:w="6260" w:type="dxa"/>
            <w:vAlign w:val="bottom"/>
          </w:tcPr>
          <w:p>
            <w:pPr>
              <w:ind w:left="20"/>
              <w:spacing w:after="0"/>
              <w:rPr>
                <w:sz w:val="20"/>
                <w:szCs w:val="20"/>
                <w:color w:val="auto"/>
              </w:rPr>
            </w:pPr>
            <w:r>
              <w:rPr>
                <w:rFonts w:ascii="Arial" w:cs="Arial" w:eastAsia="Arial" w:hAnsi="Arial"/>
                <w:sz w:val="18"/>
                <w:szCs w:val="18"/>
                <w:color w:val="auto"/>
              </w:rPr>
              <w:t>Customer voided wires payable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13,374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10,937</w:t>
            </w: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orders payable</w:t>
            </w:r>
          </w:p>
        </w:tc>
        <w:tc>
          <w:tcPr>
            <w:tcW w:w="1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16,566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13,202</w:t>
            </w:r>
          </w:p>
        </w:tc>
      </w:tr>
      <w:tr>
        <w:trPr>
          <w:trHeight w:val="229"/>
        </w:trPr>
        <w:tc>
          <w:tcPr>
            <w:tcW w:w="626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41,746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40,197</w:t>
            </w:r>
          </w:p>
        </w:tc>
      </w:tr>
      <w:tr>
        <w:trPr>
          <w:trHeight w:val="21"/>
        </w:trPr>
        <w:tc>
          <w:tcPr>
            <w:tcW w:w="6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Customer voided wires payable consist of wire transfers that were not completed because the recipient did not collect the funds within 30 days and the sender has not claimed the funds and, therefore, are considered unclaimed property. Unclaimed property laws of each state in the United States in which we operate, the District of Columbia, and Puerto Rico require us to track certain information for all of our money remittances and payment instruments and, if the funds underlying such remittances and instruments are unclaimed at the end of an applicable statutory abandonment period, require us to remit the proceeds of the unclaimed property to the appropriate jurisdiction. Applicable statutory abandonment periods range from three to seven years.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NOTE 10 – ACCRUED AND OTHER LIABILITIES</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6260" w:type="dxa"/>
            <w:vAlign w:val="bottom"/>
          </w:tcPr>
          <w:p>
            <w:pPr>
              <w:spacing w:after="0"/>
              <w:rPr>
                <w:sz w:val="20"/>
                <w:szCs w:val="20"/>
                <w:color w:val="auto"/>
              </w:rPr>
            </w:pPr>
            <w:r>
              <w:rPr>
                <w:rFonts w:ascii="Arial" w:cs="Arial" w:eastAsia="Arial" w:hAnsi="Arial"/>
                <w:sz w:val="18"/>
                <w:szCs w:val="18"/>
                <w:color w:val="auto"/>
              </w:rPr>
              <w:t>Accrued and other liabilities consisted of the following (in thousands):</w:t>
            </w:r>
          </w:p>
        </w:tc>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63"/>
        </w:trPr>
        <w:tc>
          <w:tcPr>
            <w:tcW w:w="6260" w:type="dxa"/>
            <w:vAlign w:val="bottom"/>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December 31,</w:t>
            </w:r>
          </w:p>
        </w:tc>
        <w:tc>
          <w:tcPr>
            <w:tcW w:w="1140" w:type="dxa"/>
            <w:vAlign w:val="bottom"/>
            <w:tcBorders>
              <w:bottom w:val="single" w:sz="8" w:color="auto"/>
            </w:tcBorders>
          </w:tcPr>
          <w:p>
            <w:pPr>
              <w:spacing w:after="0"/>
              <w:rPr>
                <w:sz w:val="22"/>
                <w:szCs w:val="22"/>
                <w:color w:val="auto"/>
              </w:rPr>
            </w:pPr>
          </w:p>
        </w:tc>
      </w:tr>
      <w:tr>
        <w:trPr>
          <w:trHeight w:val="237"/>
        </w:trPr>
        <w:tc>
          <w:tcPr>
            <w:tcW w:w="62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2019</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Commissions payable to sending agents</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Accrued legal settlement (see Note 17)</w:t>
            </w:r>
          </w:p>
        </w:tc>
        <w:tc>
          <w:tcPr>
            <w:tcW w:w="108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3,250</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and benefits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Accrued bank charges</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976</w:t>
            </w:r>
          </w:p>
        </w:tc>
      </w:tr>
      <w:tr>
        <w:trPr>
          <w:trHeight w:val="230"/>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legal fees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Accrued other professional fees</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655</w:t>
            </w: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taxes</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color w:val="auto"/>
              </w:rPr>
              <w:t>Deferred revenue loyalty program</w:t>
            </w:r>
          </w:p>
        </w:tc>
        <w:tc>
          <w:tcPr>
            <w:tcW w:w="1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2,495</w:t>
            </w:r>
          </w:p>
        </w:tc>
      </w:tr>
      <w:tr>
        <w:trPr>
          <w:trHeight w:val="237"/>
        </w:trPr>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r>
      <w:tr>
        <w:trPr>
          <w:trHeight w:val="229"/>
        </w:trPr>
        <w:tc>
          <w:tcPr>
            <w:tcW w:w="626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22,380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23,074</w:t>
            </w:r>
          </w:p>
        </w:tc>
      </w:tr>
      <w:tr>
        <w:trPr>
          <w:trHeight w:val="21"/>
        </w:trPr>
        <w:tc>
          <w:tcPr>
            <w:tcW w:w="6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changes in the deferred revenue loyalty program liability (in thousands):</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974715"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74715"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Adoption of ASC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deferred during the year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recognized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543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74715" cy="15430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2019</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deferred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974715" cy="1625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74715" cy="162560"/>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recognized during the year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61" w:hanging="1061"/>
        <w:spacing w:after="0"/>
        <w:tabs>
          <w:tab w:leader="none" w:pos="1061"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841"/>
        <w:spacing w:after="0"/>
        <w:rPr>
          <w:rFonts w:ascii="Arial" w:cs="Arial" w:eastAsia="Arial" w:hAnsi="Arial"/>
          <w:sz w:val="18"/>
          <w:szCs w:val="18"/>
          <w:color w:val="auto"/>
        </w:rPr>
      </w:pPr>
      <w:r>
        <w:rPr>
          <w:rFonts w:ascii="Arial" w:cs="Arial" w:eastAsia="Arial" w:hAnsi="Arial"/>
          <w:sz w:val="18"/>
          <w:szCs w:val="18"/>
          <w:color w:val="auto"/>
        </w:rPr>
        <w:t>1,976</w:t>
      </w:r>
    </w:p>
    <w:p>
      <w:pPr>
        <w:spacing w:after="0" w:line="22" w:lineRule="exact"/>
        <w:rPr>
          <w:rFonts w:ascii="Arial" w:cs="Arial" w:eastAsia="Arial" w:hAnsi="Arial"/>
          <w:sz w:val="18"/>
          <w:szCs w:val="18"/>
          <w:color w:val="auto"/>
        </w:rPr>
      </w:pPr>
    </w:p>
    <w:p>
      <w:pPr>
        <w:ind w:left="841"/>
        <w:spacing w:after="0"/>
        <w:rPr>
          <w:rFonts w:ascii="Arial" w:cs="Arial" w:eastAsia="Arial" w:hAnsi="Arial"/>
          <w:sz w:val="18"/>
          <w:szCs w:val="18"/>
          <w:color w:val="auto"/>
        </w:rPr>
      </w:pPr>
      <w:r>
        <w:rPr>
          <w:rFonts w:ascii="Arial" w:cs="Arial" w:eastAsia="Arial" w:hAnsi="Arial"/>
          <w:sz w:val="18"/>
          <w:szCs w:val="18"/>
          <w:color w:val="auto"/>
        </w:rPr>
        <w:t>2,618</w:t>
      </w:r>
    </w:p>
    <w:p>
      <w:pPr>
        <w:spacing w:after="0" w:line="23"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(2,099)</w:t>
      </w:r>
    </w:p>
    <w:p>
      <w:pPr>
        <w:spacing w:after="0" w:line="35" w:lineRule="exact"/>
        <w:rPr>
          <w:sz w:val="20"/>
          <w:szCs w:val="20"/>
          <w:color w:val="auto"/>
        </w:rPr>
      </w:pPr>
    </w:p>
    <w:p>
      <w:pPr>
        <w:ind w:left="841"/>
        <w:spacing w:after="0"/>
        <w:rPr>
          <w:sz w:val="20"/>
          <w:szCs w:val="20"/>
          <w:color w:val="auto"/>
        </w:rPr>
      </w:pPr>
      <w:r>
        <w:rPr>
          <w:rFonts w:ascii="Arial" w:cs="Arial" w:eastAsia="Arial" w:hAnsi="Arial"/>
          <w:sz w:val="18"/>
          <w:szCs w:val="18"/>
          <w:color w:val="auto"/>
        </w:rPr>
        <w:t>2,495</w:t>
      </w:r>
    </w:p>
    <w:p>
      <w:pPr>
        <w:spacing w:after="0" w:line="23" w:lineRule="exact"/>
        <w:rPr>
          <w:sz w:val="20"/>
          <w:szCs w:val="20"/>
          <w:color w:val="auto"/>
        </w:rPr>
      </w:pPr>
    </w:p>
    <w:p>
      <w:pPr>
        <w:ind w:left="841"/>
        <w:spacing w:after="0"/>
        <w:rPr>
          <w:sz w:val="20"/>
          <w:szCs w:val="20"/>
          <w:color w:val="auto"/>
        </w:rPr>
      </w:pPr>
      <w:r>
        <w:rPr>
          <w:rFonts w:ascii="Arial" w:cs="Arial" w:eastAsia="Arial" w:hAnsi="Arial"/>
          <w:sz w:val="18"/>
          <w:szCs w:val="18"/>
          <w:color w:val="auto"/>
        </w:rPr>
        <w:t>1,806</w:t>
      </w:r>
    </w:p>
    <w:p>
      <w:pPr>
        <w:spacing w:after="0" w:line="23" w:lineRule="exact"/>
        <w:rPr>
          <w:sz w:val="20"/>
          <w:szCs w:val="20"/>
          <w:color w:val="auto"/>
        </w:rPr>
      </w:pPr>
    </w:p>
    <w:p>
      <w:pPr>
        <w:jc w:val="right"/>
        <w:ind w:right="1840"/>
        <w:spacing w:after="0"/>
        <w:rPr>
          <w:sz w:val="20"/>
          <w:szCs w:val="20"/>
          <w:color w:val="auto"/>
        </w:rPr>
      </w:pPr>
      <w:r>
        <w:rPr>
          <w:rFonts w:ascii="Arial" w:cs="Arial" w:eastAsia="Arial" w:hAnsi="Arial"/>
          <w:sz w:val="18"/>
          <w:szCs w:val="18"/>
          <w:color w:val="auto"/>
        </w:rPr>
        <w:t>(1,551)</w:t>
      </w:r>
    </w:p>
    <w:p>
      <w:pPr>
        <w:spacing w:after="0" w:line="49" w:lineRule="exact"/>
        <w:rPr>
          <w:sz w:val="20"/>
          <w:szCs w:val="20"/>
          <w:color w:val="auto"/>
        </w:rPr>
      </w:pPr>
    </w:p>
    <w:p>
      <w:pPr>
        <w:ind w:left="841" w:hanging="841"/>
        <w:spacing w:after="0"/>
        <w:tabs>
          <w:tab w:leader="none" w:pos="841" w:val="left"/>
        </w:tabs>
        <w:numPr>
          <w:ilvl w:val="0"/>
          <w:numId w:val="31"/>
        </w:numPr>
        <w:rPr>
          <w:rFonts w:ascii="Arial" w:cs="Arial" w:eastAsia="Arial" w:hAnsi="Arial"/>
          <w:sz w:val="18"/>
          <w:szCs w:val="18"/>
          <w:color w:val="auto"/>
        </w:rPr>
      </w:pPr>
      <w:r>
        <w:rPr>
          <w:rFonts w:ascii="Arial" w:cs="Arial" w:eastAsia="Arial" w:hAnsi="Arial"/>
          <w:sz w:val="18"/>
          <w:szCs w:val="18"/>
          <w:color w:val="auto"/>
        </w:rPr>
        <w:t>2,750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84836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8483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4836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440" w:space="659"/>
            <w:col w:w="3141"/>
          </w:cols>
          <w:pgMar w:left="320" w:top="125" w:right="339" w:bottom="1440" w:gutter="0" w:footer="0" w:header="0"/>
          <w:type w:val="continuous"/>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9" w:name="page70"/>
    <w:bookmarkEnd w:id="6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11 –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Debt consisted of the following (in thousands):</w:t>
      </w:r>
    </w:p>
    <w:p>
      <w:pPr>
        <w:spacing w:after="0" w:line="266" w:lineRule="exact"/>
        <w:rPr>
          <w:sz w:val="20"/>
          <w:szCs w:val="20"/>
          <w:color w:val="auto"/>
        </w:rPr>
      </w:pPr>
    </w:p>
    <w:p>
      <w:pPr>
        <w:jc w:val="right"/>
        <w:ind w:right="2700"/>
        <w:spacing w:after="0"/>
        <w:rPr>
          <w:sz w:val="20"/>
          <w:szCs w:val="20"/>
          <w:color w:val="auto"/>
        </w:rPr>
      </w:pPr>
      <w:r>
        <w:rPr>
          <w:rFonts w:ascii="Arial" w:cs="Arial" w:eastAsia="Arial" w:hAnsi="Arial"/>
          <w:sz w:val="18"/>
          <w:szCs w:val="18"/>
          <w:color w:val="auto"/>
        </w:rPr>
        <w:t>December 31,</w:t>
      </w:r>
    </w:p>
    <w:p>
      <w:pPr>
        <w:sectPr>
          <w:pgSz w:w="11900" w:h="16838" w:orient="portrait"/>
          <w:cols w:equalWidth="0" w:num="1">
            <w:col w:w="11240"/>
          </w:cols>
          <w:pgMar w:left="320" w:top="125" w:right="339" w:bottom="1440" w:gutter="0" w:footer="0" w:header="0"/>
        </w:sect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5974715" cy="163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74715" cy="163195"/>
                    </a:xfrm>
                    <a:prstGeom prst="rect">
                      <a:avLst/>
                    </a:prstGeom>
                    <a:noFill/>
                  </pic:spPr>
                </pic:pic>
              </a:graphicData>
            </a:graphic>
          </wp:anchor>
        </w:drawing>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Less: Current portion of long term debt </w:t>
      </w:r>
      <w:r>
        <w:rPr>
          <w:rFonts w:ascii="Arial" w:cs="Arial" w:eastAsia="Arial" w:hAnsi="Arial"/>
          <w:sz w:val="20"/>
          <w:szCs w:val="20"/>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5974715"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74715" cy="14605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Debt origination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974715"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2019</w:t>
            </w:r>
          </w:p>
        </w:tc>
      </w:tr>
      <w:tr>
        <w:trPr>
          <w:trHeight w:val="237"/>
        </w:trPr>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89,383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8"/>
              </w:rPr>
              <w:t>97,044</w:t>
            </w:r>
          </w:p>
        </w:tc>
      </w:tr>
      <w:tr>
        <w:trPr>
          <w:trHeight w:val="229"/>
        </w:trPr>
        <w:tc>
          <w:tcPr>
            <w:tcW w:w="300" w:type="dxa"/>
            <w:vAlign w:val="bottom"/>
          </w:tcPr>
          <w:p>
            <w:pPr>
              <w:spacing w:after="0"/>
              <w:rPr>
                <w:sz w:val="19"/>
                <w:szCs w:val="19"/>
                <w:color w:val="auto"/>
              </w:rPr>
            </w:pPr>
          </w:p>
        </w:tc>
        <w:tc>
          <w:tcPr>
            <w:tcW w:w="1040" w:type="dxa"/>
            <w:vAlign w:val="bottom"/>
          </w:tcPr>
          <w:p>
            <w:pPr>
              <w:ind w:left="460"/>
              <w:spacing w:after="0"/>
              <w:rPr>
                <w:sz w:val="20"/>
                <w:szCs w:val="20"/>
                <w:color w:val="auto"/>
              </w:rPr>
            </w:pPr>
            <w:r>
              <w:rPr>
                <w:rFonts w:ascii="Arial" w:cs="Arial" w:eastAsia="Arial" w:hAnsi="Arial"/>
                <w:sz w:val="18"/>
                <w:szCs w:val="18"/>
                <w:color w:val="auto"/>
              </w:rPr>
              <w:t>89,383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w w:val="98"/>
              </w:rPr>
              <w:t>97,044</w:t>
            </w:r>
          </w:p>
        </w:tc>
      </w:tr>
      <w:tr>
        <w:trPr>
          <w:trHeight w:val="230"/>
        </w:trPr>
        <w:tc>
          <w:tcPr>
            <w:tcW w:w="300" w:type="dxa"/>
            <w:vAlign w:val="bottom"/>
          </w:tcPr>
          <w:p>
            <w:pPr>
              <w:spacing w:after="0"/>
              <w:rPr>
                <w:sz w:val="19"/>
                <w:szCs w:val="19"/>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w w:val="94"/>
              </w:rPr>
              <w:t>(7,044)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ind w:left="480"/>
              <w:spacing w:after="0"/>
              <w:rPr>
                <w:sz w:val="20"/>
                <w:szCs w:val="20"/>
                <w:color w:val="auto"/>
              </w:rPr>
            </w:pPr>
            <w:r>
              <w:rPr>
                <w:rFonts w:ascii="Arial" w:cs="Arial" w:eastAsia="Arial" w:hAnsi="Arial"/>
                <w:sz w:val="18"/>
                <w:szCs w:val="18"/>
                <w:color w:val="auto"/>
                <w:w w:val="94"/>
              </w:rPr>
              <w:t>(7,044)</w:t>
            </w:r>
          </w:p>
        </w:tc>
      </w:tr>
      <w:tr>
        <w:trPr>
          <w:trHeight w:val="237"/>
        </w:trPr>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4"/>
              </w:rPr>
              <w:t>(1,760)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4"/>
              </w:rPr>
              <w:t>(2,377)</w:t>
            </w:r>
          </w:p>
        </w:tc>
      </w:tr>
      <w:tr>
        <w:trPr>
          <w:trHeight w:val="230"/>
        </w:trPr>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80,579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98"/>
              </w:rPr>
              <w:t>87,623</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sectPr>
          <w:pgSz w:w="11900" w:h="16838" w:orient="portrait"/>
          <w:cols w:equalWidth="0" w:num="2">
            <w:col w:w="5920" w:space="720"/>
            <w:col w:w="4600"/>
          </w:cols>
          <w:pgMar w:left="320" w:top="125" w:right="339" w:bottom="1440" w:gutter="0" w:footer="0" w:header="0"/>
          <w:type w:val="continuous"/>
        </w:sectPr>
      </w:pPr>
    </w:p>
    <w:p>
      <w:pPr>
        <w:ind w:left="320" w:hanging="312"/>
        <w:spacing w:after="0"/>
        <w:tabs>
          <w:tab w:leader="none" w:pos="320" w:val="left"/>
        </w:tabs>
        <w:numPr>
          <w:ilvl w:val="0"/>
          <w:numId w:val="32"/>
        </w:numPr>
        <w:rPr>
          <w:rFonts w:ascii="Arial" w:cs="Arial" w:eastAsia="Arial" w:hAnsi="Arial"/>
          <w:sz w:val="23"/>
          <w:szCs w:val="23"/>
          <w:color w:val="auto"/>
          <w:vertAlign w:val="superscript"/>
        </w:rPr>
      </w:pPr>
      <w:r>
        <w:rPr>
          <w:rFonts w:ascii="Arial" w:cs="Arial" w:eastAsia="Arial" w:hAnsi="Arial"/>
          <w:sz w:val="14"/>
          <w:szCs w:val="14"/>
          <w:color w:val="auto"/>
        </w:rPr>
        <w:t>Current portion of long-term debt is net of debt origination costs of approximately $0.6 million both at December 31, 2020 and 2019.</w:t>
      </w:r>
    </w:p>
    <w:p>
      <w:pPr>
        <w:spacing w:after="0" w:line="20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and certain of its domestic subsidiaries as borrowers (the “Loan Parties”) entered into a financing agreement (as amended, the “Credit Agreement”) with a group of banking institutions. The Credit Agreement provides for a $35 million revolving credit facility, a $90 million term loan facility and an up to $30 million incremental facility of which $12 million was utilized in the second quarter of 2019. The Credit Agreement also provides for the issuance of letters of credit, which would reduce availability under the revolving credit facility. The maturity date of the Credit Agreement is November 7, 2023. As of December 31, 2020 and 2019, there were no outstanding amounts drawn on the revolving credit facility.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on the term loan facility and revolving credit facility under the Credit Agreement is determined by reference to either LIBOR or a “base rate”, in each case plus an applicable margin of 4.50% per annum for LIBOR loans or 3.50% per annum for base rate loans. The Company is also required to pay a fee on the unused portion of the revolving credit facility equal to 0.35% per annum. The effective interest rates for the year ended December 31, 2020 for the term loan facility and revolving credit facility were 5.78% and 1.00%,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principal amount of the term loan facility under the Credit Agreement must be repaid in consecutive quarterly installments of 5.0% in year 1, 7.5% in years 2 and 3, and 10.0% in years 4 and 5, in each case on the last day of each quarter, which commenced in March 2019 with a final balloon payment at maturity. The loans under the Credit Agreement may be prepaid at any time without premium or penalty.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contains financial covenants that require the Company to maintain a quarterly minimum fixed charge coverage ratio of 1.25:1.00 and a quarterly maximum consolidated leverage ratio of 3.25:1.00.</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Credit Agreement also contains covenants that limit the Company’s and its subsidiaries’ ability to, among other things, grant liens, incur additional indebtedness, make acquisitions or investments, dispose of certain assets, change the nature of their businesses, enter into certain transactions with affiliates or amend the terms of material indebtedness.</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the Credit Agreement establishes certain restrictions on payment of dividends or cash distributions other than for certain purposes, including the following: i) to pay cash dividends to the Company in an amount necessary to cover reasonable and customary corporate and operating expenses, ii) to purchase, redeem or otherwise acquire warrants, right or options on the Company’s common stock of an aggregate amount of up to $10 million plus the Available Amount (as defined in the Credit Agreement), iii) to repurchase the Company’s common stock from current or former employees in an aggregate amount of up to $5 million per calendar year, and iv) other restricted payments in an aggregate amount not to exceed $5 million plus the Available Amount.</w:t>
      </w:r>
    </w:p>
    <w:p>
      <w:pPr>
        <w:spacing w:after="0" w:line="16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restrictions described above, among others, substantially all of the Company’s subsidiaries’ net assets as of December 31, 2020 and 2019 are considered restricted net assets.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obligations under the Credit Agreement are guaranteed by the Company and certain domestic subsidiaries of the Company and secured by liens on substantially all of the assets of the Loan Parties, subject to certain exclusions and limitations.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20, 2020, the Company received funds under the Paycheck Protection Program (the “Program”) in the amount of $3.5 million. Although the Company believes that it met all eligibility criteria for a loan under the Program at the time of its application, subsequent to receiving the funds, the Small Business Administration (“SBA”), in consultation with the Department of the Treasury (“Treasury”),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provided additional guidance to address public, borrower and lender questions concerning the eligibility criteria under the Program. Based on this guidance provided by the SBA and Treasury, the Company returned the funds received under the Program on April 29,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80" w:type="dxa"/>
            <w:vAlign w:val="bottom"/>
          </w:tcPr>
          <w:p>
            <w:pPr>
              <w:spacing w:after="0"/>
              <w:rPr>
                <w:sz w:val="20"/>
                <w:szCs w:val="20"/>
                <w:color w:val="auto"/>
              </w:rPr>
            </w:pPr>
            <w:r>
              <w:rPr>
                <w:rFonts w:ascii="Arial" w:cs="Arial" w:eastAsia="Arial" w:hAnsi="Arial"/>
                <w:sz w:val="18"/>
                <w:szCs w:val="18"/>
                <w:color w:val="auto"/>
                <w:w w:val="99"/>
              </w:rPr>
              <w:t>The scheduled annual payments of the term loan at December 31, 2020 are as follows (in thousands):</w:t>
            </w: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3"/>
        </w:trPr>
        <w:tc>
          <w:tcPr>
            <w:tcW w:w="80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7,661</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10,215</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71,507</w:t>
            </w:r>
          </w:p>
        </w:tc>
      </w:tr>
      <w:tr>
        <w:trPr>
          <w:trHeight w:val="223"/>
        </w:trPr>
        <w:tc>
          <w:tcPr>
            <w:tcW w:w="808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89,383</w:t>
            </w:r>
          </w:p>
        </w:tc>
      </w:tr>
      <w:tr>
        <w:trPr>
          <w:trHeight w:val="20"/>
        </w:trPr>
        <w:tc>
          <w:tcPr>
            <w:tcW w:w="80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During 2019, the Company capitalized debt origination costs of approximately $0.2 million related to the incremental facility. During 2018, the Company capitalized debt origination costs of approximately $3.5 million related to the Credit Agreement. No debt origination costs were incurred during 2020.</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unamortized portion of debt origination costs totaled approximately $2.2 million and $2.9 million at December 31, 2020 and 2019, respectively. Amortization of debt origination costs is included as a component of interest expense in the consolidated statements of operations and comprehensive income (loss) and amounted to approximately $0.8 million, $0.7 million and $4.4 million for the years ended December 31, 2020, 2019, and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12 - FAIR VALUE MEASUREMENTS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determines fair value in accordance with the provisions of FASB guidance,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which defines fair value as an exit price, representing the amount that would be received from the sale of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As a basis for considering such assumptions, a three-level fair value hierarchy that prioritizes the inputs used to measure fair value was established. There are three levels of inputs used to measure fair value and for disclosure purposes. Level 1 relates to quoted market prices for identical assets or liabilities in active markets. Level 2 relates to observable inputs other than quoted prices included in Level 1. Level 3 relates to unobservable inputs that are supported by little or no market activity and that are significant to the fair value of the assets or liabilities.</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Company’s non-financial assets measured at fair value on a nonrecurring basis include goodwill and intangibles assets. The determination of our intangible fair values includes several assumptions and inputs (Level 3) that are subject to various risks and uncertainties. Management believes it has made reasonable estimates and judgments concerning these risks and uncertainties. All other financial assets and liabilities are carried at amortized cost.</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cash balances are representative of their fair values as these balances are comprised of deposits available on demand. The carrying amounts of accounts receivable, prepaid wires, accounts payable and wire transfers and money orders payable are representative of their fair values because of the short turnover of these items.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financial liabilities include its revolving credit facility and term loan. The fair value of the term loan, which approximates book value, is estimated by discounting the future cash flows using a current market interest rate. The estimated fair value of the revolving credit facility would approximate face value given the payment schedule and interest rate structure, which approximates current market interest rates.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NOTE 13 - RELATED PARTY TRANSACTIONS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January 1, 2018 through July 26, 2018, Intermex paid a monthly management fee of $65.0 thousand, plus reimbursement of expenses, to a related party for management services, which is included in other selling, general and administrative expenses on the Company’s consolidated statements of operations and comprehensive income (loss). On July 26, 2018, the management fee agreement with the related party was terminated, and a one-time termination fee of $1.6 million was included as part of transaction costs in the consolidated statement of operations and comprehensive income (loss) for the year ended December 31, 2018. There were no amounts payable to or receivable from related parties included in the consolidated balance sheets at December 31, 2020 and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14 – STOCKHOLDERS’ EQUITY AND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 and Secondary Offerings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the Closing Date of the Merger, there were 36.2 million shares of the Company’s common stock outstanding and outstanding warrants to purchase approximately 9 million shares of common stock. As of the Closing Date, the former stockholders of Intermex owned approximately 48.3% and the former stockholders of FinTech owned approximately 51.7% of the combined company’s outstanding common stock. At December 31, 2020, the Company was authorized to issue 230.0 million shares of common stock and had approximately 38.2 million shares of common stock issued and outstanding at $0.0001 par value per common share.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2020 and 2019, the Company conducted unwritten secondary public offerings in which certain selling stockholders sold an aggregate of 5.7 million shares of the Company’s common stock, at a price to the public of $13.50 and 6.0 million shares of the Company’s common stock, at a price to the public of $12.75 per share. The Company did not receive any of the proceeds from these offerings; however, it did incur approximately $0.5 million and $0.8 million, respectively, in certain costs, which are included in other selling, general and administrative expenses in the consolidated statements of operations and comprehensive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Warrants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Prior to the Merger, FinTech issued 8.8 million public warrants (“Public Warrants”) and 0.2 million private placement warrants (“Placement Warrants” and together with the Public Warrants, the “Warrants”). The Company assumed the Warrants upon the change of control event. As a result of the Merger, the Warrants issued by FinTech were no longer exercisable for shares of FinTech common stock but instead were exercisable for common stock of the Company. All other features of the Warrants remained unchanged. There were no cash obligations for the Company pertaining to these Warrants.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Each whole Warrant entitled the holder to purchase one share of the Company’s common stock at a price of $11.50 per share. The Warrants became exercisable 30 days after the completion of the Merger and were to expire 5 years after that date, or earlier upon redemption or liquidation.</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Warrants were eliminated through a tender offer and mandatory conversion that resulted in the issuance, between April and May of 2019 of approximately 1.8 million shares of common stock and the payment by the Company of approximately $10.0 million in cash in exchange for the Warrants tendered in the tender offer (the “Warrants Offer”). These transactions resulted in the Company having a total of approximately 38.0 million shares of common stock outstanding following the issuance. For the year ended December 31, 2019, the Company incurred approximately $0.9 million in professional and legal fees related to the Warrants Offer, which are included in other selling, general and administrative expenses in the consolidated statements of operations and comprehensive income (loss).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Money Express, Inc. Omnibus Equity Compensation Plans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26, 2020, at the 2020 Annual Meeting of Stockholders, the Company’s stockholders approved the International Money Express, Inc. 2020 Omnibus Equity Compensation Plan (the “2020 Plan”), which provides for the granting of stock-based incentive awards, including stock options and restricted stock units (“RSUs”), to employees and independent directors of the Company. There are 3.4 million shares of the Company’s common stock available for issuance under the 2020 Plan, including 0.4 million shares that were available for grant under the International Money Express, Inc. 2018 Omnibus Equity Compensation Plan (the “2018 Plan” and together with the 2020 Plan, the “Plans”). As of December 31, 2020, there are 0.3 million stock options and 0.1 million RSUs granted under the 2020 Plan. Although outstanding awards under the 2018 Plan remain, the 2018 Plan was terminated upon effectiveness of the 2020 Plan.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value of each option grant is estimated on the grant date using the Black-Scholes option pricing model (“BSM”). The option pricing model requires the input of highly subjective assumptions, including the grant date fair value of our common stock, expected volatility, risk-free interest rates, expected term and expected dividend yield. To determine the grant date fair value of the Company’s common stock, we use the closing market price of our common stock at the grant date. We also use an expected volatility based on the historical volatility of the Company’s common stock and the “simplified” method for calculating the expected life of our stock options as the options are “plain vanilla” and we do not have any significant historical post-vesting activity. We have elected to account for forfeitures as they occur. The risk-free interest rates are obtained from publicly available U.S. Treasury yield curve rates.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the following assumptions for the BSM to determine the fair value of the stock options: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80" w:type="dxa"/>
            <w:vAlign w:val="bottom"/>
          </w:tcPr>
          <w:p>
            <w:pPr>
              <w:spacing w:after="0"/>
              <w:rPr>
                <w:sz w:val="20"/>
                <w:szCs w:val="20"/>
                <w:color w:val="auto"/>
              </w:rPr>
            </w:pPr>
          </w:p>
        </w:tc>
        <w:tc>
          <w:tcPr>
            <w:tcW w:w="3240" w:type="dxa"/>
            <w:vAlign w:val="bottom"/>
            <w:tcBorders>
              <w:bottom w:val="single" w:sz="8" w:color="auto"/>
            </w:tcBorders>
            <w:gridSpan w:val="3"/>
          </w:tcPr>
          <w:p>
            <w:pPr>
              <w:jc w:val="right"/>
              <w:ind w:right="230"/>
              <w:spacing w:after="0"/>
              <w:rPr>
                <w:sz w:val="20"/>
                <w:szCs w:val="20"/>
                <w:color w:val="auto"/>
              </w:rPr>
            </w:pPr>
            <w:r>
              <w:rPr>
                <w:rFonts w:ascii="Arial" w:cs="Arial" w:eastAsia="Arial" w:hAnsi="Arial"/>
                <w:sz w:val="18"/>
                <w:szCs w:val="18"/>
                <w:color w:val="auto"/>
              </w:rPr>
              <w:t>Year Ended December 31,</w:t>
            </w:r>
          </w:p>
        </w:tc>
        <w:tc>
          <w:tcPr>
            <w:tcW w:w="700" w:type="dxa"/>
            <w:vAlign w:val="bottom"/>
            <w:tcBorders>
              <w:bottom w:val="single" w:sz="8" w:color="auto"/>
            </w:tcBorders>
          </w:tcPr>
          <w:p>
            <w:pPr>
              <w:spacing w:after="0"/>
              <w:rPr>
                <w:sz w:val="20"/>
                <w:szCs w:val="20"/>
                <w:color w:val="auto"/>
              </w:rPr>
            </w:pPr>
          </w:p>
        </w:tc>
      </w:tr>
      <w:tr>
        <w:trPr>
          <w:trHeight w:val="237"/>
        </w:trPr>
        <w:tc>
          <w:tcPr>
            <w:tcW w:w="548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7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700" w:type="dxa"/>
            <w:vAlign w:val="bottom"/>
            <w:tcBorders>
              <w:bottom w:val="single" w:sz="8" w:color="auto"/>
            </w:tcBorders>
          </w:tcPr>
          <w:p>
            <w:pPr>
              <w:spacing w:after="0"/>
              <w:rPr>
                <w:sz w:val="20"/>
                <w:szCs w:val="20"/>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 date price of our common stock (per share)</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12.94</w:t>
            </w:r>
          </w:p>
        </w:tc>
        <w:tc>
          <w:tcPr>
            <w:tcW w:w="128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13.83</w:t>
            </w: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Weighted-average expected volatility</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45.2 %</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28.6 %</w:t>
            </w: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risk-free interest rate</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2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Share-based compensation is recognized as an expense on a straight-line basis over the requisite service period, which is generally the vesting period. The stock options issued under the Plans have 10-year terms and vest in four equal annual installments beginning one year after the date of the grant. The Company recognized compensation expense for stock options of approximately $2.8 million, $2.6 million and $1.0 million for the years ended December 31, 2020, 2019 and 2018, respectively, which is included in salaries and benefits in the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consolidated statements of operations and comprehensive income (loss). As of December 31, 2020, there were 2.7 million outstanding stock options and unrecognized compensation expense of approximately $5.9 million is expected to be recognized over a weighted-average period of 2.2 years.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stock option activity during the year ended December 31, 2020 is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Weighted-</w:t>
            </w:r>
          </w:p>
        </w:tc>
        <w:tc>
          <w:tcPr>
            <w:tcW w:w="200" w:type="dxa"/>
            <w:vAlign w:val="bottom"/>
          </w:tcPr>
          <w:p>
            <w:pPr>
              <w:spacing w:after="0"/>
              <w:rPr>
                <w:sz w:val="17"/>
                <w:szCs w:val="17"/>
                <w:color w:val="auto"/>
              </w:rPr>
            </w:pPr>
          </w:p>
        </w:tc>
        <w:tc>
          <w:tcPr>
            <w:tcW w:w="1140" w:type="dxa"/>
            <w:vAlign w:val="bottom"/>
            <w:vMerge w:val="restart"/>
          </w:tcPr>
          <w:p>
            <w:pPr>
              <w:jc w:val="center"/>
              <w:ind w:right="11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0"/>
              </w:rPr>
              <w:t>Weighted-</w:t>
            </w: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300" w:type="dxa"/>
            <w:vAlign w:val="bottom"/>
            <w:vMerge w:val="restart"/>
          </w:tcPr>
          <w:p>
            <w:pPr>
              <w:jc w:val="right"/>
              <w:ind w:right="170"/>
              <w:spacing w:after="0"/>
              <w:rPr>
                <w:sz w:val="20"/>
                <w:szCs w:val="20"/>
                <w:color w:val="auto"/>
              </w:rPr>
            </w:pPr>
            <w:r>
              <w:rPr>
                <w:rFonts w:ascii="Arial" w:cs="Arial" w:eastAsia="Arial" w:hAnsi="Arial"/>
                <w:sz w:val="18"/>
                <w:szCs w:val="18"/>
                <w:color w:val="auto"/>
              </w:rPr>
              <w:t>Number of</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2"/>
              </w:rPr>
              <w:t>Remaining</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176"/>
        </w:trPr>
        <w:tc>
          <w:tcPr>
            <w:tcW w:w="38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220"/>
              <w:spacing w:after="0" w:line="176" w:lineRule="exact"/>
              <w:rPr>
                <w:sz w:val="20"/>
                <w:szCs w:val="20"/>
                <w:color w:val="auto"/>
              </w:rPr>
            </w:pPr>
            <w:r>
              <w:rPr>
                <w:rFonts w:ascii="Arial" w:cs="Arial" w:eastAsia="Arial" w:hAnsi="Arial"/>
                <w:sz w:val="18"/>
                <w:szCs w:val="18"/>
                <w:color w:val="auto"/>
                <w:w w:val="89"/>
              </w:rPr>
              <w:t>Average</w:t>
            </w:r>
          </w:p>
        </w:tc>
        <w:tc>
          <w:tcPr>
            <w:tcW w:w="142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1"/>
              </w:rPr>
              <w:t>Contractual</w:t>
            </w:r>
          </w:p>
        </w:tc>
        <w:tc>
          <w:tcPr>
            <w:tcW w:w="200" w:type="dxa"/>
            <w:vAlign w:val="bottom"/>
          </w:tcPr>
          <w:p>
            <w:pPr>
              <w:spacing w:after="0"/>
              <w:rPr>
                <w:sz w:val="15"/>
                <w:szCs w:val="15"/>
                <w:color w:val="auto"/>
              </w:rPr>
            </w:pPr>
          </w:p>
        </w:tc>
        <w:tc>
          <w:tcPr>
            <w:tcW w:w="1140" w:type="dxa"/>
            <w:vAlign w:val="bottom"/>
          </w:tcPr>
          <w:p>
            <w:pPr>
              <w:jc w:val="center"/>
              <w:ind w:right="110"/>
              <w:spacing w:after="0" w:line="176" w:lineRule="exact"/>
              <w:rPr>
                <w:sz w:val="20"/>
                <w:szCs w:val="20"/>
                <w:color w:val="auto"/>
              </w:rPr>
            </w:pPr>
            <w:r>
              <w:rPr>
                <w:rFonts w:ascii="Arial" w:cs="Arial" w:eastAsia="Arial" w:hAnsi="Arial"/>
                <w:sz w:val="18"/>
                <w:szCs w:val="18"/>
                <w:color w:val="auto"/>
                <w:w w:val="88"/>
              </w:rPr>
              <w:t>Grant Date</w:t>
            </w:r>
          </w:p>
        </w:tc>
        <w:tc>
          <w:tcPr>
            <w:tcW w:w="0" w:type="dxa"/>
            <w:vAlign w:val="bottom"/>
          </w:tcPr>
          <w:p>
            <w:pPr>
              <w:spacing w:after="0"/>
              <w:rPr>
                <w:sz w:val="1"/>
                <w:szCs w:val="1"/>
                <w:color w:val="auto"/>
              </w:rPr>
            </w:pPr>
          </w:p>
        </w:tc>
      </w:tr>
      <w:tr>
        <w:trPr>
          <w:trHeight w:val="236"/>
        </w:trPr>
        <w:tc>
          <w:tcPr>
            <w:tcW w:w="382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Term (Years)</w:t>
            </w:r>
          </w:p>
        </w:tc>
        <w:tc>
          <w:tcPr>
            <w:tcW w:w="2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0"/>
              </w:rPr>
              <w:t>Fair Value</w:t>
            </w:r>
          </w:p>
        </w:tc>
        <w:tc>
          <w:tcPr>
            <w:tcW w:w="0" w:type="dxa"/>
            <w:vAlign w:val="bottom"/>
          </w:tcPr>
          <w:p>
            <w:pPr>
              <w:spacing w:after="0"/>
              <w:rPr>
                <w:sz w:val="1"/>
                <w:szCs w:val="1"/>
                <w:color w:val="auto"/>
              </w:rPr>
            </w:pPr>
          </w:p>
        </w:tc>
      </w:tr>
      <w:tr>
        <w:trPr>
          <w:trHeight w:val="23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2,905,219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622,500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Exercised</w:t>
            </w:r>
            <w:r>
              <w:rPr>
                <w:rFonts w:ascii="Arial" w:cs="Arial" w:eastAsia="Arial" w:hAnsi="Arial"/>
                <w:sz w:val="23"/>
                <w:szCs w:val="23"/>
                <w:color w:val="auto"/>
                <w:vertAlign w:val="superscript"/>
              </w:rPr>
              <w:t>(1)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(594,434)</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2,714,902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Exercisable at December 31, 2020</w:t>
            </w:r>
            <w:r>
              <w:rPr>
                <w:rFonts w:ascii="Arial" w:cs="Arial" w:eastAsia="Arial" w:hAnsi="Arial"/>
                <w:sz w:val="23"/>
                <w:szCs w:val="23"/>
                <w:color w:val="auto"/>
                <w:vertAlign w:val="superscript"/>
              </w:rPr>
              <w:t>(2)</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1,137,451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ind w:left="180" w:hanging="172"/>
        <w:spacing w:after="0"/>
        <w:tabs>
          <w:tab w:leader="none" w:pos="180"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The aggregate intrinsic value of stock options exercised during the year ended December 31, 2020 was $1.3 million.</w:t>
      </w:r>
    </w:p>
    <w:p>
      <w:pPr>
        <w:spacing w:after="0" w:line="55"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33"/>
        </w:numPr>
        <w:rPr>
          <w:rFonts w:ascii="Arial" w:cs="Arial" w:eastAsia="Arial" w:hAnsi="Arial"/>
          <w:sz w:val="21"/>
          <w:szCs w:val="21"/>
          <w:color w:val="auto"/>
          <w:vertAlign w:val="superscript"/>
        </w:rPr>
      </w:pPr>
      <w:r>
        <w:rPr>
          <w:rFonts w:ascii="Arial" w:cs="Arial" w:eastAsia="Arial" w:hAnsi="Arial"/>
          <w:sz w:val="16"/>
          <w:szCs w:val="16"/>
          <w:color w:val="auto"/>
        </w:rPr>
        <w:t>The aggregate fair value of all vested/exercisable options outstanding as of December 31, 2020 was $17.7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RSU Grants to Employees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RSUs granted under the Plans to the Company’s employees generally vest in four equal annual installments beginning one year after the date of the grant. The Company recognized compensation expense for RSUs granted to employees of approximately $4.1 thousand for the year ended December 31, 2020, which is included in salaries and benefits in the consolidated statements of operations and comprehensive income (loss). There was no compensation expense recognized for RSUs granted to employees in 2019 and 2018. As of December 31, 2020, unrecognized compensation expense of approximately $0.1 million is expected to be recognized over a weighted-average period of 3.8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RSU grant activity to employees of the Company during the year ended December 31, 2020 is presented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w w:val="96"/>
              </w:rPr>
              <w:t>Number of RSU</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6"/>
        </w:trPr>
        <w:tc>
          <w:tcPr>
            <w:tcW w:w="66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6"/>
        </w:trPr>
        <w:tc>
          <w:tcPr>
            <w:tcW w:w="66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awards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Grant Price</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17,500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36"/>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Nonvested at December 31,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RSU Grants to Independent Directors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RSUs granted under the Plans to the Company’s independent directors vest on the one-year anniversary from the grant date. The Company recognized compensation expense for the RSUs granted to independent directors of $0.4 million, $0.2 million and $0.1 million for the years ended December 31, 2020, 2019 and 2018, respectively, which is included in salaries and benefits in the consolidated statements of operations and comprehensive income (loss). As of December 31, 2020, there was $0.3 million of unrecognized compensation expense for the RSUs. There were no forfeitures of RSUs granted to independent directors for the year ended December 31, 2020.</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RSU grant activity to independent directors of the Company during the year ended December 31, 2020 is presented below:</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2"/>
              </w:rPr>
              <w:t>Number of RSU</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175"/>
        </w:trPr>
        <w:tc>
          <w:tcPr>
            <w:tcW w:w="66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awards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Grant Price</w:t>
            </w:r>
          </w:p>
        </w:tc>
        <w:tc>
          <w:tcPr>
            <w:tcW w:w="0" w:type="dxa"/>
            <w:vAlign w:val="bottom"/>
          </w:tcPr>
          <w:p>
            <w:pPr>
              <w:spacing w:after="0"/>
              <w:rPr>
                <w:sz w:val="1"/>
                <w:szCs w:val="1"/>
                <w:color w:val="auto"/>
              </w:rPr>
            </w:pP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December 31, 2019</w:t>
            </w:r>
          </w:p>
        </w:tc>
        <w:tc>
          <w:tcPr>
            <w:tcW w:w="132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0"/>
              </w:rPr>
              <w:t>18,953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center"/>
              <w:ind w:left="570"/>
              <w:spacing w:after="0"/>
              <w:rPr>
                <w:sz w:val="20"/>
                <w:szCs w:val="20"/>
                <w:color w:val="auto"/>
              </w:rPr>
            </w:pPr>
            <w:r>
              <w:rPr>
                <w:rFonts w:ascii="Arial" w:cs="Arial" w:eastAsia="Arial" w:hAnsi="Arial"/>
                <w:sz w:val="18"/>
                <w:szCs w:val="18"/>
                <w:color w:val="auto"/>
                <w:w w:val="90"/>
              </w:rPr>
              <w:t>33,381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89"/>
              </w:rPr>
              <w:t>(18,953)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Nonvested at December 31, 2020</w:t>
            </w:r>
          </w:p>
        </w:tc>
        <w:tc>
          <w:tcPr>
            <w:tcW w:w="132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0"/>
              </w:rPr>
              <w:t>33,381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Under the 2020 Plan, effective October 1, 2020, the Lead Independent Director and Chairs of the Committees of the Board of Directors are granted, in aggregate, $64.0 thousand in awards of fully vested shares of the Company’s common stock, payable on a quarterly basis at the end of each quarter.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Units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 Merger, incentive units amounting to $4.7 million were granted to our employees, which became fully vested as a result of the Merger in 2018 and were immediately recognized as share-based compensation expense, which is included in salaries and benefits in the consolidated statement of operations and comprehensive income (loss) for the year ended December 31,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15 – EARNINGS (LOSS)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(loss) per share is calculated by dividing net income (loss) for the year by the weighted average number of common shares outstanding for the period. In computing dilutive earnings (loss) per share, basic earnings (loss) per share is adjusted for the assumed issuance of all applicable potentially dilutive share-based awards, including common stock options, RSUs and warrants.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earnings (loss) per share for the periods indicated (in thousands, except for share data):</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rPr>
              <w:t>Year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162"/>
        </w:trPr>
        <w:tc>
          <w:tcPr>
            <w:tcW w:w="5240" w:type="dxa"/>
            <w:vAlign w:val="bottom"/>
            <w:shd w:val="clear" w:color="auto" w:fill="CCEEFF"/>
          </w:tcPr>
          <w:p>
            <w:pPr>
              <w:ind w:left="20"/>
              <w:spacing w:after="0" w:line="162" w:lineRule="exact"/>
              <w:rPr>
                <w:sz w:val="20"/>
                <w:szCs w:val="20"/>
                <w:color w:val="auto"/>
              </w:rPr>
            </w:pPr>
            <w:r>
              <w:rPr>
                <w:rFonts w:ascii="Arial" w:cs="Arial" w:eastAsia="Arial" w:hAnsi="Arial"/>
                <w:sz w:val="18"/>
                <w:szCs w:val="18"/>
                <w:color w:val="auto"/>
                <w:w w:val="99"/>
              </w:rPr>
              <w:t>Net income (loss) for basic and diluted income (loss) per common</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33,784</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19,609</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0" w:type="dxa"/>
            <w:vAlign w:val="bottom"/>
          </w:tcPr>
          <w:p>
            <w:pPr>
              <w:spacing w:after="0"/>
              <w:rPr>
                <w:sz w:val="1"/>
                <w:szCs w:val="1"/>
                <w:color w:val="auto"/>
              </w:rPr>
            </w:pPr>
          </w:p>
        </w:tc>
      </w:tr>
      <w:tr>
        <w:trPr>
          <w:trHeight w:val="236"/>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3" w:lineRule="exact"/>
              <w:rPr>
                <w:sz w:val="20"/>
                <w:szCs w:val="20"/>
                <w:color w:val="auto"/>
              </w:rPr>
            </w:pPr>
            <w:r>
              <w:rPr>
                <w:rFonts w:ascii="Arial" w:cs="Arial" w:eastAsia="Arial" w:hAnsi="Arial"/>
                <w:sz w:val="18"/>
                <w:szCs w:val="18"/>
                <w:color w:val="auto"/>
              </w:rPr>
              <w:t>Shares:</w:t>
            </w: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38,060,290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37,428,345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25,484,386</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RSUs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140"/>
              <w:spacing w:after="0"/>
              <w:rPr>
                <w:sz w:val="20"/>
                <w:szCs w:val="20"/>
                <w:color w:val="auto"/>
              </w:rPr>
            </w:pPr>
            <w:r>
              <w:rPr>
                <w:rFonts w:ascii="Arial" w:cs="Arial" w:eastAsia="Arial" w:hAnsi="Arial"/>
                <w:sz w:val="18"/>
                <w:szCs w:val="18"/>
                <w:color w:val="auto"/>
              </w:rPr>
              <w:t>Stock options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287,315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140,640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Warrants</w:t>
            </w: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240" w:type="dxa"/>
            <w:vAlign w:val="bottom"/>
            <w:tcBorders>
              <w:top w:val="single" w:sz="8" w:color="CCEEFF"/>
              <w:bottom w:val="single" w:sz="8" w:color="CCEEFF"/>
            </w:tcBorders>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3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38,358,171</w:t>
            </w:r>
          </w:p>
        </w:tc>
        <w:tc>
          <w:tcPr>
            <w:tcW w:w="120" w:type="dxa"/>
            <w:vAlign w:val="bottom"/>
            <w:tcBorders>
              <w:top w:val="single" w:sz="8" w:color="CCEEFF"/>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37,594,158</w:t>
            </w:r>
          </w:p>
        </w:tc>
        <w:tc>
          <w:tcPr>
            <w:tcW w:w="120" w:type="dxa"/>
            <w:vAlign w:val="bottom"/>
            <w:tcBorders>
              <w:top w:val="single" w:sz="8" w:color="CCEEFF"/>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25,484,386</w:t>
            </w:r>
          </w:p>
        </w:tc>
        <w:tc>
          <w:tcPr>
            <w:tcW w:w="0" w:type="dxa"/>
            <w:vAlign w:val="bottom"/>
          </w:tcPr>
          <w:p>
            <w:pPr>
              <w:spacing w:after="0"/>
              <w:rPr>
                <w:sz w:val="1"/>
                <w:szCs w:val="1"/>
                <w:color w:val="auto"/>
              </w:rPr>
            </w:pPr>
          </w:p>
        </w:tc>
      </w:tr>
      <w:tr>
        <w:trPr>
          <w:trHeight w:val="256"/>
        </w:trPr>
        <w:tc>
          <w:tcPr>
            <w:tcW w:w="5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Earnings (loss) per common share - 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0.89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per common share - diluted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there were 688.2 thousand options and 10.9 thousand RSUs excluded from the diluted earnings per share calculation because, under the treasury stock method, the inclusion of these would be anti-dilutive.</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2019, there were 471.8 thousand options and 19.0 thousand RSUs excluded from the diluted earnings per share calculation because, under the treasury stock method, the inclusion of these would be anti-dilutive. The Warrants were included in the calculation of the diluted earnings per share for the periods for which they were outstanding; the shares issued in exchange for the Warrants tendered in the Warrants Offer were included in the basic earnings per share beginning on the date the shares were issued. All Warrants ceased to exist after they were tendered in the Warrants Offer.</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2018, there were 2.9 million options, 9.0 million warrants to purchase shares of the Company’s common stock and 21.2 thousand RSUs excluded from the diluted earnings per share calculation because, under the treasury stock method, the inclusion of these would be anti-dilutive.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5360" w:type="dxa"/>
            <w:vAlign w:val="bottom"/>
          </w:tcPr>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702"/>
        </w:trPr>
        <w:tc>
          <w:tcPr>
            <w:tcW w:w="5360" w:type="dxa"/>
            <w:vAlign w:val="bottom"/>
          </w:tcPr>
          <w:p>
            <w:pPr>
              <w:spacing w:after="0"/>
              <w:rPr>
                <w:sz w:val="20"/>
                <w:szCs w:val="20"/>
                <w:color w:val="auto"/>
              </w:rPr>
            </w:pPr>
            <w:r>
              <w:rPr>
                <w:rFonts w:ascii="Arial" w:cs="Arial" w:eastAsia="Arial" w:hAnsi="Arial"/>
                <w:sz w:val="18"/>
                <w:szCs w:val="18"/>
                <w:color w:val="auto"/>
              </w:rPr>
              <w:t>NOTE 16 - INCOME TAXES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2"/>
        </w:trPr>
        <w:tc>
          <w:tcPr>
            <w:tcW w:w="5360" w:type="dxa"/>
            <w:vAlign w:val="bottom"/>
          </w:tcPr>
          <w:p>
            <w:pPr>
              <w:spacing w:after="0"/>
              <w:rPr>
                <w:sz w:val="20"/>
                <w:szCs w:val="20"/>
                <w:color w:val="auto"/>
              </w:rPr>
            </w:pPr>
            <w:r>
              <w:rPr>
                <w:rFonts w:ascii="Arial" w:cs="Arial" w:eastAsia="Arial" w:hAnsi="Arial"/>
                <w:sz w:val="18"/>
                <w:szCs w:val="18"/>
                <w:color w:val="auto"/>
                <w:w w:val="94"/>
              </w:rPr>
              <w:t>The provision for income taxes consists of the following (in thousands):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80"/>
        </w:trPr>
        <w:tc>
          <w:tcPr>
            <w:tcW w:w="5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rPr>
              <w:t>Year Ended December 31,</w:t>
            </w:r>
          </w:p>
        </w:tc>
        <w:tc>
          <w:tcPr>
            <w:tcW w:w="1080" w:type="dxa"/>
            <w:vAlign w:val="bottom"/>
            <w:tcBorders>
              <w:bottom w:val="single" w:sz="8" w:color="auto"/>
            </w:tcBorders>
          </w:tcPr>
          <w:p>
            <w:pPr>
              <w:spacing w:after="0"/>
              <w:rPr>
                <w:sz w:val="24"/>
                <w:szCs w:val="24"/>
                <w:color w:val="auto"/>
              </w:rPr>
            </w:pPr>
          </w:p>
        </w:tc>
      </w:tr>
      <w:tr>
        <w:trPr>
          <w:trHeight w:val="236"/>
        </w:trPr>
        <w:tc>
          <w:tcPr>
            <w:tcW w:w="53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tax provision: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Foreign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29"/>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r>
      <w:tr>
        <w:trPr>
          <w:trHeight w:val="237"/>
        </w:trPr>
        <w:tc>
          <w:tcPr>
            <w:tcW w:w="5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1,591</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5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r>
      <w:tr>
        <w:trPr>
          <w:trHeight w:val="270"/>
        </w:trPr>
        <w:tc>
          <w:tcPr>
            <w:tcW w:w="53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provision: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7"/>
        </w:trPr>
        <w:tc>
          <w:tcPr>
            <w:tcW w:w="5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7"/>
        </w:trPr>
        <w:tc>
          <w:tcPr>
            <w:tcW w:w="53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deferred</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54"/>
        </w:trPr>
        <w:tc>
          <w:tcPr>
            <w:tcW w:w="5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tax provision: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between the income tax provision (benefit) at the U.S. statutory tax rate and the Company’s income tax provision on the consolidated statements of operations and comprehensive income (loss) is below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right"/>
              <w:ind w:right="150"/>
              <w:spacing w:after="0"/>
              <w:rPr>
                <w:sz w:val="20"/>
                <w:szCs w:val="20"/>
                <w:color w:val="auto"/>
              </w:rPr>
            </w:pPr>
            <w:r>
              <w:rPr>
                <w:rFonts w:ascii="Arial" w:cs="Arial" w:eastAsia="Arial" w:hAnsi="Arial"/>
                <w:sz w:val="18"/>
                <w:szCs w:val="18"/>
                <w:color w:val="auto"/>
                <w:w w:val="90"/>
              </w:rPr>
              <w:t>Year Ended December 31,</w:t>
            </w:r>
          </w:p>
        </w:tc>
        <w:tc>
          <w:tcPr>
            <w:tcW w:w="1180" w:type="dxa"/>
            <w:vAlign w:val="bottom"/>
            <w:tcBorders>
              <w:bottom w:val="single" w:sz="8" w:color="auto"/>
            </w:tcBorders>
          </w:tcPr>
          <w:p>
            <w:pPr>
              <w:spacing w:after="0"/>
              <w:rPr>
                <w:sz w:val="20"/>
                <w:szCs w:val="20"/>
                <w:color w:val="auto"/>
              </w:rPr>
            </w:pPr>
          </w:p>
        </w:tc>
      </w:tr>
      <w:tr>
        <w:trPr>
          <w:trHeight w:val="237"/>
        </w:trPr>
        <w:tc>
          <w:tcPr>
            <w:tcW w:w="50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46,301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27,932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(5,376)</w:t>
            </w:r>
          </w:p>
        </w:tc>
      </w:tr>
      <w:tr>
        <w:trPr>
          <w:trHeight w:val="236"/>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U.S. statutory tax rate</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 at statutory rate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9,723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(1,129)</w:t>
            </w:r>
          </w:p>
        </w:tc>
      </w:tr>
      <w:tr>
        <w:trPr>
          <w:trHeight w:val="270"/>
        </w:trPr>
        <w:tc>
          <w:tcPr>
            <w:tcW w:w="5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tax expense, net of federal</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145</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Foreign tax rates different from U.S. statutory rate</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146</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1,978</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Write-off of transaction costs</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321</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net operating losses</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314</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Change in tax rate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76</w:t>
            </w: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w:t>
            </w:r>
          </w:p>
        </w:tc>
      </w:tr>
      <w:tr>
        <w:trPr>
          <w:trHeight w:val="217"/>
        </w:trPr>
        <w:tc>
          <w:tcPr>
            <w:tcW w:w="5060" w:type="dxa"/>
            <w:vAlign w:val="bottom"/>
          </w:tcPr>
          <w:p>
            <w:pPr>
              <w:ind w:left="140"/>
              <w:spacing w:after="0"/>
              <w:rPr>
                <w:sz w:val="20"/>
                <w:szCs w:val="20"/>
                <w:color w:val="auto"/>
              </w:rPr>
            </w:pPr>
            <w:r>
              <w:rPr>
                <w:rFonts w:ascii="Arial" w:cs="Arial" w:eastAsia="Arial" w:hAnsi="Arial"/>
                <w:sz w:val="18"/>
                <w:szCs w:val="18"/>
                <w:color w:val="auto"/>
              </w:rPr>
              <w:t>Total tax provision</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12,517</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8,323</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1,868</w:t>
            </w:r>
          </w:p>
        </w:tc>
      </w:tr>
      <w:tr>
        <w:trPr>
          <w:trHeight w:val="20"/>
        </w:trPr>
        <w:tc>
          <w:tcPr>
            <w:tcW w:w="5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presented in the income tax reconciliation above, the tax provision recognized on the consolidated statements of operations and comprehensive income (loss) was impacted by state taxes, non-deductible expenses, such as offering costs, share-based compensation expense, transaction costs and foreign tax rates applicable to the Company’s foreign subsidiaries that are higher or lower than the U.S. statutory rate. The Company is subject to tax in various U.S. state jurisdictions. Changes in the annual allocation and apportionment of the Company’s activity amongst these state jurisdictions results in changes to the blended state rate utilized to measure the Company’s deferred tax assets and liabilities.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and liabilities are recognized for the expected tax consequences of temporary differences between the book and tax bases of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Company’s assets and liabilities. The following table outlines the principal components of the deferred tax assets and liabilities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860" w:type="dxa"/>
            <w:vAlign w:val="bottom"/>
            <w:tcBorders>
              <w:bottom w:val="single" w:sz="8" w:color="auto"/>
            </w:tcBorders>
          </w:tcPr>
          <w:p>
            <w:pPr>
              <w:spacing w:after="0"/>
              <w:rPr>
                <w:sz w:val="20"/>
                <w:szCs w:val="20"/>
                <w:color w:val="auto"/>
              </w:rPr>
            </w:pPr>
          </w:p>
        </w:tc>
      </w:tr>
      <w:tr>
        <w:trPr>
          <w:trHeight w:val="237"/>
        </w:trPr>
        <w:tc>
          <w:tcPr>
            <w:tcW w:w="66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4"/>
              </w:rPr>
              <w:t>2019</w:t>
            </w: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U.S. federal and state net operating losses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5,529</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6,385</w:t>
            </w: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net operating losses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Allowance for credit losses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r>
      <w:tr>
        <w:trPr>
          <w:trHeight w:val="230"/>
        </w:trPr>
        <w:tc>
          <w:tcPr>
            <w:tcW w:w="664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29"/>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r>
      <w:tr>
        <w:trPr>
          <w:trHeight w:val="237"/>
        </w:trPr>
        <w:tc>
          <w:tcPr>
            <w:tcW w:w="6640" w:type="dxa"/>
            <w:vAlign w:val="bottom"/>
          </w:tcPr>
          <w:p>
            <w:pPr>
              <w:ind w:left="140"/>
              <w:spacing w:after="0"/>
              <w:rPr>
                <w:sz w:val="20"/>
                <w:szCs w:val="20"/>
                <w:color w:val="auto"/>
              </w:rPr>
            </w:pPr>
            <w:r>
              <w:rPr>
                <w:rFonts w:ascii="Arial" w:cs="Arial" w:eastAsia="Arial" w:hAnsi="Arial"/>
                <w:sz w:val="18"/>
                <w:szCs w:val="18"/>
                <w:color w:val="auto"/>
              </w:rPr>
              <w:t>Accrued TCPA claim</w:t>
            </w:r>
          </w:p>
        </w:tc>
        <w:tc>
          <w:tcPr>
            <w:tcW w:w="30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29"/>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9,442</w:t>
            </w:r>
          </w:p>
        </w:tc>
      </w:tr>
      <w:tr>
        <w:trPr>
          <w:trHeight w:val="270"/>
        </w:trPr>
        <w:tc>
          <w:tcPr>
            <w:tcW w:w="6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(1,918)</w:t>
            </w:r>
          </w:p>
        </w:tc>
      </w:tr>
      <w:tr>
        <w:trPr>
          <w:trHeight w:val="249"/>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 amortization</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r>
      <w:tr>
        <w:trPr>
          <w:trHeight w:val="217"/>
        </w:trPr>
        <w:tc>
          <w:tcPr>
            <w:tcW w:w="664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(9,384)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(8,628)</w:t>
            </w:r>
          </w:p>
        </w:tc>
      </w:tr>
      <w:tr>
        <w:trPr>
          <w:trHeight w:val="270"/>
        </w:trPr>
        <w:tc>
          <w:tcPr>
            <w:tcW w:w="66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64"/>
        </w:trPr>
        <w:tc>
          <w:tcPr>
            <w:tcW w:w="66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Net deferred tax (liability) asset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r>
      <w:tr>
        <w:trPr>
          <w:trHeight w:val="21"/>
        </w:trPr>
        <w:tc>
          <w:tcPr>
            <w:tcW w:w="6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At December 31, 2020, the Company had federal and state net operating loss carryforwards of approximately $22.7 million and $19.8 million, respectively, which are available to reduce future taxable income. With few exceptions, these net operating loss carryforwards will expire from 2029 through 2037. Utilization of the Company’s net operating loss carryforwards is now subject to an annual limitation under Internal Revenue Code Section 382. The Company has recorded a deferred tax asset for only the portion of its net operating loss carryforward that it expects to realize before expiration.</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few exceptions, the Company is no longer subject to U.S. federal, state or local income tax examinations by tax authorities for the years prior to 2016. However, the Company has certain net operating loss carryforwards from tax years 2009 through 2017 that are subject to examination. As of December 31, 2020 and 2019, the Company did not have any amounts accrued for interest and penalties or recorded for uncertain tax positions.</w:t>
      </w:r>
    </w:p>
    <w:p>
      <w:pPr>
        <w:spacing w:after="0" w:line="16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2018, FinTech Acquisition Corp II was notified by the IRS that its 2017 federal income tax return was selected for examination. In 2019, the exam was closed with no adjustments to the reported tax. In January 2020, Intermex Holdings II, Inc., the Company’s parent company prior to the Merger, was notified by the IRS that its 2017 federal income tax return was selected for examination. In August 2020, the examination was closed with no changes to the reported tax. As of December 31, 2020 and 2019, no amounts for tax, interest, or penalties have been paid or accrued as a result of this examination.</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accordance with criteria under FASB guidance, </w:t>
      </w:r>
      <w:r>
        <w:rPr>
          <w:rFonts w:ascii="Arial" w:cs="Arial" w:eastAsia="Arial" w:hAnsi="Arial"/>
          <w:sz w:val="18"/>
          <w:szCs w:val="18"/>
          <w:i w:val="1"/>
          <w:iCs w:val="1"/>
          <w:color w:val="auto"/>
        </w:rPr>
        <w:t>Income Taxes</w:t>
      </w:r>
      <w:r>
        <w:rPr>
          <w:rFonts w:ascii="Arial" w:cs="Arial" w:eastAsia="Arial" w:hAnsi="Arial"/>
          <w:sz w:val="18"/>
          <w:szCs w:val="18"/>
          <w:color w:val="auto"/>
        </w:rPr>
        <w:t>, a valuation allowance is recorded to reduce the carrying amounts of deferred tax assets unless it is more likely than not that such assets will be realized. After consideration of all evidence, both positive and negative, management has determined that no valuation allowance is required at December 31, 2020 or 2019 on the Company’s U.S. deferred tax assets. However, a valuation allowance of $165.0 thousand and $73.3 thousand as of December 31, 2020 and 2019, respectively, has been recorded on deferred tax assets associated with Canadian net operating loss carryforwards.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27, 2020, the United States enacted the Coronavirus Aid, Relief, and Economic Security (“CARES”) Act. The Cares Act is an emergency economic stimulus package that includes spending and tax breaks to strengthen the United States economy and fund a nationwide effort to curtail the effects of COVID-19. The CARES Act provides various tax law changes in response to the COVID-19 pandemic, including increasing the ability to deduct interest expense, providing for deferral on tax deposits, and amending certain provisions of the previously enacted Tax Cuts and Jobs Act. After considering the provisions of the CARES Act, the Company determined that the CARES Act did not have a material effect on its annual effective tax rate and the income tax provision for the year ended December 31, 2020.</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17 -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 party to leases for office space, warehouses and Company-operated store locations. Rent expense under all operating leases, included in other selling, general and administrative expenses in the consolidated statements of operations and comprehensive income (loss), amounted to approximately $2.2 million, $2.1 million and $1.8 million for the years ended December 31, 2020, 2019 and 2018, respectively.</w:t>
      </w:r>
    </w:p>
    <w:p>
      <w:pPr>
        <w:spacing w:after="0" w:line="1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2018, the Company renegotiated its corporate lease to extend the term through November 2025. At December 31, 2020, future minimum rental payments required under operating leases for the next five years and thereafter are as follows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1,182</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r>
      <w:tr>
        <w:trPr>
          <w:trHeight w:val="237"/>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4"/>
        </w:trPr>
        <w:tc>
          <w:tcPr>
            <w:tcW w:w="8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 and Legal Proceedings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legal proceedings and claims that have arisen in the ordinary course of its business and have not been finally adjudicated. Although there can be no assurance as to the ultimate disposition of these matters, it is the opinion of the Company’s management, based upon the information available at this time and the stage of the proceedings, that it is not possible to determine the probability of loss or estimate of damages, and therefore, the Company has not established a reserve for any of these proceedings, except for the matter related to a complaint filed under the Telephone Consumer Protection Act of 1991 (the “TCPA claim”) described below.</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May 30, 2019, Stuart Sawyer filed a putative class action complaint in the United States District Court for the Southern District of Florida asserting a claim under the TCPA, 47 U.S.C. § 227, et seq., based on allegations that since May 30, 2015, the Company had sent text messages to class members’ wireless telephones without their consent. The litigation was settled under a definitive Settlement Agreement on March 16, 2020, subsequently approved by the Court. The Settlement Agreement provides for resolution of Mr. Sawyer’s TCPA claims and the claims of a class of similarly situated individuals, as defined in the complaint, who received text messages from the Company during the period May 30, 2015 through October 7, 2019, and for the creation of a $3.25 million settlement fund that will be used to pay all class member claims, class counsel’s fees and the costs of administering the settlement.</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settlement fund will be managed by a duly-appointed settlement administrator which will be authorized to, among other things, make payments from the fund in accordance with the terms of the Settlement Agreement and the final judgment in the case. No amount of the settlement fund will revert to the Company; instead, any unclaimed funds will be sent to a consumer advocacy organization approved by the Court.</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settlement fund and related legal expenses were paid in full in October 2020, and therefore, no remaining balance is included in accrued and other liabilities in the consolidated balance sheet as of December 31, 2020. The settlement amount and related legal fees amounted to $3.8 million out of which approximately $0.1 million and $3.7 million were incurred during the years ended December 31, 2020 and 2019, respectively, and are included in other selling, general and administrative expenses in the consolidated statements of operations and comprehensive income (loss).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operates in 50 U.S. states, two U.S. territories and three other countries. Money transmitters and their agents are under regulation by state and federal laws. Violations may result in civil or criminal penalties or a prohibition from providing money transfer services in a particular jurisdiction. It is the opinion of the Company’s management, based on information available at this time, that the expected outcome of regulatory examinations will not have a material adverse effect on either the results of operations or financial condition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Regulatory Requirements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domestic subsidiaries of the Company are subject to maintaining minimum tangible net worth and liquid assets (eligible securities) to cover the amount outstanding of wire transfers and money orders payable. As of December 31, 2020 and 2019, the Company’s subsidiaries were in compliance with these two requirements.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NOTE 18 – DEFINED CONTRIBUTION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 defined contribution plan available to most of its employees, where the Company makes contributions to the plan based on employee contributions. Total employer contribution expense included in salaries and benefits in the consolidated statements of operations and comprehensive income (loss) was approximately $127.4 thousand, $132.0 thousand and $115.2 thousand for the years ended December 31, 2020, 2019 and 2018, respectively.</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INTERNATIONAL MONEY EXPRESS, INC.</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 – CONDENSED FINANCIAL INFORMATION OF THE REGISTRANT</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International Money Express, Inc. is no longer considered a Smaller Reporting Company under Rule 12b-2 of the Exchange Act. As a result and commencing with the fiscal year ended December 31, 2020, the Company is required to present Schedule I – Condensed Financial Information of the Registrant.</w:t>
      </w:r>
    </w:p>
    <w:p>
      <w:pPr>
        <w:spacing w:after="0" w:line="21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includes the Condensed Balance Sheets for the parent company as of December 31, 2020 and 2019 and Condensed Statements of Operations and Comprehensive Income (Loss) and Condensed Statements of Cash Flows for the years ended December 31, 2020, 2019 and 2018.</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line="334" w:lineRule="auto"/>
        <w:rPr>
          <w:sz w:val="20"/>
          <w:szCs w:val="20"/>
          <w:color w:val="auto"/>
        </w:rPr>
      </w:pPr>
      <w:r>
        <w:rPr>
          <w:rFonts w:ascii="Arial" w:cs="Arial" w:eastAsia="Arial" w:hAnsi="Arial"/>
          <w:sz w:val="16"/>
          <w:szCs w:val="16"/>
          <w:color w:val="auto"/>
        </w:rPr>
        <w:t>Investment in subsidiary Deferred tax asset</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right="1119"/>
        <w:spacing w:after="0"/>
        <w:rPr>
          <w:sz w:val="20"/>
          <w:szCs w:val="20"/>
          <w:color w:val="auto"/>
        </w:rPr>
      </w:pPr>
      <w:r>
        <w:rPr>
          <w:rFonts w:ascii="Arial" w:cs="Arial" w:eastAsia="Arial" w:hAnsi="Arial"/>
          <w:sz w:val="18"/>
          <w:szCs w:val="18"/>
          <w:b w:val="1"/>
          <w:bCs w:val="1"/>
          <w:color w:val="auto"/>
        </w:rPr>
        <w:t>(in thousands, except for share data)</w:t>
      </w:r>
    </w:p>
    <w:p>
      <w:pPr>
        <w:spacing w:after="0" w:line="27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780" w:type="dxa"/>
        <w:tblCellMar>
          <w:top w:w="0" w:type="dxa"/>
          <w:left w:w="0" w:type="dxa"/>
          <w:bottom w:w="0" w:type="dxa"/>
          <w:right w:w="0" w:type="dxa"/>
        </w:tblCellMar>
      </w:tblPr>
      <w:tr>
        <w:trPr>
          <w:trHeight w:val="243"/>
        </w:trPr>
        <w:tc>
          <w:tcPr>
            <w:tcW w:w="364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215"/>
        </w:trPr>
        <w:tc>
          <w:tcPr>
            <w:tcW w:w="3640" w:type="dxa"/>
            <w:vAlign w:val="bottom"/>
          </w:tcPr>
          <w:p>
            <w:pPr>
              <w:spacing w:after="0"/>
              <w:rPr>
                <w:sz w:val="20"/>
                <w:szCs w:val="20"/>
                <w:color w:val="auto"/>
              </w:rPr>
            </w:pPr>
            <w:r>
              <w:rPr>
                <w:rFonts w:ascii="Arial" w:cs="Arial" w:eastAsia="Arial" w:hAnsi="Arial"/>
                <w:sz w:val="18"/>
                <w:szCs w:val="18"/>
                <w:color w:val="auto"/>
              </w:rPr>
              <w:t>ASSETS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39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94,211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55,948</w:t>
            </w:r>
          </w:p>
        </w:tc>
      </w:tr>
      <w:tr>
        <w:trPr>
          <w:trHeight w:val="237"/>
        </w:trPr>
        <w:tc>
          <w:tcPr>
            <w:tcW w:w="36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36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94,261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55,967</w:t>
            </w:r>
          </w:p>
        </w:tc>
      </w:tr>
      <w:tr>
        <w:trPr>
          <w:trHeight w:val="20"/>
        </w:trPr>
        <w:tc>
          <w:tcPr>
            <w:tcW w:w="3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-488315</wp:posOffset>
            </wp:positionV>
            <wp:extent cx="5974715"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74715" cy="14605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-187960</wp:posOffset>
            </wp:positionV>
            <wp:extent cx="5974715"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74715" cy="17145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-1403985</wp:posOffset>
            </wp:positionH>
            <wp:positionV relativeFrom="paragraph">
              <wp:posOffset>-130175</wp:posOffset>
            </wp:positionV>
            <wp:extent cx="5974715" cy="146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74715" cy="14605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186055</wp:posOffset>
            </wp:positionV>
            <wp:extent cx="5974715" cy="3086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74715" cy="308610"/>
                    </a:xfrm>
                    <a:prstGeom prst="rect">
                      <a:avLst/>
                    </a:prstGeom>
                    <a:noFill/>
                  </pic:spPr>
                </pic:pic>
              </a:graphicData>
            </a:graphic>
          </wp:anchor>
        </w:drawing>
      </w:r>
    </w:p>
    <w:p>
      <w:pPr>
        <w:spacing w:after="0" w:line="713" w:lineRule="exact"/>
        <w:rPr>
          <w:sz w:val="20"/>
          <w:szCs w:val="20"/>
          <w:color w:val="auto"/>
        </w:rPr>
      </w:pPr>
    </w:p>
    <w:p>
      <w:pPr>
        <w:sectPr>
          <w:pgSz w:w="11900" w:h="16838" w:orient="portrait"/>
          <w:cols w:equalWidth="0" w:num="2">
            <w:col w:w="1800" w:space="420"/>
            <w:col w:w="7919"/>
          </w:cols>
          <w:pgMar w:left="320" w:top="125" w:right="1440" w:bottom="1440" w:gutter="0" w:footer="0" w:header="0"/>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ind w:left="140"/>
              <w:spacing w:after="0"/>
              <w:rPr>
                <w:sz w:val="20"/>
                <w:szCs w:val="20"/>
                <w:color w:val="auto"/>
              </w:rPr>
            </w:pPr>
            <w:r>
              <w:rPr>
                <w:rFonts w:ascii="Arial" w:cs="Arial" w:eastAsia="Arial" w:hAnsi="Arial"/>
                <w:sz w:val="18"/>
                <w:szCs w:val="18"/>
                <w:color w:val="auto"/>
                <w:w w:val="97"/>
              </w:rPr>
              <w:t>Common stock $0.0001 par value; 230,000,000 shares authorized, 38,217,125 and</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640" w:type="dxa"/>
            <w:vAlign w:val="bottom"/>
          </w:tcPr>
          <w:p>
            <w:pPr>
              <w:ind w:left="140"/>
              <w:spacing w:after="0" w:line="176" w:lineRule="exact"/>
              <w:rPr>
                <w:sz w:val="20"/>
                <w:szCs w:val="20"/>
                <w:color w:val="auto"/>
              </w:rPr>
            </w:pPr>
            <w:r>
              <w:rPr>
                <w:rFonts w:ascii="Arial" w:cs="Arial" w:eastAsia="Arial" w:hAnsi="Arial"/>
                <w:sz w:val="18"/>
                <w:szCs w:val="18"/>
                <w:color w:val="auto"/>
              </w:rPr>
              <w:t>38,034,389 shares issued and outstanding as of December 31, 2020 and 2019,</w:t>
            </w: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440" w:type="dxa"/>
            <w:vAlign w:val="bottom"/>
            <w:vMerge w:val="restart"/>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4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54,694</w:t>
            </w:r>
          </w:p>
        </w:tc>
        <w:tc>
          <w:tcPr>
            <w:tcW w:w="0" w:type="dxa"/>
            <w:vAlign w:val="bottom"/>
          </w:tcPr>
          <w:p>
            <w:pPr>
              <w:spacing w:after="0"/>
              <w:rPr>
                <w:sz w:val="1"/>
                <w:szCs w:val="1"/>
                <w:color w:val="auto"/>
              </w:rPr>
            </w:pPr>
          </w:p>
        </w:tc>
      </w:tr>
      <w:tr>
        <w:trPr>
          <w:trHeight w:val="229"/>
        </w:trPr>
        <w:tc>
          <w:tcPr>
            <w:tcW w:w="66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34,960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37"/>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29"/>
        </w:trPr>
        <w:tc>
          <w:tcPr>
            <w:tcW w:w="6640" w:type="dxa"/>
            <w:vAlign w:val="bottom"/>
          </w:tcPr>
          <w:p>
            <w:pPr>
              <w:ind w:left="360"/>
              <w:spacing w:after="0"/>
              <w:rPr>
                <w:sz w:val="20"/>
                <w:szCs w:val="20"/>
                <w:color w:val="auto"/>
              </w:rPr>
            </w:pPr>
            <w:r>
              <w:rPr>
                <w:rFonts w:ascii="Arial" w:cs="Arial" w:eastAsia="Arial" w:hAnsi="Arial"/>
                <w:sz w:val="18"/>
                <w:szCs w:val="18"/>
                <w:color w:val="auto"/>
              </w:rPr>
              <w:t>Total stockholders’ equity</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94,261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55,967</w:t>
            </w:r>
          </w:p>
        </w:tc>
        <w:tc>
          <w:tcPr>
            <w:tcW w:w="0" w:type="dxa"/>
            <w:vAlign w:val="bottom"/>
          </w:tcPr>
          <w:p>
            <w:pPr>
              <w:spacing w:after="0"/>
              <w:rPr>
                <w:sz w:val="1"/>
                <w:szCs w:val="1"/>
                <w:color w:val="auto"/>
              </w:rPr>
            </w:pPr>
          </w:p>
        </w:tc>
      </w:tr>
      <w:tr>
        <w:trPr>
          <w:trHeight w:val="21"/>
        </w:trPr>
        <w:tc>
          <w:tcPr>
            <w:tcW w:w="66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See Notes to Consolidated Financial Statements included in Item 8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80" w:name="page81"/>
    <w:bookmarkEnd w:id="8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CONDENSED STATEMENTS OF OPERATIONS AND COMPREHENSIVE INCOME (LOSS)</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37"/>
        </w:trPr>
        <w:tc>
          <w:tcPr>
            <w:tcW w:w="5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57"/>
        </w:trPr>
        <w:tc>
          <w:tcPr>
            <w:tcW w:w="5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9"/>
              </w:rPr>
              <w:t>Equity in earnings (loss) from consolidated subsidiary, net of tax</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34,091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19,725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(7,180)</w:t>
            </w: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w:t>
            </w:r>
          </w:p>
        </w:tc>
      </w:tr>
      <w:tr>
        <w:trPr>
          <w:trHeight w:val="270"/>
        </w:trPr>
        <w:tc>
          <w:tcPr>
            <w:tcW w:w="5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7"/>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Shared-based compensation</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63"/>
        </w:trPr>
        <w:tc>
          <w:tcPr>
            <w:tcW w:w="5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w:t>
            </w:r>
          </w:p>
        </w:tc>
      </w:tr>
      <w:tr>
        <w:trPr>
          <w:trHeight w:val="270"/>
        </w:trPr>
        <w:tc>
          <w:tcPr>
            <w:tcW w:w="5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63"/>
        </w:trPr>
        <w:tc>
          <w:tcPr>
            <w:tcW w:w="5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229"/>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r>
      <w:tr>
        <w:trPr>
          <w:trHeight w:val="270"/>
        </w:trPr>
        <w:tc>
          <w:tcPr>
            <w:tcW w:w="5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r>
      <w:tr>
        <w:trPr>
          <w:trHeight w:val="255"/>
        </w:trPr>
        <w:tc>
          <w:tcPr>
            <w:tcW w:w="5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See Notes to Consolidated Financial Statements included in Item 8 in this Annual Report on Form 10-K.</w:t>
      </w:r>
    </w:p>
    <w:p>
      <w:pPr>
        <w:spacing w:after="0" w:line="200" w:lineRule="exact"/>
        <w:rPr>
          <w:sz w:val="20"/>
          <w:szCs w:val="20"/>
          <w:color w:val="auto"/>
        </w:rPr>
      </w:pPr>
    </w:p>
    <w:p>
      <w:pPr>
        <w:spacing w:after="0" w:line="34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tc>
        <w:tc>
          <w:tcPr>
            <w:tcW w:w="1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684"/>
        </w:trPr>
        <w:tc>
          <w:tcPr>
            <w:tcW w:w="3320" w:type="dxa"/>
            <w:vAlign w:val="bottom"/>
          </w:tcPr>
          <w:p>
            <w:pPr>
              <w:spacing w:after="0"/>
              <w:rPr>
                <w:sz w:val="24"/>
                <w:szCs w:val="24"/>
                <w:color w:val="auto"/>
              </w:rPr>
            </w:pPr>
          </w:p>
        </w:tc>
        <w:tc>
          <w:tcPr>
            <w:tcW w:w="478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rPr>
              <w:t>INTERNATIONAL MONEY EXPRESS, INC.</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3320" w:type="dxa"/>
            <w:vAlign w:val="bottom"/>
          </w:tcPr>
          <w:p>
            <w:pPr>
              <w:spacing w:after="0"/>
              <w:rPr>
                <w:sz w:val="18"/>
                <w:szCs w:val="18"/>
                <w:color w:val="auto"/>
              </w:rPr>
            </w:pPr>
          </w:p>
        </w:tc>
        <w:tc>
          <w:tcPr>
            <w:tcW w:w="478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8"/>
              </w:rPr>
              <w:t>CONDENSED STATEMENTS OF CASH FLOWS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3660" w:type="dxa"/>
            <w:vAlign w:val="bottom"/>
            <w:gridSpan w:val="5"/>
          </w:tcPr>
          <w:p>
            <w:pPr>
              <w:jc w:val="center"/>
              <w:ind w:left="850"/>
              <w:spacing w:after="0"/>
              <w:rPr>
                <w:sz w:val="20"/>
                <w:szCs w:val="20"/>
                <w:color w:val="auto"/>
              </w:rPr>
            </w:pPr>
            <w:r>
              <w:rPr>
                <w:rFonts w:ascii="Arial" w:cs="Arial" w:eastAsia="Arial" w:hAnsi="Arial"/>
                <w:sz w:val="18"/>
                <w:szCs w:val="18"/>
                <w:b w:val="1"/>
                <w:bCs w:val="1"/>
                <w:color w:val="auto"/>
                <w:w w:val="99"/>
              </w:rPr>
              <w:t>(PARENT COMPANY ONLY)</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3320" w:type="dxa"/>
            <w:vAlign w:val="bottom"/>
          </w:tcPr>
          <w:p>
            <w:pPr>
              <w:spacing w:after="0"/>
              <w:rPr>
                <w:sz w:val="20"/>
                <w:szCs w:val="20"/>
                <w:color w:val="auto"/>
              </w:rPr>
            </w:pPr>
          </w:p>
        </w:tc>
        <w:tc>
          <w:tcPr>
            <w:tcW w:w="3340" w:type="dxa"/>
            <w:vAlign w:val="bottom"/>
            <w:gridSpan w:val="4"/>
          </w:tcPr>
          <w:p>
            <w:pPr>
              <w:jc w:val="center"/>
              <w:ind w:left="119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506"/>
        </w:trPr>
        <w:tc>
          <w:tcPr>
            <w:tcW w:w="33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color w:val="auto"/>
              </w:rPr>
              <w:t>Year Ended December 31,</w:t>
            </w:r>
          </w:p>
        </w:tc>
        <w:tc>
          <w:tcPr>
            <w:tcW w:w="1000" w:type="dxa"/>
            <w:vAlign w:val="bottom"/>
            <w:tcBorders>
              <w:bottom w:val="single" w:sz="8" w:color="auto"/>
            </w:tcBorders>
          </w:tcPr>
          <w:p>
            <w:pPr>
              <w:spacing w:after="0"/>
              <w:rPr>
                <w:sz w:val="24"/>
                <w:szCs w:val="24"/>
                <w:color w:val="auto"/>
              </w:rPr>
            </w:pPr>
          </w:p>
        </w:tc>
      </w:tr>
      <w:tr>
        <w:trPr>
          <w:trHeight w:val="237"/>
        </w:trPr>
        <w:tc>
          <w:tcPr>
            <w:tcW w:w="3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r>
      <w:tr>
        <w:trPr>
          <w:trHeight w:val="257"/>
        </w:trPr>
        <w:tc>
          <w:tcPr>
            <w:tcW w:w="33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center"/>
              <w:ind w:left="570"/>
              <w:spacing w:after="0"/>
              <w:rPr>
                <w:sz w:val="20"/>
                <w:szCs w:val="20"/>
                <w:color w:val="auto"/>
              </w:rPr>
            </w:pPr>
            <w:r>
              <w:rPr>
                <w:rFonts w:ascii="Arial" w:cs="Arial" w:eastAsia="Arial" w:hAnsi="Arial"/>
                <w:sz w:val="18"/>
                <w:szCs w:val="18"/>
                <w:color w:val="auto"/>
                <w:w w:val="89"/>
              </w:rPr>
              <w:t>24</w:t>
            </w:r>
          </w:p>
        </w:tc>
      </w:tr>
      <w:tr>
        <w:trPr>
          <w:trHeight w:val="270"/>
        </w:trPr>
        <w:tc>
          <w:tcPr>
            <w:tcW w:w="33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Intercompany transactions, net</w:t>
            </w:r>
          </w:p>
        </w:tc>
        <w:tc>
          <w:tcPr>
            <w:tcW w:w="1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3"/>
              </w:rPr>
              <w:t>(24)</w:t>
            </w:r>
          </w:p>
        </w:tc>
      </w:tr>
      <w:tr>
        <w:trPr>
          <w:trHeight w:val="230"/>
        </w:trPr>
        <w:tc>
          <w:tcPr>
            <w:tcW w:w="3320" w:type="dxa"/>
            <w:vAlign w:val="bottom"/>
          </w:tcPr>
          <w:p>
            <w:pPr>
              <w:ind w:left="140"/>
              <w:spacing w:after="0"/>
              <w:rPr>
                <w:sz w:val="20"/>
                <w:szCs w:val="20"/>
                <w:color w:val="auto"/>
              </w:rPr>
            </w:pPr>
            <w:r>
              <w:rPr>
                <w:rFonts w:ascii="Arial" w:cs="Arial" w:eastAsia="Arial" w:hAnsi="Arial"/>
                <w:sz w:val="18"/>
                <w:szCs w:val="18"/>
                <w:color w:val="auto"/>
              </w:rPr>
              <w:t>Cash paid in warrant exchange</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center"/>
              <w:ind w:left="570"/>
              <w:spacing w:after="0"/>
              <w:rPr>
                <w:sz w:val="20"/>
                <w:szCs w:val="20"/>
                <w:color w:val="auto"/>
              </w:rPr>
            </w:pPr>
            <w:r>
              <w:rPr>
                <w:rFonts w:ascii="Arial" w:cs="Arial" w:eastAsia="Arial" w:hAnsi="Arial"/>
                <w:sz w:val="18"/>
                <w:szCs w:val="18"/>
                <w:color w:val="auto"/>
                <w:w w:val="99"/>
              </w:rPr>
              <w:t>—</w:t>
            </w:r>
          </w:p>
        </w:tc>
      </w:tr>
      <w:tr>
        <w:trPr>
          <w:trHeight w:val="249"/>
        </w:trPr>
        <w:tc>
          <w:tcPr>
            <w:tcW w:w="3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Proceeds from exercise of options</w:t>
            </w:r>
          </w:p>
        </w:tc>
        <w:tc>
          <w:tcPr>
            <w:tcW w:w="1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99"/>
              </w:rPr>
              <w:t>—</w:t>
            </w:r>
          </w:p>
        </w:tc>
      </w:tr>
      <w:tr>
        <w:trPr>
          <w:trHeight w:val="217"/>
        </w:trPr>
        <w:tc>
          <w:tcPr>
            <w:tcW w:w="332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1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center"/>
              <w:ind w:left="570"/>
              <w:spacing w:after="0"/>
              <w:rPr>
                <w:sz w:val="20"/>
                <w:szCs w:val="20"/>
                <w:color w:val="auto"/>
              </w:rPr>
            </w:pPr>
            <w:r>
              <w:rPr>
                <w:rFonts w:ascii="Arial" w:cs="Arial" w:eastAsia="Arial" w:hAnsi="Arial"/>
                <w:sz w:val="18"/>
                <w:szCs w:val="18"/>
                <w:color w:val="auto"/>
                <w:w w:val="93"/>
              </w:rPr>
              <w:t>(24)</w:t>
            </w:r>
          </w:p>
        </w:tc>
      </w:tr>
      <w:tr>
        <w:trPr>
          <w:trHeight w:val="270"/>
        </w:trPr>
        <w:tc>
          <w:tcPr>
            <w:tcW w:w="33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Net change in cash</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center"/>
              <w:ind w:left="570"/>
              <w:spacing w:after="0"/>
              <w:rPr>
                <w:sz w:val="20"/>
                <w:szCs w:val="20"/>
                <w:color w:val="auto"/>
              </w:rPr>
            </w:pPr>
            <w:r>
              <w:rPr>
                <w:rFonts w:ascii="Arial" w:cs="Arial" w:eastAsia="Arial" w:hAnsi="Arial"/>
                <w:sz w:val="18"/>
                <w:szCs w:val="18"/>
                <w:color w:val="auto"/>
                <w:w w:val="99"/>
              </w:rPr>
              <w:t>—</w:t>
            </w:r>
          </w:p>
        </w:tc>
      </w:tr>
      <w:tr>
        <w:trPr>
          <w:trHeight w:val="270"/>
        </w:trPr>
        <w:tc>
          <w:tcPr>
            <w:tcW w:w="332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Cash, beginning of the year</w:t>
            </w:r>
          </w:p>
        </w:tc>
        <w:tc>
          <w:tcPr>
            <w:tcW w:w="1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center"/>
              <w:ind w:left="570"/>
              <w:spacing w:after="0"/>
              <w:rPr>
                <w:sz w:val="20"/>
                <w:szCs w:val="20"/>
                <w:color w:val="auto"/>
              </w:rPr>
            </w:pPr>
            <w:r>
              <w:rPr>
                <w:rFonts w:ascii="Arial" w:cs="Arial" w:eastAsia="Arial" w:hAnsi="Arial"/>
                <w:sz w:val="18"/>
                <w:szCs w:val="18"/>
                <w:color w:val="auto"/>
                <w:w w:val="99"/>
              </w:rPr>
              <w:t>—</w:t>
            </w:r>
          </w:p>
        </w:tc>
      </w:tr>
      <w:tr>
        <w:trPr>
          <w:trHeight w:val="276"/>
        </w:trPr>
        <w:tc>
          <w:tcPr>
            <w:tcW w:w="332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r>
      <w:tr>
        <w:trPr>
          <w:trHeight w:val="217"/>
        </w:trPr>
        <w:tc>
          <w:tcPr>
            <w:tcW w:w="3320" w:type="dxa"/>
            <w:vAlign w:val="bottom"/>
          </w:tcPr>
          <w:p>
            <w:pPr>
              <w:ind w:left="20"/>
              <w:spacing w:after="0"/>
              <w:rPr>
                <w:sz w:val="20"/>
                <w:szCs w:val="20"/>
                <w:color w:val="auto"/>
              </w:rPr>
            </w:pPr>
            <w:r>
              <w:rPr>
                <w:rFonts w:ascii="Arial" w:cs="Arial" w:eastAsia="Arial" w:hAnsi="Arial"/>
                <w:sz w:val="18"/>
                <w:szCs w:val="18"/>
                <w:color w:val="auto"/>
              </w:rPr>
              <w:t>Cash, end of the year</w:t>
            </w:r>
          </w:p>
        </w:tc>
        <w:tc>
          <w:tcPr>
            <w:tcW w:w="19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9"/>
              </w:rPr>
              <w:t>—</w:t>
            </w:r>
          </w:p>
        </w:tc>
      </w:tr>
      <w:tr>
        <w:trPr>
          <w:trHeight w:val="21"/>
        </w:trPr>
        <w:tc>
          <w:tcPr>
            <w:tcW w:w="3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60"/>
        <w:spacing w:after="0"/>
        <w:rPr>
          <w:sz w:val="20"/>
          <w:szCs w:val="20"/>
          <w:color w:val="auto"/>
        </w:rPr>
      </w:pPr>
      <w:r>
        <w:rPr>
          <w:rFonts w:ascii="Arial" w:cs="Arial" w:eastAsia="Arial" w:hAnsi="Arial"/>
          <w:sz w:val="16"/>
          <w:szCs w:val="16"/>
          <w:color w:val="auto"/>
        </w:rPr>
        <w:t>See Notes to Consolidated Financial Statements included in Item 8 in this Annual Report on Form 10-K.</w:t>
      </w:r>
    </w:p>
    <w:p>
      <w:pPr>
        <w:spacing w:after="0" w:line="200" w:lineRule="exact"/>
        <w:rPr>
          <w:sz w:val="20"/>
          <w:szCs w:val="20"/>
          <w:color w:val="auto"/>
        </w:rPr>
      </w:pPr>
    </w:p>
    <w:p>
      <w:pPr>
        <w:spacing w:after="0" w:line="34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2" w:name="page83"/>
    <w:bookmarkEnd w:id="8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FINANCIAL INFORMATION OF THE REGISTRANT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NOTE 1 – BASIS OF PRESENTATION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International Money Express, Inc. (the “Parent”) is a holding company that conducts substantially all of its business operations through its subsidiaries. The parent company financial information has been derived from its consolidated financial statements and should be read in conjunction with the consolidated financial statements and notes of International Money Express, Inc. and its subsidiaries (the “Company”) included in Item 8, Financial Statements and Supplementary Data, in this Annual Report on Form 10-K.</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NOTE 2 – INCOME TAXES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Parent files a consolidated United States federal income tax return and also a number of consolidated state income tax returns on behalf of its direct and indirect subsidiaries. In these circumstances, the Parent may be responsible for remitting income tax payments on behalf of the consolidated group. The Parent’s provision for income taxes has been computed as if it were a separate tax-paying entity. The Parent has not recorded deferred tax assets or liabilities associated with outside basis differences in its investment in subsidiary.</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filed pursuant to the Exchange Act is recorded, processed, summarized and reported within the time periods specified in the SEC’s rules, regulations and related forms, and that such information is accumulated and communicated to our management, including our Chief Executive Officer and President, and Chief Financial Officer, as appropriate, to allow timely decisions regarding required disclosure.</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control system, no matter how well conceived and operated, can provide only reasonable, not absolute, 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required by Rules 13a-15(b) and 15d-15(b) under the Exchange Act, our Chief Executive Officer and President, and Chief Financial Officer, carried out an evaluation of the effectiveness of our disclosure controls and procedures as of December 31, 2020. Based on their evaluation, the Company’s principal executive officer and principal financial officer concluded that the Company’s disclosure controls and procedures were effective and operating to provide reasonable assurance that material information required to be disclosed in the reports that we file or submit under the Exchange Act is recorded, processed, summarized and reported within the time periods specified in the SEC’s rules and forms, including ensuring that such material information is accumulated and communicated to our management, including our Chief Executive Officer and President, and Chief Financial Officer, as appropriate, to allow timely decisions regarding required disclosure as of December 31, 2020.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the Securities Exchange Act of 1934 Rule 13a-15(f). Our management, with the participation of our Chief Executive Officer and President, and our Chief Financial Officer, conducted an evaluation of the effectiveness of our internal control over financial reporting based on the 2013 Internal Control – Integrated Framework (the “COSO Framework”). Based on this evaluation under the COSO Framework, our management concluded that our internal control over financial reporting was effective as of December 31, 2020.</w:t>
      </w:r>
    </w:p>
    <w:p>
      <w:pPr>
        <w:spacing w:after="0" w:line="18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Annual Report on Form 10-K does not include an attestation report of the Company’s registered independent public accounting firm on management’s assessment regarding internal control over financial reporting due to the exemption from such requirements established by rules of the SEC for emerging growth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Notwithstanding operational changes in response to the COVID-19 pandemic, during the most recently completed fiscal quarter, there have been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board of directors (“Board of Directors” or “Board”) is presently fixed at eight directors in accordance with the bylaws of International Money Express, Inc. (the “Company”). The Board of Directors is divided into three classes designated as Class I, Class II and Class III. One class of directors is elected at each annual meeting of our stockholders for a term of three years. Each director holds office until his or her successor has been duly elected and qualified, or the director’s earlier resignation, death or removal. The term of the Board’s Class III directors expires at the 2021 annual meeting of stockholders, the term of the Board’s Class I directors expires at the 2022 annual meeting of stockholders and the term of the Class II directors expires at the 2023 annual meeting of stockholders.</w:t>
      </w:r>
    </w:p>
    <w:p>
      <w:pPr>
        <w:spacing w:after="0" w:line="2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Set forth below are the name and age of each of the directors of the Company, positions with the Company, term of office as a director of the Company, business experience during the past five years or more, and additional biographical data as of March 1,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ind w:left="20"/>
              <w:spacing w:after="0"/>
              <w:rPr>
                <w:sz w:val="20"/>
                <w:szCs w:val="20"/>
                <w:color w:val="auto"/>
              </w:rPr>
            </w:pPr>
            <w:r>
              <w:rPr>
                <w:rFonts w:ascii="Arial" w:cs="Arial" w:eastAsia="Arial" w:hAnsi="Arial"/>
                <w:sz w:val="18"/>
                <w:szCs w:val="18"/>
                <w:b w:val="1"/>
                <w:bCs w:val="1"/>
                <w:color w:val="auto"/>
              </w:rPr>
              <w:t>Name</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Age</w:t>
            </w:r>
          </w:p>
        </w:tc>
        <w:tc>
          <w:tcPr>
            <w:tcW w:w="5100" w:type="dxa"/>
            <w:vAlign w:val="bottom"/>
          </w:tcPr>
          <w:p>
            <w:pPr>
              <w:ind w:left="100"/>
              <w:spacing w:after="0"/>
              <w:rPr>
                <w:sz w:val="20"/>
                <w:szCs w:val="20"/>
                <w:color w:val="auto"/>
              </w:rPr>
            </w:pPr>
            <w:r>
              <w:rPr>
                <w:rFonts w:ascii="Arial" w:cs="Arial" w:eastAsia="Arial" w:hAnsi="Arial"/>
                <w:sz w:val="18"/>
                <w:szCs w:val="18"/>
                <w:b w:val="1"/>
                <w:bCs w:val="1"/>
                <w:color w:val="auto"/>
              </w:rPr>
              <w:t>Position</w:t>
            </w:r>
          </w:p>
        </w:tc>
        <w:tc>
          <w:tcPr>
            <w:tcW w:w="1700" w:type="dxa"/>
            <w:vAlign w:val="bottom"/>
          </w:tcPr>
          <w:p>
            <w:pPr>
              <w:jc w:val="right"/>
              <w:ind w:right="170"/>
              <w:spacing w:after="0"/>
              <w:rPr>
                <w:sz w:val="20"/>
                <w:szCs w:val="20"/>
                <w:color w:val="auto"/>
              </w:rPr>
            </w:pPr>
            <w:r>
              <w:rPr>
                <w:rFonts w:ascii="Arial" w:cs="Arial" w:eastAsia="Arial" w:hAnsi="Arial"/>
                <w:sz w:val="18"/>
                <w:szCs w:val="18"/>
                <w:b w:val="1"/>
                <w:bCs w:val="1"/>
                <w:color w:val="auto"/>
              </w:rPr>
              <w:t>Director Since</w:t>
            </w:r>
          </w:p>
        </w:tc>
        <w:tc>
          <w:tcPr>
            <w:tcW w:w="1860" w:type="dxa"/>
            <w:vAlign w:val="bottom"/>
          </w:tcPr>
          <w:p>
            <w:pPr>
              <w:ind w:left="260"/>
              <w:spacing w:after="0"/>
              <w:rPr>
                <w:sz w:val="20"/>
                <w:szCs w:val="20"/>
                <w:color w:val="auto"/>
              </w:rPr>
            </w:pPr>
            <w:r>
              <w:rPr>
                <w:rFonts w:ascii="Arial" w:cs="Arial" w:eastAsia="Arial" w:hAnsi="Arial"/>
                <w:sz w:val="18"/>
                <w:szCs w:val="18"/>
                <w:b w:val="1"/>
                <w:bCs w:val="1"/>
                <w:color w:val="auto"/>
              </w:rPr>
              <w:t>Director Class</w:t>
            </w:r>
          </w:p>
        </w:tc>
      </w:tr>
      <w:tr>
        <w:trPr>
          <w:trHeight w:val="34"/>
        </w:trPr>
        <w:tc>
          <w:tcPr>
            <w:tcW w:w="1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76"/>
        </w:trPr>
        <w:tc>
          <w:tcPr>
            <w:tcW w:w="1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Robert Lisy</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w:t>
            </w:r>
          </w:p>
        </w:tc>
        <w:tc>
          <w:tcPr>
            <w:tcW w:w="51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7"/>
              </w:rPr>
              <w:t>Chief Executive Officer, President and Chairman of the Board of</w:t>
            </w:r>
          </w:p>
        </w:tc>
        <w:tc>
          <w:tcPr>
            <w:tcW w:w="1700" w:type="dxa"/>
            <w:vAlign w:val="bottom"/>
            <w:shd w:val="clear" w:color="auto" w:fill="CCEEFF"/>
          </w:tcPr>
          <w:p>
            <w:pPr>
              <w:jc w:val="right"/>
              <w:ind w:right="290"/>
              <w:spacing w:after="0" w:line="176" w:lineRule="exact"/>
              <w:rPr>
                <w:sz w:val="20"/>
                <w:szCs w:val="20"/>
                <w:color w:val="auto"/>
              </w:rPr>
            </w:pPr>
            <w:r>
              <w:rPr>
                <w:rFonts w:ascii="Arial" w:cs="Arial" w:eastAsia="Arial" w:hAnsi="Arial"/>
                <w:sz w:val="18"/>
                <w:szCs w:val="18"/>
                <w:color w:val="auto"/>
              </w:rPr>
              <w:t>2018</w:t>
            </w:r>
          </w:p>
        </w:tc>
        <w:tc>
          <w:tcPr>
            <w:tcW w:w="1860" w:type="dxa"/>
            <w:vAlign w:val="bottom"/>
            <w:shd w:val="clear" w:color="auto" w:fill="CCEEFF"/>
          </w:tcPr>
          <w:p>
            <w:pPr>
              <w:jc w:val="center"/>
              <w:ind w:left="150"/>
              <w:spacing w:after="0" w:line="176" w:lineRule="exact"/>
              <w:rPr>
                <w:sz w:val="20"/>
                <w:szCs w:val="20"/>
                <w:color w:val="auto"/>
              </w:rPr>
            </w:pPr>
            <w:r>
              <w:rPr>
                <w:rFonts w:ascii="Arial" w:cs="Arial" w:eastAsia="Arial" w:hAnsi="Arial"/>
                <w:sz w:val="18"/>
                <w:szCs w:val="18"/>
                <w:color w:val="auto"/>
              </w:rPr>
              <w:t>III</w:t>
            </w:r>
          </w:p>
        </w:tc>
      </w:tr>
      <w:tr>
        <w:trPr>
          <w:trHeight w:val="229"/>
        </w:trPr>
        <w:tc>
          <w:tcPr>
            <w:tcW w:w="18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Directors</w:t>
            </w:r>
          </w:p>
        </w:tc>
        <w:tc>
          <w:tcPr>
            <w:tcW w:w="17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Adam Godfrey</w:t>
            </w:r>
          </w:p>
        </w:tc>
        <w:tc>
          <w:tcPr>
            <w:tcW w:w="740" w:type="dxa"/>
            <w:vAlign w:val="bottom"/>
          </w:tcPr>
          <w:p>
            <w:pPr>
              <w:jc w:val="right"/>
              <w:spacing w:after="0"/>
              <w:rPr>
                <w:sz w:val="20"/>
                <w:szCs w:val="20"/>
                <w:color w:val="auto"/>
              </w:rPr>
            </w:pPr>
            <w:r>
              <w:rPr>
                <w:rFonts w:ascii="Arial" w:cs="Arial" w:eastAsia="Arial" w:hAnsi="Arial"/>
                <w:sz w:val="18"/>
                <w:szCs w:val="18"/>
                <w:color w:val="auto"/>
              </w:rPr>
              <w:t>58</w:t>
            </w:r>
          </w:p>
        </w:tc>
        <w:tc>
          <w:tcPr>
            <w:tcW w:w="51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60" w:type="dxa"/>
            <w:vAlign w:val="bottom"/>
          </w:tcPr>
          <w:p>
            <w:pPr>
              <w:jc w:val="center"/>
              <w:ind w:left="150"/>
              <w:spacing w:after="0"/>
              <w:rPr>
                <w:sz w:val="20"/>
                <w:szCs w:val="20"/>
                <w:color w:val="auto"/>
              </w:rPr>
            </w:pPr>
            <w:r>
              <w:rPr>
                <w:rFonts w:ascii="Arial" w:cs="Arial" w:eastAsia="Arial" w:hAnsi="Arial"/>
                <w:sz w:val="18"/>
                <w:szCs w:val="18"/>
                <w:color w:val="auto"/>
              </w:rPr>
              <w:t>III</w:t>
            </w:r>
          </w:p>
        </w:tc>
      </w:tr>
      <w:tr>
        <w:trPr>
          <w:trHeight w:val="230"/>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Kurt Holstein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2018</w:t>
            </w:r>
          </w:p>
        </w:tc>
        <w:tc>
          <w:tcPr>
            <w:tcW w:w="186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rPr>
              <w:t>II</w:t>
            </w: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Christopher Lofgren</w:t>
            </w:r>
          </w:p>
        </w:tc>
        <w:tc>
          <w:tcPr>
            <w:tcW w:w="740" w:type="dxa"/>
            <w:vAlign w:val="bottom"/>
          </w:tcPr>
          <w:p>
            <w:pPr>
              <w:jc w:val="right"/>
              <w:spacing w:after="0"/>
              <w:rPr>
                <w:sz w:val="20"/>
                <w:szCs w:val="20"/>
                <w:color w:val="auto"/>
              </w:rPr>
            </w:pPr>
            <w:r>
              <w:rPr>
                <w:rFonts w:ascii="Arial" w:cs="Arial" w:eastAsia="Arial" w:hAnsi="Arial"/>
                <w:sz w:val="18"/>
                <w:szCs w:val="18"/>
                <w:color w:val="auto"/>
              </w:rPr>
              <w:t>62</w:t>
            </w:r>
          </w:p>
        </w:tc>
        <w:tc>
          <w:tcPr>
            <w:tcW w:w="51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1860" w:type="dxa"/>
            <w:vAlign w:val="bottom"/>
          </w:tcPr>
          <w:p>
            <w:pPr>
              <w:jc w:val="center"/>
              <w:ind w:left="150"/>
              <w:spacing w:after="0"/>
              <w:rPr>
                <w:sz w:val="20"/>
                <w:szCs w:val="20"/>
                <w:color w:val="auto"/>
              </w:rPr>
            </w:pPr>
            <w:r>
              <w:rPr>
                <w:rFonts w:ascii="Arial" w:cs="Arial" w:eastAsia="Arial" w:hAnsi="Arial"/>
                <w:sz w:val="18"/>
                <w:szCs w:val="18"/>
                <w:color w:val="auto"/>
              </w:rPr>
              <w:t>I</w:t>
            </w:r>
          </w:p>
        </w:tc>
      </w:tr>
      <w:tr>
        <w:trPr>
          <w:trHeight w:val="230"/>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Laura Maydón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2020</w:t>
            </w:r>
          </w:p>
        </w:tc>
        <w:tc>
          <w:tcPr>
            <w:tcW w:w="18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rPr>
              <w:t>I</w:t>
            </w:r>
          </w:p>
        </w:tc>
      </w:tr>
      <w:tr>
        <w:trPr>
          <w:trHeight w:val="229"/>
        </w:trPr>
        <w:tc>
          <w:tcPr>
            <w:tcW w:w="1840" w:type="dxa"/>
            <w:vAlign w:val="bottom"/>
          </w:tcPr>
          <w:p>
            <w:pPr>
              <w:ind w:left="20"/>
              <w:spacing w:after="0"/>
              <w:rPr>
                <w:sz w:val="20"/>
                <w:szCs w:val="20"/>
                <w:color w:val="auto"/>
              </w:rPr>
            </w:pPr>
            <w:r>
              <w:rPr>
                <w:rFonts w:ascii="Arial" w:cs="Arial" w:eastAsia="Arial" w:hAnsi="Arial"/>
                <w:sz w:val="18"/>
                <w:szCs w:val="18"/>
                <w:color w:val="auto"/>
              </w:rPr>
              <w:t>Michael Purcell</w:t>
            </w: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5100" w:type="dxa"/>
            <w:vAlign w:val="bottom"/>
          </w:tcPr>
          <w:p>
            <w:pPr>
              <w:ind w:left="100"/>
              <w:spacing w:after="0"/>
              <w:rPr>
                <w:sz w:val="20"/>
                <w:szCs w:val="20"/>
                <w:color w:val="auto"/>
              </w:rPr>
            </w:pPr>
            <w:r>
              <w:rPr>
                <w:rFonts w:ascii="Arial" w:cs="Arial" w:eastAsia="Arial" w:hAnsi="Arial"/>
                <w:sz w:val="18"/>
                <w:szCs w:val="18"/>
                <w:color w:val="auto"/>
              </w:rPr>
              <w:t>Lead Independent Director</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60" w:type="dxa"/>
            <w:vAlign w:val="bottom"/>
          </w:tcPr>
          <w:p>
            <w:pPr>
              <w:jc w:val="center"/>
              <w:ind w:left="150"/>
              <w:spacing w:after="0"/>
              <w:rPr>
                <w:sz w:val="20"/>
                <w:szCs w:val="20"/>
                <w:color w:val="auto"/>
              </w:rPr>
            </w:pPr>
            <w:r>
              <w:rPr>
                <w:rFonts w:ascii="Arial" w:cs="Arial" w:eastAsia="Arial" w:hAnsi="Arial"/>
                <w:sz w:val="18"/>
                <w:szCs w:val="18"/>
                <w:color w:val="auto"/>
              </w:rPr>
              <w:t>III</w:t>
            </w:r>
          </w:p>
        </w:tc>
      </w:tr>
      <w:tr>
        <w:trPr>
          <w:trHeight w:val="229"/>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John Rincon</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Director</w:t>
            </w:r>
          </w:p>
        </w:tc>
        <w:tc>
          <w:tcPr>
            <w:tcW w:w="17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2018</w:t>
            </w:r>
          </w:p>
        </w:tc>
        <w:tc>
          <w:tcPr>
            <w:tcW w:w="186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rPr>
              <w:t>II</w:t>
            </w: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rPr>
              <w:t>Justin Wender</w:t>
            </w: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5100" w:type="dxa"/>
            <w:vAlign w:val="bottom"/>
          </w:tcPr>
          <w:p>
            <w:pPr>
              <w:ind w:left="100"/>
              <w:spacing w:after="0"/>
              <w:rPr>
                <w:sz w:val="20"/>
                <w:szCs w:val="20"/>
                <w:color w:val="auto"/>
              </w:rPr>
            </w:pPr>
            <w:r>
              <w:rPr>
                <w:rFonts w:ascii="Arial" w:cs="Arial" w:eastAsia="Arial" w:hAnsi="Arial"/>
                <w:sz w:val="18"/>
                <w:szCs w:val="18"/>
                <w:color w:val="auto"/>
              </w:rPr>
              <w:t>Director</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1860" w:type="dxa"/>
            <w:vAlign w:val="bottom"/>
          </w:tcPr>
          <w:p>
            <w:pPr>
              <w:jc w:val="center"/>
              <w:ind w:left="150"/>
              <w:spacing w:after="0"/>
              <w:rPr>
                <w:sz w:val="20"/>
                <w:szCs w:val="20"/>
                <w:color w:val="auto"/>
              </w:rPr>
            </w:pPr>
            <w:r>
              <w:rPr>
                <w:rFonts w:ascii="Arial" w:cs="Arial" w:eastAsia="Arial" w:hAnsi="Arial"/>
                <w:sz w:val="18"/>
                <w:szCs w:val="18"/>
                <w:color w:val="auto"/>
              </w:rPr>
              <w:t>I</w:t>
            </w:r>
          </w:p>
        </w:tc>
      </w:tr>
    </w:tbl>
    <w:p>
      <w:pPr>
        <w:spacing w:after="0" w:line="33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b w:val="1"/>
          <w:bCs w:val="1"/>
          <w:i w:val="1"/>
          <w:iCs w:val="1"/>
          <w:color w:val="auto"/>
        </w:rPr>
        <w:t xml:space="preserve">Robert Lisy </w:t>
      </w:r>
      <w:r>
        <w:rPr>
          <w:rFonts w:ascii="Arial" w:cs="Arial" w:eastAsia="Arial" w:hAnsi="Arial"/>
          <w:sz w:val="16"/>
          <w:szCs w:val="16"/>
          <w:color w:val="auto"/>
        </w:rPr>
        <w:t>has served as a director of International Money Express, Inc. since 2018. Mr. Lisy served as a director of International Money Express Sub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 LLC’s predecessor entities from 2009 to 2018. Mr. Lisy is the Chief Executive Officer, President, and Chairman of the Board of Directors of International Money Express, Inc. and its predecessors, which he joined in 2009. Mr. Lisy has 30 years of experience in the retail financial services and electronic payment processing industry in various positions, including three years as the Chief Marketing and Sales Officer of Vigo Remittance Corp., a money transfer and bill payments service in the United States and internationally, and over seven years at Western Union in various sales, marketing and operational positions of increasing responsibility. Mr. Lisy was a founding partner of Direct Express/Paystation America, which offered, among other things, prepaid debit cards to federal benefit recipients, where he served as Chief Operating Officer and on the board of directors. He was an integral part in the efforts to successfully sell Direct Express in 2000 to American Payment Systems. Mr. Lisy holds a bachelor’s degree in Finance from Cleveland State University. We believe that Mr. Lisy’s experience as the Chairman and Chief Executive Officer of Intermex coupled with his extensive operational experience in the retail financial services and remittance industries make him well qualified to serve as a director.</w:t>
      </w:r>
    </w:p>
    <w:p>
      <w:pPr>
        <w:spacing w:after="0" w:line="19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Adam Godfrey </w:t>
      </w:r>
      <w:r>
        <w:rPr>
          <w:rFonts w:ascii="Arial" w:cs="Arial" w:eastAsia="Arial" w:hAnsi="Arial"/>
          <w:sz w:val="17"/>
          <w:szCs w:val="17"/>
          <w:color w:val="auto"/>
        </w:rPr>
        <w:t>has served as a director of International Money Express, Inc. since 2018. Mr. Godfrey served as a director of the Company’s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predecessor entity from 2006 to 2017. Mr. Godfrey is a Managing Partner of Stella Point Capital, which he co-founded in 2012. Stella Point Capital is a New York-based private equity firm focused on industrial, consumer and business services investments. Mr. Godfrey is an investment professional and has sourced and managed numerous investments for Stella Point Capital. Previously, Mr. Godfrey spent nearly 19 years with Lindsay Goldberg and its predecessor entities, which he joined in 1992. Mr. Godfrey was a Partner at the firm and served on the board of directors of 12 portfolio companies during his time with Lindsay Goldberg. Currently, he serves on the board of directors of First American Payment Systems Holdings, Inc., SPC Velir, LP, Vereco Holdings, LLC, American Orthodontics Corporation, and publicly traded Schneider National, Inc. (NYSE: SNDR), on which he currently also serves as Chairman of the board of directors and a member of the corporate governance committee. Mr. Godfrey holds a bachelor’s degree from Brown University and a master’s degree in business administration from the Tuck School of Business at Dartmouth. We believe that Mr. Godfrey’s extensive investment management and transactional experience coupled with his experience serving as the chairman of a publicly traded company and on the boards of directors of other companies make him well qualified to serve as a director.</w:t>
      </w:r>
    </w:p>
    <w:p>
      <w:pPr>
        <w:spacing w:after="0" w:line="20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Kurt Holstein </w:t>
      </w:r>
      <w:r>
        <w:rPr>
          <w:rFonts w:ascii="Arial" w:cs="Arial" w:eastAsia="Arial" w:hAnsi="Arial"/>
          <w:sz w:val="18"/>
          <w:szCs w:val="18"/>
          <w:color w:val="auto"/>
        </w:rPr>
        <w:t>joined the Board of Directors in 2018 upon completion of the merger among the Company, FinTech Acquisition Corp. II and certain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parties to the transaction (the “Merger”). Mr. Holstein is President of Azoic Ventures, Inc., an investment vehicle and advisory firm which he founded in 2011. Mr. Holstein co-founded Rosetta Marketing Group, which became one of the five largest independent digital agencies in the United States prior to its sale to a public company in 2011, where he served in various roles, including Chief Operating Officer, President and Vice Chairman, and led the execution of Rosetta’s significant acquisitions, financing rounds, and the sale of the firm. Previously, Mr. Holstein spent 16 years at Procter &amp; Gamble (NYSE: PG) with positions of increasing responsibility in management systems and brand management. Mr. Holstein serves on the boards of directors of several privately held companies, including SPC Velir, LP and The Piseco Company. Mr. Holstein holds a bachelor’s degree in Engineering from Cornell University. We</w:t>
      </w:r>
    </w:p>
    <w:p>
      <w:pPr>
        <w:sectPr>
          <w:pgSz w:w="11900" w:h="16838" w:orient="portrait"/>
          <w:cols w:equalWidth="0" w:num="1">
            <w:col w:w="11240"/>
          </w:cols>
          <w:pgMar w:left="320" w:top="125" w:right="339" w:bottom="1440" w:gutter="0" w:footer="0" w:header="0"/>
        </w:sectPr>
      </w:pP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5" w:name="page86"/>
    <w:bookmarkEnd w:id="8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believe that Mr. Holstein’s extensive operational and transactional experience coupled with his experience serving on boards of directors make him well qualified to serve as a director.</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Christopher Lofgren </w:t>
      </w:r>
      <w:r>
        <w:rPr>
          <w:rFonts w:ascii="Arial" w:cs="Arial" w:eastAsia="Arial" w:hAnsi="Arial"/>
          <w:sz w:val="17"/>
          <w:szCs w:val="17"/>
          <w:color w:val="auto"/>
        </w:rPr>
        <w:t>has served as a director of International Money Express, Inc. since 2019. Mr. Lofgren served as Chief Executive Officer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and as a director, of publicly traded Schneider National, Inc. (NYSE: SNDR) from August 2002 until his retirement in April 2019. He joined Schneider Logistics in 1994 as vice president of engineering and systems. He later served as Chief Information Officer and Chief Operating Officer before being named President and Chief Executive Officer of Schneider in 2002. Before joining Schneider, Mr. Lofgren held positions at Symantec Corporation, Motorola and CAPS Logistics. He currently serves as Chairman of the Board of the U.S. Chamber of Commerce, as a member of the board of directors of New Vista Acquisition Corporation, a newly formed corporation focusing on aerospace and aviation technologies, and as a member of the board of governors of the Montana State University Alumni Association. Previously, Mr. Lofgren served on the Board of Directors of CA Technologies for 13 years. He has also served on the Green Bay, Wisconsin Senior Advisory Board for Junior Achievement, the Boys and Girls Club, and the Green Bay Symphony Orchestra. He holds a bachelor’s degree and a master’s degree in industrial and management engineering from Montana State University and a doctorate in industrial and systems engineering from The Georgia Institute of Technology. In October 2009, Mr. Lofgren was inducted into the National Academy of Engineering. We believe that Mr. Lofgren’s experience as both a technology leader and a public company CEO coupled with his experience serving on boards of directors make him well qualified to serve as a director.</w:t>
      </w:r>
    </w:p>
    <w:p>
      <w:pPr>
        <w:spacing w:after="0" w:line="20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Laura Maydón </w:t>
      </w:r>
      <w:r>
        <w:rPr>
          <w:rFonts w:ascii="Arial" w:cs="Arial" w:eastAsia="Arial" w:hAnsi="Arial"/>
          <w:sz w:val="17"/>
          <w:szCs w:val="17"/>
          <w:color w:val="auto"/>
        </w:rPr>
        <w:t>has served as a director of International Money Express, Inc. since 2020. Ms. Maydón was the founding Managing Director and CEO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Endeavor Miami, an entrepreneurial accelerator for scale-ups, which she co-founded and led from September 2013 to June 2019, when she stepped away from day-to-day activities to serve for a year as a board member. She currently serves as mentor of the organization. From 2003 to 2013, Ms. Maydón held a variety of positions of increasing responsibility at Visa (NYSE: V), ultimately serving from 2010 through 2013 as Senior Business Leader, Commercial Solutions, LATAM &amp; Caribbean after having been Business Development Leader, LATAM &amp; Caribbean from 2004 to 2010. She currently serves on the Board of Advisors for Sustalytics and NovoPayment. She holds a Master of Business Administration from Harvard Business School and a B.S in Economics from Instituto Tecnologico Autonomo de México. We believe that Ms. Maydón’s years of experience at Visa and Endeavor Miami and knowledge of digital financial and payment services, make her well-qualified to serve as a director.</w:t>
      </w:r>
    </w:p>
    <w:p>
      <w:pPr>
        <w:spacing w:after="0" w:line="20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b w:val="1"/>
          <w:bCs w:val="1"/>
          <w:i w:val="1"/>
          <w:iCs w:val="1"/>
          <w:color w:val="auto"/>
        </w:rPr>
        <w:t xml:space="preserve">Michael Purcell </w:t>
      </w:r>
      <w:r>
        <w:rPr>
          <w:rFonts w:ascii="Arial" w:cs="Arial" w:eastAsia="Arial" w:hAnsi="Arial"/>
          <w:sz w:val="17"/>
          <w:szCs w:val="17"/>
          <w:color w:val="auto"/>
        </w:rPr>
        <w:t>joined the Board of Directors in 2018 upon completion of the Merger and was appointed lead independent director for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September 24, 2020. Mr. Purcell is a certified public accountant and became an independent business consultant following retirement in 2015. Mr. Purcell spent more than 36 years with Deloitte, where he was an audit partner and the Philadelphia office leader of Deloitte’s middle-market and growth enterprise services. Mr. Purcell has served on the boards of directors of numerous companies and organizations, and currently serves as a director and member of the audit committee of publicly traded Tabula Rasa Healthcare, Inc. (NASDAQ: TRHC), CFG Community Bank, Hyperion Bank, McKean Defense Group and several other for-profit and non-profit entities. He is a member of the American Institute of Certified Public Accountants and a former President of the Philadelphia Chapter of the Pennsylvania Institute of Certified Public Accountants. Mr. Purcell holds a bachelor’s degree from Lehigh University and a master’s degree in business administration from Drexel University. We believe that Mr. Purcell’s extensive public accounting experience coupled with his experience serving on boards of directors make him well qualified to serve as a director.</w:t>
      </w:r>
    </w:p>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John Rincon </w:t>
      </w:r>
      <w:r>
        <w:rPr>
          <w:rFonts w:ascii="Arial" w:cs="Arial" w:eastAsia="Arial" w:hAnsi="Arial"/>
          <w:sz w:val="18"/>
          <w:szCs w:val="18"/>
          <w:color w:val="auto"/>
        </w:rPr>
        <w:t>has served as a director of International Money Express, Inc. since 2018. Mr. Rincon served as a director of the Company’s predecessor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entity from 1994 to 2017. Mr. Rincon founded Intermex Wire Transfer, LLC in 1994 and served as its Chairman and President until 2006. Mr. Rincon has more than 20 years of experience in the money remittance and telecommunications industries, having held various management and supervisory positions prior to founding the Company. Mr. Rincon is the Chairman of Rincon Capital Partners, a private investment firm, which he founded in 2007. We believe that Mr. Rincon’s experience as the Company’s founder coupled with his extensive operational and transactional experience in the money remittance industry make him well qualified to serve as a director.</w:t>
      </w:r>
    </w:p>
    <w:p>
      <w:pPr>
        <w:spacing w:after="0" w:line="21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Justin Wender </w:t>
      </w:r>
      <w:r>
        <w:rPr>
          <w:rFonts w:ascii="Arial" w:cs="Arial" w:eastAsia="Arial" w:hAnsi="Arial"/>
          <w:sz w:val="17"/>
          <w:szCs w:val="17"/>
          <w:color w:val="auto"/>
        </w:rPr>
        <w:t>has served as a director of International Money Express, Inc. since 2018. Mr. Wender served as a director of Interwire LLC, an affiliate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Stella Point Capital, from 2017 to 2018. Mr. Wender is a Managing Partner of Stella Point Capital, which he co-founded in 2012. Stella Point Capital is a New York-based private equity firm focused on industrial, consumer and business services investments. Mr. Wender is an investment professional and has sourced and managed numerous investments for Stella Point Capital. Mr. Wender serves as trustee of the Weitz Funds. Previously, Mr. Wender spent more than 17 years at Castle Harlan, which he joined in 1993. Mr. Wender served as President of the firm from 2006 to 2010, led the effort of raising two funds, and served on the board of directors of 11 portfolio companies during his time with Castle Harlan. Currently, he serves on the board of directors of First American Payment Systems Holdings, Inc. SPC Velir, LP, and Vereco Holdings, LLC, as well as on the boards of several educational and charitable organizations. Mr. Wender holds a bachelor’s degree from Carleton College and a master’s degree in business administration from the Wharton School at the University of Pennsylvania. We believe that Mr. Wender’s extensive investment management and transactional experience coupled with his experience serving on boards of directors make him well qualified as a director.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certain information regarding the Company’s current executive officers as of December 31,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30"/>
        </w:trPr>
        <w:tc>
          <w:tcPr>
            <w:tcW w:w="2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Robert Lisy</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20" w:type="dxa"/>
            <w:vAlign w:val="bottom"/>
            <w:tcBorders>
              <w:top w:val="single" w:sz="8" w:color="CCEEFF"/>
            </w:tcBorders>
            <w:shd w:val="clear" w:color="auto" w:fill="CCEEFF"/>
          </w:tcPr>
          <w:p>
            <w:pPr>
              <w:spacing w:after="0"/>
              <w:rPr>
                <w:sz w:val="19"/>
                <w:szCs w:val="19"/>
                <w:color w:val="auto"/>
              </w:rPr>
            </w:pPr>
          </w:p>
        </w:tc>
        <w:tc>
          <w:tcPr>
            <w:tcW w:w="6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President and Chairman of the Board of Directors</w:t>
            </w:r>
          </w:p>
        </w:tc>
      </w:tr>
      <w:tr>
        <w:trPr>
          <w:trHeight w:val="229"/>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Andras Bende</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Randy Nilsen</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shd w:val="clear" w:color="auto" w:fill="CCEEFF"/>
          </w:tcPr>
          <w:p>
            <w:pPr>
              <w:spacing w:after="0"/>
              <w:rPr>
                <w:sz w:val="19"/>
                <w:szCs w:val="19"/>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Revenue Officer</w:t>
            </w:r>
          </w:p>
        </w:tc>
      </w:tr>
      <w:tr>
        <w:trPr>
          <w:trHeight w:val="229"/>
        </w:trPr>
        <w:tc>
          <w:tcPr>
            <w:tcW w:w="2300" w:type="dxa"/>
            <w:vAlign w:val="bottom"/>
            <w:gridSpan w:val="2"/>
          </w:tcPr>
          <w:p>
            <w:pPr>
              <w:ind w:left="20"/>
              <w:spacing w:after="0"/>
              <w:rPr>
                <w:sz w:val="20"/>
                <w:szCs w:val="20"/>
                <w:color w:val="auto"/>
              </w:rPr>
            </w:pPr>
            <w:r>
              <w:rPr>
                <w:rFonts w:ascii="Arial" w:cs="Arial" w:eastAsia="Arial" w:hAnsi="Arial"/>
                <w:sz w:val="18"/>
                <w:szCs w:val="18"/>
                <w:color w:val="auto"/>
              </w:rPr>
              <w:t>Joseph Aguilar</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19"/>
                <w:szCs w:val="19"/>
                <w:color w:val="auto"/>
              </w:rPr>
            </w:pPr>
          </w:p>
        </w:tc>
        <w:tc>
          <w:tcPr>
            <w:tcW w:w="6300" w:type="dxa"/>
            <w:vAlign w:val="bottom"/>
          </w:tcPr>
          <w:p>
            <w:pPr>
              <w:ind w:left="20"/>
              <w:spacing w:after="0"/>
              <w:rPr>
                <w:sz w:val="20"/>
                <w:szCs w:val="20"/>
                <w:color w:val="auto"/>
              </w:rPr>
            </w:pPr>
            <w:r>
              <w:rPr>
                <w:rFonts w:ascii="Arial" w:cs="Arial" w:eastAsia="Arial" w:hAnsi="Arial"/>
                <w:sz w:val="18"/>
                <w:szCs w:val="18"/>
                <w:color w:val="auto"/>
              </w:rPr>
              <w:t>Chief Operating Officer</w:t>
            </w:r>
          </w:p>
        </w:tc>
      </w:tr>
      <w:tr>
        <w:trPr>
          <w:trHeight w:val="229"/>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Ernesto Luciano</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shd w:val="clear" w:color="auto" w:fill="CCEEFF"/>
          </w:tcPr>
          <w:p>
            <w:pPr>
              <w:spacing w:after="0"/>
              <w:rPr>
                <w:sz w:val="19"/>
                <w:szCs w:val="19"/>
                <w:color w:val="auto"/>
              </w:rPr>
            </w:pPr>
          </w:p>
        </w:tc>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Compliance Officer and General Counsel</w:t>
            </w:r>
          </w:p>
        </w:tc>
      </w:tr>
    </w:tbl>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Robert Lisy. </w:t>
      </w:r>
      <w:r>
        <w:rPr>
          <w:rFonts w:ascii="Arial" w:cs="Arial" w:eastAsia="Arial" w:hAnsi="Arial"/>
          <w:sz w:val="18"/>
          <w:szCs w:val="18"/>
          <w:color w:val="auto"/>
        </w:rPr>
        <w:t>Biographical information for Mr. Lisy is included above with the director biographies under the caption “Board of Directors.”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Andras Bende </w:t>
      </w:r>
      <w:r>
        <w:rPr>
          <w:rFonts w:ascii="Arial" w:cs="Arial" w:eastAsia="Arial" w:hAnsi="Arial"/>
          <w:sz w:val="17"/>
          <w:szCs w:val="17"/>
          <w:color w:val="auto"/>
        </w:rPr>
        <w:t>joined International Money Express, Inc. as Chief Financial Officer in December 2020. Prior to joining the Company, Mr. Bende</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the Chief Financial Officer of Computer Services, Inc., a financial technology company, from 2018 to 2019, where he helped guide the company during a period of significant growth and share price appreciation. Prior to his time at Computer Services, Inc., Mr. Bende held several international Chief Financial Officer and Controller roles at GE Capital from 2012 to 2017. Mr. Bende is a graduate of GE’s Financial Management Program and the GE Corporate Audit Staff and holds a bachelor’s degree in financial management from Clemson University.</w:t>
      </w:r>
    </w:p>
    <w:p>
      <w:pPr>
        <w:spacing w:after="0" w:line="16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color w:val="auto"/>
        </w:rPr>
        <w:t xml:space="preserve">Randy Nilsen </w:t>
      </w:r>
      <w:r>
        <w:rPr>
          <w:rFonts w:ascii="Arial" w:cs="Arial" w:eastAsia="Arial" w:hAnsi="Arial"/>
          <w:sz w:val="18"/>
          <w:szCs w:val="18"/>
          <w:color w:val="auto"/>
        </w:rPr>
        <w:t>has served as the Chief Revenue Officer of International Money Express, Inc. since 2018. Mr. Nilsen was Intermex’s Chief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from 2015 to 2018. Prior to joining the Company , Mr. Nilsen served as Chief Revenue Officer at Sigue Money Transfer Services (“Sigue”), a global remittance provider from 2011 to 2015 where he was responsible for revenue generation through acquisition and retention of both agents and consumers within North America. Prior to his employment with Sigue, Mr. Nilsen was the Chief Franchise Sales and Operations Officer at Jackson Hewitt from 2008 to 2011. Prior to Jackson Hewitt, Mr. Nilsen was with Western Union from 1987 to 2008 where he held roles with increasing responsibility in sales, marketing and sales planning and was responsible for business units in the U.S., Canada and the U.K. Mr. Nilsen is a graduate of the Executive Management program at the University of California Los Angeles’s Anderson School of Management and holds a bachelor’s degree in Business Finance from Brigham Young University.</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Joseph Aguilar</w:t>
      </w:r>
      <w:r>
        <w:rPr>
          <w:rFonts w:ascii="Arial" w:cs="Arial" w:eastAsia="Arial" w:hAnsi="Arial"/>
          <w:sz w:val="18"/>
          <w:szCs w:val="18"/>
          <w:color w:val="auto"/>
        </w:rPr>
        <w:t>, joined International Money Express, Inc. in September 2019 as Chief Operating Officer. Prior to joining Intermex, Mr. Aguilar was a</w:t>
      </w:r>
      <w:r>
        <w:rPr>
          <w:rFonts w:ascii="Arial" w:cs="Arial" w:eastAsia="Arial" w:hAnsi="Arial"/>
          <w:sz w:val="18"/>
          <w:szCs w:val="18"/>
          <w:b w:val="1"/>
          <w:bCs w:val="1"/>
          <w:color w:val="auto"/>
        </w:rPr>
        <w:t xml:space="preserve"> </w:t>
      </w:r>
      <w:r>
        <w:rPr>
          <w:rFonts w:ascii="Arial" w:cs="Arial" w:eastAsia="Arial" w:hAnsi="Arial"/>
          <w:sz w:val="18"/>
          <w:szCs w:val="18"/>
          <w:color w:val="auto"/>
        </w:rPr>
        <w:t>senior executive at Sigue Corporation; starting in 2005 as the Chief Auditor, where he established the Internal Audit function for its U.S. and Mexico Operations. Following several successful audit cycles, he was promoted to Chief Operating Officer, responsible for all operations and technology functions of the global organization. In 2014, Mr. Aguilar was promoted to President of SGS, Ltd. UK, the International Division of Sigue Corporation, with responsibility for all aspects of the business in the EU, Eastern Europe, Africa, Asia and South Asia. Prior to his roles at Sigue Corporation, Mr. Aguilar held senior roles at BBVA Bancomer, California Commerce Bank and Dai-Ichi Kangyo Bank of California. Mr. Aguilar holds a bachelor’s degree in English from University of California at Santa Barbara.</w:t>
      </w:r>
    </w:p>
    <w:p>
      <w:pPr>
        <w:spacing w:after="0" w:line="189"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b w:val="1"/>
          <w:bCs w:val="1"/>
          <w:color w:val="auto"/>
        </w:rPr>
        <w:t xml:space="preserve">Ernesto Luciano </w:t>
      </w:r>
      <w:r>
        <w:rPr>
          <w:rFonts w:ascii="Arial" w:cs="Arial" w:eastAsia="Arial" w:hAnsi="Arial"/>
          <w:sz w:val="16"/>
          <w:szCs w:val="16"/>
          <w:color w:val="auto"/>
        </w:rPr>
        <w:t>joined International Money Express, Inc. as Chief Compliance Officer and General Counsel in December 2020. Prior to joining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Mr. Luciano was the vice president &amp; associate general counsel of Kaplan Higher Education, LLC (“Kaplan”) from 2016 to 2020. Prior to his role at Kaplan, Mr. Luciano was general counsel for Verizon Media’s U.S. Hispanic and Latin American division and also held senior legal positions with Home Box Office, Inc. (HBO), Gilat Satellite Networks Ltd., and Turner Broadcasting Systems (TBS), among others. Mr. Luciano holds a bachelor’s degree from the State University of New York at Albany and a Juris Doctor (J.D.) from the New England School of Law in Boston, Massachusetts.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Relationships and Arrangements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is no family relationship between any of Company’s directors or executive officers and, to the best of our knowledge, none of our directors or executive officers has, during the past ten years, been involved in any legal proceedings which are required to be disclosed pursuant to the rules and regulations of the Securities and Exchange Commission (the “SEC”). There are no arrangements between any director or executive officer of the Company and any other person pursuant to which he/she was, or will be, selected as a director or executive officer, respectively, except for certain Board designation rights provided to certain shareholders under the Shareholders Agreement as described below under the section captioned “Certain Related Person Transactions – Shareholders Agreement”.</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Section 16(a) of the Securities Exchange Act of 1934, as amended (the “Exchange Act”) requires our directors and executive officers, and persons who beneficially own more than 10% of a registered class of our equity securities, to file with the SEC initial reports of ownership and reports of changes in ownership of our common stock and other equity securities. Specific due dates for these reports have been established, and the Company is required to report any failure to comply therewith during the fiscal year ended December 31, 2020. To our knowledge, based solely on a review of the reports filed electronically with the SEC during the registrant’s most recent fiscal year and, where applicable, written representations that no other reports were required, all Section 16(a) filing requirements were complied with in a timely manner during the fiscal year ended December 31, 2020, except that: Joseph Aguilar filed one late Form 4 with respect to one transaction and the Hepco Family Trust, Jeremy Kuiper, Shami Patel, and the Swarthmore Trust of 2016 each filed one late Form 4 with respect to multiple transactions.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adopted a code of business conduct and ethics for our directors, officers, employees and certain affiliates in accordance with applicable federal securities laws, a copy of which is available on the Company’s website at www.intermexonline.com. If we amend or grant a waiver of one or more of the provisions of our Code of Business Conduct and Ethics, we intend to satisfy the requirements under Item 5.05 of Form 8-K regarding the disclosure of amendments to or waivers from provisions of our Code of Business Conduct and Ethics that apply to our principal executive officer, principal financial officer and principal accounting officer (or persons performing similar functions) by posting the required information on the Company’s website at www.intermexonline.com. The information found on the website is not part of this Form 10-K.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material changes have been made to the procedures by which stockholders may recommend nominees to our Board of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Audit Committee of the Board of Directors (the “Audit Committee”) was established by the Board in accordance with Section 3(a)(58)(A) of the Exchange Act, to oversee the Company’s corporate accounting and financial reporting processes and audits of its financial statements. Our Audit Committee consists of Messrs. Purcell, Holstein and Rincon and Ms. Maydón, with Mr. Purcell serving as the Chairman. The Board has determined that Messrs. Purcell, Holstein and Rincon and Ms. Maydón meet the independent director standards for Audit Committee members under the Nasdaq Capital Market (“Nasdaq”) listing rules and under Rule 10A-3(b)(1) of the Exchange Act. As required by the Nasdaq listing rules, the Audit Committee will at all times be composed exclusively of independent directors who are able to read and understand fundamental financial statements, including a company’s balance sheet, income statement and cash flow statement. In addition, the Company is required to certify to Nasdaq that the Audit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has determined that Mr. Purcell satisfies Nasdaq’s definition of financial sophistication and also qualifies as an “audit committee financial expert,” as defined under rules and regulations of the SEC.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an emerging growth company, the Company has opted to comply with the executive compensation rules applicable to “smaller reporting companies,” as such term is defined under the Securities Act, which require compensation disclosure for the Company’s “named executive officers”, as defined below.</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tabular disclosure and discussion that follow describe the Company’s executive compensation program during the most recently completed fiscal year ended December 31, 2020, with respect to the Company’s named executive officers as of December 31, 2020, including: Robert Lisy, Chief Executive Officer and President; Tony Lauro, former Chief Financial Officer; Joseph Aguilar, Chief Operating Officer; and Randall D. Nilsen, Chief Revenue Officer (collectively, the Company’s “named executive officers”).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compensation paid and earned to the named executive officers (the “NEOs”) that is attributable to services performed during fiscal years 2020 and 2019.</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Nonequity</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Option</w:t>
            </w:r>
          </w:p>
        </w:tc>
        <w:tc>
          <w:tcPr>
            <w:tcW w:w="22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Incentive Plan</w:t>
            </w:r>
          </w:p>
        </w:tc>
        <w:tc>
          <w:tcPr>
            <w:tcW w:w="16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97"/>
              </w:rPr>
              <w:t>All Other</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Salary</w:t>
            </w:r>
          </w:p>
        </w:tc>
        <w:tc>
          <w:tcPr>
            <w:tcW w:w="240" w:type="dxa"/>
            <w:vAlign w:val="bottom"/>
          </w:tcPr>
          <w:p>
            <w:pPr>
              <w:spacing w:after="0"/>
              <w:rPr>
                <w:sz w:val="18"/>
                <w:szCs w:val="18"/>
                <w:color w:val="auto"/>
              </w:rPr>
            </w:pPr>
          </w:p>
        </w:tc>
        <w:tc>
          <w:tcPr>
            <w:tcW w:w="11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Bonus</w:t>
            </w:r>
          </w:p>
        </w:tc>
        <w:tc>
          <w:tcPr>
            <w:tcW w:w="9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Awards</w:t>
            </w:r>
          </w:p>
        </w:tc>
        <w:tc>
          <w:tcPr>
            <w:tcW w:w="220" w:type="dxa"/>
            <w:vAlign w:val="bottom"/>
          </w:tcPr>
          <w:p>
            <w:pPr>
              <w:spacing w:after="0"/>
              <w:rPr>
                <w:sz w:val="18"/>
                <w:szCs w:val="18"/>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Compensation</w:t>
            </w:r>
          </w:p>
        </w:tc>
        <w:tc>
          <w:tcPr>
            <w:tcW w:w="16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Compensation</w:t>
            </w:r>
          </w:p>
        </w:tc>
        <w:tc>
          <w:tcPr>
            <w:tcW w:w="340" w:type="dxa"/>
            <w:vAlign w:val="bottom"/>
          </w:tcPr>
          <w:p>
            <w:pPr>
              <w:spacing w:after="0"/>
              <w:rPr>
                <w:sz w:val="18"/>
                <w:szCs w:val="18"/>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35"/>
        </w:trPr>
        <w:tc>
          <w:tcPr>
            <w:tcW w:w="27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Name and Principal Position</w:t>
            </w:r>
          </w:p>
        </w:tc>
        <w:tc>
          <w:tcPr>
            <w:tcW w:w="64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3"/>
                <w:szCs w:val="3"/>
                <w:color w:val="auto"/>
              </w:rPr>
            </w:pPr>
          </w:p>
        </w:tc>
        <w:tc>
          <w:tcPr>
            <w:tcW w:w="90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83"/>
              </w:rPr>
              <w:t>($)</w:t>
            </w:r>
            <w:r>
              <w:rPr>
                <w:rFonts w:ascii="Arial" w:cs="Arial" w:eastAsia="Arial" w:hAnsi="Arial"/>
                <w:sz w:val="23"/>
                <w:szCs w:val="23"/>
                <w:b w:val="1"/>
                <w:bCs w:val="1"/>
                <w:color w:val="auto"/>
                <w:w w:val="83"/>
                <w:vertAlign w:val="superscript"/>
              </w:rPr>
              <w:t>(1)</w:t>
            </w:r>
          </w:p>
        </w:tc>
        <w:tc>
          <w:tcPr>
            <w:tcW w:w="220" w:type="dxa"/>
            <w:vAlign w:val="bottom"/>
          </w:tcPr>
          <w:p>
            <w:pPr>
              <w:spacing w:after="0"/>
              <w:rPr>
                <w:sz w:val="3"/>
                <w:szCs w:val="3"/>
                <w:color w:val="auto"/>
              </w:rPr>
            </w:pPr>
          </w:p>
        </w:tc>
        <w:tc>
          <w:tcPr>
            <w:tcW w:w="14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8"/>
              </w:rPr>
              <w:t>($)</w:t>
            </w:r>
            <w:r>
              <w:rPr>
                <w:rFonts w:ascii="Arial" w:cs="Arial" w:eastAsia="Arial" w:hAnsi="Arial"/>
                <w:sz w:val="23"/>
                <w:szCs w:val="23"/>
                <w:b w:val="1"/>
                <w:bCs w:val="1"/>
                <w:color w:val="auto"/>
                <w:w w:val="88"/>
                <w:vertAlign w:val="superscript"/>
              </w:rPr>
              <w:t>(2)</w:t>
            </w:r>
          </w:p>
        </w:tc>
        <w:tc>
          <w:tcPr>
            <w:tcW w:w="160" w:type="dxa"/>
            <w:vAlign w:val="bottom"/>
          </w:tcPr>
          <w:p>
            <w:pPr>
              <w:spacing w:after="0"/>
              <w:rPr>
                <w:sz w:val="3"/>
                <w:szCs w:val="3"/>
                <w:color w:val="auto"/>
              </w:rPr>
            </w:pPr>
          </w:p>
        </w:tc>
        <w:tc>
          <w:tcPr>
            <w:tcW w:w="12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3"/>
              </w:rPr>
              <w:t>($)</w:t>
            </w:r>
            <w:r>
              <w:rPr>
                <w:rFonts w:ascii="Arial" w:cs="Arial" w:eastAsia="Arial" w:hAnsi="Arial"/>
                <w:sz w:val="23"/>
                <w:szCs w:val="23"/>
                <w:b w:val="1"/>
                <w:bCs w:val="1"/>
                <w:color w:val="auto"/>
                <w:w w:val="83"/>
                <w:vertAlign w:val="superscript"/>
              </w:rPr>
              <w:t>(3)</w:t>
            </w:r>
          </w:p>
        </w:tc>
        <w:tc>
          <w:tcPr>
            <w:tcW w:w="340" w:type="dxa"/>
            <w:vAlign w:val="bottom"/>
          </w:tcPr>
          <w:p>
            <w:pPr>
              <w:spacing w:after="0"/>
              <w:rPr>
                <w:sz w:val="3"/>
                <w:szCs w:val="3"/>
                <w:color w:val="auto"/>
              </w:rPr>
            </w:pPr>
          </w:p>
        </w:tc>
        <w:tc>
          <w:tcPr>
            <w:tcW w:w="11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line="20" w:lineRule="exact"/>
              <w:rPr>
                <w:sz w:val="1"/>
                <w:szCs w:val="1"/>
                <w:color w:val="auto"/>
              </w:rPr>
            </w:pPr>
          </w:p>
        </w:tc>
      </w:tr>
      <w:tr>
        <w:trPr>
          <w:trHeight w:val="236"/>
        </w:trPr>
        <w:tc>
          <w:tcPr>
            <w:tcW w:w="276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BFE4FF"/>
          </w:tcPr>
          <w:p>
            <w:pPr>
              <w:ind w:left="20"/>
              <w:spacing w:after="0"/>
              <w:rPr>
                <w:sz w:val="20"/>
                <w:szCs w:val="20"/>
                <w:color w:val="auto"/>
              </w:rPr>
            </w:pPr>
            <w:r>
              <w:rPr>
                <w:rFonts w:ascii="Arial" w:cs="Arial" w:eastAsia="Arial" w:hAnsi="Arial"/>
                <w:sz w:val="18"/>
                <w:szCs w:val="18"/>
                <w:color w:val="auto"/>
              </w:rPr>
              <w:t>Robert Lisy</w:t>
            </w:r>
          </w:p>
        </w:tc>
        <w:tc>
          <w:tcPr>
            <w:tcW w:w="640" w:type="dxa"/>
            <w:vAlign w:val="bottom"/>
            <w:shd w:val="clear" w:color="auto" w:fill="BFE4FF"/>
          </w:tcPr>
          <w:p>
            <w:pPr>
              <w:ind w:left="14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752,885</w:t>
            </w:r>
          </w:p>
        </w:tc>
        <w:tc>
          <w:tcPr>
            <w:tcW w:w="24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rPr>
              <w:t>— $</w:t>
            </w:r>
          </w:p>
        </w:tc>
        <w:tc>
          <w:tcPr>
            <w:tcW w:w="14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463,733</w:t>
            </w:r>
          </w:p>
        </w:tc>
        <w:tc>
          <w:tcPr>
            <w:tcW w:w="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88,579</w:t>
            </w:r>
          </w:p>
        </w:tc>
        <w:tc>
          <w:tcPr>
            <w:tcW w:w="340" w:type="dxa"/>
            <w:vAlign w:val="bottom"/>
            <w:shd w:val="clear" w:color="auto" w:fill="BFE4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1,305,197</w:t>
            </w:r>
          </w:p>
        </w:tc>
        <w:tc>
          <w:tcPr>
            <w:tcW w:w="0" w:type="dxa"/>
            <w:vAlign w:val="bottom"/>
          </w:tcPr>
          <w:p>
            <w:pPr>
              <w:spacing w:after="0"/>
              <w:rPr>
                <w:sz w:val="1"/>
                <w:szCs w:val="1"/>
                <w:color w:val="auto"/>
              </w:rPr>
            </w:pPr>
          </w:p>
        </w:tc>
      </w:tr>
      <w:tr>
        <w:trPr>
          <w:trHeight w:val="176"/>
        </w:trPr>
        <w:tc>
          <w:tcPr>
            <w:tcW w:w="2760" w:type="dxa"/>
            <w:vAlign w:val="bottom"/>
            <w:shd w:val="clear" w:color="auto" w:fill="BFE4FF"/>
          </w:tcPr>
          <w:p>
            <w:pPr>
              <w:ind w:left="20"/>
              <w:spacing w:after="0" w:line="176" w:lineRule="exact"/>
              <w:rPr>
                <w:sz w:val="20"/>
                <w:szCs w:val="20"/>
                <w:color w:val="auto"/>
              </w:rPr>
            </w:pPr>
            <w:r>
              <w:rPr>
                <w:rFonts w:ascii="Arial" w:cs="Arial" w:eastAsia="Arial" w:hAnsi="Arial"/>
                <w:sz w:val="18"/>
                <w:szCs w:val="18"/>
                <w:i w:val="1"/>
                <w:iCs w:val="1"/>
                <w:color w:val="auto"/>
              </w:rPr>
              <w:t>Chief Executive Officer and</w:t>
            </w:r>
          </w:p>
        </w:tc>
        <w:tc>
          <w:tcPr>
            <w:tcW w:w="640" w:type="dxa"/>
            <w:vAlign w:val="bottom"/>
            <w:vMerge w:val="restart"/>
            <w:shd w:val="clear" w:color="auto" w:fill="BFE4FF"/>
          </w:tcPr>
          <w:p>
            <w:pPr>
              <w:ind w:left="140"/>
              <w:spacing w:after="0"/>
              <w:rPr>
                <w:sz w:val="20"/>
                <w:szCs w:val="20"/>
                <w:color w:val="auto"/>
              </w:rPr>
            </w:pPr>
            <w:r>
              <w:rPr>
                <w:rFonts w:ascii="Arial" w:cs="Arial" w:eastAsia="Arial" w:hAnsi="Arial"/>
                <w:sz w:val="18"/>
                <w:szCs w:val="18"/>
                <w:color w:val="auto"/>
              </w:rPr>
              <w:t>2019</w:t>
            </w:r>
          </w:p>
        </w:tc>
        <w:tc>
          <w:tcPr>
            <w:tcW w:w="220" w:type="dxa"/>
            <w:vAlign w:val="bottom"/>
            <w:vMerge w:val="restart"/>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725,000</w:t>
            </w:r>
          </w:p>
        </w:tc>
        <w:tc>
          <w:tcPr>
            <w:tcW w:w="240" w:type="dxa"/>
            <w:vAlign w:val="bottom"/>
            <w:vMerge w:val="restart"/>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 $</w:t>
            </w:r>
          </w:p>
        </w:tc>
        <w:tc>
          <w:tcPr>
            <w:tcW w:w="1140" w:type="dxa"/>
            <w:vAlign w:val="bottom"/>
            <w:gridSpan w:val="2"/>
            <w:vMerge w:val="restart"/>
            <w:shd w:val="clear" w:color="auto" w:fill="BFE4FF"/>
          </w:tcPr>
          <w:p>
            <w:pPr>
              <w:jc w:val="right"/>
              <w:spacing w:after="0"/>
              <w:rPr>
                <w:sz w:val="20"/>
                <w:szCs w:val="20"/>
                <w:color w:val="auto"/>
              </w:rPr>
            </w:pPr>
            <w:r>
              <w:rPr>
                <w:rFonts w:ascii="Arial" w:cs="Arial" w:eastAsia="Arial" w:hAnsi="Arial"/>
                <w:sz w:val="18"/>
                <w:szCs w:val="18"/>
                <w:color w:val="auto"/>
              </w:rPr>
              <w:t>— $</w:t>
            </w:r>
          </w:p>
        </w:tc>
        <w:tc>
          <w:tcPr>
            <w:tcW w:w="140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323,563</w:t>
            </w:r>
          </w:p>
        </w:tc>
        <w:tc>
          <w:tcPr>
            <w:tcW w:w="16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88,437</w:t>
            </w:r>
          </w:p>
        </w:tc>
        <w:tc>
          <w:tcPr>
            <w:tcW w:w="340" w:type="dxa"/>
            <w:vAlign w:val="bottom"/>
            <w:vMerge w:val="restart"/>
            <w:shd w:val="clear" w:color="auto" w:fill="BFE4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BFE4FF"/>
          </w:tcPr>
          <w:p>
            <w:pPr>
              <w:jc w:val="right"/>
              <w:spacing w:after="0"/>
              <w:rPr>
                <w:sz w:val="20"/>
                <w:szCs w:val="20"/>
                <w:color w:val="auto"/>
              </w:rPr>
            </w:pPr>
            <w:r>
              <w:rPr>
                <w:rFonts w:ascii="Arial" w:cs="Arial" w:eastAsia="Arial" w:hAnsi="Arial"/>
                <w:sz w:val="18"/>
                <w:szCs w:val="18"/>
                <w:color w:val="auto"/>
              </w:rPr>
              <w:t>1,137,000</w:t>
            </w:r>
          </w:p>
        </w:tc>
        <w:tc>
          <w:tcPr>
            <w:tcW w:w="0" w:type="dxa"/>
            <w:vAlign w:val="bottom"/>
          </w:tcPr>
          <w:p>
            <w:pPr>
              <w:spacing w:after="0"/>
              <w:rPr>
                <w:sz w:val="1"/>
                <w:szCs w:val="1"/>
                <w:color w:val="auto"/>
              </w:rPr>
            </w:pPr>
          </w:p>
        </w:tc>
      </w:tr>
      <w:tr>
        <w:trPr>
          <w:trHeight w:val="243"/>
        </w:trPr>
        <w:tc>
          <w:tcPr>
            <w:tcW w:w="2760" w:type="dxa"/>
            <w:vAlign w:val="bottom"/>
            <w:shd w:val="clear" w:color="auto" w:fill="BFE4FF"/>
          </w:tcPr>
          <w:p>
            <w:pPr>
              <w:ind w:left="20"/>
              <w:spacing w:after="0"/>
              <w:rPr>
                <w:sz w:val="20"/>
                <w:szCs w:val="20"/>
                <w:color w:val="auto"/>
              </w:rPr>
            </w:pPr>
            <w:r>
              <w:rPr>
                <w:rFonts w:ascii="Arial" w:cs="Arial" w:eastAsia="Arial" w:hAnsi="Arial"/>
                <w:sz w:val="18"/>
                <w:szCs w:val="18"/>
                <w:i w:val="1"/>
                <w:iCs w:val="1"/>
                <w:color w:val="auto"/>
              </w:rPr>
              <w:t>President</w:t>
            </w:r>
          </w:p>
        </w:tc>
        <w:tc>
          <w:tcPr>
            <w:tcW w:w="640" w:type="dxa"/>
            <w:vAlign w:val="bottom"/>
            <w:vMerge w:val="continue"/>
            <w:shd w:val="clear" w:color="auto" w:fill="BFE4FF"/>
          </w:tcPr>
          <w:p>
            <w:pPr>
              <w:spacing w:after="0"/>
              <w:rPr>
                <w:sz w:val="21"/>
                <w:szCs w:val="21"/>
                <w:color w:val="auto"/>
              </w:rPr>
            </w:pPr>
          </w:p>
        </w:tc>
        <w:tc>
          <w:tcPr>
            <w:tcW w:w="220" w:type="dxa"/>
            <w:vAlign w:val="bottom"/>
            <w:vMerge w:val="continue"/>
            <w:shd w:val="clear" w:color="auto" w:fill="BFE4FF"/>
          </w:tcPr>
          <w:p>
            <w:pPr>
              <w:spacing w:after="0"/>
              <w:rPr>
                <w:sz w:val="21"/>
                <w:szCs w:val="21"/>
                <w:color w:val="auto"/>
              </w:rPr>
            </w:pPr>
          </w:p>
        </w:tc>
        <w:tc>
          <w:tcPr>
            <w:tcW w:w="900" w:type="dxa"/>
            <w:vAlign w:val="bottom"/>
            <w:vMerge w:val="continue"/>
            <w:shd w:val="clear" w:color="auto" w:fill="BFE4FF"/>
          </w:tcPr>
          <w:p>
            <w:pPr>
              <w:spacing w:after="0"/>
              <w:rPr>
                <w:sz w:val="21"/>
                <w:szCs w:val="21"/>
                <w:color w:val="auto"/>
              </w:rPr>
            </w:pPr>
          </w:p>
        </w:tc>
        <w:tc>
          <w:tcPr>
            <w:tcW w:w="240" w:type="dxa"/>
            <w:vAlign w:val="bottom"/>
            <w:vMerge w:val="continue"/>
            <w:shd w:val="clear" w:color="auto" w:fill="BFE4FF"/>
          </w:tcPr>
          <w:p>
            <w:pPr>
              <w:spacing w:after="0"/>
              <w:rPr>
                <w:sz w:val="21"/>
                <w:szCs w:val="21"/>
                <w:color w:val="auto"/>
              </w:rPr>
            </w:pPr>
          </w:p>
        </w:tc>
        <w:tc>
          <w:tcPr>
            <w:tcW w:w="1100" w:type="dxa"/>
            <w:vAlign w:val="bottom"/>
            <w:vMerge w:val="continue"/>
            <w:shd w:val="clear" w:color="auto" w:fill="BFE4FF"/>
          </w:tcPr>
          <w:p>
            <w:pPr>
              <w:spacing w:after="0"/>
              <w:rPr>
                <w:sz w:val="21"/>
                <w:szCs w:val="21"/>
                <w:color w:val="auto"/>
              </w:rPr>
            </w:pPr>
          </w:p>
        </w:tc>
        <w:tc>
          <w:tcPr>
            <w:tcW w:w="1140" w:type="dxa"/>
            <w:vAlign w:val="bottom"/>
            <w:gridSpan w:val="2"/>
            <w:vMerge w:val="continue"/>
            <w:shd w:val="clear" w:color="auto" w:fill="BFE4FF"/>
          </w:tcPr>
          <w:p>
            <w:pPr>
              <w:spacing w:after="0"/>
              <w:rPr>
                <w:sz w:val="21"/>
                <w:szCs w:val="21"/>
                <w:color w:val="auto"/>
              </w:rPr>
            </w:pPr>
          </w:p>
        </w:tc>
        <w:tc>
          <w:tcPr>
            <w:tcW w:w="1400" w:type="dxa"/>
            <w:vAlign w:val="bottom"/>
            <w:vMerge w:val="continue"/>
            <w:shd w:val="clear" w:color="auto" w:fill="BFE4FF"/>
          </w:tcPr>
          <w:p>
            <w:pPr>
              <w:spacing w:after="0"/>
              <w:rPr>
                <w:sz w:val="21"/>
                <w:szCs w:val="21"/>
                <w:color w:val="auto"/>
              </w:rPr>
            </w:pPr>
          </w:p>
        </w:tc>
        <w:tc>
          <w:tcPr>
            <w:tcW w:w="160" w:type="dxa"/>
            <w:vAlign w:val="bottom"/>
            <w:vMerge w:val="continue"/>
            <w:shd w:val="clear" w:color="auto" w:fill="BFE4FF"/>
          </w:tcPr>
          <w:p>
            <w:pPr>
              <w:spacing w:after="0"/>
              <w:rPr>
                <w:sz w:val="21"/>
                <w:szCs w:val="21"/>
                <w:color w:val="auto"/>
              </w:rPr>
            </w:pPr>
          </w:p>
        </w:tc>
        <w:tc>
          <w:tcPr>
            <w:tcW w:w="1240" w:type="dxa"/>
            <w:vAlign w:val="bottom"/>
            <w:vMerge w:val="continue"/>
            <w:shd w:val="clear" w:color="auto" w:fill="BFE4FF"/>
          </w:tcPr>
          <w:p>
            <w:pPr>
              <w:spacing w:after="0"/>
              <w:rPr>
                <w:sz w:val="21"/>
                <w:szCs w:val="21"/>
                <w:color w:val="auto"/>
              </w:rPr>
            </w:pPr>
          </w:p>
        </w:tc>
        <w:tc>
          <w:tcPr>
            <w:tcW w:w="340" w:type="dxa"/>
            <w:vAlign w:val="bottom"/>
            <w:vMerge w:val="continue"/>
            <w:shd w:val="clear" w:color="auto" w:fill="BFE4FF"/>
          </w:tcPr>
          <w:p>
            <w:pPr>
              <w:spacing w:after="0"/>
              <w:rPr>
                <w:sz w:val="21"/>
                <w:szCs w:val="21"/>
                <w:color w:val="auto"/>
              </w:rPr>
            </w:pPr>
          </w:p>
        </w:tc>
        <w:tc>
          <w:tcPr>
            <w:tcW w:w="1100" w:type="dxa"/>
            <w:vAlign w:val="bottom"/>
            <w:vMerge w:val="continue"/>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7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Tony Lauro II </w:t>
            </w:r>
            <w:r>
              <w:rPr>
                <w:rFonts w:ascii="Arial" w:cs="Arial" w:eastAsia="Arial" w:hAnsi="Arial"/>
                <w:sz w:val="23"/>
                <w:szCs w:val="23"/>
                <w:color w:val="auto"/>
                <w:vertAlign w:val="superscript"/>
              </w:rPr>
              <w:t>(4)</w:t>
            </w:r>
          </w:p>
        </w:tc>
        <w:tc>
          <w:tcPr>
            <w:tcW w:w="640" w:type="dxa"/>
            <w:vAlign w:val="bottom"/>
          </w:tcPr>
          <w:p>
            <w:pPr>
              <w:ind w:left="140"/>
              <w:spacing w:after="0"/>
              <w:rPr>
                <w:sz w:val="20"/>
                <w:szCs w:val="20"/>
                <w:color w:val="auto"/>
              </w:rPr>
            </w:pPr>
            <w:r>
              <w:rPr>
                <w:rFonts w:ascii="Arial" w:cs="Arial" w:eastAsia="Arial" w:hAnsi="Arial"/>
                <w:sz w:val="18"/>
                <w:szCs w:val="18"/>
                <w:color w:val="auto"/>
              </w:rPr>
              <w:t>2020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339,615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400" w:type="dxa"/>
            <w:vAlign w:val="bottom"/>
          </w:tcPr>
          <w:p>
            <w:pPr>
              <w:jc w:val="right"/>
              <w:spacing w:after="0"/>
              <w:rPr>
                <w:sz w:val="20"/>
                <w:szCs w:val="20"/>
                <w:color w:val="auto"/>
              </w:rPr>
            </w:pPr>
            <w:r>
              <w:rPr>
                <w:rFonts w:ascii="Arial" w:cs="Arial" w:eastAsia="Arial" w:hAnsi="Arial"/>
                <w:sz w:val="18"/>
                <w:szCs w:val="18"/>
                <w:color w:val="auto"/>
              </w:rPr>
              <w:t>120,817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4,275</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464,707</w:t>
            </w:r>
          </w:p>
        </w:tc>
        <w:tc>
          <w:tcPr>
            <w:tcW w:w="0" w:type="dxa"/>
            <w:vAlign w:val="bottom"/>
          </w:tcPr>
          <w:p>
            <w:pPr>
              <w:spacing w:after="0"/>
              <w:rPr>
                <w:sz w:val="1"/>
                <w:szCs w:val="1"/>
                <w:color w:val="auto"/>
              </w:rPr>
            </w:pPr>
          </w:p>
        </w:tc>
      </w:tr>
      <w:tr>
        <w:trPr>
          <w:trHeight w:val="277"/>
        </w:trPr>
        <w:tc>
          <w:tcPr>
            <w:tcW w:w="2760" w:type="dxa"/>
            <w:vAlign w:val="bottom"/>
          </w:tcPr>
          <w:p>
            <w:pPr>
              <w:ind w:left="20"/>
              <w:spacing w:after="0"/>
              <w:rPr>
                <w:sz w:val="20"/>
                <w:szCs w:val="20"/>
                <w:color w:val="auto"/>
              </w:rPr>
            </w:pPr>
            <w:r>
              <w:rPr>
                <w:rFonts w:ascii="Arial" w:cs="Arial" w:eastAsia="Arial" w:hAnsi="Arial"/>
                <w:sz w:val="18"/>
                <w:szCs w:val="18"/>
                <w:i w:val="1"/>
                <w:iCs w:val="1"/>
                <w:color w:val="auto"/>
              </w:rPr>
              <w:t>Former Chief Financial Officer</w:t>
            </w:r>
          </w:p>
        </w:tc>
        <w:tc>
          <w:tcPr>
            <w:tcW w:w="640" w:type="dxa"/>
            <w:vAlign w:val="bottom"/>
          </w:tcPr>
          <w:p>
            <w:pPr>
              <w:ind w:left="140"/>
              <w:spacing w:after="0"/>
              <w:rPr>
                <w:sz w:val="20"/>
                <w:szCs w:val="20"/>
                <w:color w:val="auto"/>
              </w:rPr>
            </w:pPr>
            <w:r>
              <w:rPr>
                <w:rFonts w:ascii="Arial" w:cs="Arial" w:eastAsia="Arial" w:hAnsi="Arial"/>
                <w:sz w:val="18"/>
                <w:szCs w:val="18"/>
                <w:color w:val="auto"/>
              </w:rPr>
              <w:t>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330,852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920" w:type="dxa"/>
            <w:vAlign w:val="bottom"/>
          </w:tcPr>
          <w:p>
            <w:pPr>
              <w:jc w:val="right"/>
              <w:spacing w:after="0"/>
              <w:rPr>
                <w:sz w:val="20"/>
                <w:szCs w:val="20"/>
                <w:color w:val="auto"/>
              </w:rPr>
            </w:pPr>
            <w:r>
              <w:rPr>
                <w:rFonts w:ascii="Arial" w:cs="Arial" w:eastAsia="Arial" w:hAnsi="Arial"/>
                <w:sz w:val="18"/>
                <w:szCs w:val="18"/>
                <w:color w:val="auto"/>
              </w:rPr>
              <w:t>209,643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115,118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2,530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658,143</w:t>
            </w:r>
          </w:p>
        </w:tc>
        <w:tc>
          <w:tcPr>
            <w:tcW w:w="0" w:type="dxa"/>
            <w:vAlign w:val="bottom"/>
          </w:tcPr>
          <w:p>
            <w:pPr>
              <w:spacing w:after="0"/>
              <w:rPr>
                <w:sz w:val="1"/>
                <w:szCs w:val="1"/>
                <w:color w:val="auto"/>
              </w:rPr>
            </w:pPr>
          </w:p>
        </w:tc>
      </w:tr>
      <w:tr>
        <w:trPr>
          <w:trHeight w:val="236"/>
        </w:trPr>
        <w:tc>
          <w:tcPr>
            <w:tcW w:w="2760" w:type="dxa"/>
            <w:vAlign w:val="bottom"/>
            <w:shd w:val="clear" w:color="auto" w:fill="BFE4FF"/>
          </w:tcPr>
          <w:p>
            <w:pPr>
              <w:ind w:left="20"/>
              <w:spacing w:after="0"/>
              <w:rPr>
                <w:sz w:val="20"/>
                <w:szCs w:val="20"/>
                <w:color w:val="auto"/>
              </w:rPr>
            </w:pPr>
            <w:r>
              <w:rPr>
                <w:rFonts w:ascii="Arial" w:cs="Arial" w:eastAsia="Arial" w:hAnsi="Arial"/>
                <w:sz w:val="18"/>
                <w:szCs w:val="18"/>
                <w:color w:val="auto"/>
              </w:rPr>
              <w:t>Joseph Aguilar</w:t>
            </w:r>
          </w:p>
        </w:tc>
        <w:tc>
          <w:tcPr>
            <w:tcW w:w="640" w:type="dxa"/>
            <w:vAlign w:val="bottom"/>
            <w:shd w:val="clear" w:color="auto" w:fill="BFE4FF"/>
          </w:tcPr>
          <w:p>
            <w:pPr>
              <w:ind w:left="14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327,115</w:t>
            </w:r>
          </w:p>
        </w:tc>
        <w:tc>
          <w:tcPr>
            <w:tcW w:w="24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29,000 $</w:t>
            </w:r>
          </w:p>
        </w:tc>
        <w:tc>
          <w:tcPr>
            <w:tcW w:w="9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713,605</w:t>
            </w:r>
          </w:p>
        </w:tc>
        <w:tc>
          <w:tcPr>
            <w:tcW w:w="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121,895</w:t>
            </w:r>
          </w:p>
        </w:tc>
        <w:tc>
          <w:tcPr>
            <w:tcW w:w="16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39,000</w:t>
            </w:r>
          </w:p>
        </w:tc>
        <w:tc>
          <w:tcPr>
            <w:tcW w:w="340" w:type="dxa"/>
            <w:vAlign w:val="bottom"/>
            <w:shd w:val="clear" w:color="auto" w:fill="BFE4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1,230,615</w:t>
            </w:r>
          </w:p>
        </w:tc>
        <w:tc>
          <w:tcPr>
            <w:tcW w:w="0" w:type="dxa"/>
            <w:vAlign w:val="bottom"/>
          </w:tcPr>
          <w:p>
            <w:pPr>
              <w:spacing w:after="0"/>
              <w:rPr>
                <w:sz w:val="1"/>
                <w:szCs w:val="1"/>
                <w:color w:val="auto"/>
              </w:rPr>
            </w:pPr>
          </w:p>
        </w:tc>
      </w:tr>
      <w:tr>
        <w:trPr>
          <w:trHeight w:val="283"/>
        </w:trPr>
        <w:tc>
          <w:tcPr>
            <w:tcW w:w="2760" w:type="dxa"/>
            <w:vAlign w:val="bottom"/>
            <w:shd w:val="clear" w:color="auto" w:fill="BFE4FF"/>
          </w:tcPr>
          <w:p>
            <w:pPr>
              <w:ind w:left="20"/>
              <w:spacing w:after="0"/>
              <w:rPr>
                <w:sz w:val="20"/>
                <w:szCs w:val="20"/>
                <w:color w:val="auto"/>
              </w:rPr>
            </w:pPr>
            <w:r>
              <w:rPr>
                <w:rFonts w:ascii="Arial" w:cs="Arial" w:eastAsia="Arial" w:hAnsi="Arial"/>
                <w:sz w:val="18"/>
                <w:szCs w:val="18"/>
                <w:i w:val="1"/>
                <w:iCs w:val="1"/>
                <w:color w:val="auto"/>
              </w:rPr>
              <w:t>Chief Operating Officer</w:t>
            </w:r>
          </w:p>
        </w:tc>
        <w:tc>
          <w:tcPr>
            <w:tcW w:w="640" w:type="dxa"/>
            <w:vAlign w:val="bottom"/>
            <w:shd w:val="clear" w:color="auto" w:fill="BFE4FF"/>
          </w:tcPr>
          <w:p>
            <w:pPr>
              <w:ind w:left="140"/>
              <w:spacing w:after="0"/>
              <w:rPr>
                <w:sz w:val="20"/>
                <w:szCs w:val="20"/>
                <w:color w:val="auto"/>
              </w:rPr>
            </w:pPr>
            <w:r>
              <w:rPr>
                <w:rFonts w:ascii="Arial" w:cs="Arial" w:eastAsia="Arial" w:hAnsi="Arial"/>
                <w:sz w:val="18"/>
                <w:szCs w:val="18"/>
                <w:color w:val="auto"/>
              </w:rPr>
              <w:t>2019</w:t>
            </w:r>
          </w:p>
        </w:tc>
        <w:tc>
          <w:tcPr>
            <w:tcW w:w="22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72,692</w:t>
            </w:r>
          </w:p>
        </w:tc>
        <w:tc>
          <w:tcPr>
            <w:tcW w:w="240" w:type="dxa"/>
            <w:vAlign w:val="bottom"/>
            <w:shd w:val="clear" w:color="auto" w:fill="BFE4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 $</w:t>
            </w:r>
          </w:p>
        </w:tc>
        <w:tc>
          <w:tcPr>
            <w:tcW w:w="9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570,210</w:t>
            </w:r>
          </w:p>
        </w:tc>
        <w:tc>
          <w:tcPr>
            <w:tcW w:w="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BFE4FF"/>
          </w:tcPr>
          <w:p>
            <w:pPr>
              <w:jc w:val="right"/>
              <w:spacing w:after="0"/>
              <w:rPr>
                <w:sz w:val="20"/>
                <w:szCs w:val="20"/>
                <w:color w:val="auto"/>
              </w:rPr>
            </w:pPr>
            <w:r>
              <w:rPr>
                <w:rFonts w:ascii="Arial" w:cs="Arial" w:eastAsia="Arial" w:hAnsi="Arial"/>
                <w:sz w:val="18"/>
                <w:szCs w:val="18"/>
                <w:color w:val="auto"/>
              </w:rPr>
              <w:t>— $</w:t>
            </w:r>
          </w:p>
        </w:tc>
        <w:tc>
          <w:tcPr>
            <w:tcW w:w="124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17,000</w:t>
            </w:r>
          </w:p>
        </w:tc>
        <w:tc>
          <w:tcPr>
            <w:tcW w:w="340" w:type="dxa"/>
            <w:vAlign w:val="bottom"/>
            <w:shd w:val="clear" w:color="auto" w:fill="BFE4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659,902</w:t>
            </w:r>
          </w:p>
        </w:tc>
        <w:tc>
          <w:tcPr>
            <w:tcW w:w="0" w:type="dxa"/>
            <w:vAlign w:val="bottom"/>
          </w:tcPr>
          <w:p>
            <w:pPr>
              <w:spacing w:after="0"/>
              <w:rPr>
                <w:sz w:val="1"/>
                <w:szCs w:val="1"/>
                <w:color w:val="auto"/>
              </w:rPr>
            </w:pPr>
          </w:p>
        </w:tc>
      </w:tr>
      <w:tr>
        <w:trPr>
          <w:trHeight w:val="230"/>
        </w:trPr>
        <w:tc>
          <w:tcPr>
            <w:tcW w:w="2760" w:type="dxa"/>
            <w:vAlign w:val="bottom"/>
          </w:tcPr>
          <w:p>
            <w:pPr>
              <w:ind w:left="20"/>
              <w:spacing w:after="0"/>
              <w:rPr>
                <w:sz w:val="20"/>
                <w:szCs w:val="20"/>
                <w:color w:val="auto"/>
              </w:rPr>
            </w:pPr>
            <w:r>
              <w:rPr>
                <w:rFonts w:ascii="Arial" w:cs="Arial" w:eastAsia="Arial" w:hAnsi="Arial"/>
                <w:sz w:val="18"/>
                <w:szCs w:val="18"/>
                <w:color w:val="auto"/>
              </w:rPr>
              <w:t>Randall D. Nilsen</w:t>
            </w:r>
          </w:p>
        </w:tc>
        <w:tc>
          <w:tcPr>
            <w:tcW w:w="640" w:type="dxa"/>
            <w:vAlign w:val="bottom"/>
          </w:tcPr>
          <w:p>
            <w:pPr>
              <w:ind w:left="140"/>
              <w:spacing w:after="0"/>
              <w:rPr>
                <w:sz w:val="20"/>
                <w:szCs w:val="20"/>
                <w:color w:val="auto"/>
              </w:rPr>
            </w:pPr>
            <w:r>
              <w:rPr>
                <w:rFonts w:ascii="Arial" w:cs="Arial" w:eastAsia="Arial" w:hAnsi="Arial"/>
                <w:sz w:val="18"/>
                <w:szCs w:val="18"/>
                <w:color w:val="auto"/>
              </w:rPr>
              <w:t>2020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299,269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26,200 $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400" w:type="dxa"/>
            <w:vAlign w:val="bottom"/>
          </w:tcPr>
          <w:p>
            <w:pPr>
              <w:jc w:val="right"/>
              <w:spacing w:after="0"/>
              <w:rPr>
                <w:sz w:val="20"/>
                <w:szCs w:val="20"/>
                <w:color w:val="auto"/>
              </w:rPr>
            </w:pPr>
            <w:r>
              <w:rPr>
                <w:rFonts w:ascii="Arial" w:cs="Arial" w:eastAsia="Arial" w:hAnsi="Arial"/>
                <w:sz w:val="18"/>
                <w:szCs w:val="18"/>
                <w:color w:val="auto"/>
              </w:rPr>
              <w:t>118,078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15,232</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458,779</w:t>
            </w:r>
          </w:p>
        </w:tc>
        <w:tc>
          <w:tcPr>
            <w:tcW w:w="0" w:type="dxa"/>
            <w:vAlign w:val="bottom"/>
          </w:tcPr>
          <w:p>
            <w:pPr>
              <w:spacing w:after="0"/>
              <w:rPr>
                <w:sz w:val="1"/>
                <w:szCs w:val="1"/>
                <w:color w:val="auto"/>
              </w:rPr>
            </w:pPr>
          </w:p>
        </w:tc>
      </w:tr>
      <w:tr>
        <w:trPr>
          <w:trHeight w:val="270"/>
        </w:trPr>
        <w:tc>
          <w:tcPr>
            <w:tcW w:w="2760" w:type="dxa"/>
            <w:vAlign w:val="bottom"/>
          </w:tcPr>
          <w:p>
            <w:pPr>
              <w:ind w:left="20"/>
              <w:spacing w:after="0"/>
              <w:rPr>
                <w:sz w:val="20"/>
                <w:szCs w:val="20"/>
                <w:color w:val="auto"/>
              </w:rPr>
            </w:pPr>
            <w:r>
              <w:rPr>
                <w:rFonts w:ascii="Arial" w:cs="Arial" w:eastAsia="Arial" w:hAnsi="Arial"/>
                <w:sz w:val="18"/>
                <w:szCs w:val="18"/>
                <w:i w:val="1"/>
                <w:iCs w:val="1"/>
                <w:color w:val="auto"/>
              </w:rPr>
              <w:t>Chief Revenue Officer</w:t>
            </w:r>
          </w:p>
        </w:tc>
        <w:tc>
          <w:tcPr>
            <w:tcW w:w="640" w:type="dxa"/>
            <w:vAlign w:val="bottom"/>
          </w:tcPr>
          <w:p>
            <w:pPr>
              <w:ind w:left="140"/>
              <w:spacing w:after="0"/>
              <w:rPr>
                <w:sz w:val="20"/>
                <w:szCs w:val="20"/>
                <w:color w:val="auto"/>
              </w:rPr>
            </w:pPr>
            <w:r>
              <w:rPr>
                <w:rFonts w:ascii="Arial" w:cs="Arial" w:eastAsia="Arial" w:hAnsi="Arial"/>
                <w:sz w:val="18"/>
                <w:szCs w:val="18"/>
                <w:color w:val="auto"/>
              </w:rPr>
              <w:t>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280,582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400" w:type="dxa"/>
            <w:vAlign w:val="bottom"/>
          </w:tcPr>
          <w:p>
            <w:pPr>
              <w:jc w:val="right"/>
              <w:spacing w:after="0"/>
              <w:rPr>
                <w:sz w:val="20"/>
                <w:szCs w:val="20"/>
                <w:color w:val="auto"/>
              </w:rPr>
            </w:pPr>
            <w:r>
              <w:rPr>
                <w:rFonts w:ascii="Arial" w:cs="Arial" w:eastAsia="Arial" w:hAnsi="Arial"/>
                <w:sz w:val="18"/>
                <w:szCs w:val="18"/>
                <w:color w:val="auto"/>
              </w:rPr>
              <w:t>102,102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14,148</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396,832</w:t>
            </w:r>
          </w:p>
        </w:tc>
        <w:tc>
          <w:tcPr>
            <w:tcW w:w="0" w:type="dxa"/>
            <w:vAlign w:val="bottom"/>
          </w:tcPr>
          <w:p>
            <w:pPr>
              <w:spacing w:after="0"/>
              <w:rPr>
                <w:sz w:val="1"/>
                <w:szCs w:val="1"/>
                <w:color w:val="auto"/>
              </w:rPr>
            </w:pPr>
          </w:p>
        </w:tc>
      </w:tr>
    </w:tbl>
    <w:p>
      <w:pPr>
        <w:spacing w:after="0" w:line="350" w:lineRule="exact"/>
        <w:rPr>
          <w:sz w:val="20"/>
          <w:szCs w:val="20"/>
          <w:color w:val="auto"/>
        </w:rPr>
      </w:pPr>
    </w:p>
    <w:p>
      <w:pPr>
        <w:jc w:val="both"/>
        <w:ind w:left="340" w:hanging="332"/>
        <w:spacing w:after="0" w:line="263" w:lineRule="auto"/>
        <w:tabs>
          <w:tab w:leader="none" w:pos="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included in the “Option Awards” column reflect the aggregate grant date fair value of stock options awarded to the NEOs as computed in accordance with FASB ASC Topic 718. For a discussion of the assumptions made in the valuation reflected in these columns for fiscal year 2020, see Note 14 to the Consolidated Financial Statements in this Annual Report on Form 10-K.</w:t>
      </w:r>
    </w:p>
    <w:p>
      <w:pPr>
        <w:spacing w:after="0" w:line="210"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included in the “Nonequity Incentive Plan Compensation” column reflect the quarterly and annual performance bonuses paid and earned under the Company’s Employee Incentive Bonus Plan for fiscal years 2020 and 2019. The “Annual Cash Incentive Awards” section below describes how the Employee Incentive Bonus Plan awards were determined.</w:t>
      </w:r>
    </w:p>
    <w:p>
      <w:pPr>
        <w:spacing w:after="0" w:line="210" w:lineRule="exact"/>
        <w:rPr>
          <w:rFonts w:ascii="Arial" w:cs="Arial" w:eastAsia="Arial" w:hAnsi="Arial"/>
          <w:sz w:val="18"/>
          <w:szCs w:val="18"/>
          <w:color w:val="auto"/>
        </w:rPr>
      </w:pPr>
    </w:p>
    <w:p>
      <w:pPr>
        <w:jc w:val="both"/>
        <w:ind w:left="340" w:hanging="332"/>
        <w:spacing w:after="0" w:line="290" w:lineRule="auto"/>
        <w:tabs>
          <w:tab w:leader="none" w:pos="334" w:val="left"/>
        </w:tabs>
        <w:numPr>
          <w:ilvl w:val="0"/>
          <w:numId w:val="34"/>
        </w:numPr>
        <w:rPr>
          <w:rFonts w:ascii="Arial" w:cs="Arial" w:eastAsia="Arial" w:hAnsi="Arial"/>
          <w:sz w:val="16"/>
          <w:szCs w:val="16"/>
          <w:color w:val="auto"/>
        </w:rPr>
      </w:pPr>
      <w:r>
        <w:rPr>
          <w:rFonts w:ascii="Arial" w:cs="Arial" w:eastAsia="Arial" w:hAnsi="Arial"/>
          <w:sz w:val="16"/>
          <w:szCs w:val="16"/>
          <w:color w:val="auto"/>
        </w:rPr>
        <w:t>For Mr. Lisy, the amounts set forth above include (x) a housing allowance in the amount of $84.5 thousand for an apartment in the Miami, Florida area, for each of fiscal years 2020 and 2019 and (y) matching contributions under our 401(k) retirement savings plan, in the amount of $4.1 thousand and $3.9 thousand for fiscal years 2020 and 2019, respectively. For Mr. Lauro, the amounts set forth above include matching contributions under our 401(k) retirement savings plan, in the amount of $4.3 thousand and $2.5 thousand for fiscal years 2020 and 2019, respectively. For Mr. Aguilar, the amount set forth above includes (x) a housing allowance of $39.0 thousand and $12.0 thousand for fiscal years 2020 and 2019, respectively, and (y) a moving allowance of $5.0 thousand for fiscal year 2019 (none for 2020). For Mr. Nilsen, the amounts set forth above include (x) reimbursements for car-related costs of $13.0 thousand and $12.0 thousand for fiscal years 2020 and 2019, respectively, and (y) matching contributions under our 401(k) retirement savings plan, in the amount of $2.2 thousand and $2.1 thousand for fiscal years 2020 and 2019, respectively.</w:t>
      </w:r>
    </w:p>
    <w:p>
      <w:pPr>
        <w:spacing w:after="0" w:line="192" w:lineRule="exact"/>
        <w:rPr>
          <w:rFonts w:ascii="Arial" w:cs="Arial" w:eastAsia="Arial" w:hAnsi="Arial"/>
          <w:sz w:val="16"/>
          <w:szCs w:val="16"/>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Lauro resigned as the Chief Financial Officer of the Company effective November 13,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Cash Incentive Awards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the Employee Incentive Bonus Plan (the “Bonus Plan”), an annual, cash-based, incentive plan, in which certain sales employees and all non-sales employees, including the named executive officers, participate. For 2020, payments under the Bonus Plan were determined based on completion of certain individual performance objectives, varying by employee category/position (the “Objective component”) and Company-wide Adjusted EBITDA targets (the “Adjusted EBITDA component”), as discussed below. Refer to the “Non-GAAP Financial Measures” section of Item 7 in this Annual Report on Form 10-K for our calculation methodology.</w:t>
      </w:r>
    </w:p>
    <w:p>
      <w:pPr>
        <w:sectPr>
          <w:pgSz w:w="11900" w:h="16838" w:orient="portrait"/>
          <w:cols w:equalWidth="0" w:num="1">
            <w:col w:w="11240"/>
          </w:cols>
          <w:pgMar w:left="320" w:top="125" w:right="339" w:bottom="1440" w:gutter="0" w:footer="0" w:header="0"/>
        </w:sect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9" w:name="page90"/>
    <w:bookmarkEnd w:id="8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Each named executive officer’s target bonus amount was determined at the outset of the year and was expressed generally as a percentage of such officer's base salary. The target bonus percentages for 2020 were 50% for Mr. Lisy, 35% for Mr. Lauro, 32% for Mr. Aguilar and 35% for Mr. Nilsen. The CEO’s Bonus Plan was determined solely based on Adjusted EBITDA performance. The Bonus Plan for the other named executive officers was determined 75% based on Adjusted EBITDA performance and 25% based on the Objective component.</w:t>
      </w:r>
    </w:p>
    <w:p>
      <w:pPr>
        <w:spacing w:after="0" w:line="19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Under the terms of the Bonus Plan, the Objective component was measured and paid on a quarterly basis and may range from 0% to 150% of target. Half of the Adjusted EBITDA component is paid based on quarterly performance with the remaining half subject to full-year performance. The quarterly payout for Adjusted EBITDA is made on a binary basis, such that if the quarterly target is achieved, then the quarterly payout is made (12.5% of target), with no partial payouts. All quarterly Adjusted EBITDA targets were set at the beginning of the year.</w:t>
      </w:r>
    </w:p>
    <w:p>
      <w:pPr>
        <w:spacing w:after="0" w:line="19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full-year Adjusted EBITDA component, the Compensation Committee set threshold, target and maximum levels of performance at the outset of the year. Threshold performance was set at 90% of the targeted Adjusted EBITDA amount, achievement of which pays 0% of target. Target performance was set at 100% of the targeted Adjusted EBITDA amount, achievement of which pays 100% of target. Maximum performance was set at 115% of the targeted Adjusted EBITDA amount, the achievement of which pays 150% of target. There would be no earnout for performance below threshold and linear interpolation applies between threshold/target and target/maximum performance levels.</w:t>
      </w:r>
    </w:p>
    <w:p>
      <w:pPr>
        <w:spacing w:after="0" w:line="21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2020, the pre-established quarterly Adjusted EBITDA targets were achieved for all quarters. The full-year Adjusted EBITDA performance of $68.4 million was above the target of $63.1 million, resulting in a full-year Adjusted EBITDA earnout of 127.8% of target.</w:t>
      </w:r>
    </w:p>
    <w:p>
      <w:pPr>
        <w:spacing w:after="0" w:line="19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Mr. Nilsen’s individual objectives are tied to his role as Chief Revenue Officer and are specifically measured based on actual gross margin sales versus budget for each quarter. For each quarter in 2020, Mr. Nilsen achieved between 92.1% to 104.5% of the applicable gross margin sales quarterly budget.</w:t>
      </w:r>
    </w:p>
    <w:p>
      <w:pPr>
        <w:spacing w:after="0" w:line="15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Mr. Lauro’s individual objectives were based on the following factors: (i) product profitability analysis, (ii) enhancing liquidity management, (iii) improving investor communication and (iv) enhancing budget and financial projections in light of COVID-19 pandemic effects. For each of the first three quarters in 2020, Mr. Lauro’s level of achievement of his individual objectives ranged from 95.0% to 98.8% of the applicable goal.</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Aguilar’s individual objectives are based on the following factors: (i) enhancing and consolidating the Operations functions of the Company, (ii) improving functionality of the Company’s call centers in Mexico and Guatemala, and (iii) enhancing the Information Technology, Purchasing and New Products Departments. For each quarter in 2020, Mr. Aguilar’s level of achievement of his individual objectives ranged from 70% to 100% of the applicable goal.</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Based on the combined impact of Adjusted EBITDA and Objective component performance, the overall payout as a percent of target was 127.8% of target for the CEO (based on Adjusted EBITDA performance only) and ranged from 101.5% to 120.7% for Messrs. Lauro, Aguilar and Nilsen, based on quarterly and annual Adjusted EBITDA and quarterly Objective components performance.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of Messrs. Lisy, Aguilar and Nilsen is a party to an employment agreement with the Company, summarized below.</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Chief Executive Officer and President (Robert Lisy)</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December 19, 2017, Intermex Holdings, Inc. (“Intermex”) entered into an amended and restated employment agreement (the “CEO Employment Agreement”) with Mr. Lisy for the position of Chief Executive Officer and President, which was in effect through December 30, 2020. Effective January 1, 2021, Intermex entered into an amended and restated employment agreement with Mr. Lisy (the “New CEO Employment Agreement”), which expires on December 31, 2021 subject to automatic one-year extensions unless either the Company or Mr. Lisy provides at least 90 days’ written notice to the other of intent not to renew the term. The New CEO Employment Agreement replaced prior employment agreements between Mr. Lisy and the Company, including the CEO Employment Agreement in effect during 2020. During 2020, Mr. Lisy’s base salary was $725,000 and effective January 1, 2021, Mr. Lisy’s base salary is $1,000,000. The New CEO Employment Agreement also provides that Mr. Lisy is eligible to earn a performance based annual cash incentive. The amount of any annual cash incentive payable shall be determined by the Board of Directors in its discretion, and shall be conditioned on the achievement of certain performance goals, including the achievement by Intermex of budgeted Adjusted EBITDA (as defined in the CEO Employment Agreement) as approved by the Board in its reasonable discretion, and the achievement of individual performance goals as may be reasonably agreed to by the Board and Mr. Lisy. The Board may, with Mr. Lisy’s consent, prospectively amend or modify from time to time the established cash incentive criteria, including any related performance requirements and target levels. Effective as of January 1, 2020, Mr. Lisy’s annual cash incentive target was increased to up to $363,000 and effective January 1, 2021, Mr. Lisy’s annual cash incentive target was increased to 100% of his base salary, or $1,000,000. The New CEO Employment Agreement, subject to approval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by the Compensation Committee, provides for an award to Mr. Lisy of restricted stock units (“RSUs”) and performance stock units (“PSUs”), in each case granted under the terms of the Company’s 2020 Omnibus Equity Compensation Plan (the “2020 Plan”) and having a grant date value of $1,250,000, as computed in accordance with U.S. GAAP. On March 4, 2021, the Compensation Committee approved the awards, consisting of 88,215 shares of restricted stock (in lieu of RSUs) and 88,215 PSUs. The vesting terms and performance goals of the awards were determined by the Compensation Committee at the time of grant and are generally consistent with awards granted to the Company’s other employees, except that, as required by the New CEO Employment Agreement, if Mr. Lisy retires after age 66, all awards will continue to vest in accordance with their original vesting schedule, subject to attainment of any applicable performance goals.</w:t>
      </w:r>
    </w:p>
    <w:p>
      <w:pPr>
        <w:spacing w:after="0" w:line="2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New CEO Employment Agreement provides that Mr. Lisy continues to be eligible to participate in all benefit programs (excluding severance, bonus, incentive or profit-sharing plans) offered by Intermex on the same basis as generally made available to other employees of Intermex and vacation and reimbursement benefits customary for a chief executive officer. In addition, Mr. Lisy is also entitled to the following benefits: (a) car allowance; (b) reimbursement for legal and certain other advisory fees incurred in connection with the negotiation of the New CEO Employment Agreement; and (c) if obtained by Intermex during the term of Mr. Lisy’s employment, the right to acquire and assume the premium payments under any life insurance policy held by Intermex upon termination of Mr. Lisy’s employment. Prior to January 1, 2021, under the CEO Employment Agreement, Mr. Lisy was also entitled to an apartment allowance in and/or around Miami, Florida and reimbursement on or before the consummation of the Merger for all legal, accounting and tax advisory services rendered to Mr. Lisy in connection with the CEO Employment Agreement, the Merger, and any other related matters and agreements. The New CEO Employment Agreement continues to subject Mr. Lisy to the following restrictive covenants: (i) non-solicitation of customers and employees of Intermex during employment and for two years thereafter; (ii) non-competition during employment and for two years thereafter; (iii) non-disclosure of confidential information for an unspecified duration; and (iv) mutual and perpetual non-disparagement. The CEO Employment Agreement also provides for severance upon a termination of employment under certain circumstances, as described below under “—Potential Payments upon Termination or Change in Control.”</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Chief Operating Officer (Joseph Aguilar)</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September 23, 2019, the Company entered into an employment agreement (the “COO Employment Agreement”) with Mr. Aguilar for the position of Chief Operating Officer for an indefinite term beginning on September 23, 2019. The COO Employment Agreement provides for a base salary of $315,000 per year, subject to increase at the discretion of the Board of Directors. The COO Employment Agreement also provides that Mr. Aguilar is eligible to participate in the Company’s annual incentive compensation plan and shall have the opportunity to earn a performance based annual cash incentive of up to $100,000. The amount of any annual cash incentive payable shall be determined by the Board of Directors in its discretion, and may be conditioned on the achievement of certain performance goals established by the Board of Directors in its discretion, including the achievement by the Company of certain Adjusted EBITDA results and the achievement by Mr. Aguilar of certain personal objectives. The Board may amend or modify from time to time the annual incentive compensation plan, including modifying the performance requirements, target levels and participation terms thereof. Mr. Aguilar is also eligible to participate in any benefit plans (excluding severance, bonus, incentive or profit-sharing plans, unless approved or determined by the Board of Directors in its discretion) offered by the Company as in effect from time to time on the same basis as generally made available to other employees of the Company. In addition, Mr. Aguilar is entitled to reimbursement and vacation benefits typical for a senior executive. The COO Employment Agreement subjects Mr. Aguilar to the following restrictive covenants: (i) non-solicitation of customers and employees of the Company during employment and for three years thereafter; (ii) non-competition during employment and for nine months thereafter; (iii) non-disclosure of confidential information for an unspecified duration; and (iv) perpetual non-disparagement. The COO Employment Agreement also provides for severance upon termination of employment under certain circumstances, as described below under “—Potential Payments upon Termination or Change in Control.”</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Chief Revenue Officer (Randy Nilsen)</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February 1, 2017, Intermex entered into an employment agreement (the “CRO Employment Agreement”) with Mr. Nilsen for the position of Chief Revenue Officer for an indefinite term beginning on February 1, 2017. The CRO Employment Agreement provides for a base salary, subject to increase at the discretion of the Board of Directors. Effective January 1, 2020, Mr. Nilsen’s base salary was $288,500. The CRO Employment Agreement also provides that Mr. Nilsen is eligible to participate in Intermex’s annual incentive compensation plan and shall have the opportunity to earn a performance based annual cash incentive of up to $100,975. The amount of any annual cash incentive payable shall be determined by the Board of Directors in its discretion, and may be conditioned on the achievement of certain performance goals established by the Board of Directors in its discretion. The Board may amend or modify from time to time the annual incentive compensation plan, including modifying the performance requirements, target levels and participation terms thereof. Mr. Nilsen is also eligible to participate in any benefit plans (excluding severance, bonus, incentive or profit-sharing plans, unless approved or determined by the Board of Directors in its discretion) offered by Intermex as in effect from time to time on the same basis as generally made available to other employees of Intermex. In addition, Mr. Nilsen is entitled to reimbursement and vacation benefits customary for a senior executive. The CRO Employment Agreement subjects Mr. Nilsen to the following restrictive covenants: (i) non-solicitation of customers and employees of Intermex during employment and for three years thereafter; (ii) non-competition during employment and for nine months thereafter; (iii) non-disclosure of confidential information for an unspecified period; and (iv) perpetual non-disparagement. The CRO Employment Agreement also provides for severance upon a termination of employment under certain circumstances, as described below under “—Potential Payments upon Termination or Change in Control.”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End of Fiscal Year 2020</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1880" w:type="dxa"/>
            <w:vAlign w:val="bottom"/>
            <w:tcBorders>
              <w:top w:val="single" w:sz="8" w:color="auto"/>
              <w:left w:val="single" w:sz="8" w:color="auto"/>
              <w:right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840" w:type="dxa"/>
            <w:vAlign w:val="bottom"/>
            <w:tcBorders>
              <w:top w:val="single" w:sz="8" w:color="auto"/>
              <w:bottom w:val="single" w:sz="8" w:color="auto"/>
            </w:tcBorders>
          </w:tcPr>
          <w:p>
            <w:pPr>
              <w:spacing w:after="0"/>
              <w:rPr>
                <w:sz w:val="24"/>
                <w:szCs w:val="24"/>
                <w:color w:val="auto"/>
              </w:rPr>
            </w:pPr>
          </w:p>
        </w:tc>
        <w:tc>
          <w:tcPr>
            <w:tcW w:w="3940" w:type="dxa"/>
            <w:vAlign w:val="bottom"/>
            <w:tcBorders>
              <w:top w:val="single" w:sz="8" w:color="auto"/>
              <w:bottom w:val="single" w:sz="8" w:color="auto"/>
            </w:tcBorders>
            <w:gridSpan w:val="2"/>
          </w:tcPr>
          <w:p>
            <w:pPr>
              <w:ind w:left="1040"/>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1"/>
                <w:szCs w:val="21"/>
                <w:b w:val="1"/>
                <w:bCs w:val="1"/>
                <w:color w:val="auto"/>
                <w:vertAlign w:val="superscript"/>
              </w:rPr>
              <w:t>(1)</w:t>
            </w:r>
          </w:p>
        </w:tc>
        <w:tc>
          <w:tcPr>
            <w:tcW w:w="12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880" w:type="dxa"/>
            <w:vAlign w:val="bottom"/>
            <w:tcBorders>
              <w:left w:val="single" w:sz="8" w:color="auto"/>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21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Equity incentive plan</w:t>
            </w:r>
          </w:p>
        </w:tc>
        <w:tc>
          <w:tcPr>
            <w:tcW w:w="120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880" w:type="dxa"/>
            <w:vAlign w:val="bottom"/>
            <w:tcBorders>
              <w:left w:val="single" w:sz="8" w:color="auto"/>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vMerge w:val="continue"/>
          </w:tcPr>
          <w:p>
            <w:pPr>
              <w:spacing w:after="0"/>
              <w:rPr>
                <w:sz w:val="8"/>
                <w:szCs w:val="8"/>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0"/>
              </w:rPr>
              <w:t>underlying unexercised</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awards: Number of securities</w:t>
            </w:r>
          </w:p>
        </w:tc>
        <w:tc>
          <w:tcPr>
            <w:tcW w:w="120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880" w:type="dxa"/>
            <w:vAlign w:val="bottom"/>
            <w:tcBorders>
              <w:left w:val="single" w:sz="8" w:color="auto"/>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8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b w:val="1"/>
                <w:bCs w:val="1"/>
                <w:color w:val="auto"/>
                <w:w w:val="90"/>
              </w:rPr>
              <w:t>underlying unexercised</w:t>
            </w:r>
          </w:p>
        </w:tc>
        <w:tc>
          <w:tcPr>
            <w:tcW w:w="1780" w:type="dxa"/>
            <w:vAlign w:val="bottom"/>
            <w:tcBorders>
              <w:right w:val="single" w:sz="8" w:color="auto"/>
            </w:tcBorders>
            <w:vMerge w:val="continue"/>
          </w:tcPr>
          <w:p>
            <w:pPr>
              <w:spacing w:after="0"/>
              <w:rPr>
                <w:sz w:val="8"/>
                <w:szCs w:val="8"/>
                <w:color w:val="auto"/>
              </w:rPr>
            </w:pPr>
          </w:p>
        </w:tc>
        <w:tc>
          <w:tcPr>
            <w:tcW w:w="2160" w:type="dxa"/>
            <w:vAlign w:val="bottom"/>
            <w:tcBorders>
              <w:right w:val="single" w:sz="8" w:color="auto"/>
            </w:tcBorders>
            <w:vMerge w:val="continue"/>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80" w:type="dxa"/>
            <w:vAlign w:val="bottom"/>
            <w:tcBorders>
              <w:left w:val="single" w:sz="8" w:color="auto"/>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1840" w:type="dxa"/>
            <w:vAlign w:val="bottom"/>
            <w:tcBorders>
              <w:right w:val="single" w:sz="8" w:color="auto"/>
            </w:tcBorders>
            <w:vMerge w:val="continue"/>
          </w:tcPr>
          <w:p>
            <w:pPr>
              <w:spacing w:after="0"/>
              <w:rPr>
                <w:sz w:val="5"/>
                <w:szCs w:val="5"/>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6"/>
              </w:rPr>
              <w:t>options</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underlying unexercised</w:t>
            </w:r>
          </w:p>
        </w:tc>
        <w:tc>
          <w:tcPr>
            <w:tcW w:w="120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880" w:type="dxa"/>
            <w:vAlign w:val="bottom"/>
            <w:tcBorders>
              <w:left w:val="single" w:sz="8" w:color="auto"/>
              <w:right w:val="single" w:sz="8" w:color="auto"/>
            </w:tcBorders>
          </w:tcPr>
          <w:p>
            <w:pPr>
              <w:spacing w:after="0"/>
              <w:rPr>
                <w:sz w:val="10"/>
                <w:szCs w:val="10"/>
                <w:color w:val="auto"/>
              </w:rPr>
            </w:pPr>
          </w:p>
        </w:tc>
        <w:tc>
          <w:tcPr>
            <w:tcW w:w="120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b w:val="1"/>
                <w:bCs w:val="1"/>
                <w:color w:val="auto"/>
                <w:w w:val="86"/>
              </w:rPr>
              <w:t>options</w:t>
            </w:r>
          </w:p>
        </w:tc>
        <w:tc>
          <w:tcPr>
            <w:tcW w:w="1780" w:type="dxa"/>
            <w:vAlign w:val="bottom"/>
            <w:tcBorders>
              <w:right w:val="single" w:sz="8" w:color="auto"/>
            </w:tcBorders>
            <w:vMerge w:val="continue"/>
          </w:tcPr>
          <w:p>
            <w:pPr>
              <w:spacing w:after="0"/>
              <w:rPr>
                <w:sz w:val="10"/>
                <w:szCs w:val="10"/>
                <w:color w:val="auto"/>
              </w:rPr>
            </w:pPr>
          </w:p>
        </w:tc>
        <w:tc>
          <w:tcPr>
            <w:tcW w:w="216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b w:val="1"/>
                <w:bCs w:val="1"/>
                <w:color w:val="auto"/>
                <w:w w:val="93"/>
              </w:rPr>
              <w:t>Option</w:t>
            </w:r>
          </w:p>
        </w:tc>
        <w:tc>
          <w:tcPr>
            <w:tcW w:w="1200" w:type="dxa"/>
            <w:vAlign w:val="bottom"/>
            <w:tcBorders>
              <w:right w:val="single" w:sz="8" w:color="auto"/>
            </w:tcBorders>
            <w:vMerge w:val="restart"/>
          </w:tcPr>
          <w:p>
            <w:pPr>
              <w:jc w:val="center"/>
              <w:spacing w:after="0" w:line="162" w:lineRule="exact"/>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41"/>
        </w:trPr>
        <w:tc>
          <w:tcPr>
            <w:tcW w:w="1880" w:type="dxa"/>
            <w:vAlign w:val="bottom"/>
            <w:tcBorders>
              <w:left w:val="single" w:sz="8" w:color="auto"/>
              <w:right w:val="single" w:sz="8" w:color="auto"/>
            </w:tcBorders>
          </w:tcPr>
          <w:p>
            <w:pPr>
              <w:spacing w:after="0"/>
              <w:rPr>
                <w:sz w:val="3"/>
                <w:szCs w:val="3"/>
                <w:color w:val="auto"/>
              </w:rPr>
            </w:pPr>
          </w:p>
        </w:tc>
        <w:tc>
          <w:tcPr>
            <w:tcW w:w="1200" w:type="dxa"/>
            <w:vAlign w:val="bottom"/>
            <w:tcBorders>
              <w:right w:val="single" w:sz="8" w:color="auto"/>
            </w:tcBorders>
          </w:tcPr>
          <w:p>
            <w:pPr>
              <w:spacing w:after="0"/>
              <w:rPr>
                <w:sz w:val="3"/>
                <w:szCs w:val="3"/>
                <w:color w:val="auto"/>
              </w:rPr>
            </w:pPr>
          </w:p>
        </w:tc>
        <w:tc>
          <w:tcPr>
            <w:tcW w:w="1840" w:type="dxa"/>
            <w:vAlign w:val="bottom"/>
            <w:tcBorders>
              <w:right w:val="single" w:sz="8" w:color="auto"/>
            </w:tcBorders>
            <w:vMerge w:val="continue"/>
          </w:tcPr>
          <w:p>
            <w:pPr>
              <w:spacing w:after="0"/>
              <w:rPr>
                <w:sz w:val="3"/>
                <w:szCs w:val="3"/>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unearned options</w:t>
            </w:r>
          </w:p>
        </w:tc>
        <w:tc>
          <w:tcPr>
            <w:tcW w:w="1200" w:type="dxa"/>
            <w:vAlign w:val="bottom"/>
            <w:tcBorders>
              <w:right w:val="single" w:sz="8" w:color="auto"/>
            </w:tcBorders>
            <w:vMerge w:val="continue"/>
          </w:tcPr>
          <w:p>
            <w:pPr>
              <w:spacing w:after="0"/>
              <w:rPr>
                <w:sz w:val="3"/>
                <w:szCs w:val="3"/>
                <w:color w:val="auto"/>
              </w:rPr>
            </w:pPr>
          </w:p>
        </w:tc>
        <w:tc>
          <w:tcPr>
            <w:tcW w:w="120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vMerge w:val="restart"/>
          </w:tcPr>
          <w:p>
            <w:pPr>
              <w:ind w:left="740"/>
              <w:spacing w:after="0"/>
              <w:rPr>
                <w:sz w:val="20"/>
                <w:szCs w:val="20"/>
                <w:color w:val="auto"/>
              </w:rPr>
            </w:pPr>
            <w:r>
              <w:rPr>
                <w:rFonts w:ascii="Arial" w:cs="Arial" w:eastAsia="Arial" w:hAnsi="Arial"/>
                <w:sz w:val="16"/>
                <w:szCs w:val="16"/>
                <w:b w:val="1"/>
                <w:bCs w:val="1"/>
                <w:color w:val="auto"/>
              </w:rPr>
              <w:t>Name</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5"/>
              </w:rPr>
              <w:t>Grant Date</w:t>
            </w:r>
          </w:p>
        </w:tc>
        <w:tc>
          <w:tcPr>
            <w:tcW w:w="18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1"/>
              </w:rPr>
              <w:t>(#)</w:t>
            </w:r>
          </w:p>
        </w:tc>
        <w:tc>
          <w:tcPr>
            <w:tcW w:w="1780" w:type="dxa"/>
            <w:vAlign w:val="bottom"/>
            <w:tcBorders>
              <w:right w:val="single" w:sz="8" w:color="auto"/>
            </w:tcBorders>
            <w:vMerge w:val="continue"/>
          </w:tcPr>
          <w:p>
            <w:pPr>
              <w:spacing w:after="0"/>
              <w:rPr>
                <w:sz w:val="14"/>
                <w:szCs w:val="14"/>
                <w:color w:val="auto"/>
              </w:rPr>
            </w:pPr>
          </w:p>
        </w:tc>
        <w:tc>
          <w:tcPr>
            <w:tcW w:w="216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88"/>
              </w:rPr>
              <w:t>exercise price</w:t>
            </w:r>
          </w:p>
        </w:tc>
        <w:tc>
          <w:tcPr>
            <w:tcW w:w="120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4"/>
              </w:rPr>
              <w:t>expiration</w:t>
            </w:r>
          </w:p>
        </w:tc>
        <w:tc>
          <w:tcPr>
            <w:tcW w:w="0" w:type="dxa"/>
            <w:vAlign w:val="bottom"/>
          </w:tcPr>
          <w:p>
            <w:pPr>
              <w:spacing w:after="0"/>
              <w:rPr>
                <w:sz w:val="1"/>
                <w:szCs w:val="1"/>
                <w:color w:val="auto"/>
              </w:rPr>
            </w:pPr>
          </w:p>
        </w:tc>
      </w:tr>
      <w:tr>
        <w:trPr>
          <w:trHeight w:val="223"/>
        </w:trPr>
        <w:tc>
          <w:tcPr>
            <w:tcW w:w="1880" w:type="dxa"/>
            <w:vAlign w:val="bottom"/>
            <w:tcBorders>
              <w:left w:val="single" w:sz="8" w:color="auto"/>
              <w:bottom w:val="single" w:sz="8" w:color="auto"/>
              <w:right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vMerge w:val="continue"/>
          </w:tcPr>
          <w:p>
            <w:pPr>
              <w:spacing w:after="0"/>
              <w:rPr>
                <w:sz w:val="19"/>
                <w:szCs w:val="19"/>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exercisable</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unexercisable</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4"/>
              </w:rPr>
              <w:t>date</w:t>
            </w:r>
          </w:p>
        </w:tc>
        <w:tc>
          <w:tcPr>
            <w:tcW w:w="0" w:type="dxa"/>
            <w:vAlign w:val="bottom"/>
          </w:tcPr>
          <w:p>
            <w:pPr>
              <w:spacing w:after="0"/>
              <w:rPr>
                <w:sz w:val="1"/>
                <w:szCs w:val="1"/>
                <w:color w:val="auto"/>
              </w:rPr>
            </w:pPr>
          </w:p>
        </w:tc>
      </w:tr>
      <w:tr>
        <w:trPr>
          <w:trHeight w:val="193"/>
        </w:trPr>
        <w:tc>
          <w:tcPr>
            <w:tcW w:w="188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Robert Lisy</w:t>
            </w:r>
          </w:p>
        </w:tc>
        <w:tc>
          <w:tcPr>
            <w:tcW w:w="12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7/26/2018</w:t>
            </w:r>
          </w:p>
        </w:tc>
        <w:tc>
          <w:tcPr>
            <w:tcW w:w="18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594,951</w:t>
            </w:r>
          </w:p>
        </w:tc>
        <w:tc>
          <w:tcPr>
            <w:tcW w:w="17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3"/>
              </w:rPr>
              <w:t>594,951</w:t>
            </w:r>
          </w:p>
        </w:tc>
        <w:tc>
          <w:tcPr>
            <w:tcW w:w="21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$9.91</w:t>
            </w:r>
          </w:p>
        </w:tc>
        <w:tc>
          <w:tcPr>
            <w:tcW w:w="12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7/26/2028</w:t>
            </w: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shd w:val="clear" w:color="auto" w:fill="CCEEFF"/>
          </w:tcPr>
          <w:p>
            <w:pPr>
              <w:ind w:left="40"/>
              <w:spacing w:after="0" w:line="162" w:lineRule="exact"/>
              <w:rPr>
                <w:sz w:val="20"/>
                <w:szCs w:val="20"/>
                <w:color w:val="auto"/>
              </w:rPr>
            </w:pPr>
            <w:r>
              <w:rPr>
                <w:rFonts w:ascii="Arial" w:cs="Arial" w:eastAsia="Arial" w:hAnsi="Arial"/>
                <w:sz w:val="16"/>
                <w:szCs w:val="16"/>
                <w:i w:val="1"/>
                <w:iCs w:val="1"/>
                <w:color w:val="auto"/>
              </w:rPr>
              <w:t>Chief Executive Officer</w:t>
            </w:r>
          </w:p>
        </w:tc>
        <w:tc>
          <w:tcPr>
            <w:tcW w:w="1200" w:type="dxa"/>
            <w:vAlign w:val="bottom"/>
            <w:tcBorders>
              <w:right w:val="single" w:sz="8" w:color="auto"/>
            </w:tcBorders>
            <w:vMerge w:val="continue"/>
            <w:shd w:val="clear" w:color="auto" w:fill="CCEEFF"/>
          </w:tcPr>
          <w:p>
            <w:pPr>
              <w:spacing w:after="0"/>
              <w:rPr>
                <w:sz w:val="14"/>
                <w:szCs w:val="14"/>
                <w:color w:val="auto"/>
              </w:rPr>
            </w:pPr>
          </w:p>
        </w:tc>
        <w:tc>
          <w:tcPr>
            <w:tcW w:w="1840" w:type="dxa"/>
            <w:vAlign w:val="bottom"/>
            <w:tcBorders>
              <w:right w:val="single" w:sz="8" w:color="auto"/>
            </w:tcBorders>
            <w:vMerge w:val="continue"/>
            <w:shd w:val="clear" w:color="auto" w:fill="CCEEFF"/>
          </w:tcPr>
          <w:p>
            <w:pPr>
              <w:spacing w:after="0"/>
              <w:rPr>
                <w:sz w:val="14"/>
                <w:szCs w:val="14"/>
                <w:color w:val="auto"/>
              </w:rPr>
            </w:pPr>
          </w:p>
        </w:tc>
        <w:tc>
          <w:tcPr>
            <w:tcW w:w="1780" w:type="dxa"/>
            <w:vAlign w:val="bottom"/>
            <w:tcBorders>
              <w:right w:val="single" w:sz="8" w:color="auto"/>
            </w:tcBorders>
            <w:vMerge w:val="continue"/>
            <w:shd w:val="clear" w:color="auto" w:fill="CCEEFF"/>
          </w:tcPr>
          <w:p>
            <w:pPr>
              <w:spacing w:after="0"/>
              <w:rPr>
                <w:sz w:val="14"/>
                <w:szCs w:val="14"/>
                <w:color w:val="auto"/>
              </w:rPr>
            </w:pPr>
          </w:p>
        </w:tc>
        <w:tc>
          <w:tcPr>
            <w:tcW w:w="2160" w:type="dxa"/>
            <w:vAlign w:val="bottom"/>
            <w:tcBorders>
              <w:right w:val="single" w:sz="8" w:color="auto"/>
            </w:tcBorders>
            <w:vMerge w:val="continue"/>
            <w:shd w:val="clear" w:color="auto" w:fill="CCEEFF"/>
          </w:tcPr>
          <w:p>
            <w:pPr>
              <w:spacing w:after="0"/>
              <w:rPr>
                <w:sz w:val="14"/>
                <w:szCs w:val="14"/>
                <w:color w:val="auto"/>
              </w:rPr>
            </w:pPr>
          </w:p>
        </w:tc>
        <w:tc>
          <w:tcPr>
            <w:tcW w:w="1200" w:type="dxa"/>
            <w:vAlign w:val="bottom"/>
            <w:tcBorders>
              <w:right w:val="single" w:sz="8" w:color="auto"/>
            </w:tcBorders>
            <w:vMerge w:val="continue"/>
            <w:shd w:val="clear" w:color="auto" w:fill="CCEEFF"/>
          </w:tcPr>
          <w:p>
            <w:pPr>
              <w:spacing w:after="0"/>
              <w:rPr>
                <w:sz w:val="14"/>
                <w:szCs w:val="14"/>
                <w:color w:val="auto"/>
              </w:rPr>
            </w:pPr>
          </w:p>
        </w:tc>
        <w:tc>
          <w:tcPr>
            <w:tcW w:w="1200" w:type="dxa"/>
            <w:vAlign w:val="bottom"/>
            <w:tcBorders>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88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and President</w:t>
            </w: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840" w:type="dxa"/>
            <w:vAlign w:val="bottom"/>
            <w:tcBorders>
              <w:bottom w:val="single" w:sz="8" w:color="auto"/>
              <w:right w:val="single" w:sz="8" w:color="auto"/>
            </w:tcBorders>
            <w:shd w:val="clear" w:color="auto" w:fill="CCEEFF"/>
          </w:tcPr>
          <w:p>
            <w:pPr>
              <w:spacing w:after="0"/>
              <w:rPr>
                <w:sz w:val="19"/>
                <w:szCs w:val="19"/>
                <w:color w:val="auto"/>
              </w:rPr>
            </w:pPr>
          </w:p>
        </w:tc>
        <w:tc>
          <w:tcPr>
            <w:tcW w:w="1780" w:type="dxa"/>
            <w:vAlign w:val="bottom"/>
            <w:tcBorders>
              <w:bottom w:val="single" w:sz="8" w:color="auto"/>
              <w:right w:val="single" w:sz="8" w:color="auto"/>
            </w:tcBorders>
            <w:shd w:val="clear" w:color="auto" w:fill="CCEEFF"/>
          </w:tcPr>
          <w:p>
            <w:pPr>
              <w:spacing w:after="0"/>
              <w:rPr>
                <w:sz w:val="19"/>
                <w:szCs w:val="19"/>
                <w:color w:val="auto"/>
              </w:rPr>
            </w:pPr>
          </w:p>
        </w:tc>
        <w:tc>
          <w:tcPr>
            <w:tcW w:w="216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120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91"/>
        </w:trPr>
        <w:tc>
          <w:tcPr>
            <w:tcW w:w="18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Joseph Aguilar</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9/23/2019</w:t>
            </w: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31,250</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93,750</w:t>
            </w:r>
          </w:p>
        </w:tc>
        <w:tc>
          <w:tcPr>
            <w:tcW w:w="21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$14.46</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9/23/2029</w:t>
            </w:r>
          </w:p>
        </w:tc>
        <w:tc>
          <w:tcPr>
            <w:tcW w:w="0" w:type="dxa"/>
            <w:vAlign w:val="bottom"/>
          </w:tcPr>
          <w:p>
            <w:pPr>
              <w:spacing w:after="0"/>
              <w:rPr>
                <w:sz w:val="1"/>
                <w:szCs w:val="1"/>
                <w:color w:val="auto"/>
              </w:rPr>
            </w:pPr>
          </w:p>
        </w:tc>
      </w:tr>
      <w:tr>
        <w:trPr>
          <w:trHeight w:val="179"/>
        </w:trPr>
        <w:tc>
          <w:tcPr>
            <w:tcW w:w="1880" w:type="dxa"/>
            <w:vAlign w:val="bottom"/>
            <w:tcBorders>
              <w:left w:val="single" w:sz="8" w:color="auto"/>
              <w:right w:val="single" w:sz="8" w:color="auto"/>
            </w:tcBorders>
          </w:tcPr>
          <w:p>
            <w:pPr>
              <w:ind w:left="40"/>
              <w:spacing w:after="0" w:line="179" w:lineRule="exact"/>
              <w:rPr>
                <w:sz w:val="20"/>
                <w:szCs w:val="20"/>
                <w:color w:val="auto"/>
              </w:rPr>
            </w:pPr>
            <w:r>
              <w:rPr>
                <w:rFonts w:ascii="Arial" w:cs="Arial" w:eastAsia="Arial" w:hAnsi="Arial"/>
                <w:sz w:val="16"/>
                <w:szCs w:val="16"/>
                <w:i w:val="1"/>
                <w:iCs w:val="1"/>
                <w:color w:val="auto"/>
              </w:rPr>
              <w:t>Chief Operating Officer</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6/20/2020</w:t>
            </w:r>
          </w:p>
        </w:tc>
        <w:tc>
          <w:tcPr>
            <w:tcW w:w="1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w:t>
            </w:r>
          </w:p>
        </w:tc>
        <w:tc>
          <w:tcPr>
            <w:tcW w:w="1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3"/>
              </w:rPr>
              <w:t>125,500</w:t>
            </w:r>
          </w:p>
        </w:tc>
        <w:tc>
          <w:tcPr>
            <w:tcW w:w="2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99"/>
              </w:rPr>
              <w:t>—</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$12.45</w:t>
            </w: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w w:val="89"/>
              </w:rPr>
              <w:t>6/30/2030</w:t>
            </w:r>
          </w:p>
        </w:tc>
        <w:tc>
          <w:tcPr>
            <w:tcW w:w="0" w:type="dxa"/>
            <w:vAlign w:val="bottom"/>
          </w:tcPr>
          <w:p>
            <w:pPr>
              <w:spacing w:after="0"/>
              <w:rPr>
                <w:sz w:val="1"/>
                <w:szCs w:val="1"/>
                <w:color w:val="auto"/>
              </w:rPr>
            </w:pPr>
          </w:p>
        </w:tc>
      </w:tr>
      <w:tr>
        <w:trPr>
          <w:trHeight w:val="58"/>
        </w:trPr>
        <w:tc>
          <w:tcPr>
            <w:tcW w:w="1880" w:type="dxa"/>
            <w:vAlign w:val="bottom"/>
            <w:tcBorders>
              <w:left w:val="single" w:sz="8" w:color="auto"/>
              <w:right w:val="single" w:sz="8" w:color="auto"/>
            </w:tcBorders>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1840" w:type="dxa"/>
            <w:vAlign w:val="bottom"/>
            <w:tcBorders>
              <w:right w:val="single" w:sz="8" w:color="auto"/>
            </w:tcBorders>
            <w:vMerge w:val="continue"/>
          </w:tcPr>
          <w:p>
            <w:pPr>
              <w:spacing w:after="0"/>
              <w:rPr>
                <w:sz w:val="5"/>
                <w:szCs w:val="5"/>
                <w:color w:val="auto"/>
              </w:rPr>
            </w:pPr>
          </w:p>
        </w:tc>
        <w:tc>
          <w:tcPr>
            <w:tcW w:w="1780" w:type="dxa"/>
            <w:vAlign w:val="bottom"/>
            <w:tcBorders>
              <w:right w:val="single" w:sz="8" w:color="auto"/>
            </w:tcBorders>
            <w:vMerge w:val="continue"/>
          </w:tcPr>
          <w:p>
            <w:pPr>
              <w:spacing w:after="0"/>
              <w:rPr>
                <w:sz w:val="5"/>
                <w:szCs w:val="5"/>
                <w:color w:val="auto"/>
              </w:rPr>
            </w:pPr>
          </w:p>
        </w:tc>
        <w:tc>
          <w:tcPr>
            <w:tcW w:w="216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120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1880" w:type="dxa"/>
            <w:vAlign w:val="bottom"/>
            <w:tcBorders>
              <w:left w:val="single" w:sz="8" w:color="auto"/>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c>
          <w:tcPr>
            <w:tcW w:w="1780" w:type="dxa"/>
            <w:vAlign w:val="bottom"/>
            <w:tcBorders>
              <w:bottom w:val="single" w:sz="8" w:color="auto"/>
              <w:right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1880" w:type="dxa"/>
            <w:vAlign w:val="bottom"/>
            <w:tcBorders>
              <w:left w:val="single" w:sz="8" w:color="auto"/>
              <w:right w:val="single" w:sz="8" w:color="auto"/>
            </w:tcBorders>
            <w:shd w:val="clear" w:color="auto" w:fill="CCEEFF"/>
          </w:tcPr>
          <w:p>
            <w:pPr>
              <w:ind w:left="40"/>
              <w:spacing w:after="0" w:line="166" w:lineRule="exact"/>
              <w:rPr>
                <w:sz w:val="20"/>
                <w:szCs w:val="20"/>
                <w:color w:val="auto"/>
              </w:rPr>
            </w:pPr>
            <w:r>
              <w:rPr>
                <w:rFonts w:ascii="Arial" w:cs="Arial" w:eastAsia="Arial" w:hAnsi="Arial"/>
                <w:sz w:val="16"/>
                <w:szCs w:val="16"/>
                <w:color w:val="auto"/>
              </w:rPr>
              <w:t>Randall D. Nilsen</w:t>
            </w:r>
          </w:p>
        </w:tc>
        <w:tc>
          <w:tcPr>
            <w:tcW w:w="12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7/26/2018</w:t>
            </w:r>
          </w:p>
        </w:tc>
        <w:tc>
          <w:tcPr>
            <w:tcW w:w="184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115,000</w:t>
            </w:r>
          </w:p>
        </w:tc>
        <w:tc>
          <w:tcPr>
            <w:tcW w:w="17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115,000</w:t>
            </w:r>
          </w:p>
        </w:tc>
        <w:tc>
          <w:tcPr>
            <w:tcW w:w="216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2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$9.91</w:t>
            </w:r>
          </w:p>
        </w:tc>
        <w:tc>
          <w:tcPr>
            <w:tcW w:w="120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7/26/2028</w:t>
            </w:r>
          </w:p>
        </w:tc>
        <w:tc>
          <w:tcPr>
            <w:tcW w:w="0" w:type="dxa"/>
            <w:vAlign w:val="bottom"/>
          </w:tcPr>
          <w:p>
            <w:pPr>
              <w:spacing w:after="0"/>
              <w:rPr>
                <w:sz w:val="1"/>
                <w:szCs w:val="1"/>
                <w:color w:val="auto"/>
              </w:rPr>
            </w:pPr>
          </w:p>
        </w:tc>
      </w:tr>
      <w:tr>
        <w:trPr>
          <w:trHeight w:val="125"/>
        </w:trPr>
        <w:tc>
          <w:tcPr>
            <w:tcW w:w="1880" w:type="dxa"/>
            <w:vAlign w:val="bottom"/>
            <w:tcBorders>
              <w:left w:val="single" w:sz="8" w:color="auto"/>
              <w:right w:val="single" w:sz="8" w:color="auto"/>
            </w:tcBorders>
            <w:vMerge w:val="restart"/>
            <w:shd w:val="clear" w:color="auto" w:fill="CCEEFF"/>
          </w:tcPr>
          <w:p>
            <w:pPr>
              <w:ind w:left="40"/>
              <w:spacing w:after="0"/>
              <w:rPr>
                <w:sz w:val="20"/>
                <w:szCs w:val="20"/>
                <w:color w:val="auto"/>
              </w:rPr>
            </w:pPr>
            <w:r>
              <w:rPr>
                <w:rFonts w:ascii="Arial" w:cs="Arial" w:eastAsia="Arial" w:hAnsi="Arial"/>
                <w:sz w:val="16"/>
                <w:szCs w:val="16"/>
                <w:i w:val="1"/>
                <w:iCs w:val="1"/>
                <w:color w:val="auto"/>
              </w:rPr>
              <w:t>Chief Revenue Officer</w:t>
            </w:r>
          </w:p>
        </w:tc>
        <w:tc>
          <w:tcPr>
            <w:tcW w:w="1200" w:type="dxa"/>
            <w:vAlign w:val="bottom"/>
            <w:tcBorders>
              <w:right w:val="single" w:sz="8" w:color="auto"/>
            </w:tcBorders>
            <w:vMerge w:val="continue"/>
            <w:shd w:val="clear" w:color="auto" w:fill="CCEEFF"/>
          </w:tcPr>
          <w:p>
            <w:pPr>
              <w:spacing w:after="0"/>
              <w:rPr>
                <w:sz w:val="10"/>
                <w:szCs w:val="10"/>
                <w:color w:val="auto"/>
              </w:rPr>
            </w:pPr>
          </w:p>
        </w:tc>
        <w:tc>
          <w:tcPr>
            <w:tcW w:w="1840" w:type="dxa"/>
            <w:vAlign w:val="bottom"/>
            <w:tcBorders>
              <w:right w:val="single" w:sz="8" w:color="auto"/>
            </w:tcBorders>
            <w:vMerge w:val="continue"/>
            <w:shd w:val="clear" w:color="auto" w:fill="CCEEFF"/>
          </w:tcPr>
          <w:p>
            <w:pPr>
              <w:spacing w:after="0"/>
              <w:rPr>
                <w:sz w:val="10"/>
                <w:szCs w:val="10"/>
                <w:color w:val="auto"/>
              </w:rPr>
            </w:pPr>
          </w:p>
        </w:tc>
        <w:tc>
          <w:tcPr>
            <w:tcW w:w="1780" w:type="dxa"/>
            <w:vAlign w:val="bottom"/>
            <w:tcBorders>
              <w:right w:val="single" w:sz="8" w:color="auto"/>
            </w:tcBorders>
            <w:vMerge w:val="continue"/>
            <w:shd w:val="clear" w:color="auto" w:fill="CCEEFF"/>
          </w:tcPr>
          <w:p>
            <w:pPr>
              <w:spacing w:after="0"/>
              <w:rPr>
                <w:sz w:val="10"/>
                <w:szCs w:val="10"/>
                <w:color w:val="auto"/>
              </w:rPr>
            </w:pPr>
          </w:p>
        </w:tc>
        <w:tc>
          <w:tcPr>
            <w:tcW w:w="2160" w:type="dxa"/>
            <w:vAlign w:val="bottom"/>
            <w:tcBorders>
              <w:right w:val="single" w:sz="8" w:color="auto"/>
            </w:tcBorders>
            <w:vMerge w:val="continue"/>
            <w:shd w:val="clear" w:color="auto" w:fill="CCEEFF"/>
          </w:tcPr>
          <w:p>
            <w:pPr>
              <w:spacing w:after="0"/>
              <w:rPr>
                <w:sz w:val="10"/>
                <w:szCs w:val="10"/>
                <w:color w:val="auto"/>
              </w:rPr>
            </w:pPr>
          </w:p>
        </w:tc>
        <w:tc>
          <w:tcPr>
            <w:tcW w:w="1200" w:type="dxa"/>
            <w:vAlign w:val="bottom"/>
            <w:tcBorders>
              <w:right w:val="single" w:sz="8" w:color="auto"/>
            </w:tcBorders>
            <w:vMerge w:val="continue"/>
            <w:shd w:val="clear" w:color="auto" w:fill="CCEEFF"/>
          </w:tcPr>
          <w:p>
            <w:pPr>
              <w:spacing w:after="0"/>
              <w:rPr>
                <w:sz w:val="10"/>
                <w:szCs w:val="10"/>
                <w:color w:val="auto"/>
              </w:rPr>
            </w:pPr>
          </w:p>
        </w:tc>
        <w:tc>
          <w:tcPr>
            <w:tcW w:w="1200" w:type="dxa"/>
            <w:vAlign w:val="bottom"/>
            <w:tcBorders>
              <w:right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80" w:type="dxa"/>
            <w:vAlign w:val="bottom"/>
            <w:tcBorders>
              <w:left w:val="single" w:sz="8" w:color="auto"/>
              <w:bottom w:val="single" w:sz="8" w:color="auto"/>
              <w:right w:val="single" w:sz="8" w:color="auto"/>
            </w:tcBorders>
            <w:vMerge w:val="continue"/>
            <w:shd w:val="clear" w:color="auto" w:fill="CCEEFF"/>
          </w:tcPr>
          <w:p>
            <w:pPr>
              <w:spacing w:after="0"/>
              <w:rPr>
                <w:sz w:val="8"/>
                <w:szCs w:val="8"/>
                <w:color w:val="auto"/>
              </w:rPr>
            </w:pPr>
          </w:p>
        </w:tc>
        <w:tc>
          <w:tcPr>
            <w:tcW w:w="1200" w:type="dxa"/>
            <w:vAlign w:val="bottom"/>
            <w:tcBorders>
              <w:bottom w:val="single" w:sz="8" w:color="auto"/>
              <w:right w:val="single" w:sz="8" w:color="auto"/>
            </w:tcBorders>
            <w:shd w:val="clear" w:color="auto" w:fill="CCEEFF"/>
          </w:tcPr>
          <w:p>
            <w:pPr>
              <w:spacing w:after="0"/>
              <w:rPr>
                <w:sz w:val="8"/>
                <w:szCs w:val="8"/>
                <w:color w:val="auto"/>
              </w:rPr>
            </w:pPr>
          </w:p>
        </w:tc>
        <w:tc>
          <w:tcPr>
            <w:tcW w:w="1840" w:type="dxa"/>
            <w:vAlign w:val="bottom"/>
            <w:tcBorders>
              <w:bottom w:val="single" w:sz="8" w:color="auto"/>
              <w:right w:val="single" w:sz="8" w:color="auto"/>
            </w:tcBorders>
            <w:shd w:val="clear" w:color="auto" w:fill="CCEEFF"/>
          </w:tcPr>
          <w:p>
            <w:pPr>
              <w:spacing w:after="0"/>
              <w:rPr>
                <w:sz w:val="8"/>
                <w:szCs w:val="8"/>
                <w:color w:val="auto"/>
              </w:rPr>
            </w:pPr>
          </w:p>
        </w:tc>
        <w:tc>
          <w:tcPr>
            <w:tcW w:w="1780" w:type="dxa"/>
            <w:vAlign w:val="bottom"/>
            <w:tcBorders>
              <w:bottom w:val="single" w:sz="8" w:color="auto"/>
              <w:right w:val="single" w:sz="8" w:color="auto"/>
            </w:tcBorders>
            <w:shd w:val="clear" w:color="auto" w:fill="CCEEFF"/>
          </w:tcPr>
          <w:p>
            <w:pPr>
              <w:spacing w:after="0"/>
              <w:rPr>
                <w:sz w:val="8"/>
                <w:szCs w:val="8"/>
                <w:color w:val="auto"/>
              </w:rPr>
            </w:pPr>
          </w:p>
        </w:tc>
        <w:tc>
          <w:tcPr>
            <w:tcW w:w="2160" w:type="dxa"/>
            <w:vAlign w:val="bottom"/>
            <w:tcBorders>
              <w:bottom w:val="single" w:sz="8" w:color="auto"/>
              <w:right w:val="single" w:sz="8" w:color="auto"/>
            </w:tcBorders>
            <w:shd w:val="clear" w:color="auto" w:fill="CCEEFF"/>
          </w:tcPr>
          <w:p>
            <w:pPr>
              <w:spacing w:after="0"/>
              <w:rPr>
                <w:sz w:val="8"/>
                <w:szCs w:val="8"/>
                <w:color w:val="auto"/>
              </w:rPr>
            </w:pPr>
          </w:p>
        </w:tc>
        <w:tc>
          <w:tcPr>
            <w:tcW w:w="1200" w:type="dxa"/>
            <w:vAlign w:val="bottom"/>
            <w:tcBorders>
              <w:bottom w:val="single" w:sz="8" w:color="auto"/>
              <w:right w:val="single" w:sz="8" w:color="auto"/>
            </w:tcBorders>
            <w:shd w:val="clear" w:color="auto" w:fill="CCEEFF"/>
          </w:tcPr>
          <w:p>
            <w:pPr>
              <w:spacing w:after="0"/>
              <w:rPr>
                <w:sz w:val="8"/>
                <w:szCs w:val="8"/>
                <w:color w:val="auto"/>
              </w:rPr>
            </w:pPr>
          </w:p>
        </w:tc>
        <w:tc>
          <w:tcPr>
            <w:tcW w:w="1200" w:type="dxa"/>
            <w:vAlign w:val="bottom"/>
            <w:tcBorders>
              <w:bottom w:val="single" w:sz="8" w:color="auto"/>
              <w:right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6"/>
        </w:trPr>
        <w:tc>
          <w:tcPr>
            <w:tcW w:w="1880" w:type="dxa"/>
            <w:vAlign w:val="bottom"/>
            <w:tcBorders>
              <w:left w:val="single" w:sz="8" w:color="auto"/>
              <w:right w:val="single" w:sz="8" w:color="auto"/>
            </w:tcBorders>
          </w:tcPr>
          <w:p>
            <w:pPr>
              <w:ind w:left="40"/>
              <w:spacing w:after="0" w:line="166" w:lineRule="exact"/>
              <w:rPr>
                <w:sz w:val="20"/>
                <w:szCs w:val="20"/>
                <w:color w:val="auto"/>
              </w:rPr>
            </w:pPr>
            <w:r>
              <w:rPr>
                <w:rFonts w:ascii="Arial" w:cs="Arial" w:eastAsia="Arial" w:hAnsi="Arial"/>
                <w:sz w:val="16"/>
                <w:szCs w:val="16"/>
                <w:color w:val="auto"/>
              </w:rPr>
              <w:t>Tony Lauro</w:t>
            </w:r>
          </w:p>
        </w:tc>
        <w:tc>
          <w:tcPr>
            <w:tcW w:w="12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i w:val="1"/>
                <w:iCs w:val="1"/>
                <w:color w:val="auto"/>
              </w:rPr>
              <w:t>Former Chief Financial</w:t>
            </w:r>
          </w:p>
        </w:tc>
        <w:tc>
          <w:tcPr>
            <w:tcW w:w="1200" w:type="dxa"/>
            <w:vAlign w:val="bottom"/>
            <w:tcBorders>
              <w:right w:val="single" w:sz="8" w:color="auto"/>
            </w:tcBorders>
          </w:tcPr>
          <w:p>
            <w:pPr>
              <w:spacing w:after="0"/>
              <w:rPr>
                <w:sz w:val="14"/>
                <w:szCs w:val="14"/>
                <w:color w:val="auto"/>
              </w:rPr>
            </w:pPr>
          </w:p>
        </w:tc>
        <w:tc>
          <w:tcPr>
            <w:tcW w:w="184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rPr>
                <w:sz w:val="14"/>
                <w:szCs w:val="14"/>
                <w:color w:val="auto"/>
              </w:rPr>
            </w:pPr>
          </w:p>
        </w:tc>
        <w:tc>
          <w:tcPr>
            <w:tcW w:w="216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18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i w:val="1"/>
                <w:iCs w:val="1"/>
                <w:color w:val="auto"/>
              </w:rPr>
              <w:t>Officer (2)</w:t>
            </w:r>
          </w:p>
        </w:tc>
        <w:tc>
          <w:tcPr>
            <w:tcW w:w="1200" w:type="dxa"/>
            <w:vAlign w:val="bottom"/>
            <w:tcBorders>
              <w:bottom w:val="single" w:sz="8" w:color="auto"/>
              <w:right w:val="single" w:sz="8" w:color="auto"/>
            </w:tcBorders>
          </w:tcPr>
          <w:p>
            <w:pPr>
              <w:spacing w:after="0"/>
              <w:rPr>
                <w:sz w:val="19"/>
                <w:szCs w:val="19"/>
                <w:color w:val="auto"/>
              </w:rPr>
            </w:pPr>
          </w:p>
        </w:tc>
        <w:tc>
          <w:tcPr>
            <w:tcW w:w="18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216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right="20" w:hanging="332"/>
        <w:spacing w:after="0" w:line="255" w:lineRule="auto"/>
        <w:tabs>
          <w:tab w:leader="none" w:pos="3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Option Awards column reflects stock options granted to the applicable NEO on the dates shown, which vest and become exercisable in four equal installments beginning one year after the date of grant, subject to the NEO’s continued employment with the Company. The Option Awards described in this table were granted under the Intermex 2018 Omnibus Equity Compensation Plan.</w:t>
      </w:r>
    </w:p>
    <w:p>
      <w:pPr>
        <w:spacing w:after="0" w:line="2" w:lineRule="exact"/>
        <w:rPr>
          <w:rFonts w:ascii="Arial" w:cs="Arial" w:eastAsia="Arial" w:hAnsi="Arial"/>
          <w:sz w:val="18"/>
          <w:szCs w:val="18"/>
          <w:color w:val="auto"/>
        </w:rPr>
      </w:pPr>
    </w:p>
    <w:p>
      <w:pPr>
        <w:ind w:left="340" w:right="20" w:hanging="332"/>
        <w:spacing w:after="0" w:line="260" w:lineRule="auto"/>
        <w:tabs>
          <w:tab w:leader="none" w:pos="3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Lauro resigned as the Chief Financial Officer of the Company effective November 13, 2020. Mr. Lauro did not have any outstanding equity awards at the end of fiscal year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 Programs</w:t>
      </w:r>
    </w:p>
    <w:p>
      <w:pPr>
        <w:spacing w:after="0" w:line="25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Company maintains a tax-qualified defined contribution plan (the “401(k) Plan”) that provides retirement benefits to employees, including matching contributions. The Company matches 50% of each employee’s contributions up to a maximum of 3% of their total compensation. The NEOs are eligible to participate in the 401(k) Plan on the same terms as other participating employees.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Severance under Employment Agreements</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Pursuant to the terms of the employment agreements with Mr. Lisy, Mr. Aguilar and Mr. Nilsen, the NEOs are entitled to receive certain payments in connection with certain termination events.</w:t>
      </w:r>
    </w:p>
    <w:p>
      <w:pPr>
        <w:spacing w:after="0" w:line="197" w:lineRule="exact"/>
        <w:rPr>
          <w:sz w:val="20"/>
          <w:szCs w:val="20"/>
          <w:color w:val="auto"/>
        </w:rPr>
      </w:pPr>
    </w:p>
    <w:p>
      <w:pPr>
        <w:jc w:val="both"/>
        <w:ind w:right="20" w:firstLine="324"/>
        <w:spacing w:after="0" w:line="271" w:lineRule="auto"/>
        <w:rPr>
          <w:sz w:val="20"/>
          <w:szCs w:val="20"/>
          <w:color w:val="auto"/>
        </w:rPr>
      </w:pPr>
      <w:r>
        <w:rPr>
          <w:rFonts w:ascii="Arial" w:cs="Arial" w:eastAsia="Arial" w:hAnsi="Arial"/>
          <w:sz w:val="17"/>
          <w:szCs w:val="17"/>
          <w:color w:val="auto"/>
        </w:rPr>
        <w:t>In the event that (i) Mr. Lisy is terminated by Intermex other than for Cause, Disability (as such terms are defined in the New CEO Employment Agreement) or death, (ii) if Mr. Lisy resigns for Good Reason (as defined in the New CEO Employment Agreement) or (iii) Mr. Lisy’s employment is terminated pursuant to the Company providing notice of non-renewal of the term of the New CEO Employment Agreement, Mr. Lisy is entitled to an amount equal to two times the sum of Mr. Lisy’s base salary and Mr. Lisy’s target bonus payable in equal installments over the two year period following termination and any other Accrued Rights (as defined in the New CEO Employment Agreement). In the event Mr. Lisy’s employment is terminated by us for Cause (as defined in the New CEO Employment Agreement), Mr. Lisy would be entitled to receive any base salary through the date of termination that remains unpaid as of the date of termination, any accrued and unpaid bonus for any previously completed year that Mr. Lisy is entitled to receive as of the date of termination, and any other Accrued Rights (as defined in the New CEO Employment Agreement).</w:t>
      </w:r>
    </w:p>
    <w:p>
      <w:pPr>
        <w:spacing w:after="0" w:line="20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If Mr. Lisy resigns for retirement (resignation after attainment of age 66 and providing six months’ notice), then outstanding awards granted under the Intermex long term incentive program will continue to vest in accordance with their original vesting schedule, subject to attainment of any applicable performance goals.</w:t>
      </w:r>
    </w:p>
    <w:p>
      <w:pPr>
        <w:spacing w:after="0" w:line="211"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Pursuant to the New CEO Employment Agreement, in the event that any of the payments or benefits provided by Intermex to Mr. Lisy (whether pursuant to the terms of the New CEO Employment Agreement or any equity compensation or other agreement with Intermex) would constitute “parachute payments” (“Parachute Payments”) within the meaning of Section 280G of the Code, and would be subject to the excise tax imposed under Section 4999 of the Code or any interest or penalties with respect to such excise tax (collectively, the “Excise Tax”), then such Parachute Payments to be made to Mr. Lisy shall be payable either (1) in full or (2) as to such lesser amount which would result in no portion of such Parachute Payments being subject to the Excise Tax, whichever of the foregoing amounts, taking into account</w:t>
      </w:r>
    </w:p>
    <w:p>
      <w:pPr>
        <w:sectPr>
          <w:pgSz w:w="11900" w:h="16838" w:orient="portrait"/>
          <w:cols w:equalWidth="0" w:num="1">
            <w:col w:w="11260"/>
          </w:cols>
          <w:pgMar w:left="320" w:top="125" w:right="319" w:bottom="1440" w:gutter="0" w:footer="0" w:header="0"/>
        </w:sectPr>
      </w:pP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type w:val="continuous"/>
        </w:sectPr>
      </w:pPr>
    </w:p>
    <w:bookmarkStart w:id="92" w:name="page93"/>
    <w:bookmarkEnd w:id="92"/>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applicable federal, state and local income taxes and the Excise Tax, results in Mr. Lisy’s receipt on an after-tax basis, of the greatest amount of economic benefits under the New CEO Employment Agreement, notwithstanding that all or some portion of such benefits may be subject to the Excise Tax. If a reduction in the Parachute Payment is necessary, then the reduction shall occur in accordance with the terms of the New CEO Employment Agreement.</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event that Mr. Aguilar is terminated by Intermex other than for Cause, Disability (as defined in the COO Employment Agreement) or death or if Mr. Aguilar resigns for Good Reason (as defined in the COO Employment Agreement), he is entitled to base salary continuation for nine months, a pro-rata portion of his target bonus for the year in which termination occurs (less any bonus amounts already paid for such year) and any other Accrued Rights (as defined in the COO Employment Agreement). In the event Mr. Aguilar’s employment is terminated by the Company for Cause (as defined in the COO Employment Agreement), Mr. Aguilar would be entitled to any base salary through the date of termination that remains unpaid as of the date of termination, any accrued and unpaid bonus for any previously completed bonus period that Mr. Aguilar is entitled to receive as of the date of termination, and any other Accrued Rights (as defined in the COO Employment Agreement).</w:t>
      </w:r>
    </w:p>
    <w:p>
      <w:pPr>
        <w:spacing w:after="0" w:line="20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the event that Mr. Nilsen is terminated by Intermex other than for Cause, Disability (as defined in the CRO Employment Agreement) or death or if Mr. Nilsen resigns for Good Reason (as defined in the CRO Employment Agreement), he is entitled to base salary continuation for nine months, a pro-rata portion of his target bonus for the year in which termination occurs (less any bonus amounts already paid for such year) and any other Accrued Rights (as defined in the CRO Employment Agreement). In the event Mr. Nilsen’s employment is terminated by the Company for Cause (as defined in the CRO Employment Agreement), Mr. Nilsen would be entitled to receive any base salary through the date of termination that remains unpaid as of the date of termination, any accrued and unpaid bonus for any previously completed bonus period that Mr. Nilsen is entitled to receive as of the date of termination, and any other Accrued Rights (as defined in the CRO Employment Agreement).</w:t>
      </w:r>
    </w:p>
    <w:p>
      <w:pPr>
        <w:spacing w:after="0" w:line="20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the rights described above upon certain terminations, termination of an NEO’s employment due to death or disability of will result in accelerated of vesting of outstanding awards under the Intermex 2018 Omnibus Equity Compensation Plan (the “2018 Plan”) and the 2020 Plan, although the number of any outstanding PSUs that vest depends on when the termination occurs during the applicable vesting period (either 100% of target or based on attainment of performance goals).</w:t>
      </w:r>
    </w:p>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the event of a change in control (as defined in the 2018 Plan) of Intermex, the NEO would be entitled to a full vesting of all options outstanding under the 2018 Plan. For options and other equity awards (RSUs or PSUs) granted on or after June 26, 2020, the award will be granted under the 2020 Plan. Although none of the NEOs have an award under the 2020 Plan as of December 31, 2020, awards granted under the standard form of option and RSU award agreements under the 2020 Plan provide that upon a change in control (as defined in the 2020 Plan) of Intermex, all awards will vest for an NEO if</w:t>
      </w:r>
    </w:p>
    <w:p>
      <w:pPr>
        <w:spacing w:after="0" w:line="1" w:lineRule="exact"/>
        <w:rPr>
          <w:sz w:val="20"/>
          <w:szCs w:val="20"/>
          <w:color w:val="auto"/>
        </w:rPr>
      </w:pPr>
    </w:p>
    <w:p>
      <w:pPr>
        <w:ind w:firstLine="8"/>
        <w:spacing w:after="0" w:line="260" w:lineRule="auto"/>
        <w:tabs>
          <w:tab w:leader="none" w:pos="25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award is not assumed in the change in control and (b) the award in assumed in the change in control but within two years following the change in control the NEO’s employment is terminated without Cause (as defined in the 2020 Plan form of award agreement).</w:t>
      </w:r>
    </w:p>
    <w:p>
      <w:pPr>
        <w:spacing w:after="0" w:line="21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For awards of PSUs under the 2020 Plan standard form, if a change in control (as defined in the 2020 Plan) of Intermex occurs, the PSUs will generally convert into RSUs if the award is assumed in the change in control and the RSUs will continue to vest either based on target or based on attainment of performance goals through the change in control, but the other vesting rules applicable to RSU awards under the 2020 Plan will then apply (either full acceleration of vesting if no assumption of the RSU in the change in control or full acceleration of vesting following a termination without Cause within 2 years following the change in control). In addition, in the event of a termination without Cause (as defined in the 2020 Plan form PSU agreement) after the first year of the performance period, a pro rata portion of the PSUs may vest depending upon attainment of performance goals identified in the PSU agreement. Except for the terms of the awards for Mr. Lisy as described above, awards of RSUs and PSUs granted to NEOs in March 2021 each contain the terms set forth in the standard form of RSU and PSU agreement, as applicable.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directors for fiscal year 2020 included Robert Lisy, Justin Wender, Adam Godfrey, Robert Jahn, John Rincon, Stephen Paul, Kurt Holstein, Michael Purcell, Christopher Lofgren and Laura Maydón. Only the independent non-employee directors of the Company, John Rincon, Kurt Holstein, Michael Purcell, Christopher Lofgren and Laura Maydón, received compensation for their service as directors for the fiscal year ended December 31, 2020. Robert Jahn and Stephen Paul retired from the Board of Directors effective September 14, 2020; Laura Maydón joined the Board of Directors effective October 15, 2020.</w:t>
      </w:r>
    </w:p>
    <w:p>
      <w:pPr>
        <w:spacing w:after="0" w:line="21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Until September 30, 2020, the compensation of the independent non-employee directors consisted of the following: (a) annual cash retainer amount of $50,000; (b) an additional annual cash retainer of $35,000 for the Audit Committee Chair and an additional annual cash retainer of $10,000 for each non-chair member of the Audit Committee; (c) an additional annual cash retainer of $15,000 for the Compensation Committee Chair and an additional annual cash retainer of $7,500 for each non-chair member of the Compensation Committee; (d) an additional annual cash retainer of $10,000 for the Nominating and Corporate Governance Committee Chair and an additional annual cash retainer of $5,000 for non-chair members of the Nominating and Corporate Governance Committee; and (e) $70,000 paid in an equity-based award, vesting on the one-year anniversary of the grant date.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Effective October 1, 2020, the Compensation Committee of the Board approved the following changes to the compensation of the independent non-employee directors: (a) the Lead Independent Director will receive an annual retainer of $36,000 in cash and $36,000 in an award of fully vested shares, payable on a quarterly basis, at the end of each quarter; (b) the Audit Committee Chair will receive an annual retainer of $12,000 in cash and $12,000 in an award of fully vested shares, payable on a quarterly basis, at the end of each quarter; (c) the Compensation Committee Chair and Nominating and Corporate Governance Committee Chair will each receive an annual retainer of $8,000 in cash and $8,000 in an award of fully vested shares, payable on a quarterly basis at the end of each quarter; (d) the non-chair members of all committees will each receive an annual retainer of $8,000 in cash payable on an annual basis; and (e) the equity portion of the annual retainer for all independent non-employee directors was increased to $100,000, payable on an annual basis in an equity-based award that vests on the one-year anniversary of the grant date. Independent non-employee directors will also each continue to receive an annual cash retainer of $50,000, payable on an annual basis.</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Also, all members of our Board of Directors are reimbursed for their usual and customary expenses incurred in connection with attending all Board and other committee meetings.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for Fiscal Year 2020</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information for the year ended December 31, 2020 regarding the compensation awarded to, earned by or paid to our independent non-employee directors: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2540" w:type="dxa"/>
            <w:vAlign w:val="bottom"/>
          </w:tcPr>
          <w:p>
            <w:pPr>
              <w:jc w:val="center"/>
              <w:ind w:left="50"/>
              <w:spacing w:after="0"/>
              <w:rPr>
                <w:sz w:val="20"/>
                <w:szCs w:val="20"/>
                <w:color w:val="auto"/>
              </w:rPr>
            </w:pPr>
            <w:r>
              <w:rPr>
                <w:rFonts w:ascii="Arial" w:cs="Arial" w:eastAsia="Arial" w:hAnsi="Arial"/>
                <w:sz w:val="18"/>
                <w:szCs w:val="18"/>
                <w:b w:val="1"/>
                <w:bCs w:val="1"/>
                <w:color w:val="auto"/>
                <w:w w:val="87"/>
              </w:rPr>
              <w:t>Fees earned or</w:t>
            </w:r>
          </w:p>
        </w:tc>
        <w:tc>
          <w:tcPr>
            <w:tcW w:w="1960" w:type="dxa"/>
            <w:vAlign w:val="bottom"/>
          </w:tcPr>
          <w:p>
            <w:pPr>
              <w:jc w:val="center"/>
              <w:ind w:right="35"/>
              <w:spacing w:after="0"/>
              <w:rPr>
                <w:sz w:val="20"/>
                <w:szCs w:val="20"/>
                <w:color w:val="auto"/>
              </w:rPr>
            </w:pPr>
            <w:r>
              <w:rPr>
                <w:rFonts w:ascii="Arial" w:cs="Arial" w:eastAsia="Arial" w:hAnsi="Arial"/>
                <w:sz w:val="18"/>
                <w:szCs w:val="18"/>
                <w:b w:val="1"/>
                <w:bCs w:val="1"/>
                <w:color w:val="auto"/>
                <w:w w:val="89"/>
              </w:rPr>
              <w:t>Stock</w:t>
            </w:r>
          </w:p>
        </w:tc>
        <w:tc>
          <w:tcPr>
            <w:tcW w:w="2120" w:type="dxa"/>
            <w:vAlign w:val="bottom"/>
            <w:vMerge w:val="restart"/>
          </w:tcPr>
          <w:p>
            <w:pPr>
              <w:ind w:left="8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5"/>
        </w:trPr>
        <w:tc>
          <w:tcPr>
            <w:tcW w:w="2620" w:type="dxa"/>
            <w:vAlign w:val="bottom"/>
            <w:vMerge w:val="restart"/>
          </w:tcPr>
          <w:p>
            <w:pPr>
              <w:ind w:left="108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23"/>
                <w:szCs w:val="23"/>
                <w:b w:val="1"/>
                <w:bCs w:val="1"/>
                <w:color w:val="auto"/>
                <w:vertAlign w:val="superscript"/>
              </w:rPr>
              <w:t>(1)</w:t>
            </w:r>
          </w:p>
        </w:tc>
        <w:tc>
          <w:tcPr>
            <w:tcW w:w="2540" w:type="dxa"/>
            <w:vAlign w:val="bottom"/>
          </w:tcPr>
          <w:p>
            <w:pPr>
              <w:jc w:val="center"/>
              <w:ind w:left="90"/>
              <w:spacing w:after="0" w:line="176" w:lineRule="exact"/>
              <w:rPr>
                <w:sz w:val="20"/>
                <w:szCs w:val="20"/>
                <w:color w:val="auto"/>
              </w:rPr>
            </w:pPr>
            <w:r>
              <w:rPr>
                <w:rFonts w:ascii="Arial" w:cs="Arial" w:eastAsia="Arial" w:hAnsi="Arial"/>
                <w:sz w:val="18"/>
                <w:szCs w:val="18"/>
                <w:b w:val="1"/>
                <w:bCs w:val="1"/>
                <w:color w:val="auto"/>
                <w:w w:val="88"/>
              </w:rPr>
              <w:t>paid in cash</w:t>
            </w:r>
          </w:p>
        </w:tc>
        <w:tc>
          <w:tcPr>
            <w:tcW w:w="1960" w:type="dxa"/>
            <w:vAlign w:val="bottom"/>
          </w:tcPr>
          <w:p>
            <w:pPr>
              <w:jc w:val="center"/>
              <w:ind w:right="35"/>
              <w:spacing w:after="0" w:line="176" w:lineRule="exact"/>
              <w:rPr>
                <w:sz w:val="20"/>
                <w:szCs w:val="20"/>
                <w:color w:val="auto"/>
              </w:rPr>
            </w:pPr>
            <w:r>
              <w:rPr>
                <w:rFonts w:ascii="Arial" w:cs="Arial" w:eastAsia="Arial" w:hAnsi="Arial"/>
                <w:sz w:val="18"/>
                <w:szCs w:val="18"/>
                <w:b w:val="1"/>
                <w:bCs w:val="1"/>
                <w:color w:val="auto"/>
                <w:w w:val="90"/>
              </w:rPr>
              <w:t>awards</w:t>
            </w:r>
          </w:p>
        </w:tc>
        <w:tc>
          <w:tcPr>
            <w:tcW w:w="2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620" w:type="dxa"/>
            <w:vAlign w:val="bottom"/>
            <w:tcBorders>
              <w:bottom w:val="single" w:sz="8" w:color="auto"/>
            </w:tcBorders>
            <w:vMerge w:val="continue"/>
          </w:tcPr>
          <w:p>
            <w:pPr>
              <w:spacing w:after="0"/>
              <w:rPr>
                <w:sz w:val="20"/>
                <w:szCs w:val="20"/>
                <w:color w:val="auto"/>
              </w:rPr>
            </w:pPr>
          </w:p>
        </w:tc>
        <w:tc>
          <w:tcPr>
            <w:tcW w:w="25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0"/>
              </w:rPr>
              <w:t>($)</w:t>
            </w:r>
          </w:p>
        </w:tc>
        <w:tc>
          <w:tcPr>
            <w:tcW w:w="1960" w:type="dxa"/>
            <w:vAlign w:val="bottom"/>
            <w:tcBorders>
              <w:bottom w:val="single" w:sz="8" w:color="auto"/>
            </w:tcBorders>
          </w:tcPr>
          <w:p>
            <w:pPr>
              <w:jc w:val="center"/>
              <w:ind w:right="35"/>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0"/>
                <w:szCs w:val="10"/>
                <w:b w:val="1"/>
                <w:bCs w:val="1"/>
                <w:color w:val="auto"/>
              </w:rPr>
              <w:t>(2)(3)</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John Rincon</w:t>
            </w:r>
          </w:p>
        </w:tc>
        <w:tc>
          <w:tcPr>
            <w:tcW w:w="25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$67,125</w:t>
            </w:r>
          </w:p>
        </w:tc>
        <w:tc>
          <w:tcPr>
            <w:tcW w:w="196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9"/>
              </w:rPr>
              <w:t>$92,110</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$159,235</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Kurt Holstein</w:t>
            </w:r>
          </w:p>
        </w:tc>
        <w:tc>
          <w:tcPr>
            <w:tcW w:w="2540" w:type="dxa"/>
            <w:vAlign w:val="bottom"/>
          </w:tcPr>
          <w:p>
            <w:pPr>
              <w:jc w:val="center"/>
              <w:ind w:left="70"/>
              <w:spacing w:after="0"/>
              <w:rPr>
                <w:sz w:val="20"/>
                <w:szCs w:val="20"/>
                <w:color w:val="auto"/>
              </w:rPr>
            </w:pPr>
            <w:r>
              <w:rPr>
                <w:rFonts w:ascii="Arial" w:cs="Arial" w:eastAsia="Arial" w:hAnsi="Arial"/>
                <w:sz w:val="18"/>
                <w:szCs w:val="18"/>
                <w:color w:val="auto"/>
                <w:w w:val="89"/>
              </w:rPr>
              <w:t>$67,750</w:t>
            </w:r>
          </w:p>
        </w:tc>
        <w:tc>
          <w:tcPr>
            <w:tcW w:w="1960" w:type="dxa"/>
            <w:vAlign w:val="bottom"/>
          </w:tcPr>
          <w:p>
            <w:pPr>
              <w:jc w:val="center"/>
              <w:ind w:right="15"/>
              <w:spacing w:after="0"/>
              <w:rPr>
                <w:sz w:val="20"/>
                <w:szCs w:val="20"/>
                <w:color w:val="auto"/>
              </w:rPr>
            </w:pPr>
            <w:r>
              <w:rPr>
                <w:rFonts w:ascii="Arial" w:cs="Arial" w:eastAsia="Arial" w:hAnsi="Arial"/>
                <w:sz w:val="18"/>
                <w:szCs w:val="18"/>
                <w:color w:val="auto"/>
                <w:w w:val="89"/>
              </w:rPr>
              <w:t>$92,110</w:t>
            </w:r>
          </w:p>
        </w:tc>
        <w:tc>
          <w:tcPr>
            <w:tcW w:w="2120" w:type="dxa"/>
            <w:vAlign w:val="bottom"/>
          </w:tcPr>
          <w:p>
            <w:pPr>
              <w:jc w:val="center"/>
              <w:spacing w:after="0"/>
              <w:rPr>
                <w:sz w:val="20"/>
                <w:szCs w:val="20"/>
                <w:color w:val="auto"/>
              </w:rPr>
            </w:pPr>
            <w:r>
              <w:rPr>
                <w:rFonts w:ascii="Arial" w:cs="Arial" w:eastAsia="Arial" w:hAnsi="Arial"/>
                <w:sz w:val="18"/>
                <w:szCs w:val="18"/>
                <w:color w:val="auto"/>
                <w:w w:val="87"/>
              </w:rPr>
              <w:t>$159,860</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Purcell</w:t>
            </w:r>
          </w:p>
        </w:tc>
        <w:tc>
          <w:tcPr>
            <w:tcW w:w="25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$95,406</w:t>
            </w:r>
          </w:p>
        </w:tc>
        <w:tc>
          <w:tcPr>
            <w:tcW w:w="196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9"/>
              </w:rPr>
              <w:t>$92,110</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$187,516</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Christopher Lofgren</w:t>
            </w:r>
          </w:p>
        </w:tc>
        <w:tc>
          <w:tcPr>
            <w:tcW w:w="2540" w:type="dxa"/>
            <w:vAlign w:val="bottom"/>
          </w:tcPr>
          <w:p>
            <w:pPr>
              <w:jc w:val="center"/>
              <w:ind w:left="70"/>
              <w:spacing w:after="0"/>
              <w:rPr>
                <w:sz w:val="20"/>
                <w:szCs w:val="20"/>
                <w:color w:val="auto"/>
              </w:rPr>
            </w:pPr>
            <w:r>
              <w:rPr>
                <w:rFonts w:ascii="Arial" w:cs="Arial" w:eastAsia="Arial" w:hAnsi="Arial"/>
                <w:sz w:val="18"/>
                <w:szCs w:val="18"/>
                <w:color w:val="auto"/>
                <w:w w:val="89"/>
              </w:rPr>
              <w:t>$61,500</w:t>
            </w:r>
          </w:p>
        </w:tc>
        <w:tc>
          <w:tcPr>
            <w:tcW w:w="1960" w:type="dxa"/>
            <w:vAlign w:val="bottom"/>
          </w:tcPr>
          <w:p>
            <w:pPr>
              <w:jc w:val="center"/>
              <w:ind w:right="15"/>
              <w:spacing w:after="0"/>
              <w:rPr>
                <w:sz w:val="20"/>
                <w:szCs w:val="20"/>
                <w:color w:val="auto"/>
              </w:rPr>
            </w:pPr>
            <w:r>
              <w:rPr>
                <w:rFonts w:ascii="Arial" w:cs="Arial" w:eastAsia="Arial" w:hAnsi="Arial"/>
                <w:sz w:val="18"/>
                <w:szCs w:val="18"/>
                <w:color w:val="auto"/>
                <w:w w:val="89"/>
              </w:rPr>
              <w:t>$92,110</w:t>
            </w:r>
          </w:p>
        </w:tc>
        <w:tc>
          <w:tcPr>
            <w:tcW w:w="2120" w:type="dxa"/>
            <w:vAlign w:val="bottom"/>
          </w:tcPr>
          <w:p>
            <w:pPr>
              <w:jc w:val="center"/>
              <w:spacing w:after="0"/>
              <w:rPr>
                <w:sz w:val="20"/>
                <w:szCs w:val="20"/>
                <w:color w:val="auto"/>
              </w:rPr>
            </w:pPr>
            <w:r>
              <w:rPr>
                <w:rFonts w:ascii="Arial" w:cs="Arial" w:eastAsia="Arial" w:hAnsi="Arial"/>
                <w:sz w:val="18"/>
                <w:szCs w:val="18"/>
                <w:color w:val="auto"/>
                <w:w w:val="87"/>
              </w:rPr>
              <w:t>$153,610</w:t>
            </w: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Laura Maydón</w:t>
            </w:r>
            <w:r>
              <w:rPr>
                <w:rFonts w:ascii="Arial" w:cs="Arial" w:eastAsia="Arial" w:hAnsi="Arial"/>
                <w:sz w:val="23"/>
                <w:szCs w:val="23"/>
                <w:color w:val="auto"/>
                <w:vertAlign w:val="superscript"/>
              </w:rPr>
              <w:t>(4)</w:t>
            </w:r>
          </w:p>
        </w:tc>
        <w:tc>
          <w:tcPr>
            <w:tcW w:w="254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9"/>
              </w:rPr>
              <w:t>$31,500</w:t>
            </w:r>
          </w:p>
        </w:tc>
        <w:tc>
          <w:tcPr>
            <w:tcW w:w="1960" w:type="dxa"/>
            <w:vAlign w:val="bottom"/>
            <w:shd w:val="clear" w:color="auto" w:fill="CCEEFF"/>
          </w:tcPr>
          <w:p>
            <w:pPr>
              <w:jc w:val="center"/>
              <w:ind w:right="15"/>
              <w:spacing w:after="0"/>
              <w:rPr>
                <w:sz w:val="20"/>
                <w:szCs w:val="20"/>
                <w:color w:val="auto"/>
              </w:rPr>
            </w:pPr>
            <w:r>
              <w:rPr>
                <w:rFonts w:ascii="Arial" w:cs="Arial" w:eastAsia="Arial" w:hAnsi="Arial"/>
                <w:sz w:val="18"/>
                <w:szCs w:val="18"/>
                <w:color w:val="auto"/>
                <w:w w:val="89"/>
              </w:rPr>
              <w:t>$69,900</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$101,400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34"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Does not include any non-independent directors, including directors who also serve as officers of the Company, as these directors do not receive compensation for their service on the Board of Directors.</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34"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shown in this column represent the grant date fair value of restricted stock units issued to each of the Company’s independent directors during fiscal year 2020 as computed in accordance with FASB ASC Topic 718. For a discussion of the assumptions made in the valuation reflected in these columns, see Note 14 to the Consolidated Financial Statements in this Annual Report on Form 10-K.</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Represents the aggregate number of unvested restricted stock units outstanding for each of our independent directors as of December 31, 2020.</w:t>
      </w:r>
    </w:p>
    <w:p>
      <w:pPr>
        <w:spacing w:after="0" w:line="263" w:lineRule="exact"/>
        <w:rPr>
          <w:rFonts w:ascii="Arial" w:cs="Arial" w:eastAsia="Arial" w:hAnsi="Arial"/>
          <w:sz w:val="17"/>
          <w:szCs w:val="17"/>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Ms. Maydón joined the Board effective October 15, 2020.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40" w:right="420" w:hanging="1295"/>
        <w:spacing w:after="0" w:line="282" w:lineRule="auto"/>
        <w:tabs>
          <w:tab w:leader="none" w:pos="9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sets forth information about our common stock that may be issued under all of our equity compensation plans as of December 31, 2020, which included: the International Money Express, Inc. 2018 Omnibus Equity Compensation Plan (“2018 Plan”) the International Money Express, Inc. 2020 Omnibus Equity Compensation Plan (“2020 Plan”) and the International Money Express, Inc. 2020 Employee Stock Purchase Plan (the “ESPP”), each of which was approved by the Company’s stockholders. The 2018 Plan was terminated effective June 26,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9"/>
              </w:rPr>
              <w:t>Number of securities</w:t>
            </w:r>
          </w:p>
        </w:tc>
        <w:tc>
          <w:tcPr>
            <w:tcW w:w="1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8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Number of securities remaining</w:t>
            </w: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21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Weighted-average</w:t>
            </w:r>
          </w:p>
        </w:tc>
        <w:tc>
          <w:tcPr>
            <w:tcW w:w="2880" w:type="dxa"/>
            <w:vAlign w:val="bottom"/>
          </w:tcPr>
          <w:p>
            <w:pPr>
              <w:jc w:val="center"/>
              <w:ind w:right="250"/>
              <w:spacing w:after="0" w:line="176" w:lineRule="exact"/>
              <w:rPr>
                <w:sz w:val="20"/>
                <w:szCs w:val="20"/>
                <w:color w:val="auto"/>
              </w:rPr>
            </w:pPr>
            <w:r>
              <w:rPr>
                <w:rFonts w:ascii="Arial" w:cs="Arial" w:eastAsia="Arial" w:hAnsi="Arial"/>
                <w:sz w:val="18"/>
                <w:szCs w:val="18"/>
                <w:b w:val="1"/>
                <w:bCs w:val="1"/>
                <w:color w:val="auto"/>
                <w:w w:val="91"/>
              </w:rPr>
              <w:t>available</w:t>
            </w: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84"/>
              </w:rPr>
              <w:t>to be issued upon exercise</w:t>
            </w:r>
          </w:p>
        </w:tc>
        <w:tc>
          <w:tcPr>
            <w:tcW w:w="14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2880" w:type="dxa"/>
            <w:vAlign w:val="bottom"/>
          </w:tcPr>
          <w:p>
            <w:pPr>
              <w:jc w:val="center"/>
              <w:ind w:right="310"/>
              <w:spacing w:after="0" w:line="176" w:lineRule="exact"/>
              <w:rPr>
                <w:sz w:val="20"/>
                <w:szCs w:val="20"/>
                <w:color w:val="auto"/>
              </w:rPr>
            </w:pPr>
            <w:r>
              <w:rPr>
                <w:rFonts w:ascii="Arial" w:cs="Arial" w:eastAsia="Arial" w:hAnsi="Arial"/>
                <w:sz w:val="18"/>
                <w:szCs w:val="18"/>
                <w:b w:val="1"/>
                <w:bCs w:val="1"/>
                <w:color w:val="auto"/>
                <w:w w:val="88"/>
              </w:rPr>
              <w:t>for future issuance</w:t>
            </w: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3"/>
              </w:rPr>
              <w:t>of</w:t>
            </w:r>
          </w:p>
        </w:tc>
        <w:tc>
          <w:tcPr>
            <w:tcW w:w="140" w:type="dxa"/>
            <w:vAlign w:val="bottom"/>
          </w:tcPr>
          <w:p>
            <w:pPr>
              <w:spacing w:after="0"/>
              <w:rPr>
                <w:sz w:val="15"/>
                <w:szCs w:val="15"/>
                <w:color w:val="auto"/>
              </w:rPr>
            </w:pPr>
          </w:p>
        </w:tc>
        <w:tc>
          <w:tcPr>
            <w:tcW w:w="2160" w:type="dxa"/>
            <w:vAlign w:val="bottom"/>
            <w:gridSpan w:val="2"/>
          </w:tcPr>
          <w:p>
            <w:pPr>
              <w:jc w:val="center"/>
              <w:ind w:right="240"/>
              <w:spacing w:after="0" w:line="176" w:lineRule="exact"/>
              <w:rPr>
                <w:sz w:val="20"/>
                <w:szCs w:val="20"/>
                <w:color w:val="auto"/>
              </w:rPr>
            </w:pPr>
            <w:r>
              <w:rPr>
                <w:rFonts w:ascii="Arial" w:cs="Arial" w:eastAsia="Arial" w:hAnsi="Arial"/>
                <w:sz w:val="18"/>
                <w:szCs w:val="18"/>
                <w:b w:val="1"/>
                <w:bCs w:val="1"/>
                <w:color w:val="auto"/>
                <w:w w:val="87"/>
              </w:rPr>
              <w:t>exercise price of</w:t>
            </w:r>
          </w:p>
        </w:tc>
        <w:tc>
          <w:tcPr>
            <w:tcW w:w="2880" w:type="dxa"/>
            <w:vAlign w:val="bottom"/>
          </w:tcPr>
          <w:p>
            <w:pPr>
              <w:jc w:val="center"/>
              <w:ind w:right="250"/>
              <w:spacing w:after="0" w:line="176" w:lineRule="exact"/>
              <w:rPr>
                <w:sz w:val="20"/>
                <w:szCs w:val="20"/>
                <w:color w:val="auto"/>
              </w:rPr>
            </w:pPr>
            <w:r>
              <w:rPr>
                <w:rFonts w:ascii="Arial" w:cs="Arial" w:eastAsia="Arial" w:hAnsi="Arial"/>
                <w:sz w:val="18"/>
                <w:szCs w:val="18"/>
                <w:b w:val="1"/>
                <w:bCs w:val="1"/>
                <w:color w:val="auto"/>
                <w:w w:val="90"/>
              </w:rPr>
              <w:t>under equity</w:t>
            </w: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88"/>
              </w:rPr>
              <w:t>outstanding options, RSUs,</w:t>
            </w:r>
          </w:p>
        </w:tc>
        <w:tc>
          <w:tcPr>
            <w:tcW w:w="140" w:type="dxa"/>
            <w:vAlign w:val="bottom"/>
          </w:tcPr>
          <w:p>
            <w:pPr>
              <w:spacing w:after="0"/>
              <w:rPr>
                <w:sz w:val="15"/>
                <w:szCs w:val="15"/>
                <w:color w:val="auto"/>
              </w:rPr>
            </w:pPr>
          </w:p>
        </w:tc>
        <w:tc>
          <w:tcPr>
            <w:tcW w:w="216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7"/>
              </w:rPr>
              <w:t>outstanding</w:t>
            </w:r>
          </w:p>
        </w:tc>
        <w:tc>
          <w:tcPr>
            <w:tcW w:w="2880" w:type="dxa"/>
            <w:vAlign w:val="bottom"/>
          </w:tcPr>
          <w:p>
            <w:pPr>
              <w:jc w:val="center"/>
              <w:ind w:right="250"/>
              <w:spacing w:after="0" w:line="176" w:lineRule="exact"/>
              <w:rPr>
                <w:sz w:val="20"/>
                <w:szCs w:val="20"/>
                <w:color w:val="auto"/>
              </w:rPr>
            </w:pPr>
            <w:r>
              <w:rPr>
                <w:rFonts w:ascii="Arial" w:cs="Arial" w:eastAsia="Arial" w:hAnsi="Arial"/>
                <w:sz w:val="18"/>
                <w:szCs w:val="18"/>
                <w:b w:val="1"/>
                <w:bCs w:val="1"/>
                <w:color w:val="auto"/>
                <w:w w:val="86"/>
              </w:rPr>
              <w:t>compensation plans (excluding</w:t>
            </w:r>
          </w:p>
        </w:tc>
        <w:tc>
          <w:tcPr>
            <w:tcW w:w="0" w:type="dxa"/>
            <w:vAlign w:val="bottom"/>
          </w:tcPr>
          <w:p>
            <w:pPr>
              <w:spacing w:after="0"/>
              <w:rPr>
                <w:sz w:val="1"/>
                <w:szCs w:val="1"/>
                <w:color w:val="auto"/>
              </w:rPr>
            </w:pPr>
          </w:p>
        </w:tc>
      </w:tr>
      <w:tr>
        <w:trPr>
          <w:trHeight w:val="176"/>
        </w:trPr>
        <w:tc>
          <w:tcPr>
            <w:tcW w:w="35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22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warrants</w:t>
            </w:r>
          </w:p>
        </w:tc>
        <w:tc>
          <w:tcPr>
            <w:tcW w:w="140" w:type="dxa"/>
            <w:vAlign w:val="bottom"/>
          </w:tcPr>
          <w:p>
            <w:pPr>
              <w:spacing w:after="0"/>
              <w:rPr>
                <w:sz w:val="15"/>
                <w:szCs w:val="15"/>
                <w:color w:val="auto"/>
              </w:rPr>
            </w:pPr>
          </w:p>
        </w:tc>
        <w:tc>
          <w:tcPr>
            <w:tcW w:w="2160" w:type="dxa"/>
            <w:vAlign w:val="bottom"/>
            <w:gridSpan w:val="2"/>
          </w:tcPr>
          <w:p>
            <w:pPr>
              <w:jc w:val="center"/>
              <w:ind w:right="220"/>
              <w:spacing w:after="0" w:line="176" w:lineRule="exact"/>
              <w:rPr>
                <w:sz w:val="20"/>
                <w:szCs w:val="20"/>
                <w:color w:val="auto"/>
              </w:rPr>
            </w:pPr>
            <w:r>
              <w:rPr>
                <w:rFonts w:ascii="Arial" w:cs="Arial" w:eastAsia="Arial" w:hAnsi="Arial"/>
                <w:sz w:val="18"/>
                <w:szCs w:val="18"/>
                <w:b w:val="1"/>
                <w:bCs w:val="1"/>
                <w:color w:val="auto"/>
                <w:w w:val="89"/>
              </w:rPr>
              <w:t>options, RSUs, warrants</w:t>
            </w:r>
          </w:p>
        </w:tc>
        <w:tc>
          <w:tcPr>
            <w:tcW w:w="2880" w:type="dxa"/>
            <w:vAlign w:val="bottom"/>
          </w:tcPr>
          <w:p>
            <w:pPr>
              <w:jc w:val="center"/>
              <w:ind w:right="250"/>
              <w:spacing w:after="0" w:line="176" w:lineRule="exact"/>
              <w:rPr>
                <w:sz w:val="20"/>
                <w:szCs w:val="20"/>
                <w:color w:val="auto"/>
              </w:rPr>
            </w:pPr>
            <w:r>
              <w:rPr>
                <w:rFonts w:ascii="Arial" w:cs="Arial" w:eastAsia="Arial" w:hAnsi="Arial"/>
                <w:sz w:val="18"/>
                <w:szCs w:val="18"/>
                <w:b w:val="1"/>
                <w:bCs w:val="1"/>
                <w:color w:val="auto"/>
                <w:w w:val="83"/>
              </w:rPr>
              <w:t>securities</w:t>
            </w:r>
          </w:p>
        </w:tc>
        <w:tc>
          <w:tcPr>
            <w:tcW w:w="0" w:type="dxa"/>
            <w:vAlign w:val="bottom"/>
          </w:tcPr>
          <w:p>
            <w:pPr>
              <w:spacing w:after="0"/>
              <w:rPr>
                <w:sz w:val="1"/>
                <w:szCs w:val="1"/>
                <w:color w:val="auto"/>
              </w:rPr>
            </w:pPr>
          </w:p>
        </w:tc>
      </w:tr>
      <w:tr>
        <w:trPr>
          <w:trHeight w:val="229"/>
        </w:trPr>
        <w:tc>
          <w:tcPr>
            <w:tcW w:w="3500" w:type="dxa"/>
            <w:vAlign w:val="bottom"/>
            <w:gridSpan w:val="2"/>
            <w:vMerge w:val="continue"/>
          </w:tcPr>
          <w:p>
            <w:pPr>
              <w:spacing w:after="0"/>
              <w:rPr>
                <w:sz w:val="19"/>
                <w:szCs w:val="19"/>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and rights</w:t>
            </w:r>
          </w:p>
        </w:tc>
        <w:tc>
          <w:tcPr>
            <w:tcW w:w="140" w:type="dxa"/>
            <w:vAlign w:val="bottom"/>
          </w:tcPr>
          <w:p>
            <w:pPr>
              <w:spacing w:after="0"/>
              <w:rPr>
                <w:sz w:val="19"/>
                <w:szCs w:val="19"/>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and rights</w:t>
            </w:r>
          </w:p>
        </w:tc>
        <w:tc>
          <w:tcPr>
            <w:tcW w:w="2880" w:type="dxa"/>
            <w:vAlign w:val="bottom"/>
          </w:tcPr>
          <w:p>
            <w:pPr>
              <w:jc w:val="center"/>
              <w:ind w:right="250"/>
              <w:spacing w:after="0"/>
              <w:rPr>
                <w:sz w:val="20"/>
                <w:szCs w:val="20"/>
                <w:color w:val="auto"/>
              </w:rPr>
            </w:pPr>
            <w:r>
              <w:rPr>
                <w:rFonts w:ascii="Arial" w:cs="Arial" w:eastAsia="Arial" w:hAnsi="Arial"/>
                <w:sz w:val="18"/>
                <w:szCs w:val="18"/>
                <w:b w:val="1"/>
                <w:bCs w:val="1"/>
                <w:color w:val="auto"/>
                <w:w w:val="89"/>
              </w:rPr>
              <w:t>reflected in column (a))</w:t>
            </w:r>
          </w:p>
        </w:tc>
        <w:tc>
          <w:tcPr>
            <w:tcW w:w="0" w:type="dxa"/>
            <w:vAlign w:val="bottom"/>
          </w:tcPr>
          <w:p>
            <w:pPr>
              <w:spacing w:after="0"/>
              <w:rPr>
                <w:sz w:val="1"/>
                <w:szCs w:val="1"/>
                <w:color w:val="auto"/>
              </w:rPr>
            </w:pPr>
          </w:p>
        </w:tc>
      </w:tr>
      <w:tr>
        <w:trPr>
          <w:trHeight w:val="237"/>
        </w:trPr>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(a)</w:t>
            </w:r>
          </w:p>
        </w:tc>
        <w:tc>
          <w:tcPr>
            <w:tcW w:w="140" w:type="dxa"/>
            <w:vAlign w:val="bottom"/>
          </w:tcPr>
          <w:p>
            <w:pPr>
              <w:spacing w:after="0"/>
              <w:rPr>
                <w:sz w:val="20"/>
                <w:szCs w:val="20"/>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(b)</w:t>
            </w:r>
          </w:p>
        </w:tc>
        <w:tc>
          <w:tcPr>
            <w:tcW w:w="2880" w:type="dxa"/>
            <w:vAlign w:val="bottom"/>
          </w:tcPr>
          <w:p>
            <w:pPr>
              <w:jc w:val="center"/>
              <w:ind w:right="230"/>
              <w:spacing w:after="0"/>
              <w:rPr>
                <w:sz w:val="20"/>
                <w:szCs w:val="20"/>
                <w:color w:val="auto"/>
              </w:rPr>
            </w:pPr>
            <w:r>
              <w:rPr>
                <w:rFonts w:ascii="Arial" w:cs="Arial" w:eastAsia="Arial" w:hAnsi="Arial"/>
                <w:sz w:val="18"/>
                <w:szCs w:val="18"/>
                <w:color w:val="auto"/>
                <w:w w:val="95"/>
              </w:rPr>
              <w:t>(c)</w:t>
            </w:r>
          </w:p>
        </w:tc>
        <w:tc>
          <w:tcPr>
            <w:tcW w:w="0" w:type="dxa"/>
            <w:vAlign w:val="bottom"/>
          </w:tcPr>
          <w:p>
            <w:pPr>
              <w:spacing w:after="0"/>
              <w:rPr>
                <w:sz w:val="1"/>
                <w:szCs w:val="1"/>
                <w:color w:val="auto"/>
              </w:rPr>
            </w:pPr>
          </w:p>
        </w:tc>
      </w:tr>
      <w:tr>
        <w:trPr>
          <w:trHeight w:val="176"/>
        </w:trPr>
        <w:tc>
          <w:tcPr>
            <w:tcW w:w="340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Equity compensation plans approved by</w:t>
            </w:r>
          </w:p>
        </w:tc>
        <w:tc>
          <w:tcPr>
            <w:tcW w:w="10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2,755,783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tcBorders>
            <w:shd w:val="clear" w:color="auto" w:fill="CCEEFF"/>
          </w:tcPr>
          <w:p>
            <w:pPr>
              <w:spacing w:after="0"/>
              <w:rPr>
                <w:sz w:val="15"/>
                <w:szCs w:val="15"/>
                <w:color w:val="auto"/>
              </w:rPr>
            </w:pPr>
          </w:p>
        </w:tc>
        <w:tc>
          <w:tcPr>
            <w:tcW w:w="2880" w:type="dxa"/>
            <w:vAlign w:val="bottom"/>
            <w:tcBorders>
              <w:top w:val="single" w:sz="8" w:color="auto"/>
            </w:tcBorders>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4,084,111 (1)</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security holders</w:t>
            </w:r>
          </w:p>
        </w:tc>
        <w:tc>
          <w:tcPr>
            <w:tcW w:w="22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2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0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9"/>
              </w:rPr>
              <w:t>Equity compensation plans not approved by</w:t>
            </w:r>
          </w:p>
        </w:tc>
        <w:tc>
          <w:tcPr>
            <w:tcW w:w="2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880" w:type="dxa"/>
            <w:vAlign w:val="bottom"/>
            <w:vMerge w:val="restart"/>
          </w:tcPr>
          <w:p>
            <w:pPr>
              <w:jc w:val="right"/>
              <w:ind w:right="3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gridSpan w:val="2"/>
          </w:tcPr>
          <w:p>
            <w:pPr>
              <w:ind w:left="180"/>
              <w:spacing w:after="0"/>
              <w:rPr>
                <w:sz w:val="20"/>
                <w:szCs w:val="20"/>
                <w:color w:val="auto"/>
              </w:rPr>
            </w:pPr>
            <w:r>
              <w:rPr>
                <w:rFonts w:ascii="Arial" w:cs="Arial" w:eastAsia="Arial" w:hAnsi="Arial"/>
                <w:sz w:val="18"/>
                <w:szCs w:val="18"/>
                <w:color w:val="auto"/>
              </w:rPr>
              <w:t>security holders</w:t>
            </w:r>
          </w:p>
        </w:tc>
        <w:tc>
          <w:tcPr>
            <w:tcW w:w="2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gridSpan w:val="2"/>
            <w:vMerge w:val="continue"/>
          </w:tcPr>
          <w:p>
            <w:pPr>
              <w:spacing w:after="0"/>
              <w:rPr>
                <w:sz w:val="19"/>
                <w:szCs w:val="19"/>
                <w:color w:val="auto"/>
              </w:rPr>
            </w:pPr>
          </w:p>
        </w:tc>
        <w:tc>
          <w:tcPr>
            <w:tcW w:w="2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2,755,783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4,084,111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540" w:right="1560" w:hanging="5532"/>
        <w:spacing w:after="0" w:line="340" w:lineRule="auto"/>
        <w:tabs>
          <w:tab w:leader="none" w:pos="3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3,334,111 shares available for issuance under the 2020 Plan and 750,000 shares available for issuance under the ESPP.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56"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following table sets forth certain information regarding the beneficial ownership of our outstanding shares of common stock as of March 5, 2021 by: (a) each person or “group” (as such term is used in Section 13(d)(3) of the Exchange Act) who is known by us to beneficially own 5% or more of our shares of Common Stock, (b) each of our directors and each of our NEOs, and (c) all of our directors and executive officers as a group. Except as otherwise indicated, the persons named in the table below have sole voting and investment power with respect to all of the common stock owned by them.</w:t>
      </w:r>
    </w:p>
    <w:p>
      <w:pPr>
        <w:spacing w:after="0" w:line="18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Unless otherwise provided, beneficial ownership of common stock of the Company is based on 38,218,156 shares of common stock of the Company issued and outstanding as of March 5, 2021.</w:t>
      </w:r>
    </w:p>
    <w:p>
      <w:pPr>
        <w:spacing w:after="0" w:line="19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below have sole voting and investment power with respect to all shares of common stock beneficially owned.</w:t>
      </w:r>
    </w:p>
    <w:p>
      <w:pPr>
        <w:spacing w:after="0" w:line="200" w:lineRule="exact"/>
        <w:rPr>
          <w:sz w:val="20"/>
          <w:szCs w:val="20"/>
          <w:color w:val="auto"/>
        </w:rPr>
      </w:pPr>
    </w:p>
    <w:p>
      <w:pPr>
        <w:spacing w:after="0" w:line="259"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3980" w:type="dxa"/>
            <w:vAlign w:val="bottom"/>
            <w:gridSpan w:val="2"/>
          </w:tcPr>
          <w:p>
            <w:pPr>
              <w:jc w:val="right"/>
              <w:spacing w:after="0"/>
              <w:rPr>
                <w:sz w:val="20"/>
                <w:szCs w:val="20"/>
                <w:color w:val="auto"/>
              </w:rPr>
            </w:pPr>
            <w:r>
              <w:rPr>
                <w:rFonts w:ascii="Arial" w:cs="Arial" w:eastAsia="Arial" w:hAnsi="Arial"/>
                <w:sz w:val="18"/>
                <w:szCs w:val="18"/>
                <w:b w:val="1"/>
                <w:bCs w:val="1"/>
                <w:color w:val="auto"/>
              </w:rPr>
              <w:t>Number of Shares of Percentage of Common</w:t>
            </w:r>
          </w:p>
        </w:tc>
      </w:tr>
      <w:tr>
        <w:trPr>
          <w:trHeight w:val="203"/>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220" w:type="dxa"/>
            <w:vAlign w:val="bottom"/>
          </w:tcPr>
          <w:p>
            <w:pPr>
              <w:jc w:val="center"/>
              <w:ind w:left="250"/>
              <w:spacing w:after="0" w:line="202" w:lineRule="exact"/>
              <w:rPr>
                <w:sz w:val="20"/>
                <w:szCs w:val="20"/>
                <w:color w:val="auto"/>
              </w:rPr>
            </w:pPr>
            <w:r>
              <w:rPr>
                <w:rFonts w:ascii="Arial" w:cs="Arial" w:eastAsia="Arial" w:hAnsi="Arial"/>
                <w:sz w:val="18"/>
                <w:szCs w:val="18"/>
                <w:b w:val="1"/>
                <w:bCs w:val="1"/>
                <w:color w:val="auto"/>
                <w:w w:val="90"/>
              </w:rPr>
              <w:t>Common Stock</w:t>
            </w:r>
          </w:p>
        </w:tc>
        <w:tc>
          <w:tcPr>
            <w:tcW w:w="176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89"/>
              </w:rPr>
              <w:t>Stock Beneficially</w:t>
            </w:r>
          </w:p>
        </w:tc>
      </w:tr>
      <w:tr>
        <w:trPr>
          <w:trHeight w:val="189"/>
        </w:trPr>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220" w:type="dxa"/>
            <w:vAlign w:val="bottom"/>
          </w:tcPr>
          <w:p>
            <w:pPr>
              <w:jc w:val="center"/>
              <w:ind w:left="250"/>
              <w:spacing w:after="0" w:line="189" w:lineRule="exact"/>
              <w:rPr>
                <w:sz w:val="20"/>
                <w:szCs w:val="20"/>
                <w:color w:val="auto"/>
              </w:rPr>
            </w:pPr>
            <w:r>
              <w:rPr>
                <w:rFonts w:ascii="Arial" w:cs="Arial" w:eastAsia="Arial" w:hAnsi="Arial"/>
                <w:sz w:val="18"/>
                <w:szCs w:val="18"/>
                <w:b w:val="1"/>
                <w:bCs w:val="1"/>
                <w:color w:val="auto"/>
                <w:w w:val="89"/>
              </w:rPr>
              <w:t>Beneficially Owned</w:t>
            </w:r>
          </w:p>
        </w:tc>
        <w:tc>
          <w:tcPr>
            <w:tcW w:w="17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3"/>
              </w:rPr>
              <w:t>Owned</w:t>
            </w:r>
          </w:p>
        </w:tc>
      </w:tr>
      <w:tr>
        <w:trPr>
          <w:trHeight w:val="234"/>
        </w:trPr>
        <w:tc>
          <w:tcPr>
            <w:tcW w:w="20" w:type="dxa"/>
            <w:vAlign w:val="bottom"/>
          </w:tcPr>
          <w:p>
            <w:pPr>
              <w:spacing w:after="0"/>
              <w:rPr>
                <w:sz w:val="20"/>
                <w:szCs w:val="20"/>
                <w:color w:val="auto"/>
              </w:rPr>
            </w:pPr>
          </w:p>
        </w:tc>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Name of Beneficial Owners</w:t>
            </w:r>
          </w:p>
        </w:tc>
        <w:tc>
          <w:tcPr>
            <w:tcW w:w="2220" w:type="dxa"/>
            <w:vAlign w:val="bottom"/>
          </w:tcPr>
          <w:p>
            <w:pPr>
              <w:jc w:val="center"/>
              <w:ind w:left="250"/>
              <w:spacing w:after="0"/>
              <w:rPr>
                <w:sz w:val="20"/>
                <w:szCs w:val="20"/>
                <w:color w:val="auto"/>
              </w:rPr>
            </w:pPr>
            <w:r>
              <w:rPr>
                <w:rFonts w:ascii="Arial" w:cs="Arial" w:eastAsia="Arial" w:hAnsi="Arial"/>
                <w:sz w:val="18"/>
                <w:szCs w:val="18"/>
                <w:b w:val="1"/>
                <w:bCs w:val="1"/>
                <w:color w:val="auto"/>
                <w:w w:val="90"/>
              </w:rPr>
              <w:t>(1)</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(2)</w:t>
            </w:r>
          </w:p>
        </w:tc>
      </w:tr>
      <w:tr>
        <w:trPr>
          <w:trHeight w:val="54"/>
        </w:trPr>
        <w:tc>
          <w:tcPr>
            <w:tcW w:w="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20" w:type="dxa"/>
            <w:vAlign w:val="bottom"/>
          </w:tcPr>
          <w:p>
            <w:pPr>
              <w:spacing w:after="0"/>
              <w:rPr>
                <w:sz w:val="4"/>
                <w:szCs w:val="4"/>
                <w:color w:val="auto"/>
              </w:rPr>
            </w:pPr>
          </w:p>
        </w:tc>
        <w:tc>
          <w:tcPr>
            <w:tcW w:w="2580" w:type="dxa"/>
            <w:vAlign w:val="bottom"/>
          </w:tcPr>
          <w:p>
            <w:pPr>
              <w:spacing w:after="0"/>
              <w:rPr>
                <w:sz w:val="4"/>
                <w:szCs w:val="4"/>
                <w:color w:val="auto"/>
              </w:rPr>
            </w:pPr>
          </w:p>
        </w:tc>
        <w:tc>
          <w:tcPr>
            <w:tcW w:w="2220" w:type="dxa"/>
            <w:vAlign w:val="bottom"/>
          </w:tcPr>
          <w:p>
            <w:pPr>
              <w:spacing w:after="0"/>
              <w:rPr>
                <w:sz w:val="4"/>
                <w:szCs w:val="4"/>
                <w:color w:val="auto"/>
              </w:rPr>
            </w:pPr>
          </w:p>
        </w:tc>
        <w:tc>
          <w:tcPr>
            <w:tcW w:w="1760" w:type="dxa"/>
            <w:vAlign w:val="bottom"/>
          </w:tcPr>
          <w:p>
            <w:pPr>
              <w:spacing w:after="0"/>
              <w:rPr>
                <w:sz w:val="4"/>
                <w:szCs w:val="4"/>
                <w:color w:val="auto"/>
              </w:rPr>
            </w:pPr>
          </w:p>
        </w:tc>
      </w:tr>
      <w:tr>
        <w:trPr>
          <w:trHeight w:val="209"/>
        </w:trPr>
        <w:tc>
          <w:tcPr>
            <w:tcW w:w="20" w:type="dxa"/>
            <w:vAlign w:val="bottom"/>
            <w:shd w:val="clear" w:color="auto" w:fill="CCEEFF"/>
          </w:tcPr>
          <w:p>
            <w:pPr>
              <w:spacing w:after="0"/>
              <w:rPr>
                <w:sz w:val="18"/>
                <w:szCs w:val="18"/>
                <w:color w:val="auto"/>
              </w:rPr>
            </w:pPr>
          </w:p>
        </w:tc>
        <w:tc>
          <w:tcPr>
            <w:tcW w:w="500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Directors and Executive Officers:</w:t>
            </w:r>
            <w:r>
              <w:rPr>
                <w:rFonts w:ascii="Arial" w:cs="Arial" w:eastAsia="Arial" w:hAnsi="Arial"/>
                <w:sz w:val="21"/>
                <w:szCs w:val="21"/>
                <w:i w:val="1"/>
                <w:iCs w:val="1"/>
                <w:color w:val="auto"/>
                <w:vertAlign w:val="superscript"/>
              </w:rPr>
              <w:t>(3)</w:t>
            </w:r>
          </w:p>
        </w:tc>
        <w:tc>
          <w:tcPr>
            <w:tcW w:w="2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2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Robert Lisy (4)</w:t>
            </w:r>
          </w:p>
        </w:tc>
        <w:tc>
          <w:tcPr>
            <w:tcW w:w="2580" w:type="dxa"/>
            <w:vAlign w:val="bottom"/>
            <w:tcBorders>
              <w:top w:val="single" w:sz="8" w:color="CCEEFF"/>
            </w:tcBorders>
          </w:tcPr>
          <w:p>
            <w:pPr>
              <w:spacing w:after="0"/>
              <w:rPr>
                <w:sz w:val="19"/>
                <w:szCs w:val="19"/>
                <w:color w:val="auto"/>
              </w:rPr>
            </w:pPr>
          </w:p>
        </w:tc>
        <w:tc>
          <w:tcPr>
            <w:tcW w:w="222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rPr>
              <w:t>1,847,111</w:t>
            </w:r>
          </w:p>
        </w:tc>
        <w:tc>
          <w:tcPr>
            <w:tcW w:w="17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Tony Lauro</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Randall D. Nilsen (5)</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285,922</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Joseph Aguilar</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31,250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Adam Godfrey (6)</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3,192,076</w:t>
            </w:r>
          </w:p>
        </w:tc>
        <w:tc>
          <w:tcPr>
            <w:tcW w:w="176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Kurt Holstein (7)</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90,276</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Michael Purcell (8)</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12,453</w:t>
            </w: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Christopher Lofgren (9)</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23,131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Laura Maydón (10)</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John Rincon (11)</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897,400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Justin Wender (7)</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3,192,076</w:t>
            </w:r>
          </w:p>
        </w:tc>
        <w:tc>
          <w:tcPr>
            <w:tcW w:w="176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(13 individuals)</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6,494,619</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17.0 %</w:t>
            </w:r>
          </w:p>
        </w:tc>
      </w:tr>
      <w:tr>
        <w:trPr>
          <w:trHeight w:val="270"/>
        </w:trPr>
        <w:tc>
          <w:tcPr>
            <w:tcW w:w="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i w:val="1"/>
                <w:iCs w:val="1"/>
                <w:color w:val="auto"/>
                <w:w w:val="91"/>
              </w:rPr>
              <w:t>Five Percent Holders:</w:t>
            </w:r>
          </w:p>
        </w:tc>
        <w:tc>
          <w:tcPr>
            <w:tcW w:w="3400" w:type="dxa"/>
            <w:vAlign w:val="bottom"/>
            <w:tcBorders>
              <w:bottom w:val="single" w:sz="8" w:color="CCEEFF"/>
            </w:tcBorders>
            <w:gridSpan w:val="2"/>
            <w:shd w:val="clear" w:color="auto" w:fill="CCEEFF"/>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SPC Intermex, LP (12)</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3,192,076</w:t>
            </w:r>
          </w:p>
        </w:tc>
        <w:tc>
          <w:tcPr>
            <w:tcW w:w="176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Wellington Management Group LLP (13)</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3,504,023</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30"/>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Federated Hermes, Inc. (14)</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2,834,830</w:t>
            </w:r>
          </w:p>
        </w:tc>
        <w:tc>
          <w:tcPr>
            <w:tcW w:w="1760" w:type="dxa"/>
            <w:vAlign w:val="bottom"/>
          </w:tcPr>
          <w:p>
            <w:pPr>
              <w:jc w:val="right"/>
              <w:spacing w:after="0"/>
              <w:rPr>
                <w:sz w:val="20"/>
                <w:szCs w:val="20"/>
                <w:color w:val="auto"/>
              </w:rPr>
            </w:pPr>
            <w:r>
              <w:rPr>
                <w:rFonts w:ascii="Arial" w:cs="Arial" w:eastAsia="Arial" w:hAnsi="Arial"/>
                <w:sz w:val="18"/>
                <w:szCs w:val="18"/>
                <w:color w:val="auto"/>
              </w:rPr>
              <w:t>7.4 %</w:t>
            </w: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Conifer Management, L.L.C. (15)</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2,594,241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30"/>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Steamboat Capital Partners, LLC (16)</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2,530,448</w:t>
            </w:r>
          </w:p>
        </w:tc>
        <w:tc>
          <w:tcPr>
            <w:tcW w:w="1760" w:type="dxa"/>
            <w:vAlign w:val="bottom"/>
          </w:tcPr>
          <w:p>
            <w:pPr>
              <w:jc w:val="right"/>
              <w:spacing w:after="0"/>
              <w:rPr>
                <w:sz w:val="20"/>
                <w:szCs w:val="20"/>
                <w:color w:val="auto"/>
              </w:rPr>
            </w:pPr>
            <w:r>
              <w:rPr>
                <w:rFonts w:ascii="Arial" w:cs="Arial" w:eastAsia="Arial" w:hAnsi="Arial"/>
                <w:sz w:val="18"/>
                <w:szCs w:val="18"/>
                <w:color w:val="auto"/>
              </w:rPr>
              <w:t>6.6 %</w:t>
            </w: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BlackRock, Inc. (17)</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2,286,855</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30"/>
        </w:trPr>
        <w:tc>
          <w:tcPr>
            <w:tcW w:w="20" w:type="dxa"/>
            <w:vAlign w:val="bottom"/>
          </w:tcPr>
          <w:p>
            <w:pPr>
              <w:spacing w:after="0"/>
              <w:rPr>
                <w:sz w:val="19"/>
                <w:szCs w:val="19"/>
                <w:color w:val="auto"/>
              </w:rPr>
            </w:pPr>
          </w:p>
        </w:tc>
        <w:tc>
          <w:tcPr>
            <w:tcW w:w="5000" w:type="dxa"/>
            <w:vAlign w:val="bottom"/>
            <w:gridSpan w:val="3"/>
          </w:tcPr>
          <w:p>
            <w:pPr>
              <w:spacing w:after="0"/>
              <w:rPr>
                <w:sz w:val="20"/>
                <w:szCs w:val="20"/>
                <w:color w:val="auto"/>
              </w:rPr>
            </w:pPr>
            <w:r>
              <w:rPr>
                <w:rFonts w:ascii="Arial" w:cs="Arial" w:eastAsia="Arial" w:hAnsi="Arial"/>
                <w:sz w:val="18"/>
                <w:szCs w:val="18"/>
                <w:color w:val="auto"/>
              </w:rPr>
              <w:t>Royce &amp; Associates, LP (18)</w:t>
            </w:r>
          </w:p>
        </w:tc>
        <w:tc>
          <w:tcPr>
            <w:tcW w:w="2220" w:type="dxa"/>
            <w:vAlign w:val="bottom"/>
          </w:tcPr>
          <w:p>
            <w:pPr>
              <w:jc w:val="right"/>
              <w:ind w:right="70"/>
              <w:spacing w:after="0"/>
              <w:rPr>
                <w:sz w:val="20"/>
                <w:szCs w:val="20"/>
                <w:color w:val="auto"/>
              </w:rPr>
            </w:pPr>
            <w:r>
              <w:rPr>
                <w:rFonts w:ascii="Arial" w:cs="Arial" w:eastAsia="Arial" w:hAnsi="Arial"/>
                <w:sz w:val="18"/>
                <w:szCs w:val="18"/>
                <w:color w:val="auto"/>
              </w:rPr>
              <w:t>2,175,182</w:t>
            </w:r>
          </w:p>
        </w:tc>
        <w:tc>
          <w:tcPr>
            <w:tcW w:w="1760" w:type="dxa"/>
            <w:vAlign w:val="bottom"/>
          </w:tcPr>
          <w:p>
            <w:pPr>
              <w:jc w:val="right"/>
              <w:spacing w:after="0"/>
              <w:rPr>
                <w:sz w:val="20"/>
                <w:szCs w:val="20"/>
                <w:color w:val="auto"/>
              </w:rPr>
            </w:pPr>
            <w:r>
              <w:rPr>
                <w:rFonts w:ascii="Arial" w:cs="Arial" w:eastAsia="Arial" w:hAnsi="Arial"/>
                <w:sz w:val="18"/>
                <w:szCs w:val="18"/>
                <w:color w:val="auto"/>
              </w:rPr>
              <w:t>5.7 %</w:t>
            </w: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Nantahala Capital Management, LLC (19)</w:t>
            </w:r>
          </w:p>
        </w:tc>
        <w:tc>
          <w:tcPr>
            <w:tcW w:w="2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2,134,092</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Less than 1 percent.</w:t>
      </w:r>
    </w:p>
    <w:p>
      <w:pPr>
        <w:spacing w:after="0" w:line="252" w:lineRule="exact"/>
        <w:rPr>
          <w:sz w:val="20"/>
          <w:szCs w:val="20"/>
          <w:color w:val="auto"/>
        </w:rPr>
      </w:pPr>
    </w:p>
    <w:p>
      <w:pPr>
        <w:jc w:val="both"/>
        <w:ind w:left="660" w:hanging="652"/>
        <w:spacing w:after="0" w:line="259"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purposes of this table, a person is deemed to be the beneficial owner of a security if he or she (a) has or shares voting power or dispositive power with respect to such security, or (b) has the right to acquire such ownership within 60 days. “Voting power” is the power to vote or direct the voting of shares, and “dispositive power” is the power to dispose or direct the disposition of shares, irrespective of any economic interest in such shares.</w:t>
      </w:r>
    </w:p>
    <w:p>
      <w:pPr>
        <w:spacing w:after="0" w:line="213" w:lineRule="exact"/>
        <w:rPr>
          <w:rFonts w:ascii="Arial" w:cs="Arial" w:eastAsia="Arial" w:hAnsi="Arial"/>
          <w:sz w:val="18"/>
          <w:szCs w:val="18"/>
          <w:color w:val="auto"/>
        </w:rPr>
      </w:pPr>
    </w:p>
    <w:p>
      <w:pPr>
        <w:jc w:val="both"/>
        <w:ind w:left="660" w:hanging="652"/>
        <w:spacing w:after="0" w:line="263"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calculating the percentage ownership or percent of equity vote for a given individual or group, the number of common shares outstanding includes unissued shares subject to options, warrants, rights or conversion privileges, exercisable within 60 days of March 5, 2021, held by such individual or group, but are not deemed outstanding by any other person or group.</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ind w:left="640" w:hanging="632"/>
        <w:spacing w:after="0"/>
        <w:tabs>
          <w:tab w:leader="none" w:pos="6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the directors and executive officers is 9480 South Dixie Highway, Miami, Florida 33156.</w:t>
      </w:r>
    </w:p>
    <w:p>
      <w:pPr>
        <w:spacing w:after="0" w:line="275" w:lineRule="exact"/>
        <w:rPr>
          <w:rFonts w:ascii="Arial" w:cs="Arial" w:eastAsia="Arial" w:hAnsi="Arial"/>
          <w:sz w:val="16"/>
          <w:szCs w:val="16"/>
          <w:color w:val="auto"/>
        </w:rPr>
      </w:pPr>
    </w:p>
    <w:p>
      <w:pPr>
        <w:jc w:val="both"/>
        <w:ind w:left="660" w:hanging="652"/>
        <w:spacing w:after="0" w:line="311" w:lineRule="auto"/>
        <w:tabs>
          <w:tab w:leader="none" w:pos="654"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(i) 438,531 shares held by Hawk Time Enterprises, LLC, a Delaware limited liability company (“Hawk Time”), (ii) 813,629 shares held by the Robert Lisy Family Revocable Living Trust (the “Lisy Trust”) and (iii) 594,951 shares held by Mr. Lisy, representing shares issuable upon exercise of options that are exercisable as of January 31, 2021. Mr. Lisy is the sole manager of Hawk Time and sole trustee of the Lisy Trust.</w:t>
      </w:r>
    </w:p>
    <w:p>
      <w:pPr>
        <w:spacing w:after="0" w:line="175" w:lineRule="exact"/>
        <w:rPr>
          <w:rFonts w:ascii="Arial" w:cs="Arial" w:eastAsia="Arial" w:hAnsi="Arial"/>
          <w:sz w:val="16"/>
          <w:szCs w:val="16"/>
          <w:color w:val="auto"/>
        </w:rPr>
      </w:pPr>
    </w:p>
    <w:p>
      <w:pPr>
        <w:ind w:left="640" w:hanging="632"/>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115,000 shares issuable upon exercise of options that are exercisable as of January 31, 2021.</w:t>
      </w:r>
    </w:p>
    <w:p>
      <w:pPr>
        <w:spacing w:after="0" w:line="252" w:lineRule="exact"/>
        <w:rPr>
          <w:rFonts w:ascii="Arial" w:cs="Arial" w:eastAsia="Arial" w:hAnsi="Arial"/>
          <w:sz w:val="18"/>
          <w:szCs w:val="18"/>
          <w:color w:val="auto"/>
        </w:rPr>
      </w:pPr>
    </w:p>
    <w:p>
      <w:pPr>
        <w:jc w:val="both"/>
        <w:ind w:left="660" w:hanging="652"/>
        <w:spacing w:after="0" w:line="270" w:lineRule="auto"/>
        <w:tabs>
          <w:tab w:leader="none" w:pos="654"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Includes 3,192,076 shares held by SPC Intermex, LP, whose general partner is SPC Intermex GP, LLC. Stella Point Capital (“Stella Point”) is the sole manager of SPC Intermex GP, LLC, and Messrs. Godfrey and Wender are Managing Partners of Stella Point and as a result of their position they may be deemed to be the beneficial owner of those shares. Messrs. Godfrey and Wender serve on the Board of Directors of the Company as representatives of Stella Point. The ownership information set forth herein is based in its entirety on the material contained in Schedule 13D, as amended, dated November 5, 2020, filed with the SEC by Messrs. Godfrey and Wender, along with certain other filing parties. Based on the Schedule 13D, as amended, Messrs. Godfrey and Wender are each the beneficial owner of an aggregate of 3,192,076 shares with shared voting power over 3,192,076 shares and shared dispositive power over 3,192,076 shares. Messrs. Godfrey and Wender disclaim beneficial ownership of any shares of common stock held by SPC Intermex, LP. The address for Messrs. Godfrey and Wender is c/o Stella Point Capital LLC, 444 Madison Ave., 25th Floor, New York, New York 10022.</w:t>
      </w:r>
    </w:p>
    <w:p>
      <w:pPr>
        <w:spacing w:after="0" w:line="207" w:lineRule="exact"/>
        <w:rPr>
          <w:rFonts w:ascii="Arial" w:cs="Arial" w:eastAsia="Arial" w:hAnsi="Arial"/>
          <w:sz w:val="17"/>
          <w:szCs w:val="17"/>
          <w:color w:val="auto"/>
        </w:rPr>
      </w:pPr>
    </w:p>
    <w:p>
      <w:pPr>
        <w:ind w:left="660" w:hanging="652"/>
        <w:spacing w:after="0" w:line="277"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Holstein, who owns 90,276 shares on a personal basis, currently serves on the Board of Directors of the Company. Excludes 7,144 shares deliverable within 30 days after vesting of restricted stock units on June 26, 2021.</w:t>
      </w:r>
    </w:p>
    <w:p>
      <w:pPr>
        <w:spacing w:after="0" w:line="197" w:lineRule="exact"/>
        <w:rPr>
          <w:rFonts w:ascii="Arial" w:cs="Arial" w:eastAsia="Arial" w:hAnsi="Arial"/>
          <w:sz w:val="18"/>
          <w:szCs w:val="18"/>
          <w:color w:val="auto"/>
        </w:rPr>
      </w:pPr>
    </w:p>
    <w:p>
      <w:pPr>
        <w:ind w:left="660" w:hanging="652"/>
        <w:spacing w:after="0" w:line="277"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Purcell, who owns 12,453 shares on a personal basis, currently serves on the Board of Directors of the Company. Excludes 7,144 shares deliverable within 30 days after vesting of restricted stock units on June 26, 2021.</w:t>
      </w:r>
    </w:p>
    <w:p>
      <w:pPr>
        <w:spacing w:after="0" w:line="197" w:lineRule="exact"/>
        <w:rPr>
          <w:rFonts w:ascii="Arial" w:cs="Arial" w:eastAsia="Arial" w:hAnsi="Arial"/>
          <w:sz w:val="18"/>
          <w:szCs w:val="18"/>
          <w:color w:val="auto"/>
        </w:rPr>
      </w:pPr>
    </w:p>
    <w:p>
      <w:pPr>
        <w:ind w:left="660" w:hanging="652"/>
        <w:spacing w:after="0" w:line="277" w:lineRule="auto"/>
        <w:tabs>
          <w:tab w:leader="none" w:pos="654"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Lofgren, who owns 23,131 shares on a personal basis, currently serves on the Board of Directors of the Company. Excludes 7,144 shares deliverable within 30 days after vesting of restricted stock units on June 26, 2021.</w:t>
      </w:r>
    </w:p>
    <w:p>
      <w:pPr>
        <w:spacing w:after="0" w:line="197" w:lineRule="exact"/>
        <w:rPr>
          <w:rFonts w:ascii="Arial" w:cs="Arial" w:eastAsia="Arial" w:hAnsi="Arial"/>
          <w:sz w:val="18"/>
          <w:szCs w:val="18"/>
          <w:color w:val="auto"/>
        </w:rPr>
      </w:pPr>
    </w:p>
    <w:p>
      <w:pPr>
        <w:ind w:left="660" w:right="20" w:hanging="652"/>
        <w:spacing w:after="0" w:line="277" w:lineRule="auto"/>
        <w:tabs>
          <w:tab w:leader="none" w:pos="6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Ms. Maydón currently serves on the Board of Directors of the Company. Excludes 4,805 shares deliverable within 30 days after vesting of restricted stock units on June 26, 2021.</w:t>
      </w:r>
    </w:p>
    <w:p>
      <w:pPr>
        <w:spacing w:after="0" w:line="197" w:lineRule="exact"/>
        <w:rPr>
          <w:rFonts w:ascii="Arial" w:cs="Arial" w:eastAsia="Arial" w:hAnsi="Arial"/>
          <w:sz w:val="18"/>
          <w:szCs w:val="18"/>
          <w:color w:val="auto"/>
        </w:rPr>
      </w:pPr>
    </w:p>
    <w:p>
      <w:pPr>
        <w:jc w:val="both"/>
        <w:ind w:left="660" w:hanging="652"/>
        <w:spacing w:after="0" w:line="279" w:lineRule="auto"/>
        <w:tabs>
          <w:tab w:leader="none" w:pos="642"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Includes (i) 11,681 shares held by Mr. Rincon, (ii) 705,288 shares held by Latin American Investment Holdings, Inc. and (iii) 180,431 shares held by Rincon Capital Partners, LLC. Mr. Rincon owns 100% of Latin American Investment Holdings, Inc. (“LAIH”) and jointly owns Rincon Capital Partners, LLC (“Rincon LLC”). Excludes 7,144 shares of which are deliverable to Mr. Ricon within 30 days after vesting of restricted stock units on June 26, 2021. Mr. Rincon owns 100% of LAIH and jointly owns Rincon LLC and is its managing member.</w:t>
      </w:r>
    </w:p>
    <w:p>
      <w:pPr>
        <w:spacing w:after="0" w:line="198" w:lineRule="exact"/>
        <w:rPr>
          <w:rFonts w:ascii="Arial" w:cs="Arial" w:eastAsia="Arial" w:hAnsi="Arial"/>
          <w:sz w:val="17"/>
          <w:szCs w:val="17"/>
          <w:color w:val="auto"/>
        </w:rPr>
      </w:pPr>
    </w:p>
    <w:p>
      <w:pPr>
        <w:jc w:val="both"/>
        <w:ind w:left="660" w:hanging="652"/>
        <w:spacing w:after="0" w:line="290" w:lineRule="auto"/>
        <w:tabs>
          <w:tab w:leader="none" w:pos="649"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3,192,706 shares held by SPC Intermex, LP. The ownership information set forth herein is based in its entirety on the information contained in the Schedule 13D, as amended, filed with the SEC on November 5, 2020 by SPC Intermex, LP, SPC Intermex GP, LLC and Stella Point, along with certain other filing parties. Based on the Schedule 13D, as amended, SPC Intermex, LP is the beneficial owner of an aggregate of 3,192,706 shares with shared voting power over 3,192,706 shares and shared dispositive power over 3,192,706 shares. The general partner of SPC Intermex, LP is SPC Intermex GP, LLC and Stella Point is the sole manager of SPC Intermex GP, LLC. Messrs. Godfrey and Wender are the Managing Partners of and jointly control Stella Point. SPC Intermex GP, LLC, Stella Point, and Messrs. Godfrey and Wender may be deemed to share beneficial ownership of the shares held of record by SPC Intermex, LP, but disclaim beneficial ownership of such shares. See “</w:t>
      </w:r>
      <w:r>
        <w:rPr>
          <w:rFonts w:ascii="Arial" w:cs="Arial" w:eastAsia="Arial" w:hAnsi="Arial"/>
          <w:sz w:val="16"/>
          <w:szCs w:val="16"/>
          <w:i w:val="1"/>
          <w:iCs w:val="1"/>
          <w:color w:val="auto"/>
        </w:rPr>
        <w:t>Risk Factors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Because Stella Point controls a significant percentage of our common stock, it may influence our major corporate decisions and its interests may conflict with the interests of other holders of our common stock” </w:t>
      </w:r>
      <w:r>
        <w:rPr>
          <w:rFonts w:ascii="Arial" w:cs="Arial" w:eastAsia="Arial" w:hAnsi="Arial"/>
          <w:sz w:val="16"/>
          <w:szCs w:val="16"/>
          <w:color w:val="auto"/>
        </w:rPr>
        <w:t>in Item 1A of this Annual Report on Form 10-K. The address for SPC Intermex,</w:t>
      </w:r>
      <w:r>
        <w:rPr>
          <w:rFonts w:ascii="Arial" w:cs="Arial" w:eastAsia="Arial" w:hAnsi="Arial"/>
          <w:sz w:val="16"/>
          <w:szCs w:val="16"/>
          <w:i w:val="1"/>
          <w:iCs w:val="1"/>
          <w:color w:val="auto"/>
        </w:rPr>
        <w:t xml:space="preserve"> </w:t>
      </w:r>
      <w:r>
        <w:rPr>
          <w:rFonts w:ascii="Arial" w:cs="Arial" w:eastAsia="Arial" w:hAnsi="Arial"/>
          <w:sz w:val="16"/>
          <w:szCs w:val="16"/>
          <w:color w:val="auto"/>
        </w:rPr>
        <w:t>LP is c/o Stella Point Capital LLC, 444 Madison Ave., 25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w:t>
      </w:r>
    </w:p>
    <w:p>
      <w:pPr>
        <w:spacing w:after="0" w:line="124" w:lineRule="exact"/>
        <w:rPr>
          <w:rFonts w:ascii="Arial" w:cs="Arial" w:eastAsia="Arial" w:hAnsi="Arial"/>
          <w:sz w:val="16"/>
          <w:szCs w:val="16"/>
          <w:color w:val="auto"/>
        </w:rPr>
      </w:pPr>
    </w:p>
    <w:p>
      <w:pPr>
        <w:jc w:val="both"/>
        <w:ind w:left="660" w:hanging="652"/>
        <w:spacing w:after="0" w:line="271" w:lineRule="auto"/>
        <w:tabs>
          <w:tab w:leader="none" w:pos="649"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solely on the information contained in the Schedule 13G, as amended, jointly filed with the SEC on February 4, 2021 by Wellington Management Group LLP (“WMG”), Wellington Group Holdings LLP (“WGH”), Wellington Investment Advisors Holdings LLP (“WIAH”) and Wellington Management Company LLP (“WMC” and collectively with WMG, WGH and WIAH, the “Wellington Group”), each of WMG, WGH and WIAH is the beneficial owner of 3,504,023 shares with shared voting and shared dispositive power over all of such shares, and WMC is the beneficial owner of 3,462,012 shares with shared voting and shared dispositive power over all of such shares. The shares were acquired by the following subsidiaries of WMG, as the parent holding company of certain holding companies and investment advisors: WGH, WIAH, Wellington Management Global Holdings, Ltd., WMC, Wellington Management Canada LLC, Wellington Management Singapore Pte Ltd, Wellington Management Hong Kong Ltd, Wellington Management International Ltd, Wellington Management Japan Pte Ltd, and Wellington</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Management Australia Pty Ltd. The address for the Wellington Group is c/o Wellington Management Company LLP 280 Congress Street, Boston, MA 02210.</w:t>
      </w:r>
    </w:p>
    <w:p>
      <w:pPr>
        <w:spacing w:after="0" w:line="197" w:lineRule="exact"/>
        <w:rPr>
          <w:sz w:val="20"/>
          <w:szCs w:val="20"/>
          <w:color w:val="auto"/>
        </w:rPr>
      </w:pPr>
    </w:p>
    <w:p>
      <w:pPr>
        <w:jc w:val="both"/>
        <w:ind w:left="660" w:hanging="652"/>
        <w:spacing w:after="0" w:line="293" w:lineRule="auto"/>
        <w:tabs>
          <w:tab w:leader="none" w:pos="649"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solely on the information contained in the Schedule 13G jointly filed with the SEC on February 12, 2021 by Federated Hermes, Inc. (“Federated”), Voting Shares Irrevocable Trust (“Voting Shares Trust”) and Thomas R. Donahue, Rhodora J. Donahue and J. Christopher Donahue (collectively “Donahue”), Federated and Voting Shares Trust may each be deemed to be the beneficial owner of 2,834,830 shares with sole voting and sole dispositive power over all of such shares, and Donahue may be deemed to be the beneficial owner of 2,834,830 shares with shared voting and shared dispositive power over all of such shares. As the managing members of Federated, Donahue may be deemed to be a beneficial owner of such shares. The address for each of Federated and Messrs. Donahue is 1001 Liberty Avenue, Pittsburgh, PA 15222-3779.</w:t>
      </w:r>
    </w:p>
    <w:p>
      <w:pPr>
        <w:spacing w:after="0" w:line="191" w:lineRule="exact"/>
        <w:rPr>
          <w:rFonts w:ascii="Arial" w:cs="Arial" w:eastAsia="Arial" w:hAnsi="Arial"/>
          <w:sz w:val="16"/>
          <w:szCs w:val="16"/>
          <w:color w:val="auto"/>
        </w:rPr>
      </w:pPr>
    </w:p>
    <w:p>
      <w:pPr>
        <w:jc w:val="both"/>
        <w:ind w:left="660" w:hanging="652"/>
        <w:spacing w:after="0" w:line="263" w:lineRule="auto"/>
        <w:tabs>
          <w:tab w:leader="none" w:pos="6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 filed with the SEC on February 16, 2021 by Conifer Management, L.L.C. (“Conifer”), Conifer may be deemed to be the beneficial owner of 2,594,241 shares with sole voting and sole dispositive power over all of such shares. The address for Conifer is 9 West 57th Street, Suite 5000, New York, New York 10019-2701.</w:t>
      </w:r>
    </w:p>
    <w:p>
      <w:pPr>
        <w:spacing w:after="0" w:line="210" w:lineRule="exact"/>
        <w:rPr>
          <w:rFonts w:ascii="Arial" w:cs="Arial" w:eastAsia="Arial" w:hAnsi="Arial"/>
          <w:sz w:val="18"/>
          <w:szCs w:val="18"/>
          <w:color w:val="auto"/>
        </w:rPr>
      </w:pPr>
    </w:p>
    <w:p>
      <w:pPr>
        <w:jc w:val="both"/>
        <w:ind w:left="660" w:hanging="652"/>
        <w:spacing w:after="0" w:line="257" w:lineRule="auto"/>
        <w:tabs>
          <w:tab w:leader="none" w:pos="6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13D, as amended, jointly filed with the SEC on January 7, 2021 by Steamboat Capital Partners, LLC (“Steamboat”) and Parsa Kiai, Steamboat may be deemed to be the beneficial owner of 2,530,448 shares with sole voting power over 2,346,915 shares and sole dispositive power over 2,530,448 shares and Parsa Kiai may be deemed to be the beneficial owner of 2,530,448 shares with sole voting power over 2,346,915 shares and sole dispositive power over 2,530,448 shares. The address for each of Steamboat and Parsa Kiai is 31 Old Wagon Road, Old Greenwich, CT 06870.</w:t>
      </w:r>
    </w:p>
    <w:p>
      <w:pPr>
        <w:spacing w:after="0" w:line="214" w:lineRule="exact"/>
        <w:rPr>
          <w:rFonts w:ascii="Arial" w:cs="Arial" w:eastAsia="Arial" w:hAnsi="Arial"/>
          <w:sz w:val="18"/>
          <w:szCs w:val="18"/>
          <w:color w:val="auto"/>
        </w:rPr>
      </w:pPr>
    </w:p>
    <w:p>
      <w:pPr>
        <w:jc w:val="both"/>
        <w:ind w:left="660" w:hanging="652"/>
        <w:spacing w:after="0" w:line="254" w:lineRule="auto"/>
        <w:tabs>
          <w:tab w:leader="none" w:pos="6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 filed with the SEC on February 2, 2021 by BlackRock, Inc. (“BlackRock”), BlackRock is the beneficial owner of 2,286,855 shares with sole voting power over 2,191,982 shares and sole dispositive power over 2,286,855 shares. The shares were acquired by the following subsidiaries of BlackRock: BlackRock Advisors, LLC, BlackRock Investment Management (UK) Limited, BlackRock Asset Management Canada Limited, BlackRock Fund Advisors, BlackRock Asset Management Ireland Limited, BlackRock Institutional Trust Company, National Association, BlackRock Financial Management, Inc., BlackRock Japan Co., Ltd., BlackRock Asset Management Schweiz AG, and BlackRock Investment Management, LLC. The address for BlackRock is 55 East 52nd Street, New York, NY 10055.</w:t>
      </w:r>
    </w:p>
    <w:p>
      <w:pPr>
        <w:spacing w:after="0" w:line="221" w:lineRule="exact"/>
        <w:rPr>
          <w:rFonts w:ascii="Arial" w:cs="Arial" w:eastAsia="Arial" w:hAnsi="Arial"/>
          <w:sz w:val="18"/>
          <w:szCs w:val="18"/>
          <w:color w:val="auto"/>
        </w:rPr>
      </w:pPr>
    </w:p>
    <w:p>
      <w:pPr>
        <w:jc w:val="both"/>
        <w:ind w:left="660" w:hanging="652"/>
        <w:spacing w:after="0" w:line="263" w:lineRule="auto"/>
        <w:tabs>
          <w:tab w:leader="none" w:pos="6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 as amended, filed jointly with the SEC on January 27, 2021 by Royce &amp; Associates, LP (“Royce”), Royce may be deemed to be the beneficial owner of 2,175,182 shares with sole voting and sole dispositive power over all of such shares. The address for Royce is 745 Fifth Avenue, New York, NY 10151.</w:t>
      </w:r>
    </w:p>
    <w:p>
      <w:pPr>
        <w:spacing w:after="0" w:line="210" w:lineRule="exact"/>
        <w:rPr>
          <w:rFonts w:ascii="Arial" w:cs="Arial" w:eastAsia="Arial" w:hAnsi="Arial"/>
          <w:sz w:val="18"/>
          <w:szCs w:val="18"/>
          <w:color w:val="auto"/>
        </w:rPr>
      </w:pPr>
    </w:p>
    <w:p>
      <w:pPr>
        <w:jc w:val="both"/>
        <w:ind w:left="660" w:hanging="652"/>
        <w:spacing w:after="0" w:line="257" w:lineRule="auto"/>
        <w:tabs>
          <w:tab w:leader="none" w:pos="649"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solely on the information contained in the Schedule 13G, as amended, jointly filed with the SEC on February 16, 2021 by Nantahala Capital Management, LLC (“Nantahala”), Wilmot B. Harkey and Daniel Mack, Nantahala may be deemed to be the beneficial owner of 2,134,092 shares with shared voting and shared dispositive power over all of such shares. As the managing members of Nantahala, each of Messrs. Harkey and Mack may be deemed to be a beneficial owner of such shares. The address for each of Nantahala and Messrs. Harkey and Mack is 130 Main St. 2nd Floor, New Canaan, CT 06840.</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Related Party Transactions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accordance with the charter for the Audit Committee of the Board of Directors, our Audit Committee reviews and approves in advance any proposed related person transactions. For purposes of these procedures, “related person” and “transaction” have the meanings contained in Item 404 of Regulation S-K.</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Board has also adopted a written related person transaction policy that sets forth the policies and procedures for the review and approval or ratification of related person transactions. In accordance with our Related Person Transactions Policy and Procedures, either the Audit Committee or the affirmative vote of a majority of directors who do not have a direct or indirect material interest in such related party transaction must review and approve all transactions in which (i) the Company or one of its subsidiaries is a participant, (ii) the amount involved exceeds $120,000 and (iii) a related person has a direct or indirect material interest, other than transactions available to all employees of the Company generally.</w:t>
      </w: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assessing a related party transaction brought before it for approval the Audit Committee considers, among other factors it deems appropriate, whether the related party transaction is on terms no less favorable than terms generally available to an unaffiliated third-party under the same or similar circumstances and the extent of the related person’s interest in the transaction. The Audit Committee may then approve or disapprove the transaction in its discretion.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Related Person Transactions</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Since the beginning of the fiscal year ended December 31, 2020, there has not been, nor is there, any currently proposed transaction or series of similar transactions to which the Company was or is to be a party in which the amount involved exceeded or exceeds the lesser of $120,000 and in which any related person had, has or will have a direct or indirect material interest, other than as set forth in the sections captioned “Executive Compensation”, “Director Compensation Table” and “Security Ownership of Certain Beneficial Owners and Management” above, in the second paragraph under the section captioned “Secondary Offerings” under “Management’s Discussion and Analysis of Financial Condition and Results of Operations” in this Annual Report on Form 10-K, or as disclosed below. In addition, please see the section captioned “Risk Factors” in this Annual Report on Form 10-K for descriptions of risks that may arise as a result of these and other such relationships and related person transactions.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the Closing Date, the Company entered into the Registration Rights Agreement with certain of FinTech’s initial stockholders and certain of the Company’s legacy stockholders, including entities affiliated with Messrs. Godfrey, Wender, Rincon, Lisy and Holstein, our former directors, Messrs. Jahn and Paul, two of our executives, Messrs. Lisy, and Nilsen, and two of our former executives, Messrs. Azcarate and Perez-Villareal, that provides certain registration rights with respect to the shares of the Company’s common stock. The Registration Rights Agreement requires the Company to, among other things, file a resale shelf registration statement on behalf of the stockholders party to the Registration Rights Agreement as promptly as practicable upon request by Stella Point following the closing of the Merger. Two members of our Board, Messrs. Godfrey and Wender, are Managing Partners of Stella Point. Our former director, Robert Jahn, also serves as a Managing Director of Stella Point. The Registration Rights Agreement also provides the stockholders party to the agreement the right (such right, the “Demand Registration Right”) to require the Company to effect one or more shelf registrations under the Securities Act, covering all or part of such stockholder’s common stock upon written request to the Company. Demand Registration Rights are available exclusively to Stella Point for the first 15 months after the closing of the Merger, and thereafter to certain other stockholders party to the Registration Rights Agreement. The Registration Rights Agreement additionally provides piggyback rights to the stockholders party to the Registration Rights Agreement, subject to customary underwriter cutbacks and issuer blackout periods. The Company also agreed to pay certain fees and expenses relating to registrations under the Registration Rights Agreement.</w:t>
      </w:r>
    </w:p>
    <w:p>
      <w:pPr>
        <w:spacing w:after="0" w:line="21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September 30, 2020, the Company entered into an underwriting agreement with certain selling stockholders, including entities affiliated with Messrs. Godfrey, Wender, Rincon and Lisy, and several underwriters relating to the underwritten public offering of 4.9 million shares of the Company’s common stock at a price to the public of $13.50 per share. The closing of the offering occurred on October 5, 2020. Also, on November 4, 2020, the underwriters completed the purchase of 0.7 million additional shares of common stock at the same price as the initial shares under a 30-day option granted by certain of the selling stockholders. The Company did not receive any of the proceeds from the offering.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Shareholders Agreement</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the Closing Date of the Merger, the Company entered into an agreement by and between certain shareholders (the “Shareholders Agreement”), including entities affiliated with Messrs. Godfrey, Wender and Lisy, two former directors, Messrs. Jahn and Paul, two of our executives, Messrs. Lisy and Nilsen, and two former executives, Messrs. Azcarate and Perez-Villareal. Pursuant to the Shareholders</w:t>
      </w:r>
    </w:p>
    <w:p>
      <w:pPr>
        <w:sectPr>
          <w:pgSz w:w="11900" w:h="16838" w:orient="portrait"/>
          <w:cols w:equalWidth="0" w:num="1">
            <w:col w:w="11240"/>
          </w:cols>
          <w:pgMar w:left="320" w:top="125" w:right="339" w:bottom="1440" w:gutter="0" w:footer="0" w:header="0"/>
        </w:sectPr>
      </w:pP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9" w:name="page100"/>
    <w:bookmarkEnd w:id="99"/>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Agreement, for so long as the Company’s legacy stockholders party thereto hold, in the aggregate, at least 10% of the total outstanding shares of the Company’s common stock, SPC Intermex will be entitled to designate eight individuals for election to the Company’s Board of Directors of which at least three designees must qualify as an “independent director” under the Exchange Act and Nasdaq rules. Following such times as the collective ownership of such legacy stockholders is less than 10% of the outstanding shares of the Company’s common stock, SPC Intermex will be entitled to designate one person for election to the Company’s Board of Directors, which designation right will lapse at such time as the Company’s legacy stockholders’ collective ownership is less than 5% of the outstanding shares of the Company’s common stock. Pursuant to the Shareholders Agreement, all of the stockholders party thereto are required to vote their shares of the Company’s common stock subject to the Shareholders Agreement as set forth therein for the director nominees designated thereunder; however, on October 5, 2020, the Company, FinTech Investor Holdings II and SPC Intermex Representative LLC entered into a Waiver to the Shareholders Agreement, pursuant to which the obligation of each party to the Shareholders Agreement (other than SPC Intermex LP) to vote to elect and/or maintain in office as members of the Company’s board of directors the individuals nominated by SPC Intermex Representative LLC was irrevocably and permanently waived. In addition, for so long as FinTech’s initial stockholders that are party to the Shareholders Agreement collectively own more than 5% of the Company’s outstanding common stock, FinTech Investor Holdings II, LLC, as representative, is entitled to designate one person as a non-voting observer to the Company’s Board of Directors. See “Risk Factors - Because Stella Point controls a significant percentage of our common stock, it may influence our major corporate decisions and its interests may conflict with the interests of other holders of our common stock” of this Annual Report on Form 10-K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5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Nasdaq listing rules require that a majority of the board of directors of a company listed on Nasdaq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Michael Purcell, Kurt Holstein, Christopher Lofgren, John Rincon and Laura Maydón are independent directors under the Nasdaq listing rules and Rule 10A-3 of the Exchange Act. In making these determinations, our Board of Directors considered the current and prior relationships that each non-employee director had with FinTech Acquisition Corp. II and Intermex Holdings II, Inc. and has with the Company and all other facts and circumstances our Board of Directors deemed relevant in determining independence, including the beneficial ownership of our common stock by each non-employee director, and the transactions involving them. In addition, the Board of Directors appointed Mr. Purcell as the Lead Independent Director, effective September 2020.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following tables present fees for professional audit services rendered by BDO USA, LLP for the audit of the Company’s annual financial statements for the years ended December 31, 2020 and 2019, and fees billed for the other services rendered during those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fees (1)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669,200</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Audit-related fees (2)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fees (3)</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All other fees (4)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8"/>
        </w:trPr>
        <w:tc>
          <w:tcPr>
            <w:tcW w:w="7720" w:type="dxa"/>
            <w:vAlign w:val="bottom"/>
          </w:tcPr>
          <w:p>
            <w:pPr>
              <w:spacing w:after="0"/>
              <w:rPr>
                <w:sz w:val="20"/>
                <w:szCs w:val="20"/>
                <w:color w:val="auto"/>
              </w:rPr>
            </w:pPr>
            <w:r>
              <w:rPr>
                <w:rFonts w:ascii="Arial" w:cs="Arial" w:eastAsia="Arial" w:hAnsi="Arial"/>
                <w:sz w:val="18"/>
                <w:szCs w:val="18"/>
                <w:b w:val="1"/>
                <w:bCs w:val="1"/>
                <w:color w:val="auto"/>
              </w:rPr>
              <w:t>(1) Audit Fees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Audit fees include the aggregate fees for the audit of our annual consolidated financial statements included in our Forms 10-K and the reviews of each of the quarterly consolidated financial statements included in our Forms 10-Q, as well as work generally only the independent registered certified public accountants can reasonably be expected to provide, such as statutory and other audit work performed with respect to certain of our subsidiaries. Such audit fees also include professional services for comfort letters, consents and reviews of documents filed with the Securities and Exchange Commission.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Audit-Related Fees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Audit-related fees primarily include fees, not included in “Audit Fees” above, for assurance and related services traditionally performed by the independent auditor. These services would include, among others, due diligence related to transactions or events, including acquisitions, and attest services related to financial reporting that are not required by statute or regulation.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Tax Fees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Tax fees would consist of assistance with tax compliance services, preparation of tax returns, tax planning, and providing tax guidance. No such products and services were provided in the relevant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All Other Fees</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other fees would consist of the aggregate fees billed for products and services other than the services described under audit fees, audit-related fees and tax fees. No such products and services were provided in the relevant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All of the fees described above were approved by the Audit Committee. The Audit Committee is responsible for overseeing the audit fee negotiations associated with the retention of BDO USA LLP to perform the audit of our annual consolidated financial statements. The Audit Committee has adopted a pre-approval policy under which the Audit Committee approves in advance all audit and non-audit services to be performed by our independent auditors. As part of its pre-approval policy, the Audit Committee considers whether the provision of any proposed non-audit services is consistent with the SEC’s rules on auditor independence. If there are any additional services to be provided, a request for pre-approval must be submitted by management to the Audit Committee for its consideration under the policy. Finally, in accordance with the pre-approval policy, the Audit Committee has delegated pre-approval authority to each of its members. Any member who exercises this authority must report any pre-approval decisions to the Audit Committee at its next meeting.</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line="72" w:lineRule="exact"/>
        <w:rPr>
          <w:sz w:val="20"/>
          <w:szCs w:val="20"/>
          <w:color w:val="auto"/>
        </w:rPr>
      </w:pPr>
    </w:p>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29"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Financial Statements (See Index to Consolidated Financial Statements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 xml:space="preserve">Financial Statement Schedule (See Index to Consolidated Financial Statements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of this Annual Report on Form 10-K);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exhibits listed in the "Exhibit Index" attached to this Annual Report on Form 10-K.</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8660" w:type="dxa"/>
            <w:vAlign w:val="bottom"/>
          </w:tcPr>
          <w:p>
            <w:pPr>
              <w:ind w:left="3600"/>
              <w:spacing w:after="0"/>
              <w:rPr>
                <w:sz w:val="20"/>
                <w:szCs w:val="20"/>
                <w:color w:val="auto"/>
              </w:rPr>
            </w:pPr>
            <w:r>
              <w:rPr>
                <w:rFonts w:ascii="Arial" w:cs="Arial" w:eastAsia="Arial" w:hAnsi="Arial"/>
                <w:sz w:val="18"/>
                <w:szCs w:val="18"/>
                <w:b w:val="1"/>
                <w:bCs w:val="1"/>
                <w:color w:val="auto"/>
              </w:rPr>
              <w:t>EXHIBIT INDEX</w:t>
            </w:r>
          </w:p>
        </w:tc>
      </w:tr>
      <w:tr>
        <w:trPr>
          <w:trHeight w:val="473"/>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w w:val="99"/>
              </w:rPr>
              <w:t>Exhibit No.</w:t>
            </w:r>
          </w:p>
        </w:tc>
        <w:tc>
          <w:tcPr>
            <w:tcW w:w="8660" w:type="dxa"/>
            <w:vAlign w:val="bottom"/>
          </w:tcPr>
          <w:p>
            <w:pPr>
              <w:ind w:left="100"/>
              <w:spacing w:after="0"/>
              <w:rPr>
                <w:sz w:val="20"/>
                <w:szCs w:val="20"/>
                <w:color w:val="auto"/>
              </w:rPr>
            </w:pPr>
            <w:r>
              <w:rPr>
                <w:rFonts w:ascii="Arial" w:cs="Arial" w:eastAsia="Arial" w:hAnsi="Arial"/>
                <w:sz w:val="18"/>
                <w:szCs w:val="18"/>
                <w:b w:val="1"/>
                <w:bCs w:val="1"/>
                <w:color w:val="auto"/>
              </w:rPr>
              <w:t>Document</w:t>
            </w:r>
          </w:p>
        </w:tc>
      </w:tr>
      <w:tr>
        <w:trPr>
          <w:trHeight w:val="54"/>
        </w:trPr>
        <w:tc>
          <w:tcPr>
            <w:tcW w:w="980" w:type="dxa"/>
            <w:vAlign w:val="bottom"/>
          </w:tcPr>
          <w:p>
            <w:pPr>
              <w:spacing w:after="0"/>
              <w:rPr>
                <w:sz w:val="4"/>
                <w:szCs w:val="4"/>
                <w:color w:val="auto"/>
              </w:rPr>
            </w:pPr>
          </w:p>
        </w:tc>
        <w:tc>
          <w:tcPr>
            <w:tcW w:w="8660" w:type="dxa"/>
            <w:vAlign w:val="bottom"/>
          </w:tcPr>
          <w:p>
            <w:pPr>
              <w:spacing w:after="0"/>
              <w:rPr>
                <w:sz w:val="4"/>
                <w:szCs w:val="4"/>
                <w:color w:val="auto"/>
              </w:rPr>
            </w:pPr>
          </w:p>
        </w:tc>
      </w:tr>
      <w:tr>
        <w:trPr>
          <w:trHeight w:val="176"/>
        </w:trPr>
        <w:tc>
          <w:tcPr>
            <w:tcW w:w="980" w:type="dxa"/>
            <w:vAlign w:val="bottom"/>
            <w:shd w:val="clear" w:color="auto" w:fill="CCEEFF"/>
          </w:tcPr>
          <w:p>
            <w:pPr>
              <w:ind w:left="20"/>
              <w:spacing w:after="0" w:line="176" w:lineRule="exact"/>
              <w:rPr>
                <w:rFonts w:ascii="Arial" w:cs="Arial" w:eastAsia="Arial" w:hAnsi="Arial"/>
                <w:sz w:val="18"/>
                <w:szCs w:val="18"/>
                <w:color w:val="0000FF"/>
              </w:rPr>
            </w:pPr>
            <w:hyperlink r:id="rId136">
              <w:r>
                <w:rPr>
                  <w:rFonts w:ascii="Arial" w:cs="Arial" w:eastAsia="Arial" w:hAnsi="Arial"/>
                  <w:sz w:val="18"/>
                  <w:szCs w:val="18"/>
                  <w:u w:val="single" w:color="auto"/>
                  <w:color w:val="0000FF"/>
                </w:rPr>
                <w:t>3.1</w:t>
              </w:r>
            </w:hyperlink>
            <w:r>
              <w:rPr>
                <w:rFonts w:ascii="Arial" w:cs="Arial" w:eastAsia="Arial" w:hAnsi="Arial"/>
                <w:sz w:val="18"/>
                <w:szCs w:val="18"/>
                <w:color w:val="000000"/>
              </w:rPr>
              <w:t>**</w:t>
            </w:r>
          </w:p>
        </w:tc>
        <w:tc>
          <w:tcPr>
            <w:tcW w:w="86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4"/>
              </w:rPr>
              <w:t>Second Amended and Restated Certificate of Incorporation of the Company, dated July 26, 2018 (incorporated by</w:t>
            </w:r>
          </w:p>
        </w:tc>
      </w:tr>
      <w:tr>
        <w:trPr>
          <w:trHeight w:val="175"/>
        </w:trPr>
        <w:tc>
          <w:tcPr>
            <w:tcW w:w="980" w:type="dxa"/>
            <w:vAlign w:val="bottom"/>
            <w:shd w:val="clear" w:color="auto" w:fill="CCEEFF"/>
          </w:tcPr>
          <w:p>
            <w:pPr>
              <w:spacing w:after="0"/>
              <w:rPr>
                <w:sz w:val="15"/>
                <w:szCs w:val="15"/>
                <w:color w:val="auto"/>
              </w:rPr>
            </w:pPr>
          </w:p>
        </w:tc>
        <w:tc>
          <w:tcPr>
            <w:tcW w:w="86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reference to Exhibit 3.1 to the Registrant’s Registration Statement on Form S-1 filed on September 28, 2018 (File No.</w:t>
            </w:r>
          </w:p>
        </w:tc>
      </w:tr>
      <w:tr>
        <w:trPr>
          <w:trHeight w:val="230"/>
        </w:trPr>
        <w:tc>
          <w:tcPr>
            <w:tcW w:w="980" w:type="dxa"/>
            <w:vAlign w:val="bottom"/>
            <w:shd w:val="clear" w:color="auto" w:fill="CCEEFF"/>
          </w:tcPr>
          <w:p>
            <w:pPr>
              <w:spacing w:after="0"/>
              <w:rPr>
                <w:sz w:val="19"/>
                <w:szCs w:val="19"/>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333-226948)).</w:t>
            </w:r>
          </w:p>
        </w:tc>
      </w:tr>
      <w:tr>
        <w:trPr>
          <w:trHeight w:val="54"/>
        </w:trPr>
        <w:tc>
          <w:tcPr>
            <w:tcW w:w="980" w:type="dxa"/>
            <w:vAlign w:val="bottom"/>
          </w:tcPr>
          <w:p>
            <w:pPr>
              <w:spacing w:after="0"/>
              <w:rPr>
                <w:sz w:val="4"/>
                <w:szCs w:val="4"/>
                <w:color w:val="auto"/>
              </w:rPr>
            </w:pPr>
          </w:p>
        </w:tc>
        <w:tc>
          <w:tcPr>
            <w:tcW w:w="8660" w:type="dxa"/>
            <w:vAlign w:val="bottom"/>
          </w:tcPr>
          <w:p>
            <w:pPr>
              <w:spacing w:after="0"/>
              <w:rPr>
                <w:sz w:val="4"/>
                <w:szCs w:val="4"/>
                <w:color w:val="auto"/>
              </w:rPr>
            </w:pPr>
          </w:p>
        </w:tc>
      </w:tr>
      <w:tr>
        <w:trPr>
          <w:trHeight w:val="176"/>
        </w:trPr>
        <w:tc>
          <w:tcPr>
            <w:tcW w:w="980" w:type="dxa"/>
            <w:vAlign w:val="bottom"/>
            <w:shd w:val="clear" w:color="auto" w:fill="CCEEFF"/>
          </w:tcPr>
          <w:p>
            <w:pPr>
              <w:ind w:left="20"/>
              <w:spacing w:after="0" w:line="176" w:lineRule="exact"/>
              <w:rPr>
                <w:rFonts w:ascii="Arial" w:cs="Arial" w:eastAsia="Arial" w:hAnsi="Arial"/>
                <w:sz w:val="18"/>
                <w:szCs w:val="18"/>
                <w:color w:val="0000FF"/>
              </w:rPr>
            </w:pPr>
            <w:hyperlink r:id="rId137">
              <w:r>
                <w:rPr>
                  <w:rFonts w:ascii="Arial" w:cs="Arial" w:eastAsia="Arial" w:hAnsi="Arial"/>
                  <w:sz w:val="18"/>
                  <w:szCs w:val="18"/>
                  <w:u w:val="single" w:color="auto"/>
                  <w:color w:val="0000FF"/>
                </w:rPr>
                <w:t>3.2</w:t>
              </w:r>
            </w:hyperlink>
            <w:r>
              <w:rPr>
                <w:rFonts w:ascii="Arial" w:cs="Arial" w:eastAsia="Arial" w:hAnsi="Arial"/>
                <w:sz w:val="18"/>
                <w:szCs w:val="18"/>
                <w:color w:val="000000"/>
              </w:rPr>
              <w:t>**</w:t>
            </w:r>
          </w:p>
        </w:tc>
        <w:tc>
          <w:tcPr>
            <w:tcW w:w="86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Second Amended and Restated Bylaws of the Company, effective as of July 26, 2018 (incorporated by reference to</w:t>
            </w:r>
          </w:p>
        </w:tc>
      </w:tr>
      <w:tr>
        <w:trPr>
          <w:trHeight w:val="176"/>
        </w:trPr>
        <w:tc>
          <w:tcPr>
            <w:tcW w:w="980" w:type="dxa"/>
            <w:vAlign w:val="bottom"/>
            <w:shd w:val="clear" w:color="auto" w:fill="CCEEFF"/>
          </w:tcPr>
          <w:p>
            <w:pPr>
              <w:spacing w:after="0"/>
              <w:rPr>
                <w:sz w:val="15"/>
                <w:szCs w:val="15"/>
                <w:color w:val="auto"/>
              </w:rPr>
            </w:pPr>
          </w:p>
        </w:tc>
        <w:tc>
          <w:tcPr>
            <w:tcW w:w="86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7"/>
              </w:rPr>
              <w:t>Exhibit 3.2 to the Registrant’s Registration Statement on Form S-1 filed on September 28, 2018 (File No. 333-</w:t>
            </w:r>
          </w:p>
        </w:tc>
      </w:tr>
      <w:tr>
        <w:trPr>
          <w:trHeight w:val="229"/>
        </w:trPr>
        <w:tc>
          <w:tcPr>
            <w:tcW w:w="980" w:type="dxa"/>
            <w:vAlign w:val="bottom"/>
            <w:shd w:val="clear" w:color="auto" w:fill="CCEEFF"/>
          </w:tcPr>
          <w:p>
            <w:pPr>
              <w:spacing w:after="0"/>
              <w:rPr>
                <w:sz w:val="19"/>
                <w:szCs w:val="19"/>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226948)).</w:t>
            </w:r>
          </w:p>
        </w:tc>
      </w:tr>
      <w:tr>
        <w:trPr>
          <w:trHeight w:val="54"/>
        </w:trPr>
        <w:tc>
          <w:tcPr>
            <w:tcW w:w="980" w:type="dxa"/>
            <w:vAlign w:val="bottom"/>
          </w:tcPr>
          <w:p>
            <w:pPr>
              <w:spacing w:after="0"/>
              <w:rPr>
                <w:sz w:val="4"/>
                <w:szCs w:val="4"/>
                <w:color w:val="auto"/>
              </w:rPr>
            </w:pPr>
          </w:p>
        </w:tc>
        <w:tc>
          <w:tcPr>
            <w:tcW w:w="8660" w:type="dxa"/>
            <w:vAlign w:val="bottom"/>
          </w:tcPr>
          <w:p>
            <w:pPr>
              <w:spacing w:after="0"/>
              <w:rPr>
                <w:sz w:val="4"/>
                <w:szCs w:val="4"/>
                <w:color w:val="auto"/>
              </w:rPr>
            </w:pPr>
          </w:p>
        </w:tc>
      </w:tr>
      <w:tr>
        <w:trPr>
          <w:trHeight w:val="175"/>
        </w:trPr>
        <w:tc>
          <w:tcPr>
            <w:tcW w:w="980" w:type="dxa"/>
            <w:vAlign w:val="bottom"/>
            <w:shd w:val="clear" w:color="auto" w:fill="CCEEFF"/>
          </w:tcPr>
          <w:p>
            <w:pPr>
              <w:ind w:left="20"/>
              <w:spacing w:after="0" w:line="176" w:lineRule="exact"/>
              <w:rPr>
                <w:rFonts w:ascii="Arial" w:cs="Arial" w:eastAsia="Arial" w:hAnsi="Arial"/>
                <w:sz w:val="18"/>
                <w:szCs w:val="18"/>
                <w:color w:val="0000FF"/>
              </w:rPr>
            </w:pPr>
            <w:hyperlink r:id="rId138">
              <w:r>
                <w:rPr>
                  <w:rFonts w:ascii="Arial" w:cs="Arial" w:eastAsia="Arial" w:hAnsi="Arial"/>
                  <w:sz w:val="18"/>
                  <w:szCs w:val="18"/>
                  <w:u w:val="single" w:color="auto"/>
                  <w:color w:val="0000FF"/>
                </w:rPr>
                <w:t>4.1</w:t>
              </w:r>
            </w:hyperlink>
            <w:r>
              <w:rPr>
                <w:rFonts w:ascii="Arial" w:cs="Arial" w:eastAsia="Arial" w:hAnsi="Arial"/>
                <w:sz w:val="18"/>
                <w:szCs w:val="18"/>
                <w:color w:val="000000"/>
              </w:rPr>
              <w:t>**</w:t>
            </w:r>
          </w:p>
        </w:tc>
        <w:tc>
          <w:tcPr>
            <w:tcW w:w="86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0"/>
              </w:rPr>
              <w:t>Warrant Agreement, dated January 19, 2017, between Continental Stock Transfer &amp; Trust Company and the Company</w:t>
            </w:r>
          </w:p>
        </w:tc>
      </w:tr>
      <w:tr>
        <w:trPr>
          <w:trHeight w:val="176"/>
        </w:trPr>
        <w:tc>
          <w:tcPr>
            <w:tcW w:w="980" w:type="dxa"/>
            <w:vAlign w:val="bottom"/>
            <w:shd w:val="clear" w:color="auto" w:fill="CCEEFF"/>
          </w:tcPr>
          <w:p>
            <w:pPr>
              <w:spacing w:after="0"/>
              <w:rPr>
                <w:sz w:val="15"/>
                <w:szCs w:val="15"/>
                <w:color w:val="auto"/>
              </w:rPr>
            </w:pPr>
          </w:p>
        </w:tc>
        <w:tc>
          <w:tcPr>
            <w:tcW w:w="86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(incorporated by reference to Exhibit 4.2 to the Registrant’s Registration Statement on Form S-1 filed on September</w:t>
            </w:r>
          </w:p>
        </w:tc>
      </w:tr>
      <w:tr>
        <w:trPr>
          <w:trHeight w:val="229"/>
        </w:trPr>
        <w:tc>
          <w:tcPr>
            <w:tcW w:w="980" w:type="dxa"/>
            <w:vAlign w:val="bottom"/>
            <w:shd w:val="clear" w:color="auto" w:fill="CCEEFF"/>
          </w:tcPr>
          <w:p>
            <w:pPr>
              <w:spacing w:after="0"/>
              <w:rPr>
                <w:sz w:val="19"/>
                <w:szCs w:val="19"/>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28, 2018 (File No. 333-226948)).</w:t>
            </w:r>
          </w:p>
        </w:tc>
      </w:tr>
      <w:tr>
        <w:trPr>
          <w:trHeight w:val="54"/>
        </w:trPr>
        <w:tc>
          <w:tcPr>
            <w:tcW w:w="980" w:type="dxa"/>
            <w:vAlign w:val="bottom"/>
          </w:tcPr>
          <w:p>
            <w:pPr>
              <w:spacing w:after="0"/>
              <w:rPr>
                <w:sz w:val="4"/>
                <w:szCs w:val="4"/>
                <w:color w:val="auto"/>
              </w:rPr>
            </w:pPr>
          </w:p>
        </w:tc>
        <w:tc>
          <w:tcPr>
            <w:tcW w:w="8660" w:type="dxa"/>
            <w:vAlign w:val="bottom"/>
          </w:tcPr>
          <w:p>
            <w:pPr>
              <w:spacing w:after="0"/>
              <w:rPr>
                <w:sz w:val="4"/>
                <w:szCs w:val="4"/>
                <w:color w:val="auto"/>
              </w:rPr>
            </w:pPr>
          </w:p>
        </w:tc>
      </w:tr>
      <w:tr>
        <w:trPr>
          <w:trHeight w:val="215"/>
        </w:trPr>
        <w:tc>
          <w:tcPr>
            <w:tcW w:w="980" w:type="dxa"/>
            <w:vAlign w:val="bottom"/>
            <w:shd w:val="clear" w:color="auto" w:fill="CCEEFF"/>
          </w:tcPr>
          <w:p>
            <w:pPr>
              <w:ind w:left="20"/>
              <w:spacing w:after="0"/>
              <w:rPr>
                <w:rFonts w:ascii="Arial" w:cs="Arial" w:eastAsia="Arial" w:hAnsi="Arial"/>
                <w:sz w:val="18"/>
                <w:szCs w:val="18"/>
                <w:color w:val="0000FF"/>
              </w:rPr>
            </w:pPr>
            <w:hyperlink r:id="rId139">
              <w:r>
                <w:rPr>
                  <w:rFonts w:ascii="Arial" w:cs="Arial" w:eastAsia="Arial" w:hAnsi="Arial"/>
                  <w:sz w:val="18"/>
                  <w:szCs w:val="18"/>
                  <w:u w:val="single" w:color="auto"/>
                  <w:color w:val="0000FF"/>
                </w:rPr>
                <w:t>4.2</w:t>
              </w:r>
            </w:hyperlink>
            <w:r>
              <w:rPr>
                <w:rFonts w:ascii="Arial" w:cs="Arial" w:eastAsia="Arial" w:hAnsi="Arial"/>
                <w:sz w:val="18"/>
                <w:szCs w:val="18"/>
                <w:color w:val="000000"/>
              </w:rPr>
              <w:t>**</w:t>
            </w:r>
          </w:p>
        </w:tc>
        <w:tc>
          <w:tcPr>
            <w:tcW w:w="86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4"/>
              </w:rPr>
              <w:t>Amendment No. 1 to Warrant Agreement, dated April 29, 2019, by and between International Money Express, Inc.</w:t>
            </w:r>
          </w:p>
        </w:tc>
      </w:tr>
      <w:tr>
        <w:trPr>
          <w:trHeight w:val="203"/>
        </w:trPr>
        <w:tc>
          <w:tcPr>
            <w:tcW w:w="980" w:type="dxa"/>
            <w:vAlign w:val="bottom"/>
            <w:shd w:val="clear" w:color="auto" w:fill="CCEEFF"/>
          </w:tcPr>
          <w:p>
            <w:pPr>
              <w:spacing w:after="0"/>
              <w:rPr>
                <w:sz w:val="17"/>
                <w:szCs w:val="17"/>
                <w:color w:val="auto"/>
              </w:rPr>
            </w:pPr>
          </w:p>
        </w:tc>
        <w:tc>
          <w:tcPr>
            <w:tcW w:w="866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7"/>
              </w:rPr>
              <w:t>and Continental Stock Transfer &amp; Trust Company (incorporated by reference to Exhibit 10.1 to the Registrant’s</w:t>
            </w:r>
          </w:p>
        </w:tc>
      </w:tr>
      <w:tr>
        <w:trPr>
          <w:trHeight w:val="244"/>
        </w:trPr>
        <w:tc>
          <w:tcPr>
            <w:tcW w:w="980" w:type="dxa"/>
            <w:vAlign w:val="bottom"/>
            <w:shd w:val="clear" w:color="auto" w:fill="CCEEFF"/>
          </w:tcPr>
          <w:p>
            <w:pPr>
              <w:spacing w:after="0"/>
              <w:rPr>
                <w:sz w:val="21"/>
                <w:szCs w:val="21"/>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Report on Form 8-K Filed on April 30, 2019).</w:t>
            </w:r>
          </w:p>
        </w:tc>
      </w:tr>
      <w:tr>
        <w:trPr>
          <w:trHeight w:val="54"/>
        </w:trPr>
        <w:tc>
          <w:tcPr>
            <w:tcW w:w="980" w:type="dxa"/>
            <w:vAlign w:val="bottom"/>
          </w:tcPr>
          <w:p>
            <w:pPr>
              <w:spacing w:after="0"/>
              <w:rPr>
                <w:sz w:val="4"/>
                <w:szCs w:val="4"/>
                <w:color w:val="auto"/>
              </w:rPr>
            </w:pPr>
          </w:p>
        </w:tc>
        <w:tc>
          <w:tcPr>
            <w:tcW w:w="8660" w:type="dxa"/>
            <w:vAlign w:val="bottom"/>
          </w:tcPr>
          <w:p>
            <w:pPr>
              <w:spacing w:after="0"/>
              <w:rPr>
                <w:sz w:val="4"/>
                <w:szCs w:val="4"/>
                <w:color w:val="auto"/>
              </w:rPr>
            </w:pPr>
          </w:p>
        </w:tc>
      </w:tr>
      <w:tr>
        <w:trPr>
          <w:trHeight w:val="175"/>
        </w:trPr>
        <w:tc>
          <w:tcPr>
            <w:tcW w:w="980" w:type="dxa"/>
            <w:vAlign w:val="bottom"/>
            <w:shd w:val="clear" w:color="auto" w:fill="CCEEFF"/>
          </w:tcPr>
          <w:p>
            <w:pPr>
              <w:ind w:left="20"/>
              <w:spacing w:after="0" w:line="176" w:lineRule="exact"/>
              <w:rPr>
                <w:rFonts w:ascii="Arial" w:cs="Arial" w:eastAsia="Arial" w:hAnsi="Arial"/>
                <w:sz w:val="18"/>
                <w:szCs w:val="18"/>
                <w:color w:val="0000FF"/>
              </w:rPr>
            </w:pPr>
            <w:hyperlink r:id="rId140">
              <w:r>
                <w:rPr>
                  <w:rFonts w:ascii="Arial" w:cs="Arial" w:eastAsia="Arial" w:hAnsi="Arial"/>
                  <w:sz w:val="18"/>
                  <w:szCs w:val="18"/>
                  <w:u w:val="single" w:color="auto"/>
                  <w:color w:val="0000FF"/>
                </w:rPr>
                <w:t>4.3</w:t>
              </w:r>
            </w:hyperlink>
            <w:r>
              <w:rPr>
                <w:rFonts w:ascii="Arial" w:cs="Arial" w:eastAsia="Arial" w:hAnsi="Arial"/>
                <w:sz w:val="18"/>
                <w:szCs w:val="18"/>
                <w:color w:val="000000"/>
              </w:rPr>
              <w:t>**</w:t>
            </w:r>
          </w:p>
        </w:tc>
        <w:tc>
          <w:tcPr>
            <w:tcW w:w="86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0"/>
              </w:rPr>
              <w:t>Shareholders Agreement, dated July 26, 2018, between the Company and the stockholders of the Company signatory</w:t>
            </w:r>
          </w:p>
        </w:tc>
      </w:tr>
      <w:tr>
        <w:trPr>
          <w:trHeight w:val="176"/>
        </w:trPr>
        <w:tc>
          <w:tcPr>
            <w:tcW w:w="980" w:type="dxa"/>
            <w:vAlign w:val="bottom"/>
            <w:shd w:val="clear" w:color="auto" w:fill="CCEEFF"/>
          </w:tcPr>
          <w:p>
            <w:pPr>
              <w:spacing w:after="0"/>
              <w:rPr>
                <w:sz w:val="15"/>
                <w:szCs w:val="15"/>
                <w:color w:val="auto"/>
              </w:rPr>
            </w:pPr>
          </w:p>
        </w:tc>
        <w:tc>
          <w:tcPr>
            <w:tcW w:w="86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6"/>
              </w:rPr>
              <w:t>thereto (incorporated by reference to Exhibit 4.3 to the Registrant’s Registration Statement on Form S-1 filed on</w:t>
            </w:r>
          </w:p>
        </w:tc>
      </w:tr>
      <w:tr>
        <w:trPr>
          <w:trHeight w:val="229"/>
        </w:trPr>
        <w:tc>
          <w:tcPr>
            <w:tcW w:w="980" w:type="dxa"/>
            <w:vAlign w:val="bottom"/>
            <w:shd w:val="clear" w:color="auto" w:fill="CCEEFF"/>
          </w:tcPr>
          <w:p>
            <w:pPr>
              <w:spacing w:after="0"/>
              <w:rPr>
                <w:sz w:val="19"/>
                <w:szCs w:val="19"/>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September 28, 2018 (File No. 333-226948)).</w:t>
            </w:r>
          </w:p>
        </w:tc>
      </w:tr>
      <w:tr>
        <w:trPr>
          <w:trHeight w:val="54"/>
        </w:trPr>
        <w:tc>
          <w:tcPr>
            <w:tcW w:w="980" w:type="dxa"/>
            <w:vAlign w:val="bottom"/>
          </w:tcPr>
          <w:p>
            <w:pPr>
              <w:spacing w:after="0"/>
              <w:rPr>
                <w:sz w:val="4"/>
                <w:szCs w:val="4"/>
                <w:color w:val="auto"/>
              </w:rPr>
            </w:pPr>
          </w:p>
        </w:tc>
        <w:tc>
          <w:tcPr>
            <w:tcW w:w="8660" w:type="dxa"/>
            <w:vAlign w:val="bottom"/>
          </w:tcPr>
          <w:p>
            <w:pPr>
              <w:spacing w:after="0"/>
              <w:rPr>
                <w:sz w:val="4"/>
                <w:szCs w:val="4"/>
                <w:color w:val="auto"/>
              </w:rPr>
            </w:pPr>
          </w:p>
        </w:tc>
      </w:tr>
      <w:tr>
        <w:trPr>
          <w:trHeight w:val="175"/>
        </w:trPr>
        <w:tc>
          <w:tcPr>
            <w:tcW w:w="980" w:type="dxa"/>
            <w:vAlign w:val="bottom"/>
            <w:shd w:val="clear" w:color="auto" w:fill="CCEEFF"/>
          </w:tcPr>
          <w:p>
            <w:pPr>
              <w:ind w:left="20"/>
              <w:spacing w:after="0" w:line="176" w:lineRule="exact"/>
              <w:rPr>
                <w:rFonts w:ascii="Arial" w:cs="Arial" w:eastAsia="Arial" w:hAnsi="Arial"/>
                <w:sz w:val="18"/>
                <w:szCs w:val="18"/>
                <w:color w:val="0000FF"/>
              </w:rPr>
            </w:pPr>
            <w:hyperlink r:id="rId141">
              <w:r>
                <w:rPr>
                  <w:rFonts w:ascii="Arial" w:cs="Arial" w:eastAsia="Arial" w:hAnsi="Arial"/>
                  <w:sz w:val="18"/>
                  <w:szCs w:val="18"/>
                  <w:u w:val="single" w:color="auto"/>
                  <w:color w:val="0000FF"/>
                </w:rPr>
                <w:t>4.4</w:t>
              </w:r>
            </w:hyperlink>
            <w:r>
              <w:rPr>
                <w:rFonts w:ascii="Arial" w:cs="Arial" w:eastAsia="Arial" w:hAnsi="Arial"/>
                <w:sz w:val="18"/>
                <w:szCs w:val="18"/>
                <w:color w:val="000000"/>
              </w:rPr>
              <w:t>**</w:t>
            </w:r>
          </w:p>
        </w:tc>
        <w:tc>
          <w:tcPr>
            <w:tcW w:w="86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2"/>
              </w:rPr>
              <w:t>Shareholders Agreement Amendment, dated as of December 12, 2018, by and among FinTech Investor Holdings II,</w:t>
            </w:r>
          </w:p>
        </w:tc>
      </w:tr>
      <w:tr>
        <w:trPr>
          <w:trHeight w:val="175"/>
        </w:trPr>
        <w:tc>
          <w:tcPr>
            <w:tcW w:w="980" w:type="dxa"/>
            <w:vAlign w:val="bottom"/>
            <w:shd w:val="clear" w:color="auto" w:fill="CCEEFF"/>
          </w:tcPr>
          <w:p>
            <w:pPr>
              <w:spacing w:after="0"/>
              <w:rPr>
                <w:sz w:val="15"/>
                <w:szCs w:val="15"/>
                <w:color w:val="auto"/>
              </w:rPr>
            </w:pPr>
          </w:p>
        </w:tc>
        <w:tc>
          <w:tcPr>
            <w:tcW w:w="86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LLC, the Company and SPC Intermex Representative LLC (incorporated by reference to Exhibit 4.1 to the</w:t>
            </w:r>
          </w:p>
        </w:tc>
      </w:tr>
      <w:tr>
        <w:trPr>
          <w:trHeight w:val="230"/>
        </w:trPr>
        <w:tc>
          <w:tcPr>
            <w:tcW w:w="980" w:type="dxa"/>
            <w:vAlign w:val="bottom"/>
            <w:shd w:val="clear" w:color="auto" w:fill="CCEEFF"/>
          </w:tcPr>
          <w:p>
            <w:pPr>
              <w:spacing w:after="0"/>
              <w:rPr>
                <w:sz w:val="19"/>
                <w:szCs w:val="19"/>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Registrant’s Current Report on Form 8-K on filed on December 14, 2018).</w:t>
            </w:r>
          </w:p>
        </w:tc>
      </w:tr>
      <w:tr>
        <w:trPr>
          <w:trHeight w:val="54"/>
        </w:trPr>
        <w:tc>
          <w:tcPr>
            <w:tcW w:w="980" w:type="dxa"/>
            <w:vAlign w:val="bottom"/>
          </w:tcPr>
          <w:p>
            <w:pPr>
              <w:spacing w:after="0"/>
              <w:rPr>
                <w:sz w:val="4"/>
                <w:szCs w:val="4"/>
                <w:color w:val="auto"/>
              </w:rPr>
            </w:pPr>
          </w:p>
        </w:tc>
        <w:tc>
          <w:tcPr>
            <w:tcW w:w="8660" w:type="dxa"/>
            <w:vAlign w:val="bottom"/>
          </w:tcPr>
          <w:p>
            <w:pPr>
              <w:spacing w:after="0"/>
              <w:rPr>
                <w:sz w:val="4"/>
                <w:szCs w:val="4"/>
                <w:color w:val="auto"/>
              </w:rPr>
            </w:pPr>
          </w:p>
        </w:tc>
      </w:tr>
      <w:tr>
        <w:trPr>
          <w:trHeight w:val="175"/>
        </w:trPr>
        <w:tc>
          <w:tcPr>
            <w:tcW w:w="980" w:type="dxa"/>
            <w:vAlign w:val="bottom"/>
            <w:shd w:val="clear" w:color="auto" w:fill="CCEEFF"/>
          </w:tcPr>
          <w:p>
            <w:pPr>
              <w:ind w:left="20"/>
              <w:spacing w:after="0" w:line="176" w:lineRule="exact"/>
              <w:rPr>
                <w:rFonts w:ascii="Arial" w:cs="Arial" w:eastAsia="Arial" w:hAnsi="Arial"/>
                <w:sz w:val="18"/>
                <w:szCs w:val="18"/>
                <w:color w:val="0000FF"/>
              </w:rPr>
            </w:pPr>
            <w:hyperlink r:id="rId142">
              <w:r>
                <w:rPr>
                  <w:rFonts w:ascii="Arial" w:cs="Arial" w:eastAsia="Arial" w:hAnsi="Arial"/>
                  <w:sz w:val="18"/>
                  <w:szCs w:val="18"/>
                  <w:u w:val="single" w:color="auto"/>
                  <w:color w:val="0000FF"/>
                </w:rPr>
                <w:t>4.5</w:t>
              </w:r>
            </w:hyperlink>
            <w:r>
              <w:rPr>
                <w:rFonts w:ascii="Arial" w:cs="Arial" w:eastAsia="Arial" w:hAnsi="Arial"/>
                <w:sz w:val="18"/>
                <w:szCs w:val="18"/>
                <w:color w:val="000000"/>
              </w:rPr>
              <w:t>**</w:t>
            </w:r>
          </w:p>
        </w:tc>
        <w:tc>
          <w:tcPr>
            <w:tcW w:w="86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1"/>
              </w:rPr>
              <w:t>Shareholders Agreement Waiver dated August 23, 2019, among Fintech Investor Holdings II, LLC, the Company and</w:t>
            </w:r>
          </w:p>
        </w:tc>
      </w:tr>
      <w:tr>
        <w:trPr>
          <w:trHeight w:val="175"/>
        </w:trPr>
        <w:tc>
          <w:tcPr>
            <w:tcW w:w="980" w:type="dxa"/>
            <w:vAlign w:val="bottom"/>
            <w:shd w:val="clear" w:color="auto" w:fill="CCEEFF"/>
          </w:tcPr>
          <w:p>
            <w:pPr>
              <w:spacing w:after="0"/>
              <w:rPr>
                <w:sz w:val="15"/>
                <w:szCs w:val="15"/>
                <w:color w:val="auto"/>
              </w:rPr>
            </w:pPr>
          </w:p>
        </w:tc>
        <w:tc>
          <w:tcPr>
            <w:tcW w:w="86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SPC Intermex Representative LLC (incorporated by reference to Exhibit 10.1 to the Registrant’s Current Report on</w:t>
            </w:r>
          </w:p>
        </w:tc>
      </w:tr>
      <w:tr>
        <w:trPr>
          <w:trHeight w:val="230"/>
        </w:trPr>
        <w:tc>
          <w:tcPr>
            <w:tcW w:w="980" w:type="dxa"/>
            <w:vAlign w:val="bottom"/>
            <w:shd w:val="clear" w:color="auto" w:fill="CCEEFF"/>
          </w:tcPr>
          <w:p>
            <w:pPr>
              <w:spacing w:after="0"/>
              <w:rPr>
                <w:sz w:val="19"/>
                <w:szCs w:val="19"/>
                <w:color w:val="auto"/>
              </w:rPr>
            </w:pPr>
          </w:p>
        </w:tc>
        <w:tc>
          <w:tcPr>
            <w:tcW w:w="8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Form 8-K Filed on August 23, 2019).</w:t>
            </w:r>
          </w:p>
        </w:tc>
      </w:tr>
    </w:tbl>
    <w:p>
      <w:pPr>
        <w:spacing w:after="0" w:line="53" w:lineRule="exact"/>
        <w:rPr>
          <w:sz w:val="20"/>
          <w:szCs w:val="20"/>
          <w:color w:val="auto"/>
        </w:rPr>
      </w:pPr>
    </w:p>
    <w:p>
      <w:pPr>
        <w:sectPr>
          <w:pgSz w:w="11900" w:h="16911" w:orient="portrait"/>
          <w:cols w:equalWidth="0" w:num="1">
            <w:col w:w="11240"/>
          </w:cols>
          <w:pgMar w:left="320" w:top="125" w:right="339" w:bottom="0" w:gutter="0" w:footer="0" w:header="0"/>
        </w:sectPr>
      </w:pPr>
    </w:p>
    <w:p>
      <w:pPr>
        <w:ind w:left="360"/>
        <w:spacing w:after="0"/>
        <w:rPr>
          <w:rFonts w:ascii="Arial" w:cs="Arial" w:eastAsia="Arial" w:hAnsi="Arial"/>
          <w:sz w:val="18"/>
          <w:szCs w:val="18"/>
          <w:color w:val="0000FF"/>
        </w:rPr>
      </w:pPr>
      <w:hyperlink r:id="rId143">
        <w:r>
          <w:rPr>
            <w:rFonts w:ascii="Arial" w:cs="Arial" w:eastAsia="Arial" w:hAnsi="Arial"/>
            <w:sz w:val="18"/>
            <w:szCs w:val="18"/>
            <w:u w:val="single" w:color="auto"/>
            <w:color w:val="0000FF"/>
          </w:rPr>
          <w:t>4.6</w:t>
        </w:r>
      </w:hyperlink>
      <w:r>
        <w:rPr>
          <w:rFonts w:ascii="Arial" w:cs="Arial" w:eastAsia="Arial" w:hAnsi="Arial"/>
          <w:sz w:val="18"/>
          <w:szCs w:val="18"/>
          <w:color w:val="000000"/>
        </w:rPr>
        <w:t>**</w:t>
      </w:r>
    </w:p>
    <w:p>
      <w:pPr>
        <w:spacing w:after="0" w:line="200" w:lineRule="exact"/>
        <w:rPr>
          <w:sz w:val="20"/>
          <w:szCs w:val="20"/>
          <w:color w:val="auto"/>
        </w:rPr>
      </w:pPr>
    </w:p>
    <w:p>
      <w:pPr>
        <w:spacing w:after="0" w:line="228" w:lineRule="exact"/>
        <w:rPr>
          <w:sz w:val="20"/>
          <w:szCs w:val="20"/>
          <w:color w:val="auto"/>
        </w:rPr>
      </w:pPr>
    </w:p>
    <w:p>
      <w:pPr>
        <w:ind w:left="360"/>
        <w:spacing w:after="0"/>
        <w:rPr>
          <w:rFonts w:ascii="Arial" w:cs="Arial" w:eastAsia="Arial" w:hAnsi="Arial"/>
          <w:sz w:val="18"/>
          <w:szCs w:val="18"/>
          <w:color w:val="0000FF"/>
        </w:rPr>
      </w:pPr>
      <w:hyperlink r:id="rId144">
        <w:r>
          <w:rPr>
            <w:rFonts w:ascii="Arial" w:cs="Arial" w:eastAsia="Arial" w:hAnsi="Arial"/>
            <w:sz w:val="18"/>
            <w:szCs w:val="18"/>
            <w:u w:val="single" w:color="auto"/>
            <w:color w:val="0000FF"/>
          </w:rPr>
          <w:t>4.7</w:t>
        </w:r>
      </w:hyperlink>
      <w:r>
        <w:rPr>
          <w:rFonts w:ascii="Arial" w:cs="Arial" w:eastAsia="Arial" w:hAnsi="Arial"/>
          <w:sz w:val="18"/>
          <w:szCs w:val="18"/>
          <w:color w:val="000000"/>
        </w:rPr>
        <w:t>**</w:t>
      </w:r>
    </w:p>
    <w:p>
      <w:pPr>
        <w:spacing w:after="0" w:line="306" w:lineRule="exact"/>
        <w:rPr>
          <w:sz w:val="20"/>
          <w:szCs w:val="20"/>
          <w:color w:val="auto"/>
        </w:rPr>
      </w:pPr>
    </w:p>
    <w:p>
      <w:pPr>
        <w:jc w:val="center"/>
        <w:ind w:left="340"/>
        <w:spacing w:after="0"/>
        <w:rPr>
          <w:rFonts w:ascii="Arial" w:cs="Arial" w:eastAsia="Arial" w:hAnsi="Arial"/>
          <w:sz w:val="17"/>
          <w:szCs w:val="17"/>
          <w:color w:val="0000FF"/>
        </w:rPr>
      </w:pPr>
      <w:hyperlink r:id="rId145">
        <w:r>
          <w:rPr>
            <w:rFonts w:ascii="Arial" w:cs="Arial" w:eastAsia="Arial" w:hAnsi="Arial"/>
            <w:sz w:val="17"/>
            <w:szCs w:val="17"/>
            <w:u w:val="single" w:color="auto"/>
            <w:color w:val="0000FF"/>
          </w:rPr>
          <w:t>10.1(a)</w:t>
        </w:r>
      </w:hyperlink>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360"/>
        <w:spacing w:after="0"/>
        <w:rPr>
          <w:rFonts w:ascii="Arial" w:cs="Arial" w:eastAsia="Arial" w:hAnsi="Arial"/>
          <w:sz w:val="17"/>
          <w:szCs w:val="17"/>
          <w:color w:val="0000FF"/>
        </w:rPr>
      </w:pPr>
      <w:hyperlink r:id="rId146">
        <w:r>
          <w:rPr>
            <w:rFonts w:ascii="Arial" w:cs="Arial" w:eastAsia="Arial" w:hAnsi="Arial"/>
            <w:sz w:val="17"/>
            <w:szCs w:val="17"/>
            <w:u w:val="single" w:color="auto"/>
            <w:color w:val="0000FF"/>
          </w:rPr>
          <w:t>10.1(b)</w:t>
        </w:r>
      </w:hyperlink>
      <w:r>
        <w:rPr>
          <w:rFonts w:ascii="Arial" w:cs="Arial" w:eastAsia="Arial" w:hAnsi="Arial"/>
          <w:sz w:val="17"/>
          <w:szCs w:val="17"/>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340"/>
        <w:spacing w:after="0"/>
        <w:rPr>
          <w:rFonts w:ascii="Arial" w:cs="Arial" w:eastAsia="Arial" w:hAnsi="Arial"/>
          <w:sz w:val="17"/>
          <w:szCs w:val="17"/>
          <w:color w:val="0000FF"/>
        </w:rPr>
      </w:pPr>
      <w:hyperlink r:id="rId147">
        <w:r>
          <w:rPr>
            <w:rFonts w:ascii="Arial" w:cs="Arial" w:eastAsia="Arial" w:hAnsi="Arial"/>
            <w:sz w:val="17"/>
            <w:szCs w:val="17"/>
            <w:u w:val="single" w:color="auto"/>
            <w:color w:val="0000FF"/>
          </w:rPr>
          <w:t>10.1(c)</w:t>
        </w:r>
      </w:hyperlink>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br w:type="column"/>
      </w:r>
    </w:p>
    <w:p>
      <w:pPr>
        <w:jc w:val="both"/>
        <w:ind w:right="1360"/>
        <w:spacing w:after="0" w:line="224" w:lineRule="auto"/>
        <w:rPr>
          <w:sz w:val="20"/>
          <w:szCs w:val="20"/>
          <w:color w:val="auto"/>
        </w:rPr>
      </w:pPr>
      <w:r>
        <w:rPr>
          <w:rFonts w:ascii="Arial" w:cs="Arial" w:eastAsia="Arial" w:hAnsi="Arial"/>
          <w:sz w:val="18"/>
          <w:szCs w:val="18"/>
          <w:color w:val="auto"/>
        </w:rPr>
        <w:t>Shareholders Agreement Waiver, dated October 5, 2020, among the Company, FinTech Investor Holdings II and SPC Intermex Representative LLC (incorporated by reference to Exhibit 4.1 to the Registrant’s Quarterly Report on Form 10-Q filed on November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-367030</wp:posOffset>
            </wp:positionV>
            <wp:extent cx="6120765" cy="6940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6120765" cy="694055"/>
                    </a:xfrm>
                    <a:prstGeom prst="rect">
                      <a:avLst/>
                    </a:prstGeom>
                    <a:noFill/>
                  </pic:spPr>
                </pic:pic>
              </a:graphicData>
            </a:graphic>
          </wp:anchor>
        </w:drawing>
      </w:r>
    </w:p>
    <w:p>
      <w:pPr>
        <w:spacing w:after="0" w:line="48" w:lineRule="exact"/>
        <w:rPr>
          <w:sz w:val="20"/>
          <w:szCs w:val="20"/>
          <w:color w:val="auto"/>
        </w:rPr>
      </w:pPr>
    </w:p>
    <w:p>
      <w:pPr>
        <w:ind w:right="1520"/>
        <w:spacing w:after="0" w:line="261" w:lineRule="auto"/>
        <w:rPr>
          <w:sz w:val="20"/>
          <w:szCs w:val="20"/>
          <w:color w:val="auto"/>
        </w:rPr>
      </w:pPr>
      <w:r>
        <w:rPr>
          <w:rFonts w:ascii="Arial" w:cs="Arial" w:eastAsia="Arial" w:hAnsi="Arial"/>
          <w:sz w:val="18"/>
          <w:szCs w:val="18"/>
          <w:color w:val="auto"/>
        </w:rPr>
        <w:t>Description of Securities (incorporated by reference to Exhibit 4.6 to the Registrant’s Annual Report on Form 10-K Filed on March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31750</wp:posOffset>
            </wp:positionV>
            <wp:extent cx="6120765" cy="548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6120765" cy="548640"/>
                    </a:xfrm>
                    <a:prstGeom prst="rect">
                      <a:avLst/>
                    </a:prstGeom>
                    <a:noFill/>
                  </pic:spPr>
                </pic:pic>
              </a:graphicData>
            </a:graphic>
          </wp:anchor>
        </w:drawing>
      </w:r>
    </w:p>
    <w:p>
      <w:pPr>
        <w:spacing w:after="0" w:line="43" w:lineRule="exact"/>
        <w:rPr>
          <w:sz w:val="20"/>
          <w:szCs w:val="20"/>
          <w:color w:val="auto"/>
        </w:rPr>
      </w:pPr>
    </w:p>
    <w:p>
      <w:pPr>
        <w:ind w:right="1380"/>
        <w:spacing w:after="0" w:line="243" w:lineRule="auto"/>
        <w:rPr>
          <w:sz w:val="20"/>
          <w:szCs w:val="20"/>
          <w:color w:val="auto"/>
        </w:rPr>
      </w:pPr>
      <w:r>
        <w:rPr>
          <w:rFonts w:ascii="Arial" w:cs="Arial" w:eastAsia="Arial" w:hAnsi="Arial"/>
          <w:sz w:val="18"/>
          <w:szCs w:val="18"/>
          <w:color w:val="auto"/>
        </w:rPr>
        <w:t>Credit Agreement, dated November 7, 2018, by and among Intermex Wire Transfer, LLC, Intermex Holdings, Inc., International Money Express, Inc., International Money Express Sub 2, LLC, each Guarantor, and KeyBank National Association, as Administrative Agent and L/C Issuer (incorporated by reference to Exhibit 10.1 to the Registrant’s Current Report on Form 8-K on filed on November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42545</wp:posOffset>
            </wp:positionV>
            <wp:extent cx="6120765" cy="548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6120765" cy="548640"/>
                    </a:xfrm>
                    <a:prstGeom prst="rect">
                      <a:avLst/>
                    </a:prstGeom>
                    <a:noFill/>
                  </pic:spPr>
                </pic:pic>
              </a:graphicData>
            </a:graphic>
          </wp:anchor>
        </w:drawing>
      </w:r>
    </w:p>
    <w:p>
      <w:pPr>
        <w:spacing w:after="0" w:line="60" w:lineRule="exact"/>
        <w:rPr>
          <w:sz w:val="20"/>
          <w:szCs w:val="20"/>
          <w:color w:val="auto"/>
        </w:rPr>
      </w:pPr>
    </w:p>
    <w:p>
      <w:pPr>
        <w:ind w:right="1340"/>
        <w:spacing w:after="0" w:line="262" w:lineRule="auto"/>
        <w:rPr>
          <w:sz w:val="20"/>
          <w:szCs w:val="20"/>
          <w:color w:val="auto"/>
        </w:rPr>
      </w:pPr>
      <w:r>
        <w:rPr>
          <w:rFonts w:ascii="Arial" w:cs="Arial" w:eastAsia="Arial" w:hAnsi="Arial"/>
          <w:sz w:val="17"/>
          <w:szCs w:val="17"/>
          <w:color w:val="auto"/>
        </w:rPr>
        <w:t>Amendment No. 1, dated as of December 7, 2018 to the Credit by and among Intermex Wire Transfer, LLC, Intermex Holdings, Inc., International Money Express, Inc., International Money Express Sub 2, LLC, each Guarantor, and KeyBank National Association, as Administrative Agent and L/C Issuer (incorporated by reference to Exhibit 10.1 to the Registrant’s Current Report on Form 8-K on filed on December 10, 2018).</w:t>
      </w:r>
    </w:p>
    <w:p>
      <w:pPr>
        <w:spacing w:after="0" w:line="51" w:lineRule="exact"/>
        <w:rPr>
          <w:sz w:val="20"/>
          <w:szCs w:val="20"/>
          <w:color w:val="auto"/>
        </w:rPr>
      </w:pPr>
    </w:p>
    <w:p>
      <w:pPr>
        <w:ind w:right="1320"/>
        <w:spacing w:after="0" w:line="244" w:lineRule="auto"/>
        <w:rPr>
          <w:sz w:val="20"/>
          <w:szCs w:val="20"/>
          <w:color w:val="auto"/>
        </w:rPr>
      </w:pPr>
      <w:r>
        <w:rPr>
          <w:rFonts w:ascii="Arial" w:cs="Arial" w:eastAsia="Arial" w:hAnsi="Arial"/>
          <w:sz w:val="16"/>
          <w:szCs w:val="16"/>
          <w:color w:val="auto"/>
        </w:rPr>
        <w:t>Increase Joinder No. 1 to Credit Agreement, dated March 25, 2019, by and among International Money Express, Inc., as Holdings, International Money Express Sub 2, LLC, as Intermediate Holdings, Intermex Holdings, Inc., as the Term Borrower, Intermex Wire Transfer, LLC, as the Revolver Borrower, the other guarantors from time to time party thereto, the lenders from time to time party thereto and Keybank National Association, as the administrative agent (incorporated by reference to Exhibit 10.2 to the Registrant’s Current Report on Form 8-K filed on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-592455</wp:posOffset>
            </wp:positionV>
            <wp:extent cx="6120765" cy="5911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6120765" cy="591185"/>
                    </a:xfrm>
                    <a:prstGeom prst="rect">
                      <a:avLst/>
                    </a:prstGeom>
                    <a:noFill/>
                  </pic:spPr>
                </pic:pic>
              </a:graphicData>
            </a:graphic>
          </wp:anchor>
        </w:drawing>
      </w:r>
    </w:p>
    <w:p>
      <w:pPr>
        <w:spacing w:after="0" w:line="50" w:lineRule="exact"/>
        <w:rPr>
          <w:sz w:val="20"/>
          <w:szCs w:val="20"/>
          <w:color w:val="auto"/>
        </w:rPr>
      </w:pPr>
    </w:p>
    <w:p>
      <w:pPr>
        <w:sectPr>
          <w:pgSz w:w="11900" w:h="16911" w:orient="portrait"/>
          <w:cols w:equalWidth="0" w:num="2">
            <w:col w:w="1060" w:space="360"/>
            <w:col w:w="9820"/>
          </w:cols>
          <w:pgMar w:left="320" w:top="125" w:right="339" w:bottom="0" w:gutter="0" w:footer="0" w:header="0"/>
          <w:type w:val="continuous"/>
        </w:sectPr>
      </w:pPr>
    </w:p>
    <w:p>
      <w:pPr>
        <w:ind w:left="1420" w:right="1300" w:hanging="1065"/>
        <w:spacing w:after="0" w:line="248" w:lineRule="auto"/>
        <w:tabs>
          <w:tab w:leader="none" w:pos="1400" w:val="left"/>
        </w:tabs>
        <w:rPr>
          <w:rFonts w:ascii="Arial" w:cs="Arial" w:eastAsia="Arial" w:hAnsi="Arial"/>
          <w:sz w:val="18"/>
          <w:szCs w:val="18"/>
          <w:color w:val="0000FF"/>
        </w:rPr>
      </w:pPr>
      <w:hyperlink r:id="rId152">
        <w:r>
          <w:rPr>
            <w:rFonts w:ascii="Arial" w:cs="Arial" w:eastAsia="Arial" w:hAnsi="Arial"/>
            <w:sz w:val="18"/>
            <w:szCs w:val="18"/>
            <w:u w:val="single" w:color="auto"/>
            <w:color w:val="0000FF"/>
          </w:rPr>
          <w:t>10.2(a)</w:t>
        </w:r>
      </w:hyperlink>
      <w:r>
        <w:rPr>
          <w:rFonts w:ascii="Arial" w:cs="Arial" w:eastAsia="Arial" w:hAnsi="Arial"/>
          <w:sz w:val="18"/>
          <w:szCs w:val="18"/>
          <w:color w:val="000000"/>
        </w:rPr>
        <w:t>**</w:t>
      </w:r>
      <w:r>
        <w:rPr>
          <w:rFonts w:ascii="Arial" w:cs="Arial" w:eastAsia="Arial" w:hAnsi="Arial"/>
          <w:sz w:val="18"/>
          <w:szCs w:val="18"/>
          <w:color w:val="0000FF"/>
        </w:rPr>
        <w:tab/>
        <w:t>Registration Rights Agreement, dated July 26, 2018, by and among FinTech Acquisition Corp. II, SPC Investors, Minority Investors and Additional Investors (incorporated by reference to Exhibit 10.2 to the Registrant’s Registration Statement on Form S-1 filed on September 28, 2018 (File No. 333-226948)).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-406400</wp:posOffset>
            </wp:positionV>
            <wp:extent cx="6120765" cy="419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3">
                      <a:extLst>
                        <a:ext uri="{28A0092B-C50C-407E-A947-70E740481C1C}"/>
                      </a:extLst>
                    </a:blip>
                    <a:srcRect/>
                    <a:stretch>
                      <a:fillRect/>
                    </a:stretch>
                  </pic:blipFill>
                  <pic:spPr bwMode="auto">
                    <a:xfrm>
                      <a:off x="0" y="0"/>
                      <a:ext cx="6120765" cy="419735"/>
                    </a:xfrm>
                    <a:prstGeom prst="rect">
                      <a:avLst/>
                    </a:prstGeom>
                    <a:noFill/>
                  </pic:spPr>
                </pic:pic>
              </a:graphicData>
            </a:graphic>
          </wp:anchor>
        </w:drawing>
      </w:r>
    </w:p>
    <w:p>
      <w:pPr>
        <w:spacing w:after="0" w:line="38" w:lineRule="exact"/>
        <w:rPr>
          <w:sz w:val="20"/>
          <w:szCs w:val="20"/>
          <w:color w:val="auto"/>
        </w:rPr>
      </w:pPr>
    </w:p>
    <w:p>
      <w:pPr>
        <w:ind w:left="360"/>
        <w:spacing w:after="0"/>
        <w:tabs>
          <w:tab w:leader="none" w:pos="1400" w:val="left"/>
        </w:tabs>
        <w:rPr>
          <w:rFonts w:ascii="Arial" w:cs="Arial" w:eastAsia="Arial" w:hAnsi="Arial"/>
          <w:sz w:val="18"/>
          <w:szCs w:val="18"/>
          <w:color w:val="0000FF"/>
        </w:rPr>
      </w:pPr>
      <w:hyperlink r:id="rId154">
        <w:r>
          <w:rPr>
            <w:rFonts w:ascii="Arial" w:cs="Arial" w:eastAsia="Arial" w:hAnsi="Arial"/>
            <w:sz w:val="18"/>
            <w:szCs w:val="18"/>
            <w:u w:val="single" w:color="auto"/>
            <w:color w:val="0000FF"/>
          </w:rPr>
          <w:t>10.2(b)</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6"/>
          <w:szCs w:val="16"/>
          <w:color w:val="0000FF"/>
        </w:rPr>
        <w:t>Amendment No. 1 to the Registration Rights Agreement, dated July 29, 2019 (incorporated by reference to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-120650</wp:posOffset>
            </wp:positionV>
            <wp:extent cx="6120765" cy="2571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5">
                      <a:extLst>
                        <a:ext uri="{28A0092B-C50C-407E-A947-70E740481C1C}"/>
                      </a:extLst>
                    </a:blip>
                    <a:srcRect/>
                    <a:stretch>
                      <a:fillRect/>
                    </a:stretch>
                  </pic:blipFill>
                  <pic:spPr bwMode="auto">
                    <a:xfrm>
                      <a:off x="0" y="0"/>
                      <a:ext cx="6120765" cy="257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10.1 to the Registrant’s Current Report on Form 8-K filed on July 30, 2019).</w:t>
      </w:r>
    </w:p>
    <w:p>
      <w:pPr>
        <w:spacing w:after="0" w:line="61" w:lineRule="exact"/>
        <w:rPr>
          <w:sz w:val="20"/>
          <w:szCs w:val="20"/>
          <w:color w:val="auto"/>
        </w:rPr>
      </w:pPr>
    </w:p>
    <w:p>
      <w:pPr>
        <w:jc w:val="both"/>
        <w:ind w:left="1420" w:right="2180" w:hanging="1065"/>
        <w:spacing w:after="0" w:line="237" w:lineRule="auto"/>
        <w:tabs>
          <w:tab w:leader="none" w:pos="1400" w:val="left"/>
        </w:tabs>
        <w:rPr>
          <w:rFonts w:ascii="Arial" w:cs="Arial" w:eastAsia="Arial" w:hAnsi="Arial"/>
          <w:sz w:val="18"/>
          <w:szCs w:val="18"/>
          <w:color w:val="0000FF"/>
        </w:rPr>
      </w:pPr>
      <w:hyperlink r:id="rId156">
        <w:r>
          <w:rPr>
            <w:rFonts w:ascii="Arial" w:cs="Arial" w:eastAsia="Arial" w:hAnsi="Arial"/>
            <w:sz w:val="18"/>
            <w:szCs w:val="18"/>
            <w:u w:val="single" w:color="auto"/>
            <w:color w:val="0000FF"/>
          </w:rPr>
          <w:t>10.3</w:t>
        </w:r>
      </w:hyperlink>
      <w:r>
        <w:rPr>
          <w:rFonts w:ascii="Arial" w:cs="Arial" w:eastAsia="Arial" w:hAnsi="Arial"/>
          <w:sz w:val="18"/>
          <w:szCs w:val="18"/>
          <w:color w:val="000000"/>
        </w:rPr>
        <w:t>**</w:t>
      </w:r>
      <w:r>
        <w:rPr>
          <w:rFonts w:ascii="Arial" w:cs="Arial" w:eastAsia="Arial" w:hAnsi="Arial"/>
          <w:sz w:val="18"/>
          <w:szCs w:val="18"/>
          <w:color w:val="0000FF"/>
        </w:rPr>
        <w:tab/>
      </w:r>
      <w:r>
        <w:rPr>
          <w:rFonts w:ascii="Arial" w:cs="Arial" w:eastAsia="Arial" w:hAnsi="Arial"/>
          <w:sz w:val="17"/>
          <w:szCs w:val="17"/>
          <w:color w:val="0000FF"/>
        </w:rPr>
        <w:t>Registration Rights Agreement Waiver dated August 23, 2019, among Fintech Investor Holdings II, LLC, International Money Express, Inc. and SPC Intermex, LP (incorporated by reference to Exhibit 10.2 to the Registrant’s Current Report on Form 8-K filed on August 23,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-366395</wp:posOffset>
            </wp:positionV>
            <wp:extent cx="6120765" cy="3689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7">
                      <a:extLst>
                        <a:ext uri="{28A0092B-C50C-407E-A947-70E740481C1C}"/>
                      </a:extLst>
                    </a:blip>
                    <a:srcRect/>
                    <a:stretch>
                      <a:fillRect/>
                    </a:stretch>
                  </pic:blipFill>
                  <pic:spPr bwMode="auto">
                    <a:xfrm>
                      <a:off x="0" y="0"/>
                      <a:ext cx="6120765" cy="368935"/>
                    </a:xfrm>
                    <a:prstGeom prst="rect">
                      <a:avLst/>
                    </a:prstGeom>
                    <a:noFill/>
                  </pic:spPr>
                </pic:pic>
              </a:graphicData>
            </a:graphic>
          </wp:anchor>
        </w:drawing>
      </w:r>
    </w:p>
    <w:p>
      <w:pPr>
        <w:sectPr>
          <w:pgSz w:w="11900" w:h="16911" w:orient="portrait"/>
          <w:cols w:equalWidth="0" w:num="1">
            <w:col w:w="11240"/>
          </w:cols>
          <w:pgMar w:left="320" w:top="125" w:right="339" w:bottom="0" w:gutter="0" w:footer="0" w:header="0"/>
          <w:type w:val="continuous"/>
        </w:sectPr>
      </w:pPr>
    </w:p>
    <w:p>
      <w:pPr>
        <w:spacing w:after="0" w:line="55" w:lineRule="exact"/>
        <w:rPr>
          <w:sz w:val="20"/>
          <w:szCs w:val="20"/>
          <w:color w:val="auto"/>
        </w:rPr>
      </w:pPr>
    </w:p>
    <w:p>
      <w:pPr>
        <w:ind w:left="360"/>
        <w:spacing w:after="0"/>
        <w:rPr>
          <w:rFonts w:ascii="Arial" w:cs="Arial" w:eastAsia="Arial" w:hAnsi="Arial"/>
          <w:sz w:val="18"/>
          <w:szCs w:val="18"/>
          <w:color w:val="0000FF"/>
        </w:rPr>
      </w:pPr>
      <w:hyperlink r:id="rId158">
        <w:r>
          <w:rPr>
            <w:rFonts w:ascii="Arial" w:cs="Arial" w:eastAsia="Arial" w:hAnsi="Arial"/>
            <w:sz w:val="18"/>
            <w:szCs w:val="18"/>
            <w:u w:val="single" w:color="auto"/>
            <w:color w:val="0000FF"/>
          </w:rPr>
          <w:t>10.4</w:t>
        </w:r>
      </w:hyperlink>
      <w:r>
        <w:rPr>
          <w:rFonts w:ascii="Arial" w:cs="Arial" w:eastAsia="Arial" w:hAnsi="Arial"/>
          <w:sz w:val="18"/>
          <w:szCs w:val="18"/>
          <w:color w:val="000000"/>
        </w:rPr>
        <w:t>**</w:t>
      </w:r>
    </w:p>
    <w:p>
      <w:pPr>
        <w:spacing w:after="0" w:line="200" w:lineRule="exact"/>
        <w:rPr>
          <w:sz w:val="20"/>
          <w:szCs w:val="20"/>
          <w:color w:val="auto"/>
        </w:rPr>
      </w:pPr>
    </w:p>
    <w:p>
      <w:pPr>
        <w:spacing w:after="0" w:line="228" w:lineRule="exact"/>
        <w:rPr>
          <w:sz w:val="20"/>
          <w:szCs w:val="20"/>
          <w:color w:val="auto"/>
        </w:rPr>
      </w:pPr>
    </w:p>
    <w:p>
      <w:pPr>
        <w:ind w:left="360"/>
        <w:spacing w:after="0"/>
        <w:rPr>
          <w:rFonts w:ascii="Arial" w:cs="Arial" w:eastAsia="Arial" w:hAnsi="Arial"/>
          <w:sz w:val="17"/>
          <w:szCs w:val="17"/>
          <w:color w:val="0000FF"/>
        </w:rPr>
      </w:pPr>
      <w:hyperlink r:id="rId159">
        <w:r>
          <w:rPr>
            <w:rFonts w:ascii="Arial" w:cs="Arial" w:eastAsia="Arial" w:hAnsi="Arial"/>
            <w:sz w:val="17"/>
            <w:szCs w:val="17"/>
            <w:u w:val="single" w:color="auto"/>
            <w:color w:val="0000FF"/>
          </w:rPr>
          <w:t>10.5</w:t>
        </w:r>
      </w:hyperlink>
      <w:r>
        <w:rPr>
          <w:rFonts w:ascii="Arial" w:cs="Arial" w:eastAsia="Arial" w:hAnsi="Arial"/>
          <w:sz w:val="17"/>
          <w:szCs w:val="17"/>
          <w:color w:val="000000"/>
        </w:rPr>
        <w:t>**†</w:t>
      </w:r>
    </w:p>
    <w:p>
      <w:pPr>
        <w:spacing w:after="0" w:line="318" w:lineRule="exact"/>
        <w:rPr>
          <w:sz w:val="20"/>
          <w:szCs w:val="20"/>
          <w:color w:val="auto"/>
        </w:rPr>
      </w:pPr>
    </w:p>
    <w:p>
      <w:pPr>
        <w:ind w:left="360"/>
        <w:spacing w:after="0"/>
        <w:rPr>
          <w:rFonts w:ascii="Arial" w:cs="Arial" w:eastAsia="Arial" w:hAnsi="Arial"/>
          <w:sz w:val="17"/>
          <w:szCs w:val="17"/>
          <w:color w:val="0000FF"/>
        </w:rPr>
      </w:pPr>
      <w:hyperlink r:id="rId160">
        <w:r>
          <w:rPr>
            <w:rFonts w:ascii="Arial" w:cs="Arial" w:eastAsia="Arial" w:hAnsi="Arial"/>
            <w:sz w:val="17"/>
            <w:szCs w:val="17"/>
            <w:u w:val="single" w:color="auto"/>
            <w:color w:val="0000FF"/>
          </w:rPr>
          <w:t>10.6</w:t>
        </w:r>
      </w:hyperlink>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both"/>
        <w:ind w:right="1860"/>
        <w:spacing w:after="0" w:line="224" w:lineRule="auto"/>
        <w:rPr>
          <w:sz w:val="20"/>
          <w:szCs w:val="20"/>
          <w:color w:val="auto"/>
        </w:rPr>
      </w:pPr>
      <w:r>
        <w:rPr>
          <w:rFonts w:ascii="Arial" w:cs="Arial" w:eastAsia="Arial" w:hAnsi="Arial"/>
          <w:sz w:val="18"/>
          <w:szCs w:val="18"/>
          <w:color w:val="auto"/>
        </w:rPr>
        <w:t>Settlement Agreement and Release, dated March 16, 2020, among Stuart Sawyer, on behalf of himself and all Settlement Class Members, and Intermex Wire Transfer, LLC (incorporated by reference to Exhibit 10.1 to the Registrant’s Current Report on Form 8-K filed on March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-367030</wp:posOffset>
            </wp:positionV>
            <wp:extent cx="6120765" cy="6940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6120765" cy="694055"/>
                    </a:xfrm>
                    <a:prstGeom prst="rect">
                      <a:avLst/>
                    </a:prstGeom>
                    <a:noFill/>
                  </pic:spPr>
                </pic:pic>
              </a:graphicData>
            </a:graphic>
          </wp:anchor>
        </w:drawing>
      </w:r>
    </w:p>
    <w:p>
      <w:pPr>
        <w:spacing w:after="0" w:line="48" w:lineRule="exact"/>
        <w:rPr>
          <w:sz w:val="20"/>
          <w:szCs w:val="20"/>
          <w:color w:val="auto"/>
        </w:rPr>
      </w:pPr>
    </w:p>
    <w:p>
      <w:pPr>
        <w:ind w:right="1440"/>
        <w:spacing w:after="0" w:line="324" w:lineRule="auto"/>
        <w:rPr>
          <w:sz w:val="20"/>
          <w:szCs w:val="20"/>
          <w:color w:val="auto"/>
        </w:rPr>
      </w:pPr>
      <w:r>
        <w:rPr>
          <w:rFonts w:ascii="Arial" w:cs="Arial" w:eastAsia="Arial" w:hAnsi="Arial"/>
          <w:sz w:val="16"/>
          <w:szCs w:val="16"/>
          <w:color w:val="auto"/>
        </w:rPr>
        <w:t>International Money Express, Inc. 2018 Omnibus Equity Compensation Plan (incorporated by reference to Exhibit 10.3(a) to the Registrant’s Registration Statement on Form S-1 filed on September 28, 2018 (File No. 333-226948)).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2540</wp:posOffset>
            </wp:positionV>
            <wp:extent cx="6120765" cy="408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6120765" cy="408940"/>
                    </a:xfrm>
                    <a:prstGeom prst="rect">
                      <a:avLst/>
                    </a:prstGeom>
                    <a:noFill/>
                  </pic:spPr>
                </pic:pic>
              </a:graphicData>
            </a:graphic>
          </wp:anchor>
        </w:drawing>
      </w:r>
    </w:p>
    <w:p>
      <w:pPr>
        <w:ind w:right="1360"/>
        <w:spacing w:after="0" w:line="248" w:lineRule="auto"/>
        <w:rPr>
          <w:sz w:val="20"/>
          <w:szCs w:val="20"/>
          <w:color w:val="auto"/>
        </w:rPr>
      </w:pPr>
      <w:r>
        <w:rPr>
          <w:rFonts w:ascii="Arial" w:cs="Arial" w:eastAsia="Arial" w:hAnsi="Arial"/>
          <w:sz w:val="18"/>
          <w:szCs w:val="18"/>
          <w:color w:val="auto"/>
        </w:rPr>
        <w:t>Form of Nonqualified Stock Option Agreement (Robert Lisy) pursuant to the International Money Express, Inc. 2018 Omnibus Equity Compensation Plan (incorporated by reference to Exhibit 10.4(f) to the Registrant’s Registration Statement on Form S-1 filed on September 28, 2018 (File No. 333-226948)).</w:t>
      </w:r>
    </w:p>
    <w:p>
      <w:pPr>
        <w:sectPr>
          <w:pgSz w:w="11900" w:h="16911" w:orient="portrait"/>
          <w:cols w:equalWidth="0" w:num="2">
            <w:col w:w="940" w:space="480"/>
            <w:col w:w="9820"/>
          </w:cols>
          <w:pgMar w:left="320" w:top="125" w:right="339" w:bottom="0" w:gutter="0" w:footer="0" w:header="0"/>
          <w:type w:val="continuous"/>
        </w:sectPr>
      </w:pPr>
    </w:p>
    <w:bookmarkStart w:id="102" w:name="page103"/>
    <w:bookmarkEnd w:id="102"/>
    <w:p>
      <w:pPr>
        <w:ind w:left="28"/>
        <w:spacing w:after="0"/>
        <w:rPr>
          <w:rFonts w:ascii="Arial" w:cs="Arial" w:eastAsia="Arial" w:hAnsi="Arial"/>
          <w:sz w:val="18"/>
          <w:szCs w:val="18"/>
          <w:color w:val="0000FF"/>
        </w:rPr>
      </w:pPr>
      <w:hyperlink r:id="rId163">
        <w:r>
          <w:rPr>
            <w:rFonts w:ascii="Arial" w:cs="Arial" w:eastAsia="Arial" w:hAnsi="Arial"/>
            <w:sz w:val="18"/>
            <w:szCs w:val="18"/>
            <w:u w:val="single" w:color="auto"/>
            <w:color w:val="0000FF"/>
          </w:rPr>
          <w:t>10.7</w:t>
        </w:r>
      </w:hyperlink>
      <w:r>
        <w:rPr>
          <w:rFonts w:ascii="Arial" w:cs="Arial" w:eastAsia="Arial" w:hAnsi="Arial"/>
          <w:sz w:val="18"/>
          <w:szCs w:val="18"/>
          <w:color w:val="000000"/>
        </w:rPr>
        <w:t>**†</w:t>
      </w:r>
    </w:p>
    <w:p>
      <w:pPr>
        <w:spacing w:after="0" w:line="200" w:lineRule="exact"/>
        <w:rPr>
          <w:sz w:val="20"/>
          <w:szCs w:val="20"/>
          <w:color w:val="auto"/>
        </w:rPr>
      </w:pPr>
    </w:p>
    <w:p>
      <w:pPr>
        <w:spacing w:after="0" w:line="309" w:lineRule="exact"/>
        <w:rPr>
          <w:sz w:val="20"/>
          <w:szCs w:val="20"/>
          <w:color w:val="auto"/>
        </w:rPr>
      </w:pPr>
    </w:p>
    <w:p>
      <w:pPr>
        <w:ind w:left="28"/>
        <w:spacing w:after="0"/>
        <w:rPr>
          <w:rFonts w:ascii="Arial" w:cs="Arial" w:eastAsia="Arial" w:hAnsi="Arial"/>
          <w:sz w:val="18"/>
          <w:szCs w:val="18"/>
          <w:color w:val="0000FF"/>
        </w:rPr>
      </w:pPr>
      <w:hyperlink r:id="rId164">
        <w:r>
          <w:rPr>
            <w:rFonts w:ascii="Arial" w:cs="Arial" w:eastAsia="Arial" w:hAnsi="Arial"/>
            <w:sz w:val="18"/>
            <w:szCs w:val="18"/>
            <w:u w:val="single" w:color="auto"/>
            <w:color w:val="0000FF"/>
          </w:rPr>
          <w:t>10.8</w:t>
        </w:r>
      </w:hyperlink>
      <w:r>
        <w:rPr>
          <w:rFonts w:ascii="Arial" w:cs="Arial" w:eastAsia="Arial" w:hAnsi="Arial"/>
          <w:sz w:val="18"/>
          <w:szCs w:val="18"/>
          <w:color w:val="000000"/>
        </w:rPr>
        <w:t>**†</w:t>
      </w:r>
    </w:p>
    <w:p>
      <w:pPr>
        <w:spacing w:after="0" w:line="200" w:lineRule="exact"/>
        <w:rPr>
          <w:sz w:val="20"/>
          <w:szCs w:val="20"/>
          <w:color w:val="auto"/>
        </w:rPr>
      </w:pPr>
    </w:p>
    <w:p>
      <w:pPr>
        <w:spacing w:after="0" w:line="309" w:lineRule="exact"/>
        <w:rPr>
          <w:sz w:val="20"/>
          <w:szCs w:val="20"/>
          <w:color w:val="auto"/>
        </w:rPr>
      </w:pPr>
    </w:p>
    <w:p>
      <w:pPr>
        <w:ind w:left="28"/>
        <w:spacing w:after="0"/>
        <w:rPr>
          <w:rFonts w:ascii="Arial" w:cs="Arial" w:eastAsia="Arial" w:hAnsi="Arial"/>
          <w:sz w:val="18"/>
          <w:szCs w:val="18"/>
          <w:color w:val="0000FF"/>
        </w:rPr>
      </w:pPr>
      <w:hyperlink r:id="rId165">
        <w:r>
          <w:rPr>
            <w:rFonts w:ascii="Arial" w:cs="Arial" w:eastAsia="Arial" w:hAnsi="Arial"/>
            <w:sz w:val="18"/>
            <w:szCs w:val="18"/>
            <w:u w:val="single" w:color="auto"/>
            <w:color w:val="0000FF"/>
          </w:rPr>
          <w:t>10.9</w:t>
        </w:r>
      </w:hyperlink>
      <w:r>
        <w:rPr>
          <w:rFonts w:ascii="Arial" w:cs="Arial" w:eastAsia="Arial" w:hAnsi="Arial"/>
          <w:sz w:val="18"/>
          <w:szCs w:val="18"/>
          <w:color w:val="000000"/>
        </w:rPr>
        <w:t>**†</w:t>
      </w:r>
    </w:p>
    <w:p>
      <w:pPr>
        <w:spacing w:after="0" w:line="200" w:lineRule="exact"/>
        <w:rPr>
          <w:sz w:val="20"/>
          <w:szCs w:val="20"/>
          <w:color w:val="auto"/>
        </w:rPr>
      </w:pPr>
    </w:p>
    <w:p>
      <w:pPr>
        <w:spacing w:after="0" w:line="309" w:lineRule="exact"/>
        <w:rPr>
          <w:sz w:val="20"/>
          <w:szCs w:val="20"/>
          <w:color w:val="auto"/>
        </w:rPr>
      </w:pPr>
    </w:p>
    <w:p>
      <w:pPr>
        <w:ind w:left="28"/>
        <w:spacing w:after="0"/>
        <w:rPr>
          <w:rFonts w:ascii="Arial" w:cs="Arial" w:eastAsia="Arial" w:hAnsi="Arial"/>
          <w:sz w:val="17"/>
          <w:szCs w:val="17"/>
          <w:color w:val="0000FF"/>
        </w:rPr>
      </w:pPr>
      <w:hyperlink r:id="rId166">
        <w:r>
          <w:rPr>
            <w:rFonts w:ascii="Arial" w:cs="Arial" w:eastAsia="Arial" w:hAnsi="Arial"/>
            <w:sz w:val="17"/>
            <w:szCs w:val="17"/>
            <w:u w:val="single" w:color="auto"/>
            <w:color w:val="0000FF"/>
          </w:rPr>
          <w:t>10.10</w:t>
        </w:r>
      </w:hyperlink>
      <w:r>
        <w:rPr>
          <w:rFonts w:ascii="Arial" w:cs="Arial" w:eastAsia="Arial" w:hAnsi="Arial"/>
          <w:sz w:val="17"/>
          <w:szCs w:val="17"/>
          <w:color w:val="000000"/>
        </w:rPr>
        <w:t>**†</w:t>
      </w:r>
    </w:p>
    <w:p>
      <w:pPr>
        <w:spacing w:after="0" w:line="200" w:lineRule="exact"/>
        <w:rPr>
          <w:sz w:val="20"/>
          <w:szCs w:val="20"/>
          <w:color w:val="auto"/>
        </w:rPr>
      </w:pPr>
    </w:p>
    <w:p>
      <w:pPr>
        <w:spacing w:after="0" w:line="320" w:lineRule="exact"/>
        <w:rPr>
          <w:sz w:val="20"/>
          <w:szCs w:val="20"/>
          <w:color w:val="auto"/>
        </w:rPr>
      </w:pPr>
    </w:p>
    <w:p>
      <w:pPr>
        <w:ind w:left="28"/>
        <w:spacing w:after="0"/>
        <w:rPr>
          <w:rFonts w:ascii="Arial" w:cs="Arial" w:eastAsia="Arial" w:hAnsi="Arial"/>
          <w:sz w:val="17"/>
          <w:szCs w:val="17"/>
          <w:color w:val="0000FF"/>
        </w:rPr>
      </w:pPr>
      <w:hyperlink r:id="rId167">
        <w:r>
          <w:rPr>
            <w:rFonts w:ascii="Arial" w:cs="Arial" w:eastAsia="Arial" w:hAnsi="Arial"/>
            <w:sz w:val="17"/>
            <w:szCs w:val="17"/>
            <w:u w:val="single" w:color="auto"/>
            <w:color w:val="0000FF"/>
          </w:rPr>
          <w:t>10.11</w:t>
        </w:r>
      </w:hyperlink>
      <w:r>
        <w:rPr>
          <w:rFonts w:ascii="Arial" w:cs="Arial" w:eastAsia="Arial" w:hAnsi="Arial"/>
          <w:sz w:val="17"/>
          <w:szCs w:val="17"/>
          <w:color w:val="000000"/>
        </w:rPr>
        <w:t>**†</w:t>
      </w:r>
    </w:p>
    <w:p>
      <w:pPr>
        <w:spacing w:after="0" w:line="200" w:lineRule="exact"/>
        <w:rPr>
          <w:sz w:val="20"/>
          <w:szCs w:val="20"/>
          <w:color w:val="auto"/>
        </w:rPr>
      </w:pPr>
    </w:p>
    <w:p>
      <w:pPr>
        <w:spacing w:after="0" w:line="320" w:lineRule="exact"/>
        <w:rPr>
          <w:sz w:val="20"/>
          <w:szCs w:val="20"/>
          <w:color w:val="auto"/>
        </w:rPr>
      </w:pPr>
    </w:p>
    <w:p>
      <w:pPr>
        <w:ind w:left="28"/>
        <w:spacing w:after="0"/>
        <w:rPr>
          <w:rFonts w:ascii="Arial" w:cs="Arial" w:eastAsia="Arial" w:hAnsi="Arial"/>
          <w:sz w:val="17"/>
          <w:szCs w:val="17"/>
          <w:color w:val="0000FF"/>
        </w:rPr>
      </w:pPr>
      <w:hyperlink r:id="rId168">
        <w:r>
          <w:rPr>
            <w:rFonts w:ascii="Arial" w:cs="Arial" w:eastAsia="Arial" w:hAnsi="Arial"/>
            <w:sz w:val="17"/>
            <w:szCs w:val="17"/>
            <w:u w:val="single" w:color="auto"/>
            <w:color w:val="0000FF"/>
          </w:rPr>
          <w:t>10.12</w:t>
        </w:r>
      </w:hyperlink>
      <w:r>
        <w:rPr>
          <w:rFonts w:ascii="Arial" w:cs="Arial" w:eastAsia="Arial" w:hAnsi="Arial"/>
          <w:sz w:val="17"/>
          <w:szCs w:val="17"/>
          <w:color w:val="000000"/>
        </w:rPr>
        <w:t>**†</w:t>
      </w:r>
    </w:p>
    <w:p>
      <w:pPr>
        <w:spacing w:after="0" w:line="200" w:lineRule="exact"/>
        <w:rPr>
          <w:sz w:val="20"/>
          <w:szCs w:val="20"/>
          <w:color w:val="auto"/>
        </w:rPr>
      </w:pPr>
    </w:p>
    <w:p>
      <w:pPr>
        <w:spacing w:after="0" w:line="320" w:lineRule="exact"/>
        <w:rPr>
          <w:sz w:val="20"/>
          <w:szCs w:val="20"/>
          <w:color w:val="auto"/>
        </w:rPr>
      </w:pPr>
    </w:p>
    <w:p>
      <w:pPr>
        <w:ind w:left="28"/>
        <w:spacing w:after="0"/>
        <w:rPr>
          <w:rFonts w:ascii="Arial" w:cs="Arial" w:eastAsia="Arial" w:hAnsi="Arial"/>
          <w:sz w:val="17"/>
          <w:szCs w:val="17"/>
          <w:color w:val="0000FF"/>
        </w:rPr>
      </w:pPr>
      <w:hyperlink r:id="rId169">
        <w:r>
          <w:rPr>
            <w:rFonts w:ascii="Arial" w:cs="Arial" w:eastAsia="Arial" w:hAnsi="Arial"/>
            <w:sz w:val="17"/>
            <w:szCs w:val="17"/>
            <w:u w:val="single" w:color="auto"/>
            <w:color w:val="0000FF"/>
          </w:rPr>
          <w:t>10.13</w:t>
        </w:r>
      </w:hyperlink>
      <w:r>
        <w:rPr>
          <w:rFonts w:ascii="Arial" w:cs="Arial" w:eastAsia="Arial" w:hAnsi="Arial"/>
          <w:sz w:val="17"/>
          <w:szCs w:val="17"/>
          <w:color w:val="000000"/>
        </w:rPr>
        <w:t>**†</w:t>
      </w:r>
    </w:p>
    <w:p>
      <w:pPr>
        <w:spacing w:after="0" w:line="200" w:lineRule="exact"/>
        <w:rPr>
          <w:sz w:val="20"/>
          <w:szCs w:val="20"/>
          <w:color w:val="auto"/>
        </w:rPr>
      </w:pPr>
    </w:p>
    <w:p>
      <w:pPr>
        <w:spacing w:after="0" w:line="320" w:lineRule="exact"/>
        <w:rPr>
          <w:sz w:val="20"/>
          <w:szCs w:val="20"/>
          <w:color w:val="auto"/>
        </w:rPr>
      </w:pPr>
    </w:p>
    <w:p>
      <w:pPr>
        <w:ind w:left="28"/>
        <w:spacing w:after="0"/>
        <w:rPr>
          <w:rFonts w:ascii="Arial" w:cs="Arial" w:eastAsia="Arial" w:hAnsi="Arial"/>
          <w:sz w:val="17"/>
          <w:szCs w:val="17"/>
          <w:color w:val="0000FF"/>
        </w:rPr>
      </w:pPr>
      <w:hyperlink r:id="rId169">
        <w:r>
          <w:rPr>
            <w:rFonts w:ascii="Arial" w:cs="Arial" w:eastAsia="Arial" w:hAnsi="Arial"/>
            <w:sz w:val="17"/>
            <w:szCs w:val="17"/>
            <w:u w:val="single" w:color="auto"/>
            <w:color w:val="0000FF"/>
          </w:rPr>
          <w:t>10.14</w:t>
        </w:r>
      </w:hyperlink>
      <w:r>
        <w:rPr>
          <w:rFonts w:ascii="Arial" w:cs="Arial" w:eastAsia="Arial" w:hAnsi="Arial"/>
          <w:sz w:val="17"/>
          <w:szCs w:val="17"/>
          <w:color w:val="000000"/>
        </w:rPr>
        <w:t>**†</w:t>
      </w:r>
    </w:p>
    <w:p>
      <w:pPr>
        <w:spacing w:after="0" w:line="200" w:lineRule="exact"/>
        <w:rPr>
          <w:sz w:val="20"/>
          <w:szCs w:val="20"/>
          <w:color w:val="auto"/>
        </w:rPr>
      </w:pPr>
    </w:p>
    <w:p>
      <w:pPr>
        <w:spacing w:after="0" w:line="320" w:lineRule="exact"/>
        <w:rPr>
          <w:sz w:val="20"/>
          <w:szCs w:val="20"/>
          <w:color w:val="auto"/>
        </w:rPr>
      </w:pPr>
    </w:p>
    <w:p>
      <w:pPr>
        <w:ind w:left="28"/>
        <w:spacing w:after="0"/>
        <w:rPr>
          <w:rFonts w:ascii="Arial" w:cs="Arial" w:eastAsia="Arial" w:hAnsi="Arial"/>
          <w:sz w:val="17"/>
          <w:szCs w:val="17"/>
          <w:color w:val="0000FF"/>
        </w:rPr>
      </w:pPr>
      <w:hyperlink r:id="rId170">
        <w:r>
          <w:rPr>
            <w:rFonts w:ascii="Arial" w:cs="Arial" w:eastAsia="Arial" w:hAnsi="Arial"/>
            <w:sz w:val="17"/>
            <w:szCs w:val="17"/>
            <w:u w:val="single" w:color="auto"/>
            <w:color w:val="0000FF"/>
          </w:rPr>
          <w:t>10.15</w:t>
        </w:r>
      </w:hyperlink>
      <w:r>
        <w:rPr>
          <w:rFonts w:ascii="Arial" w:cs="Arial" w:eastAsia="Arial" w:hAnsi="Arial"/>
          <w:sz w:val="17"/>
          <w:szCs w:val="17"/>
          <w:color w:val="000000"/>
        </w:rPr>
        <w:t>**†</w:t>
      </w:r>
    </w:p>
    <w:p>
      <w:pPr>
        <w:spacing w:after="0" w:line="200" w:lineRule="exact"/>
        <w:rPr>
          <w:sz w:val="20"/>
          <w:szCs w:val="20"/>
          <w:color w:val="auto"/>
        </w:rPr>
      </w:pPr>
    </w:p>
    <w:p>
      <w:pPr>
        <w:spacing w:after="0" w:line="320" w:lineRule="exact"/>
        <w:rPr>
          <w:sz w:val="20"/>
          <w:szCs w:val="20"/>
          <w:color w:val="auto"/>
        </w:rPr>
      </w:pPr>
    </w:p>
    <w:p>
      <w:pPr>
        <w:ind w:left="28"/>
        <w:spacing w:after="0"/>
        <w:rPr>
          <w:rFonts w:ascii="Arial" w:cs="Arial" w:eastAsia="Arial" w:hAnsi="Arial"/>
          <w:sz w:val="17"/>
          <w:szCs w:val="17"/>
          <w:color w:val="0000FF"/>
        </w:rPr>
      </w:pPr>
      <w:hyperlink r:id="rId171">
        <w:r>
          <w:rPr>
            <w:rFonts w:ascii="Arial" w:cs="Arial" w:eastAsia="Arial" w:hAnsi="Arial"/>
            <w:sz w:val="17"/>
            <w:szCs w:val="17"/>
            <w:u w:val="single" w:color="auto"/>
            <w:color w:val="0000FF"/>
          </w:rPr>
          <w:t>10.16</w:t>
        </w:r>
      </w:hyperlink>
      <w:r>
        <w:rPr>
          <w:rFonts w:ascii="Arial" w:cs="Arial" w:eastAsia="Arial" w:hAnsi="Arial"/>
          <w:sz w:val="17"/>
          <w:szCs w:val="17"/>
          <w:color w:val="000000"/>
        </w:rPr>
        <w:t>**†</w:t>
      </w:r>
    </w:p>
    <w:p>
      <w:pPr>
        <w:spacing w:after="0" w:line="200" w:lineRule="exact"/>
        <w:rPr>
          <w:sz w:val="20"/>
          <w:szCs w:val="20"/>
          <w:color w:val="auto"/>
        </w:rPr>
      </w:pPr>
    </w:p>
    <w:p>
      <w:pPr>
        <w:spacing w:after="0" w:line="320" w:lineRule="exact"/>
        <w:rPr>
          <w:sz w:val="20"/>
          <w:szCs w:val="20"/>
          <w:color w:val="auto"/>
        </w:rPr>
      </w:pPr>
    </w:p>
    <w:p>
      <w:pPr>
        <w:ind w:left="28"/>
        <w:spacing w:after="0"/>
        <w:rPr>
          <w:rFonts w:ascii="Arial" w:cs="Arial" w:eastAsia="Arial" w:hAnsi="Arial"/>
          <w:sz w:val="18"/>
          <w:szCs w:val="18"/>
          <w:color w:val="0000FF"/>
        </w:rPr>
      </w:pPr>
      <w:hyperlink w:anchor="page107">
        <w:r>
          <w:rPr>
            <w:rFonts w:ascii="Arial" w:cs="Arial" w:eastAsia="Arial" w:hAnsi="Arial"/>
            <w:sz w:val="18"/>
            <w:szCs w:val="18"/>
            <w:u w:val="single" w:color="auto"/>
            <w:color w:val="0000FF"/>
          </w:rPr>
          <w:t>10.17</w:t>
        </w:r>
      </w:hyperlink>
      <w:r>
        <w:rPr>
          <w:rFonts w:ascii="Arial" w:cs="Arial" w:eastAsia="Arial" w:hAnsi="Arial"/>
          <w:sz w:val="18"/>
          <w:szCs w:val="18"/>
          <w:color w:val="000000"/>
        </w:rPr>
        <w:t>*†</w:t>
      </w:r>
    </w:p>
    <w:p>
      <w:pPr>
        <w:spacing w:after="0" w:line="306" w:lineRule="exact"/>
        <w:rPr>
          <w:sz w:val="20"/>
          <w:szCs w:val="20"/>
          <w:color w:val="auto"/>
        </w:rPr>
      </w:pPr>
    </w:p>
    <w:p>
      <w:pPr>
        <w:ind w:left="28"/>
        <w:spacing w:after="0"/>
        <w:rPr>
          <w:rFonts w:ascii="Arial" w:cs="Arial" w:eastAsia="Arial" w:hAnsi="Arial"/>
          <w:sz w:val="18"/>
          <w:szCs w:val="18"/>
          <w:color w:val="0000FF"/>
        </w:rPr>
      </w:pPr>
      <w:hyperlink w:anchor="page112">
        <w:r>
          <w:rPr>
            <w:rFonts w:ascii="Arial" w:cs="Arial" w:eastAsia="Arial" w:hAnsi="Arial"/>
            <w:sz w:val="18"/>
            <w:szCs w:val="18"/>
            <w:u w:val="single" w:color="auto"/>
            <w:color w:val="0000FF"/>
          </w:rPr>
          <w:t>10.18</w:t>
        </w:r>
      </w:hyperlink>
      <w:r>
        <w:rPr>
          <w:rFonts w:ascii="Arial" w:cs="Arial" w:eastAsia="Arial" w:hAnsi="Arial"/>
          <w:sz w:val="18"/>
          <w:szCs w:val="18"/>
          <w:color w:val="000000"/>
        </w:rPr>
        <w:t>*†</w:t>
      </w:r>
    </w:p>
    <w:p>
      <w:pPr>
        <w:spacing w:after="0" w:line="306" w:lineRule="exact"/>
        <w:rPr>
          <w:sz w:val="20"/>
          <w:szCs w:val="20"/>
          <w:color w:val="auto"/>
        </w:rPr>
      </w:pPr>
    </w:p>
    <w:p>
      <w:pPr>
        <w:ind w:left="28"/>
        <w:spacing w:after="0"/>
        <w:rPr>
          <w:rFonts w:ascii="Arial" w:cs="Arial" w:eastAsia="Arial" w:hAnsi="Arial"/>
          <w:sz w:val="18"/>
          <w:szCs w:val="18"/>
          <w:color w:val="0000FF"/>
        </w:rPr>
      </w:pPr>
      <w:hyperlink w:anchor="page119">
        <w:r>
          <w:rPr>
            <w:rFonts w:ascii="Arial" w:cs="Arial" w:eastAsia="Arial" w:hAnsi="Arial"/>
            <w:sz w:val="18"/>
            <w:szCs w:val="18"/>
            <w:u w:val="single" w:color="auto"/>
            <w:color w:val="0000FF"/>
          </w:rPr>
          <w:t>10.19</w:t>
        </w:r>
      </w:hyperlink>
      <w:r>
        <w:rPr>
          <w:rFonts w:ascii="Arial" w:cs="Arial" w:eastAsia="Arial" w:hAnsi="Arial"/>
          <w:sz w:val="18"/>
          <w:szCs w:val="18"/>
          <w:color w:val="000000"/>
        </w:rPr>
        <w:t>*†</w:t>
      </w:r>
    </w:p>
    <w:p>
      <w:pPr>
        <w:spacing w:after="0" w:line="306" w:lineRule="exact"/>
        <w:rPr>
          <w:sz w:val="20"/>
          <w:szCs w:val="20"/>
          <w:color w:val="auto"/>
        </w:rPr>
      </w:pPr>
    </w:p>
    <w:p>
      <w:pPr>
        <w:ind w:left="28"/>
        <w:spacing w:after="0"/>
        <w:rPr>
          <w:rFonts w:ascii="Arial" w:cs="Arial" w:eastAsia="Arial" w:hAnsi="Arial"/>
          <w:sz w:val="18"/>
          <w:szCs w:val="18"/>
          <w:color w:val="0000FF"/>
        </w:rPr>
      </w:pPr>
      <w:hyperlink w:anchor="page126">
        <w:r>
          <w:rPr>
            <w:rFonts w:ascii="Arial" w:cs="Arial" w:eastAsia="Arial" w:hAnsi="Arial"/>
            <w:sz w:val="18"/>
            <w:szCs w:val="18"/>
            <w:u w:val="single" w:color="auto"/>
            <w:color w:val="0000FF"/>
          </w:rPr>
          <w:t>10.20</w:t>
        </w:r>
      </w:hyperlink>
      <w:r>
        <w:rPr>
          <w:rFonts w:ascii="Arial" w:cs="Arial" w:eastAsia="Arial" w:hAnsi="Arial"/>
          <w:sz w:val="18"/>
          <w:szCs w:val="18"/>
          <w:color w:val="000000"/>
        </w:rPr>
        <w:t>*†</w:t>
      </w:r>
    </w:p>
    <w:p>
      <w:pPr>
        <w:spacing w:after="0" w:line="306" w:lineRule="exact"/>
        <w:rPr>
          <w:sz w:val="20"/>
          <w:szCs w:val="20"/>
          <w:color w:val="auto"/>
        </w:rPr>
      </w:pPr>
    </w:p>
    <w:p>
      <w:pPr>
        <w:ind w:left="28"/>
        <w:spacing w:after="0"/>
        <w:rPr>
          <w:rFonts w:ascii="Arial" w:cs="Arial" w:eastAsia="Arial" w:hAnsi="Arial"/>
          <w:sz w:val="17"/>
          <w:szCs w:val="17"/>
          <w:color w:val="0000FF"/>
        </w:rPr>
      </w:pPr>
      <w:hyperlink r:id="rId172">
        <w:r>
          <w:rPr>
            <w:rFonts w:ascii="Arial" w:cs="Arial" w:eastAsia="Arial" w:hAnsi="Arial"/>
            <w:sz w:val="17"/>
            <w:szCs w:val="17"/>
            <w:u w:val="single" w:color="auto"/>
            <w:color w:val="0000FF"/>
          </w:rPr>
          <w:t>10.21</w:t>
        </w:r>
      </w:hyperlink>
      <w:r>
        <w:rPr>
          <w:rFonts w:ascii="Arial" w:cs="Arial" w:eastAsia="Arial" w:hAnsi="Arial"/>
          <w:sz w:val="17"/>
          <w:szCs w:val="17"/>
          <w:color w:val="000000"/>
        </w:rPr>
        <w:t>**†</w:t>
      </w:r>
    </w:p>
    <w:p>
      <w:pPr>
        <w:spacing w:after="0" w:line="200" w:lineRule="exact"/>
        <w:rPr>
          <w:sz w:val="20"/>
          <w:szCs w:val="20"/>
          <w:color w:val="auto"/>
        </w:rPr>
      </w:pPr>
    </w:p>
    <w:p>
      <w:pPr>
        <w:spacing w:after="0" w:line="320" w:lineRule="exact"/>
        <w:rPr>
          <w:sz w:val="20"/>
          <w:szCs w:val="20"/>
          <w:color w:val="auto"/>
        </w:rPr>
      </w:pPr>
    </w:p>
    <w:p>
      <w:pPr>
        <w:ind w:left="28"/>
        <w:spacing w:after="0"/>
        <w:rPr>
          <w:rFonts w:ascii="Arial" w:cs="Arial" w:eastAsia="Arial" w:hAnsi="Arial"/>
          <w:sz w:val="17"/>
          <w:szCs w:val="17"/>
          <w:color w:val="0000FF"/>
        </w:rPr>
      </w:pPr>
      <w:hyperlink r:id="rId173">
        <w:r>
          <w:rPr>
            <w:rFonts w:ascii="Arial" w:cs="Arial" w:eastAsia="Arial" w:hAnsi="Arial"/>
            <w:sz w:val="17"/>
            <w:szCs w:val="17"/>
            <w:u w:val="single" w:color="auto"/>
            <w:color w:val="0000FF"/>
          </w:rPr>
          <w:t>10.22</w:t>
        </w:r>
      </w:hyperlink>
      <w:r>
        <w:rPr>
          <w:rFonts w:ascii="Arial" w:cs="Arial" w:eastAsia="Arial" w:hAnsi="Arial"/>
          <w:sz w:val="17"/>
          <w:szCs w:val="17"/>
          <w:color w:val="000000"/>
        </w:rPr>
        <w:t>**†</w:t>
      </w:r>
    </w:p>
    <w:p>
      <w:pPr>
        <w:spacing w:after="0" w:line="200" w:lineRule="exact"/>
        <w:rPr>
          <w:sz w:val="20"/>
          <w:szCs w:val="20"/>
          <w:color w:val="auto"/>
        </w:rPr>
      </w:pPr>
    </w:p>
    <w:p>
      <w:pPr>
        <w:spacing w:after="0" w:line="253" w:lineRule="exact"/>
        <w:rPr>
          <w:sz w:val="20"/>
          <w:szCs w:val="20"/>
          <w:color w:val="auto"/>
        </w:rPr>
      </w:pPr>
    </w:p>
    <w:p>
      <w:pPr>
        <w:ind w:left="28"/>
        <w:spacing w:after="0"/>
        <w:rPr>
          <w:rFonts w:ascii="Arial" w:cs="Arial" w:eastAsia="Arial" w:hAnsi="Arial"/>
          <w:sz w:val="17"/>
          <w:szCs w:val="17"/>
          <w:color w:val="0000FF"/>
        </w:rPr>
      </w:pPr>
      <w:hyperlink r:id="rId174">
        <w:r>
          <w:rPr>
            <w:rFonts w:ascii="Arial" w:cs="Arial" w:eastAsia="Arial" w:hAnsi="Arial"/>
            <w:sz w:val="17"/>
            <w:szCs w:val="17"/>
            <w:u w:val="single" w:color="auto"/>
            <w:color w:val="0000FF"/>
          </w:rPr>
          <w:t>10.23</w:t>
        </w:r>
      </w:hyperlink>
      <w:r>
        <w:rPr>
          <w:rFonts w:ascii="Arial" w:cs="Arial" w:eastAsia="Arial" w:hAnsi="Arial"/>
          <w:sz w:val="17"/>
          <w:szCs w:val="17"/>
          <w:color w:val="000000"/>
        </w:rPr>
        <w:t>**†</w:t>
      </w:r>
    </w:p>
    <w:p>
      <w:pPr>
        <w:spacing w:after="0" w:line="200" w:lineRule="exact"/>
        <w:rPr>
          <w:sz w:val="20"/>
          <w:szCs w:val="20"/>
          <w:color w:val="auto"/>
        </w:rPr>
      </w:pPr>
    </w:p>
    <w:p>
      <w:pPr>
        <w:spacing w:after="0" w:line="239" w:lineRule="exact"/>
        <w:rPr>
          <w:sz w:val="20"/>
          <w:szCs w:val="20"/>
          <w:color w:val="auto"/>
        </w:rPr>
      </w:pPr>
    </w:p>
    <w:p>
      <w:pPr>
        <w:ind w:left="28"/>
        <w:spacing w:after="0"/>
        <w:rPr>
          <w:rFonts w:ascii="Arial" w:cs="Arial" w:eastAsia="Arial" w:hAnsi="Arial"/>
          <w:sz w:val="17"/>
          <w:szCs w:val="17"/>
          <w:color w:val="0000FF"/>
        </w:rPr>
      </w:pPr>
      <w:hyperlink r:id="rId175">
        <w:r>
          <w:rPr>
            <w:rFonts w:ascii="Arial" w:cs="Arial" w:eastAsia="Arial" w:hAnsi="Arial"/>
            <w:sz w:val="17"/>
            <w:szCs w:val="17"/>
            <w:u w:val="single" w:color="auto"/>
            <w:color w:val="0000FF"/>
          </w:rPr>
          <w:t>10.24</w:t>
        </w:r>
      </w:hyperlink>
      <w:r>
        <w:rPr>
          <w:rFonts w:ascii="Arial" w:cs="Arial" w:eastAsia="Arial" w:hAnsi="Arial"/>
          <w:sz w:val="17"/>
          <w:szCs w:val="17"/>
          <w:color w:val="000000"/>
        </w:rPr>
        <w:t>**†</w:t>
      </w:r>
    </w:p>
    <w:p>
      <w:pPr>
        <w:spacing w:after="0" w:line="318" w:lineRule="exact"/>
        <w:rPr>
          <w:sz w:val="20"/>
          <w:szCs w:val="20"/>
          <w:color w:val="auto"/>
        </w:rPr>
      </w:pPr>
    </w:p>
    <w:p>
      <w:pPr>
        <w:ind w:left="28"/>
        <w:spacing w:after="0"/>
        <w:rPr>
          <w:rFonts w:ascii="Arial" w:cs="Arial" w:eastAsia="Arial" w:hAnsi="Arial"/>
          <w:sz w:val="17"/>
          <w:szCs w:val="17"/>
          <w:color w:val="0000FF"/>
        </w:rPr>
      </w:pPr>
      <w:hyperlink r:id="rId176">
        <w:r>
          <w:rPr>
            <w:rFonts w:ascii="Arial" w:cs="Arial" w:eastAsia="Arial" w:hAnsi="Arial"/>
            <w:sz w:val="17"/>
            <w:szCs w:val="17"/>
            <w:u w:val="single" w:color="auto"/>
            <w:color w:val="0000FF"/>
          </w:rPr>
          <w:t>10.25</w:t>
        </w:r>
      </w:hyperlink>
      <w:r>
        <w:rPr>
          <w:rFonts w:ascii="Arial" w:cs="Arial" w:eastAsia="Arial" w:hAnsi="Arial"/>
          <w:sz w:val="17"/>
          <w:szCs w:val="17"/>
          <w:color w:val="000000"/>
        </w:rPr>
        <w:t>**†</w:t>
      </w:r>
    </w:p>
    <w:p>
      <w:pPr>
        <w:spacing w:after="0" w:line="304" w:lineRule="exact"/>
        <w:rPr>
          <w:sz w:val="20"/>
          <w:szCs w:val="20"/>
          <w:color w:val="auto"/>
        </w:rPr>
      </w:pPr>
    </w:p>
    <w:p>
      <w:pPr>
        <w:ind w:left="28"/>
        <w:spacing w:after="0"/>
        <w:rPr>
          <w:rFonts w:ascii="Arial" w:cs="Arial" w:eastAsia="Arial" w:hAnsi="Arial"/>
          <w:sz w:val="18"/>
          <w:szCs w:val="18"/>
          <w:color w:val="0000FF"/>
        </w:rPr>
      </w:pPr>
      <w:hyperlink w:anchor="page131">
        <w:r>
          <w:rPr>
            <w:rFonts w:ascii="Arial" w:cs="Arial" w:eastAsia="Arial" w:hAnsi="Arial"/>
            <w:sz w:val="18"/>
            <w:szCs w:val="18"/>
            <w:u w:val="single" w:color="auto"/>
            <w:color w:val="0000FF"/>
          </w:rPr>
          <w:t>21.1</w:t>
        </w:r>
      </w:hyperlink>
      <w:r>
        <w:rPr>
          <w:rFonts w:ascii="Arial" w:cs="Arial" w:eastAsia="Arial" w:hAnsi="Arial"/>
          <w:sz w:val="18"/>
          <w:szCs w:val="18"/>
          <w:color w:val="000000"/>
        </w:rPr>
        <w:t>*</w:t>
      </w:r>
    </w:p>
    <w:p>
      <w:pPr>
        <w:spacing w:after="0" w:line="77" w:lineRule="exact"/>
        <w:rPr>
          <w:sz w:val="20"/>
          <w:szCs w:val="20"/>
          <w:color w:val="auto"/>
        </w:rPr>
      </w:pPr>
    </w:p>
    <w:p>
      <w:pPr>
        <w:ind w:left="28"/>
        <w:spacing w:after="0"/>
        <w:rPr>
          <w:rFonts w:ascii="Arial" w:cs="Arial" w:eastAsia="Arial" w:hAnsi="Arial"/>
          <w:sz w:val="18"/>
          <w:szCs w:val="18"/>
          <w:color w:val="0000FF"/>
        </w:rPr>
      </w:pPr>
      <w:hyperlink w:anchor="page132">
        <w:r>
          <w:rPr>
            <w:rFonts w:ascii="Arial" w:cs="Arial" w:eastAsia="Arial" w:hAnsi="Arial"/>
            <w:sz w:val="18"/>
            <w:szCs w:val="18"/>
            <w:u w:val="single" w:color="auto"/>
            <w:color w:val="0000FF"/>
          </w:rPr>
          <w:t>23.1</w:t>
        </w:r>
      </w:hyperlink>
      <w:r>
        <w:rPr>
          <w:rFonts w:ascii="Arial" w:cs="Arial" w:eastAsia="Arial" w:hAnsi="Arial"/>
          <w:sz w:val="18"/>
          <w:szCs w:val="18"/>
          <w:color w:val="000000"/>
        </w:rPr>
        <w:t>*</w:t>
      </w:r>
    </w:p>
    <w:p>
      <w:pPr>
        <w:spacing w:after="0" w:line="77" w:lineRule="exact"/>
        <w:rPr>
          <w:sz w:val="20"/>
          <w:szCs w:val="20"/>
          <w:color w:val="auto"/>
        </w:rPr>
      </w:pPr>
    </w:p>
    <w:p>
      <w:pPr>
        <w:ind w:left="28"/>
        <w:spacing w:after="0"/>
        <w:rPr>
          <w:rFonts w:ascii="Arial" w:cs="Arial" w:eastAsia="Arial" w:hAnsi="Arial"/>
          <w:sz w:val="18"/>
          <w:szCs w:val="18"/>
          <w:color w:val="0000FF"/>
        </w:rPr>
      </w:pPr>
      <w:hyperlink w:anchor="page133">
        <w:r>
          <w:rPr>
            <w:rFonts w:ascii="Arial" w:cs="Arial" w:eastAsia="Arial" w:hAnsi="Arial"/>
            <w:sz w:val="18"/>
            <w:szCs w:val="18"/>
            <w:u w:val="single" w:color="auto"/>
            <w:color w:val="0000FF"/>
          </w:rPr>
          <w:t>31.1</w:t>
        </w:r>
      </w:hyperlink>
      <w:r>
        <w:rPr>
          <w:rFonts w:ascii="Arial" w:cs="Arial" w:eastAsia="Arial" w:hAnsi="Arial"/>
          <w:sz w:val="18"/>
          <w:szCs w:val="18"/>
          <w:color w:val="000000"/>
        </w:rPr>
        <w:t>*</w:t>
      </w:r>
    </w:p>
    <w:p>
      <w:pPr>
        <w:spacing w:after="0" w:line="77" w:lineRule="exact"/>
        <w:rPr>
          <w:sz w:val="20"/>
          <w:szCs w:val="20"/>
          <w:color w:val="auto"/>
        </w:rPr>
      </w:pPr>
    </w:p>
    <w:p>
      <w:pPr>
        <w:ind w:left="28"/>
        <w:spacing w:after="0"/>
        <w:rPr>
          <w:rFonts w:ascii="Arial" w:cs="Arial" w:eastAsia="Arial" w:hAnsi="Arial"/>
          <w:sz w:val="18"/>
          <w:szCs w:val="18"/>
          <w:color w:val="0000FF"/>
        </w:rPr>
      </w:pPr>
      <w:hyperlink w:anchor="page134">
        <w:r>
          <w:rPr>
            <w:rFonts w:ascii="Arial" w:cs="Arial" w:eastAsia="Arial" w:hAnsi="Arial"/>
            <w:sz w:val="18"/>
            <w:szCs w:val="18"/>
            <w:u w:val="single" w:color="auto"/>
            <w:color w:val="0000FF"/>
          </w:rPr>
          <w:t>31.2</w:t>
        </w:r>
      </w:hyperlink>
      <w:r>
        <w:rPr>
          <w:rFonts w:ascii="Arial" w:cs="Arial" w:eastAsia="Arial" w:hAnsi="Arial"/>
          <w:sz w:val="18"/>
          <w:szCs w:val="18"/>
          <w:color w:val="000000"/>
        </w:rPr>
        <w:t>*</w:t>
      </w:r>
    </w:p>
    <w:p>
      <w:pPr>
        <w:spacing w:after="0" w:line="77" w:lineRule="exact"/>
        <w:rPr>
          <w:sz w:val="20"/>
          <w:szCs w:val="20"/>
          <w:color w:val="auto"/>
        </w:rPr>
      </w:pPr>
    </w:p>
    <w:p>
      <w:pPr>
        <w:ind w:left="28"/>
        <w:spacing w:after="0"/>
        <w:rPr>
          <w:rFonts w:ascii="Arial" w:cs="Arial" w:eastAsia="Arial" w:hAnsi="Arial"/>
          <w:sz w:val="18"/>
          <w:szCs w:val="18"/>
          <w:color w:val="0000FF"/>
        </w:rPr>
      </w:pPr>
      <w:hyperlink w:anchor="page135">
        <w:r>
          <w:rPr>
            <w:rFonts w:ascii="Arial" w:cs="Arial" w:eastAsia="Arial" w:hAnsi="Arial"/>
            <w:sz w:val="18"/>
            <w:szCs w:val="18"/>
            <w:u w:val="single" w:color="auto"/>
            <w:color w:val="0000FF"/>
          </w:rPr>
          <w:t>32.1</w:t>
        </w:r>
      </w:hyperlink>
      <w:r>
        <w:rPr>
          <w:rFonts w:ascii="Arial" w:cs="Arial" w:eastAsia="Arial" w:hAnsi="Arial"/>
          <w:sz w:val="18"/>
          <w:szCs w:val="18"/>
          <w:color w:val="000000"/>
        </w:rPr>
        <w:t>#</w:t>
      </w:r>
    </w:p>
    <w:p>
      <w:pPr>
        <w:spacing w:after="0" w:line="252" w:lineRule="exact"/>
        <w:rPr>
          <w:sz w:val="20"/>
          <w:szCs w:val="20"/>
          <w:color w:val="auto"/>
        </w:rPr>
      </w:pPr>
    </w:p>
    <w:p>
      <w:pPr>
        <w:ind w:left="28"/>
        <w:spacing w:after="0"/>
        <w:rPr>
          <w:rFonts w:ascii="Arial" w:cs="Arial" w:eastAsia="Arial" w:hAnsi="Arial"/>
          <w:sz w:val="18"/>
          <w:szCs w:val="18"/>
          <w:color w:val="0000FF"/>
        </w:rPr>
      </w:pPr>
      <w:hyperlink w:anchor="page136">
        <w:r>
          <w:rPr>
            <w:rFonts w:ascii="Arial" w:cs="Arial" w:eastAsia="Arial" w:hAnsi="Arial"/>
            <w:sz w:val="18"/>
            <w:szCs w:val="18"/>
            <w:u w:val="single" w:color="auto"/>
            <w:color w:val="0000FF"/>
          </w:rPr>
          <w:t>32.2</w:t>
        </w:r>
      </w:hyperlink>
      <w:r>
        <w:rPr>
          <w:rFonts w:ascii="Arial" w:cs="Arial" w:eastAsia="Arial" w:hAnsi="Arial"/>
          <w:sz w:val="18"/>
          <w:szCs w:val="18"/>
          <w:color w:val="000000"/>
        </w:rPr>
        <w:t>#</w:t>
      </w:r>
    </w:p>
    <w:p>
      <w:pPr>
        <w:spacing w:after="0" w:line="252" w:lineRule="exact"/>
        <w:rPr>
          <w:sz w:val="20"/>
          <w:szCs w:val="20"/>
          <w:color w:val="auto"/>
        </w:rPr>
      </w:pPr>
    </w:p>
    <w:p>
      <w:pPr>
        <w:ind w:left="28"/>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8"/>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ind w:right="239"/>
        <w:spacing w:after="0" w:line="248" w:lineRule="auto"/>
        <w:rPr>
          <w:sz w:val="20"/>
          <w:szCs w:val="20"/>
          <w:color w:val="auto"/>
        </w:rPr>
      </w:pPr>
      <w:r>
        <w:rPr>
          <w:rFonts w:ascii="Arial" w:cs="Arial" w:eastAsia="Arial" w:hAnsi="Arial"/>
          <w:sz w:val="18"/>
          <w:szCs w:val="18"/>
          <w:color w:val="auto"/>
        </w:rPr>
        <w:t>Form of Nonqualified Stock Option Agreement pursuant to the International Money Express, Inc. 2018 Omnibus Equity Compensation Plan (incorporated by reference to Exhibit 10.4(b) to the Registrant’s Registration Statement on Form S-1 filed on September 28, 2018 (File No. 333-226948)).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-414655</wp:posOffset>
            </wp:positionV>
            <wp:extent cx="6120765" cy="8743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6120765" cy="874395"/>
                    </a:xfrm>
                    <a:prstGeom prst="rect">
                      <a:avLst/>
                    </a:prstGeom>
                    <a:noFill/>
                  </pic:spPr>
                </pic:pic>
              </a:graphicData>
            </a:graphic>
          </wp:anchor>
        </w:drawing>
      </w:r>
    </w:p>
    <w:p>
      <w:pPr>
        <w:spacing w:after="0" w:line="54" w:lineRule="exact"/>
        <w:rPr>
          <w:sz w:val="20"/>
          <w:szCs w:val="20"/>
          <w:color w:val="auto"/>
        </w:rPr>
      </w:pPr>
    </w:p>
    <w:p>
      <w:pPr>
        <w:ind w:right="339"/>
        <w:spacing w:after="0" w:line="248" w:lineRule="auto"/>
        <w:rPr>
          <w:sz w:val="20"/>
          <w:szCs w:val="20"/>
          <w:color w:val="auto"/>
        </w:rPr>
      </w:pPr>
      <w:r>
        <w:rPr>
          <w:rFonts w:ascii="Arial" w:cs="Arial" w:eastAsia="Arial" w:hAnsi="Arial"/>
          <w:sz w:val="18"/>
          <w:szCs w:val="18"/>
          <w:color w:val="auto"/>
        </w:rPr>
        <w:t>Form of Incentive Stock Option Award pursuant to the International Money Express, Inc. 2018 Omnibus Equity Compensation Plan (incorporated by reference to Exhibit 10.4(a) to the Registrant’s Registration Statement on Form S-1 filed on September 28, 2018 (File No. 333-226948)).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38735</wp:posOffset>
            </wp:positionV>
            <wp:extent cx="6120765" cy="42037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6120765" cy="420370"/>
                    </a:xfrm>
                    <a:prstGeom prst="rect">
                      <a:avLst/>
                    </a:prstGeom>
                    <a:noFill/>
                  </pic:spPr>
                </pic:pic>
              </a:graphicData>
            </a:graphic>
          </wp:anchor>
        </w:drawing>
      </w:r>
    </w:p>
    <w:p>
      <w:pPr>
        <w:spacing w:after="0" w:line="54" w:lineRule="exact"/>
        <w:rPr>
          <w:sz w:val="20"/>
          <w:szCs w:val="20"/>
          <w:color w:val="auto"/>
        </w:rPr>
      </w:pPr>
    </w:p>
    <w:p>
      <w:pPr>
        <w:jc w:val="both"/>
        <w:ind w:right="219"/>
        <w:spacing w:after="0" w:line="248" w:lineRule="auto"/>
        <w:rPr>
          <w:sz w:val="20"/>
          <w:szCs w:val="20"/>
          <w:color w:val="auto"/>
        </w:rPr>
      </w:pPr>
      <w:r>
        <w:rPr>
          <w:rFonts w:ascii="Arial" w:cs="Arial" w:eastAsia="Arial" w:hAnsi="Arial"/>
          <w:sz w:val="18"/>
          <w:szCs w:val="18"/>
          <w:color w:val="auto"/>
        </w:rPr>
        <w:t>Form of Restricted Stock Award (Executive Officer) pursuant to the International Money Express, Inc. 2018 Omnibus Equity Compensation Plan (incorporated by reference to Exhibit 10.4(e) to the Registrant’s Registration Statement on Form S-1 filed on September 28, 2018 (File No. 333-226948)).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38735</wp:posOffset>
            </wp:positionV>
            <wp:extent cx="6120765" cy="419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6120765" cy="419735"/>
                    </a:xfrm>
                    <a:prstGeom prst="rect">
                      <a:avLst/>
                    </a:prstGeom>
                    <a:noFill/>
                  </pic:spPr>
                </pic:pic>
              </a:graphicData>
            </a:graphic>
          </wp:anchor>
        </w:drawing>
      </w:r>
    </w:p>
    <w:p>
      <w:pPr>
        <w:spacing w:after="0" w:line="54" w:lineRule="exact"/>
        <w:rPr>
          <w:sz w:val="20"/>
          <w:szCs w:val="20"/>
          <w:color w:val="auto"/>
        </w:rPr>
      </w:pPr>
    </w:p>
    <w:p>
      <w:pPr>
        <w:jc w:val="both"/>
        <w:ind w:right="339"/>
        <w:spacing w:after="0" w:line="248" w:lineRule="auto"/>
        <w:rPr>
          <w:sz w:val="20"/>
          <w:szCs w:val="20"/>
          <w:color w:val="auto"/>
        </w:rPr>
      </w:pPr>
      <w:r>
        <w:rPr>
          <w:rFonts w:ascii="Arial" w:cs="Arial" w:eastAsia="Arial" w:hAnsi="Arial"/>
          <w:sz w:val="18"/>
          <w:szCs w:val="18"/>
          <w:color w:val="auto"/>
        </w:rPr>
        <w:t>Form of Restricted Stock Award (Director) pursuant to the International Money Express, Inc. 2018 Omnibus Equity Compensation Plan (incorporated by reference to Exhibit 10.4(d) to the Registrant’s Registration Statement on Form S-1 filed on September 28, 2018 (File No. 333-226948)).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38735</wp:posOffset>
            </wp:positionV>
            <wp:extent cx="6120765" cy="4203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6120765" cy="420370"/>
                    </a:xfrm>
                    <a:prstGeom prst="rect">
                      <a:avLst/>
                    </a:prstGeom>
                    <a:noFill/>
                  </pic:spPr>
                </pic:pic>
              </a:graphicData>
            </a:graphic>
          </wp:anchor>
        </w:drawing>
      </w:r>
    </w:p>
    <w:p>
      <w:pPr>
        <w:spacing w:after="0" w:line="54" w:lineRule="exact"/>
        <w:rPr>
          <w:sz w:val="20"/>
          <w:szCs w:val="20"/>
          <w:color w:val="auto"/>
        </w:rPr>
      </w:pPr>
    </w:p>
    <w:p>
      <w:pPr>
        <w:ind w:right="259"/>
        <w:spacing w:after="0" w:line="248" w:lineRule="auto"/>
        <w:rPr>
          <w:sz w:val="20"/>
          <w:szCs w:val="20"/>
          <w:color w:val="auto"/>
        </w:rPr>
      </w:pPr>
      <w:r>
        <w:rPr>
          <w:rFonts w:ascii="Arial" w:cs="Arial" w:eastAsia="Arial" w:hAnsi="Arial"/>
          <w:sz w:val="18"/>
          <w:szCs w:val="18"/>
          <w:color w:val="auto"/>
        </w:rPr>
        <w:t>Form of Restricted Stock Award (Non-executive) pursuant to the International Money Express, Inc. 2018 Omnibus Equity Compensation Plan (incorporated by reference to Exhibit 10.4(c) to the Registrant’s Registration Statement on Form S-1 filed on September 28, 2018 (File No. 333-226948)).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38735</wp:posOffset>
            </wp:positionV>
            <wp:extent cx="6120765" cy="419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6120765" cy="419735"/>
                    </a:xfrm>
                    <a:prstGeom prst="rect">
                      <a:avLst/>
                    </a:prstGeom>
                    <a:noFill/>
                  </pic:spPr>
                </pic:pic>
              </a:graphicData>
            </a:graphic>
          </wp:anchor>
        </w:drawing>
      </w:r>
    </w:p>
    <w:p>
      <w:pPr>
        <w:spacing w:after="0" w:line="54" w:lineRule="exact"/>
        <w:rPr>
          <w:sz w:val="20"/>
          <w:szCs w:val="20"/>
          <w:color w:val="auto"/>
        </w:rPr>
      </w:pPr>
    </w:p>
    <w:p>
      <w:pPr>
        <w:ind w:right="339"/>
        <w:spacing w:after="0" w:line="248" w:lineRule="auto"/>
        <w:rPr>
          <w:sz w:val="20"/>
          <w:szCs w:val="20"/>
          <w:color w:val="auto"/>
        </w:rPr>
      </w:pPr>
      <w:r>
        <w:rPr>
          <w:rFonts w:ascii="Arial" w:cs="Arial" w:eastAsia="Arial" w:hAnsi="Arial"/>
          <w:sz w:val="18"/>
          <w:szCs w:val="18"/>
          <w:color w:val="auto"/>
        </w:rPr>
        <w:t>Form of Director RSU Agreement pursuant to the International Money Express, Inc. 2018 Omnibus Equity Compensation Plan (incorporated by reference to Exhibit 10.3(b) to the Registrant’s Registration Statement on Form S-1 filed on September 28, 2018 (File No. 333-226948)).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38735</wp:posOffset>
            </wp:positionV>
            <wp:extent cx="6120765" cy="420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6120765" cy="420370"/>
                    </a:xfrm>
                    <a:prstGeom prst="rect">
                      <a:avLst/>
                    </a:prstGeom>
                    <a:noFill/>
                  </pic:spPr>
                </pic:pic>
              </a:graphicData>
            </a:graphic>
          </wp:anchor>
        </w:drawing>
      </w:r>
    </w:p>
    <w:p>
      <w:pPr>
        <w:spacing w:after="0" w:line="54" w:lineRule="exact"/>
        <w:rPr>
          <w:sz w:val="20"/>
          <w:szCs w:val="20"/>
          <w:color w:val="auto"/>
        </w:rPr>
      </w:pPr>
    </w:p>
    <w:p>
      <w:pPr>
        <w:jc w:val="both"/>
        <w:ind w:right="339"/>
        <w:spacing w:after="0" w:line="248" w:lineRule="auto"/>
        <w:rPr>
          <w:sz w:val="20"/>
          <w:szCs w:val="20"/>
          <w:color w:val="auto"/>
        </w:rPr>
      </w:pPr>
      <w:r>
        <w:rPr>
          <w:rFonts w:ascii="Arial" w:cs="Arial" w:eastAsia="Arial" w:hAnsi="Arial"/>
          <w:sz w:val="18"/>
          <w:szCs w:val="18"/>
          <w:color w:val="auto"/>
        </w:rPr>
        <w:t>International Money Express, Inc. 2020 Omnibus Equity Compensation Plan (incorporated by reference to Annex A to the Registrant’s Definitive Proxy Statement on Schedule 14A filed with the Securities and Exchange Commission on May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38735</wp:posOffset>
            </wp:positionV>
            <wp:extent cx="6120765" cy="4203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6120765" cy="420370"/>
                    </a:xfrm>
                    <a:prstGeom prst="rect">
                      <a:avLst/>
                    </a:prstGeom>
                    <a:noFill/>
                  </pic:spPr>
                </pic:pic>
              </a:graphicData>
            </a:graphic>
          </wp:anchor>
        </w:drawing>
      </w:r>
    </w:p>
    <w:p>
      <w:pPr>
        <w:spacing w:after="0" w:line="54" w:lineRule="exact"/>
        <w:rPr>
          <w:sz w:val="20"/>
          <w:szCs w:val="20"/>
          <w:color w:val="auto"/>
        </w:rPr>
      </w:pPr>
    </w:p>
    <w:p>
      <w:pPr>
        <w:ind w:right="199"/>
        <w:spacing w:after="0" w:line="248" w:lineRule="auto"/>
        <w:rPr>
          <w:sz w:val="20"/>
          <w:szCs w:val="20"/>
          <w:color w:val="auto"/>
        </w:rPr>
      </w:pPr>
      <w:r>
        <w:rPr>
          <w:rFonts w:ascii="Arial" w:cs="Arial" w:eastAsia="Arial" w:hAnsi="Arial"/>
          <w:sz w:val="18"/>
          <w:szCs w:val="18"/>
          <w:color w:val="auto"/>
        </w:rPr>
        <w:t>International Money Express, Inc. 2020 Employee Stock Purchase Plan (incorporated by reference to Annex B to the Registrant’s Definitive Proxy Statement on Schedule 14A filed with the Securities and Exchange Commission on May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38735</wp:posOffset>
            </wp:positionV>
            <wp:extent cx="6120765" cy="4203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6120765" cy="420370"/>
                    </a:xfrm>
                    <a:prstGeom prst="rect">
                      <a:avLst/>
                    </a:prstGeom>
                    <a:noFill/>
                  </pic:spPr>
                </pic:pic>
              </a:graphicData>
            </a:graphic>
          </wp:anchor>
        </w:drawing>
      </w:r>
    </w:p>
    <w:p>
      <w:pPr>
        <w:spacing w:after="0" w:line="54" w:lineRule="exact"/>
        <w:rPr>
          <w:sz w:val="20"/>
          <w:szCs w:val="20"/>
          <w:color w:val="auto"/>
        </w:rPr>
      </w:pPr>
    </w:p>
    <w:p>
      <w:pPr>
        <w:jc w:val="both"/>
        <w:ind w:right="439"/>
        <w:spacing w:after="0" w:line="248" w:lineRule="auto"/>
        <w:rPr>
          <w:sz w:val="20"/>
          <w:szCs w:val="20"/>
          <w:color w:val="auto"/>
        </w:rPr>
      </w:pPr>
      <w:r>
        <w:rPr>
          <w:rFonts w:ascii="Arial" w:cs="Arial" w:eastAsia="Arial" w:hAnsi="Arial"/>
          <w:sz w:val="18"/>
          <w:szCs w:val="18"/>
          <w:color w:val="auto"/>
        </w:rPr>
        <w:t>Form of Non-Qualified Stock Option Agreement pursuant to the International Money Express, Inc. 2020 Omnibus Equity Compensation Plan (incorporated by reference to Exhibit 10.3 to the Registrant’s Quarterly Report on Form 10-Q filed on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38735</wp:posOffset>
            </wp:positionV>
            <wp:extent cx="6120765" cy="419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6120765" cy="419735"/>
                    </a:xfrm>
                    <a:prstGeom prst="rect">
                      <a:avLst/>
                    </a:prstGeom>
                    <a:noFill/>
                  </pic:spPr>
                </pic:pic>
              </a:graphicData>
            </a:graphic>
          </wp:anchor>
        </w:drawing>
      </w:r>
    </w:p>
    <w:p>
      <w:pPr>
        <w:spacing w:after="0" w:line="54" w:lineRule="exact"/>
        <w:rPr>
          <w:sz w:val="20"/>
          <w:szCs w:val="20"/>
          <w:color w:val="auto"/>
        </w:rPr>
      </w:pPr>
    </w:p>
    <w:p>
      <w:pPr>
        <w:ind w:right="199"/>
        <w:spacing w:after="0" w:line="248" w:lineRule="auto"/>
        <w:rPr>
          <w:sz w:val="20"/>
          <w:szCs w:val="20"/>
          <w:color w:val="auto"/>
        </w:rPr>
      </w:pPr>
      <w:r>
        <w:rPr>
          <w:rFonts w:ascii="Arial" w:cs="Arial" w:eastAsia="Arial" w:hAnsi="Arial"/>
          <w:sz w:val="18"/>
          <w:szCs w:val="18"/>
          <w:color w:val="auto"/>
        </w:rPr>
        <w:t>Form of RSU Agreement (Non-Employee Directors) pursuant to the International Money Express, Inc. 2020 Omnibus Equity Compensation Plan (incorporated by reference to Exhibit 10.4 to the Registrant’s Quarterly Report on Form 10-Q filed on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38735</wp:posOffset>
            </wp:positionV>
            <wp:extent cx="6120765" cy="2914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6120765" cy="291465"/>
                    </a:xfrm>
                    <a:prstGeom prst="rect">
                      <a:avLst/>
                    </a:prstGeom>
                    <a:noFill/>
                  </pic:spPr>
                </pic:pic>
              </a:graphicData>
            </a:graphic>
          </wp:anchor>
        </w:drawing>
      </w:r>
    </w:p>
    <w:p>
      <w:pPr>
        <w:spacing w:after="0" w:line="54" w:lineRule="exact"/>
        <w:rPr>
          <w:sz w:val="20"/>
          <w:szCs w:val="20"/>
          <w:color w:val="auto"/>
        </w:rPr>
      </w:pPr>
    </w:p>
    <w:p>
      <w:pPr>
        <w:ind w:right="679"/>
        <w:spacing w:after="0" w:line="261" w:lineRule="auto"/>
        <w:rPr>
          <w:sz w:val="20"/>
          <w:szCs w:val="20"/>
          <w:color w:val="auto"/>
        </w:rPr>
      </w:pPr>
      <w:r>
        <w:rPr>
          <w:rFonts w:ascii="Arial" w:cs="Arial" w:eastAsia="Arial" w:hAnsi="Arial"/>
          <w:sz w:val="18"/>
          <w:szCs w:val="18"/>
          <w:color w:val="auto"/>
        </w:rPr>
        <w:t>Form of RSU Agreement (Employees) pursuant to the International Money Express, Inc. 2020 Omnibus Equity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31750</wp:posOffset>
            </wp:positionV>
            <wp:extent cx="6120765" cy="2914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6120765" cy="291465"/>
                    </a:xfrm>
                    <a:prstGeom prst="rect">
                      <a:avLst/>
                    </a:prstGeom>
                    <a:noFill/>
                  </pic:spPr>
                </pic:pic>
              </a:graphicData>
            </a:graphic>
          </wp:anchor>
        </w:drawing>
      </w:r>
    </w:p>
    <w:p>
      <w:pPr>
        <w:spacing w:after="0" w:line="43" w:lineRule="exact"/>
        <w:rPr>
          <w:sz w:val="20"/>
          <w:szCs w:val="20"/>
          <w:color w:val="auto"/>
        </w:rPr>
      </w:pPr>
    </w:p>
    <w:p>
      <w:pPr>
        <w:ind w:right="699"/>
        <w:spacing w:after="0" w:line="261" w:lineRule="auto"/>
        <w:rPr>
          <w:sz w:val="20"/>
          <w:szCs w:val="20"/>
          <w:color w:val="auto"/>
        </w:rPr>
      </w:pPr>
      <w:r>
        <w:rPr>
          <w:rFonts w:ascii="Arial" w:cs="Arial" w:eastAsia="Arial" w:hAnsi="Arial"/>
          <w:sz w:val="18"/>
          <w:szCs w:val="18"/>
          <w:color w:val="auto"/>
        </w:rPr>
        <w:t>Form of PSU Agreement (Employees) pursuant to the International Money Express, Inc. 2020 Omnibus Equity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31750</wp:posOffset>
            </wp:positionV>
            <wp:extent cx="6120765" cy="2914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6120765" cy="291465"/>
                    </a:xfrm>
                    <a:prstGeom prst="rect">
                      <a:avLst/>
                    </a:prstGeom>
                    <a:noFill/>
                  </pic:spPr>
                </pic:pic>
              </a:graphicData>
            </a:graphic>
          </wp:anchor>
        </w:drawing>
      </w:r>
    </w:p>
    <w:p>
      <w:pPr>
        <w:spacing w:after="0" w:line="43" w:lineRule="exact"/>
        <w:rPr>
          <w:sz w:val="20"/>
          <w:szCs w:val="20"/>
          <w:color w:val="auto"/>
        </w:rPr>
      </w:pPr>
    </w:p>
    <w:p>
      <w:pPr>
        <w:ind w:right="659"/>
        <w:spacing w:after="0" w:line="261" w:lineRule="auto"/>
        <w:rPr>
          <w:sz w:val="20"/>
          <w:szCs w:val="20"/>
          <w:color w:val="auto"/>
        </w:rPr>
      </w:pPr>
      <w:r>
        <w:rPr>
          <w:rFonts w:ascii="Arial" w:cs="Arial" w:eastAsia="Arial" w:hAnsi="Arial"/>
          <w:sz w:val="18"/>
          <w:szCs w:val="18"/>
          <w:color w:val="auto"/>
        </w:rPr>
        <w:t>Form of PSU Agreement (Robert Lisy) pursuant to the International Money Express, Inc. 2020 Omnibus Equity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31750</wp:posOffset>
            </wp:positionV>
            <wp:extent cx="6120765" cy="2914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6120765" cy="291465"/>
                    </a:xfrm>
                    <a:prstGeom prst="rect">
                      <a:avLst/>
                    </a:prstGeom>
                    <a:noFill/>
                  </pic:spPr>
                </pic:pic>
              </a:graphicData>
            </a:graphic>
          </wp:anchor>
        </w:drawing>
      </w:r>
    </w:p>
    <w:p>
      <w:pPr>
        <w:spacing w:after="0" w:line="43" w:lineRule="exact"/>
        <w:rPr>
          <w:sz w:val="20"/>
          <w:szCs w:val="20"/>
          <w:color w:val="auto"/>
        </w:rPr>
      </w:pPr>
    </w:p>
    <w:p>
      <w:pPr>
        <w:ind w:right="519"/>
        <w:spacing w:after="0" w:line="261" w:lineRule="auto"/>
        <w:rPr>
          <w:sz w:val="20"/>
          <w:szCs w:val="20"/>
          <w:color w:val="auto"/>
        </w:rPr>
      </w:pPr>
      <w:r>
        <w:rPr>
          <w:rFonts w:ascii="Arial" w:cs="Arial" w:eastAsia="Arial" w:hAnsi="Arial"/>
          <w:sz w:val="18"/>
          <w:szCs w:val="18"/>
          <w:color w:val="auto"/>
        </w:rPr>
        <w:t>Form of Restricted Stock Award Agreement (Robert Lisy) pursuant to the International Money Express, Inc. 2020 Omnibus Equity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31750</wp:posOffset>
            </wp:positionV>
            <wp:extent cx="6120765" cy="4203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6120765" cy="420370"/>
                    </a:xfrm>
                    <a:prstGeom prst="rect">
                      <a:avLst/>
                    </a:prstGeom>
                    <a:noFill/>
                  </pic:spPr>
                </pic:pic>
              </a:graphicData>
            </a:graphic>
          </wp:anchor>
        </w:drawing>
      </w:r>
    </w:p>
    <w:p>
      <w:pPr>
        <w:spacing w:after="0" w:line="43" w:lineRule="exact"/>
        <w:rPr>
          <w:sz w:val="20"/>
          <w:szCs w:val="20"/>
          <w:color w:val="auto"/>
        </w:rPr>
      </w:pPr>
    </w:p>
    <w:p>
      <w:pPr>
        <w:ind w:right="219"/>
        <w:spacing w:after="0" w:line="248" w:lineRule="auto"/>
        <w:rPr>
          <w:sz w:val="20"/>
          <w:szCs w:val="20"/>
          <w:color w:val="auto"/>
        </w:rPr>
      </w:pPr>
      <w:r>
        <w:rPr>
          <w:rFonts w:ascii="Arial" w:cs="Arial" w:eastAsia="Arial" w:hAnsi="Arial"/>
          <w:sz w:val="18"/>
          <w:szCs w:val="18"/>
          <w:color w:val="auto"/>
        </w:rPr>
        <w:t>Amended and Restated Employment Agreement by and between Robert Lisy and Intermex Holdings, Inc., dated as of January 5, 2021 (incorporated by reference to Exhibit 10.1 to the Registrant’s Current Report on Form 8-K filed on January 6, 2021).</w:t>
      </w:r>
    </w:p>
    <w:p>
      <w:pPr>
        <w:spacing w:after="0" w:line="60" w:lineRule="exact"/>
        <w:rPr>
          <w:sz w:val="20"/>
          <w:szCs w:val="20"/>
          <w:color w:val="auto"/>
        </w:rPr>
      </w:pPr>
    </w:p>
    <w:p>
      <w:pPr>
        <w:ind w:right="659"/>
        <w:spacing w:after="0" w:line="224" w:lineRule="auto"/>
        <w:rPr>
          <w:sz w:val="20"/>
          <w:szCs w:val="20"/>
          <w:color w:val="auto"/>
        </w:rPr>
      </w:pPr>
      <w:r>
        <w:rPr>
          <w:rFonts w:ascii="Arial" w:cs="Arial" w:eastAsia="Arial" w:hAnsi="Arial"/>
          <w:sz w:val="18"/>
          <w:szCs w:val="18"/>
          <w:color w:val="auto"/>
        </w:rPr>
        <w:t>Employment Agreement by and between Andras Bende and the Company, dated as of December 7, 2021 (incorporated by reference to Exhibit 10.1 to the Registrant’s Current Report on Form 8-K filed on December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-367030</wp:posOffset>
            </wp:positionV>
            <wp:extent cx="6120765" cy="3683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6120765" cy="368300"/>
                    </a:xfrm>
                    <a:prstGeom prst="rect">
                      <a:avLst/>
                    </a:prstGeom>
                    <a:noFill/>
                  </pic:spPr>
                </pic:pic>
              </a:graphicData>
            </a:graphic>
          </wp:anchor>
        </w:drawing>
      </w:r>
    </w:p>
    <w:p>
      <w:pPr>
        <w:spacing w:after="0" w:line="35" w:lineRule="exact"/>
        <w:rPr>
          <w:sz w:val="20"/>
          <w:szCs w:val="20"/>
          <w:color w:val="auto"/>
        </w:rPr>
      </w:pPr>
    </w:p>
    <w:p>
      <w:pPr>
        <w:ind w:right="579"/>
        <w:spacing w:after="0" w:line="224" w:lineRule="auto"/>
        <w:rPr>
          <w:sz w:val="20"/>
          <w:szCs w:val="20"/>
          <w:color w:val="auto"/>
        </w:rPr>
      </w:pPr>
      <w:r>
        <w:rPr>
          <w:rFonts w:ascii="Arial" w:cs="Arial" w:eastAsia="Arial" w:hAnsi="Arial"/>
          <w:sz w:val="18"/>
          <w:szCs w:val="18"/>
          <w:color w:val="auto"/>
        </w:rPr>
        <w:t>Employment Agreement by and between Randy Nilsen and Intermex Holdings, Inc. dated as of February 1, 2017 (incorporated by reference to Exhibit 10.5(e) to the Registrant’s Registration Statement on Form S-1 filed on September 28, 2018 (File No. 333-226948)).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-367030</wp:posOffset>
            </wp:positionV>
            <wp:extent cx="6120765" cy="6940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6120765" cy="694055"/>
                    </a:xfrm>
                    <a:prstGeom prst="rect">
                      <a:avLst/>
                    </a:prstGeom>
                    <a:noFill/>
                  </pic:spPr>
                </pic:pic>
              </a:graphicData>
            </a:graphic>
          </wp:anchor>
        </w:drawing>
      </w:r>
    </w:p>
    <w:p>
      <w:pPr>
        <w:spacing w:after="0" w:line="48" w:lineRule="exact"/>
        <w:rPr>
          <w:sz w:val="20"/>
          <w:szCs w:val="20"/>
          <w:color w:val="auto"/>
        </w:rPr>
      </w:pPr>
    </w:p>
    <w:p>
      <w:pPr>
        <w:ind w:right="659"/>
        <w:spacing w:after="0" w:line="324" w:lineRule="auto"/>
        <w:rPr>
          <w:sz w:val="20"/>
          <w:szCs w:val="20"/>
          <w:color w:val="auto"/>
        </w:rPr>
      </w:pPr>
      <w:r>
        <w:rPr>
          <w:rFonts w:ascii="Arial" w:cs="Arial" w:eastAsia="Arial" w:hAnsi="Arial"/>
          <w:sz w:val="16"/>
          <w:szCs w:val="16"/>
          <w:color w:val="auto"/>
        </w:rPr>
        <w:t>Employment Agreement dated September 23, 2019, between Joseph Aguilar and the Company (incorporated by reference to Exhibit 10.1 to the Registrant’s Current Report on Form 8-K filed On October 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2540</wp:posOffset>
            </wp:positionV>
            <wp:extent cx="6120765" cy="2914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6120765" cy="291465"/>
                    </a:xfrm>
                    <a:prstGeom prst="rect">
                      <a:avLst/>
                    </a:prstGeom>
                    <a:noFill/>
                  </pic:spPr>
                </pic:pic>
              </a:graphicData>
            </a:graphic>
          </wp:anchor>
        </w:drawing>
      </w:r>
    </w:p>
    <w:p>
      <w:pPr>
        <w:ind w:right="739"/>
        <w:spacing w:after="0" w:line="261" w:lineRule="auto"/>
        <w:rPr>
          <w:sz w:val="20"/>
          <w:szCs w:val="20"/>
          <w:color w:val="auto"/>
        </w:rPr>
      </w:pPr>
      <w:r>
        <w:rPr>
          <w:rFonts w:ascii="Arial" w:cs="Arial" w:eastAsia="Arial" w:hAnsi="Arial"/>
          <w:sz w:val="18"/>
          <w:szCs w:val="18"/>
          <w:color w:val="auto"/>
        </w:rPr>
        <w:t>Form of Indemnification Agreement (incorporated by reference to Exhibit 10.1 to the Registrant’s Registration Statement on Form S-1 filed on September 28, 2018 (File No. 333-226948)).</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-130175</wp:posOffset>
            </wp:positionV>
            <wp:extent cx="6120765" cy="145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6120765" cy="14541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Consent of BDO USA,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-130175</wp:posOffset>
            </wp:positionV>
            <wp:extent cx="6120765" cy="145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6120765" cy="14541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the Sarbanes-Oxley Act of 2002-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-130175</wp:posOffset>
            </wp:positionV>
            <wp:extent cx="6120765"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6120765" cy="1460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302 of the Sarbanes-Oxley Act of 2002-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-130175</wp:posOffset>
            </wp:positionV>
            <wp:extent cx="6120765"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6120765" cy="145415"/>
                    </a:xfrm>
                    <a:prstGeom prst="rect">
                      <a:avLst/>
                    </a:prstGeom>
                    <a:noFill/>
                  </pic:spPr>
                </pic:pic>
              </a:graphicData>
            </a:graphic>
          </wp:anchor>
        </w:drawing>
      </w:r>
    </w:p>
    <w:p>
      <w:pPr>
        <w:spacing w:after="0" w:line="57" w:lineRule="exact"/>
        <w:rPr>
          <w:sz w:val="20"/>
          <w:szCs w:val="20"/>
          <w:color w:val="auto"/>
        </w:rPr>
      </w:pPr>
    </w:p>
    <w:p>
      <w:pPr>
        <w:ind w:right="439"/>
        <w:spacing w:after="0" w:line="235"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-256540</wp:posOffset>
            </wp:positionV>
            <wp:extent cx="6120765" cy="2571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6120765" cy="257175"/>
                    </a:xfrm>
                    <a:prstGeom prst="rect">
                      <a:avLst/>
                    </a:prstGeom>
                    <a:noFill/>
                  </pic:spPr>
                </pic:pic>
              </a:graphicData>
            </a:graphic>
          </wp:anchor>
        </w:drawing>
      </w:r>
    </w:p>
    <w:p>
      <w:pPr>
        <w:spacing w:after="0" w:line="34" w:lineRule="exact"/>
        <w:rPr>
          <w:sz w:val="20"/>
          <w:szCs w:val="20"/>
          <w:color w:val="auto"/>
        </w:rPr>
      </w:pPr>
    </w:p>
    <w:p>
      <w:pPr>
        <w:ind w:right="239"/>
        <w:spacing w:after="0" w:line="235"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-256540</wp:posOffset>
            </wp:positionV>
            <wp:extent cx="6120765" cy="9683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6120765" cy="968375"/>
                    </a:xfrm>
                    <a:prstGeom prst="rect">
                      <a:avLst/>
                    </a:prstGeom>
                    <a:noFill/>
                  </pic:spPr>
                </pic:pic>
              </a:graphicData>
            </a:graphic>
          </wp:anchor>
        </w:drawing>
      </w:r>
    </w:p>
    <w:p>
      <w:pPr>
        <w:spacing w:after="0" w:line="47" w:lineRule="exact"/>
        <w:rPr>
          <w:sz w:val="20"/>
          <w:szCs w:val="20"/>
          <w:color w:val="auto"/>
        </w:rPr>
      </w:pPr>
    </w:p>
    <w:p>
      <w:pPr>
        <w:ind w:right="379"/>
        <w:spacing w:after="0" w:line="259" w:lineRule="auto"/>
        <w:rPr>
          <w:sz w:val="20"/>
          <w:szCs w:val="20"/>
          <w:color w:val="auto"/>
        </w:rPr>
      </w:pPr>
      <w:r>
        <w:rPr>
          <w:rFonts w:ascii="Arial" w:cs="Arial" w:eastAsia="Arial" w:hAnsi="Arial"/>
          <w:sz w:val="17"/>
          <w:szCs w:val="17"/>
          <w:color w:val="auto"/>
        </w:rPr>
        <w:t>The following materials from the Company’s Annual Report on Form 10-K for the year ended December 31, 2020, are formatted in iXBRL (Inline Extensible Business Reporting Language): (i) the Audited Consolidated Balance Sheets, (ii) the Audited Consolidated Statements of Operations and Comprehensive (Loss) Income, (iii) the Audited Consolidated Statements of Changes in Stockholders’ Equity, (iv) the Audited Consolidated Statements of Cash Flows, and (v) the Notes to 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-690245</wp:posOffset>
            </wp:positionH>
            <wp:positionV relativeFrom="paragraph">
              <wp:posOffset>33655</wp:posOffset>
            </wp:positionV>
            <wp:extent cx="6120765" cy="2914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6120765" cy="291465"/>
                    </a:xfrm>
                    <a:prstGeom prst="rect">
                      <a:avLst/>
                    </a:prstGeom>
                    <a:noFill/>
                  </pic:spPr>
                </pic:pic>
              </a:graphicData>
            </a:graphic>
          </wp:anchor>
        </w:drawing>
      </w:r>
    </w:p>
    <w:p>
      <w:pPr>
        <w:spacing w:after="0" w:line="46" w:lineRule="exact"/>
        <w:rPr>
          <w:sz w:val="20"/>
          <w:szCs w:val="20"/>
          <w:color w:val="auto"/>
        </w:rPr>
      </w:pPr>
    </w:p>
    <w:p>
      <w:pPr>
        <w:ind w:right="299"/>
        <w:spacing w:after="0" w:line="261" w:lineRule="auto"/>
        <w:rPr>
          <w:sz w:val="20"/>
          <w:szCs w:val="20"/>
          <w:color w:val="auto"/>
        </w:rPr>
      </w:pPr>
      <w:r>
        <w:rPr>
          <w:rFonts w:ascii="Arial" w:cs="Arial" w:eastAsia="Arial" w:hAnsi="Arial"/>
          <w:sz w:val="18"/>
          <w:szCs w:val="18"/>
          <w:color w:val="auto"/>
        </w:rPr>
        <w:t>The cover page from the Company’s Annual Report on Form 10-K for the year ended December 31, 2020, formatted in iXBRL and contained in Exhibit 101.</w:t>
      </w:r>
    </w:p>
    <w:p>
      <w:pPr>
        <w:spacing w:after="0" w:line="200" w:lineRule="exact"/>
        <w:rPr>
          <w:sz w:val="20"/>
          <w:szCs w:val="20"/>
          <w:color w:val="auto"/>
        </w:rPr>
      </w:pPr>
    </w:p>
    <w:p>
      <w:pPr>
        <w:sectPr>
          <w:pgSz w:w="11900" w:h="16838" w:orient="portrait"/>
          <w:cols w:equalWidth="0" w:num="2">
            <w:col w:w="688" w:space="400"/>
            <w:col w:w="8719"/>
          </w:cols>
          <w:pgMar w:left="652" w:top="193" w:right="1440" w:bottom="0" w:gutter="0" w:footer="0" w:header="0"/>
        </w:sectPr>
      </w:pPr>
    </w:p>
    <w:p>
      <w:pPr>
        <w:spacing w:after="0" w:line="133" w:lineRule="exact"/>
        <w:rPr>
          <w:sz w:val="20"/>
          <w:szCs w:val="20"/>
          <w:color w:val="auto"/>
        </w:rPr>
      </w:pPr>
    </w:p>
    <w:p>
      <w:pPr>
        <w:ind w:left="328" w:hanging="328"/>
        <w:spacing w:after="0"/>
        <w:tabs>
          <w:tab w:leader="none" w:pos="328"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Management contract or compensatory plan or arrangement.</w:t>
      </w:r>
    </w:p>
    <w:p>
      <w:pPr>
        <w:sectPr>
          <w:pgSz w:w="11900" w:h="16838" w:orient="portrait"/>
          <w:cols w:equalWidth="0" w:num="1">
            <w:col w:w="9807"/>
          </w:cols>
          <w:pgMar w:left="652" w:top="193" w:right="1440" w:bottom="0" w:gutter="0" w:footer="0" w:header="0"/>
          <w:type w:val="continuous"/>
        </w:sectPr>
      </w:pPr>
    </w:p>
    <w:bookmarkStart w:id="103" w:name="page104"/>
    <w:bookmarkEnd w:id="103"/>
    <w:p>
      <w:pPr>
        <w:ind w:left="8" w:right="8299" w:hanging="8"/>
        <w:spacing w:after="0" w:line="258" w:lineRule="auto"/>
        <w:tabs>
          <w:tab w:leader="none" w:pos="3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 ** Previously filed.</w:t>
      </w:r>
    </w:p>
    <w:p>
      <w:pPr>
        <w:spacing w:after="0" w:line="1" w:lineRule="exact"/>
        <w:rPr>
          <w:rFonts w:ascii="Arial" w:cs="Arial" w:eastAsia="Arial" w:hAnsi="Arial"/>
          <w:sz w:val="18"/>
          <w:szCs w:val="18"/>
          <w:color w:val="auto"/>
        </w:rPr>
      </w:pPr>
    </w:p>
    <w:p>
      <w:pPr>
        <w:ind w:left="8"/>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220345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07"/>
          </w:cols>
          <w:pgMar w:left="652" w:top="125" w:right="1440" w:bottom="1440" w:gutter="0" w:footer="0" w:header="0"/>
        </w:sectPr>
      </w:pPr>
    </w:p>
    <w:bookmarkStart w:id="104" w:name="page105"/>
    <w:bookmarkEnd w:id="104"/>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05" w:name="page106"/>
    <w:bookmarkEnd w:id="105"/>
    <w:p>
      <w:pPr>
        <w:spacing w:after="0"/>
        <w:rPr>
          <w:rFonts w:ascii="Arial" w:cs="Arial" w:eastAsia="Arial" w:hAnsi="Arial"/>
          <w:sz w:val="18"/>
          <w:szCs w:val="18"/>
          <w:i w:val="1"/>
          <w:iCs w:val="1"/>
          <w:u w:val="single" w:color="auto"/>
          <w:color w:val="0000FF"/>
        </w:rPr>
      </w:pPr>
      <w:hyperlink w:anchor="page2">
        <w:r>
          <w:rPr>
            <w:rFonts w:ascii="Arial" w:cs="Arial" w:eastAsia="Arial" w:hAnsi="Arial"/>
            <w:sz w:val="18"/>
            <w:szCs w:val="18"/>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International Money Express, Inc. (Registrant)</w:t>
      </w:r>
    </w:p>
    <w:p>
      <w:pPr>
        <w:spacing w:after="0" w:line="297" w:lineRule="exact"/>
        <w:rPr>
          <w:sz w:val="20"/>
          <w:szCs w:val="20"/>
          <w:color w:val="auto"/>
        </w:rPr>
      </w:pPr>
    </w:p>
    <w:p>
      <w:pPr>
        <w:ind w:left="20"/>
        <w:spacing w:after="0"/>
        <w:tabs>
          <w:tab w:leader="none" w:pos="4160" w:val="left"/>
          <w:tab w:leader="none" w:pos="4660" w:val="left"/>
        </w:tabs>
        <w:rPr>
          <w:sz w:val="20"/>
          <w:szCs w:val="20"/>
          <w:color w:val="auto"/>
        </w:rPr>
      </w:pPr>
      <w:r>
        <w:rPr>
          <w:rFonts w:ascii="Arial" w:cs="Arial" w:eastAsia="Arial" w:hAnsi="Arial"/>
          <w:sz w:val="18"/>
          <w:szCs w:val="18"/>
          <w:color w:val="auto"/>
        </w:rPr>
        <w:t>March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14605</wp:posOffset>
            </wp:positionV>
            <wp:extent cx="302577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3025775" cy="17145"/>
                    </a:xfrm>
                    <a:prstGeom prst="rect">
                      <a:avLst/>
                    </a:prstGeom>
                    <a:noFill/>
                  </pic:spPr>
                </pic:pic>
              </a:graphicData>
            </a:graphic>
          </wp:anchor>
        </w:drawing>
      </w:r>
    </w:p>
    <w:p>
      <w:pPr>
        <w:spacing w:after="0" w:line="26"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Robert Lisy</w:t>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Chief Executive Officer and President</w:t>
      </w:r>
    </w:p>
    <w:p>
      <w:pPr>
        <w:spacing w:after="0" w:line="11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5" w:right="339" w:bottom="1440" w:gutter="0" w:footer="0" w:header="0"/>
        </w:sectPr>
      </w:pPr>
    </w:p>
    <w:p>
      <w:pPr>
        <w:spacing w:after="0" w:line="207"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0848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1808480" cy="17145"/>
                    </a:xfrm>
                    <a:prstGeom prst="rect">
                      <a:avLst/>
                    </a:prstGeom>
                    <a:noFill/>
                  </pic:spPr>
                </pic:pic>
              </a:graphicData>
            </a:graphic>
          </wp:anchor>
        </w:drawing>
      </w:r>
    </w:p>
    <w:p>
      <w:pPr>
        <w:spacing w:after="0" w:line="10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848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1808480" cy="17145"/>
                    </a:xfrm>
                    <a:prstGeom prst="rect">
                      <a:avLst/>
                    </a:prstGeom>
                    <a:noFill/>
                  </pic:spPr>
                </pic:pic>
              </a:graphicData>
            </a:graphic>
          </wp:anchor>
        </w:drawing>
      </w:r>
    </w:p>
    <w:p>
      <w:pPr>
        <w:spacing w:after="0" w:line="5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Robert Lisy</w:t>
      </w:r>
    </w:p>
    <w:p>
      <w:pPr>
        <w:spacing w:after="0" w:line="1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848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1808480" cy="17145"/>
                    </a:xfrm>
                    <a:prstGeom prst="rect">
                      <a:avLst/>
                    </a:prstGeom>
                    <a:noFill/>
                  </pic:spPr>
                </pic:pic>
              </a:graphicData>
            </a:graphic>
          </wp:anchor>
        </w:drawing>
      </w:r>
    </w:p>
    <w:p>
      <w:pPr>
        <w:spacing w:after="0" w:line="5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Andras Bende</w:t>
      </w:r>
    </w:p>
    <w:p>
      <w:pPr>
        <w:spacing w:after="0" w:line="108" w:lineRule="exact"/>
        <w:rPr>
          <w:sz w:val="20"/>
          <w:szCs w:val="20"/>
          <w:color w:val="auto"/>
        </w:rPr>
      </w:pPr>
    </w:p>
    <w:p>
      <w:pPr>
        <w:ind w:left="780"/>
        <w:spacing w:after="0"/>
        <w:rPr>
          <w:sz w:val="20"/>
          <w:szCs w:val="20"/>
          <w:color w:val="auto"/>
        </w:rPr>
      </w:pPr>
      <w:r>
        <w:rPr>
          <w:rFonts w:ascii="Arial" w:cs="Arial" w:eastAsia="Arial" w:hAnsi="Arial"/>
          <w:sz w:val="18"/>
          <w:szCs w:val="18"/>
          <w:color w:val="auto"/>
        </w:rPr>
        <w:t>/s/ Adam Godfrey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848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1808480" cy="17145"/>
                    </a:xfrm>
                    <a:prstGeom prst="rect">
                      <a:avLst/>
                    </a:prstGeom>
                    <a:noFill/>
                  </pic:spPr>
                </pic:pic>
              </a:graphicData>
            </a:graphic>
          </wp:anchor>
        </w:drawing>
      </w:r>
    </w:p>
    <w:p>
      <w:pPr>
        <w:spacing w:after="0" w:line="5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Adam Godfrey</w:t>
      </w:r>
    </w:p>
    <w:p>
      <w:pPr>
        <w:spacing w:after="0" w:line="10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 Kurt Holstein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848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1808480" cy="17145"/>
                    </a:xfrm>
                    <a:prstGeom prst="rect">
                      <a:avLst/>
                    </a:prstGeom>
                    <a:noFill/>
                  </pic:spPr>
                </pic:pic>
              </a:graphicData>
            </a:graphic>
          </wp:anchor>
        </w:drawing>
      </w:r>
    </w:p>
    <w:p>
      <w:pPr>
        <w:spacing w:after="0" w:line="53"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Kurt Holstein</w:t>
      </w:r>
    </w:p>
    <w:p>
      <w:pPr>
        <w:spacing w:after="0" w:line="10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 Christopher Lofgren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80848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1808480" cy="17145"/>
                    </a:xfrm>
                    <a:prstGeom prst="rect">
                      <a:avLst/>
                    </a:prstGeom>
                    <a:noFill/>
                  </pic:spPr>
                </pic:pic>
              </a:graphicData>
            </a:graphic>
          </wp:anchor>
        </w:drawing>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Christopher Lofgren</w:t>
      </w:r>
    </w:p>
    <w:p>
      <w:pPr>
        <w:spacing w:after="0" w:line="131" w:lineRule="exact"/>
        <w:rPr>
          <w:sz w:val="20"/>
          <w:szCs w:val="20"/>
          <w:color w:val="auto"/>
        </w:rPr>
      </w:pPr>
    </w:p>
    <w:p>
      <w:pPr>
        <w:ind w:left="800"/>
        <w:spacing w:after="0"/>
        <w:rPr>
          <w:sz w:val="20"/>
          <w:szCs w:val="20"/>
          <w:color w:val="auto"/>
        </w:rPr>
      </w:pPr>
      <w:r>
        <w:rPr>
          <w:rFonts w:ascii="Arial" w:cs="Arial" w:eastAsia="Arial" w:hAnsi="Arial"/>
          <w:sz w:val="18"/>
          <w:szCs w:val="18"/>
          <w:color w:val="auto"/>
        </w:rPr>
        <w:t>/s/ Laura Maydón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848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1808480" cy="17145"/>
                    </a:xfrm>
                    <a:prstGeom prst="rect">
                      <a:avLst/>
                    </a:prstGeom>
                    <a:noFill/>
                  </pic:spPr>
                </pic:pic>
              </a:graphicData>
            </a:graphic>
          </wp:anchor>
        </w:drawing>
      </w:r>
    </w:p>
    <w:p>
      <w:pPr>
        <w:spacing w:after="0" w:line="53"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Laura Maydón</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 Michael Purcell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848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1808480" cy="17145"/>
                    </a:xfrm>
                    <a:prstGeom prst="rect">
                      <a:avLst/>
                    </a:prstGeom>
                    <a:noFill/>
                  </pic:spPr>
                </pic:pic>
              </a:graphicData>
            </a:graphic>
          </wp:anchor>
        </w:drawing>
      </w:r>
    </w:p>
    <w:p>
      <w:pPr>
        <w:spacing w:after="0" w:line="53"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Michael Purcell</w:t>
      </w:r>
    </w:p>
    <w:p>
      <w:pPr>
        <w:spacing w:after="0" w:line="10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 John Rincon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848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1808480" cy="17145"/>
                    </a:xfrm>
                    <a:prstGeom prst="rect">
                      <a:avLst/>
                    </a:prstGeom>
                    <a:noFill/>
                  </pic:spPr>
                </pic:pic>
              </a:graphicData>
            </a:graphic>
          </wp:anchor>
        </w:drawing>
      </w:r>
    </w:p>
    <w:p>
      <w:pPr>
        <w:spacing w:after="0" w:line="5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John Rincon</w:t>
      </w:r>
    </w:p>
    <w:p>
      <w:pPr>
        <w:spacing w:after="0" w:line="1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 Justin Wender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848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1808480" cy="17145"/>
                    </a:xfrm>
                    <a:prstGeom prst="rect">
                      <a:avLst/>
                    </a:prstGeom>
                    <a:noFill/>
                  </pic:spPr>
                </pic:pic>
              </a:graphicData>
            </a:graphic>
          </wp:anchor>
        </w:drawing>
      </w:r>
    </w:p>
    <w:p>
      <w:pPr>
        <w:spacing w:after="0" w:line="53" w:lineRule="exact"/>
        <w:rPr>
          <w:sz w:val="20"/>
          <w:szCs w:val="20"/>
          <w:color w:val="auto"/>
        </w:rPr>
      </w:pPr>
    </w:p>
    <w:p>
      <w:pPr>
        <w:ind w:left="860"/>
        <w:spacing w:after="0"/>
        <w:rPr>
          <w:sz w:val="20"/>
          <w:szCs w:val="20"/>
          <w:color w:val="auto"/>
        </w:rPr>
      </w:pPr>
      <w:r>
        <w:rPr>
          <w:rFonts w:ascii="Arial" w:cs="Arial" w:eastAsia="Arial" w:hAnsi="Arial"/>
          <w:sz w:val="18"/>
          <w:szCs w:val="18"/>
          <w:b w:val="1"/>
          <w:bCs w:val="1"/>
          <w:color w:val="auto"/>
        </w:rPr>
        <w:t>Justin Wender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340" w:type="dxa"/>
            <w:vAlign w:val="bottom"/>
            <w:tcBorders>
              <w:bottom w:val="single" w:sz="8" w:color="auto"/>
            </w:tcBorders>
          </w:tcPr>
          <w:p>
            <w:pPr>
              <w:ind w:left="2000"/>
              <w:spacing w:after="0"/>
              <w:rPr>
                <w:sz w:val="20"/>
                <w:szCs w:val="20"/>
                <w:color w:val="auto"/>
              </w:rPr>
            </w:pPr>
            <w:r>
              <w:rPr>
                <w:rFonts w:ascii="Arial" w:cs="Arial" w:eastAsia="Arial" w:hAnsi="Arial"/>
                <w:sz w:val="18"/>
                <w:szCs w:val="18"/>
                <w:b w:val="1"/>
                <w:bCs w:val="1"/>
                <w:color w:val="auto"/>
              </w:rPr>
              <w:t>Title</w:t>
            </w:r>
          </w:p>
        </w:tc>
        <w:tc>
          <w:tcPr>
            <w:tcW w:w="100" w:type="dxa"/>
            <w:vAlign w:val="bottom"/>
          </w:tcPr>
          <w:p>
            <w:pPr>
              <w:spacing w:after="0"/>
              <w:rPr>
                <w:sz w:val="20"/>
                <w:szCs w:val="20"/>
                <w:color w:val="auto"/>
              </w:rPr>
            </w:pPr>
          </w:p>
        </w:tc>
        <w:tc>
          <w:tcPr>
            <w:tcW w:w="200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Date</w:t>
            </w:r>
          </w:p>
        </w:tc>
      </w:tr>
      <w:tr>
        <w:trPr>
          <w:trHeight w:val="216"/>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Chairman of the</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15, 2021</w:t>
            </w: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Board of Directors (Principal Executive Officer)</w:t>
            </w:r>
          </w:p>
        </w:tc>
        <w:tc>
          <w:tcPr>
            <w:tcW w:w="2000" w:type="dxa"/>
            <w:vAlign w:val="bottom"/>
          </w:tcPr>
          <w:p>
            <w:pPr>
              <w:spacing w:after="0"/>
              <w:rPr>
                <w:sz w:val="20"/>
                <w:szCs w:val="20"/>
                <w:color w:val="auto"/>
              </w:rPr>
            </w:pPr>
          </w:p>
        </w:tc>
      </w:tr>
      <w:tr>
        <w:trPr>
          <w:trHeight w:val="364"/>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(Principal Financial Officer and</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15, 2021</w:t>
            </w: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Principal Accounting Officer)</w:t>
            </w:r>
          </w:p>
        </w:tc>
        <w:tc>
          <w:tcPr>
            <w:tcW w:w="2000" w:type="dxa"/>
            <w:vAlign w:val="bottom"/>
          </w:tcPr>
          <w:p>
            <w:pPr>
              <w:spacing w:after="0"/>
              <w:rPr>
                <w:sz w:val="20"/>
                <w:szCs w:val="20"/>
                <w:color w:val="auto"/>
              </w:rPr>
            </w:pPr>
          </w:p>
        </w:tc>
      </w:tr>
      <w:tr>
        <w:trPr>
          <w:trHeight w:val="418"/>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15, 2021</w:t>
            </w:r>
          </w:p>
        </w:tc>
      </w:tr>
      <w:tr>
        <w:trPr>
          <w:trHeight w:val="594"/>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15, 2021</w:t>
            </w:r>
          </w:p>
        </w:tc>
      </w:tr>
      <w:tr>
        <w:trPr>
          <w:trHeight w:val="594"/>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15, 2021</w:t>
            </w:r>
          </w:p>
        </w:tc>
      </w:tr>
      <w:tr>
        <w:trPr>
          <w:trHeight w:val="594"/>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15, 2021</w:t>
            </w:r>
          </w:p>
        </w:tc>
      </w:tr>
      <w:tr>
        <w:trPr>
          <w:trHeight w:val="594"/>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Lead 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15, 2021</w:t>
            </w:r>
          </w:p>
        </w:tc>
      </w:tr>
      <w:tr>
        <w:trPr>
          <w:trHeight w:val="594"/>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15, 2021</w:t>
            </w:r>
          </w:p>
        </w:tc>
      </w:tr>
      <w:tr>
        <w:trPr>
          <w:trHeight w:val="594"/>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20"/>
              <w:spacing w:after="0"/>
              <w:rPr>
                <w:sz w:val="20"/>
                <w:szCs w:val="20"/>
                <w:color w:val="auto"/>
              </w:rPr>
            </w:pPr>
            <w:r>
              <w:rPr>
                <w:rFonts w:ascii="Arial" w:cs="Arial" w:eastAsia="Arial" w:hAnsi="Arial"/>
                <w:sz w:val="18"/>
                <w:szCs w:val="18"/>
                <w:color w:val="auto"/>
              </w:rPr>
              <w:t>March 15, 2021</w:t>
            </w:r>
          </w:p>
        </w:tc>
      </w:tr>
    </w:tbl>
    <w:p>
      <w:pPr>
        <w:spacing w:after="0" w:line="483" w:lineRule="exact"/>
        <w:rPr>
          <w:sz w:val="20"/>
          <w:szCs w:val="20"/>
          <w:color w:val="auto"/>
        </w:rPr>
      </w:pPr>
    </w:p>
    <w:p>
      <w:pPr>
        <w:sectPr>
          <w:pgSz w:w="11900" w:h="16838" w:orient="portrait"/>
          <w:cols w:equalWidth="0" w:num="2">
            <w:col w:w="2280" w:space="680"/>
            <w:col w:w="8280"/>
          </w:cols>
          <w:pgMar w:left="320" w:top="125"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40"/>
          </w:cols>
          <w:pgMar w:left="320" w:top="125" w:right="33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EQUITY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RSU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[EMPLOYEE VERSION]</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____________________, 20___ (the “</w:t>
      </w:r>
      <w:r>
        <w:rPr>
          <w:rFonts w:ascii="Arial" w:cs="Arial" w:eastAsia="Arial" w:hAnsi="Arial"/>
          <w:sz w:val="17"/>
          <w:szCs w:val="17"/>
          <w:u w:val="single" w:color="auto"/>
          <w:color w:val="auto"/>
        </w:rPr>
        <w:t>Date of Grant</w:t>
      </w:r>
      <w:r>
        <w:rPr>
          <w:rFonts w:ascii="Arial" w:cs="Arial" w:eastAsia="Arial" w:hAnsi="Arial"/>
          <w:sz w:val="17"/>
          <w:szCs w:val="17"/>
          <w:color w:val="auto"/>
        </w:rPr>
        <w:t>”), between International Money Express,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____________ (the “</w:t>
      </w:r>
      <w:r>
        <w:rPr>
          <w:rFonts w:ascii="Arial" w:cs="Arial" w:eastAsia="Arial" w:hAnsi="Arial"/>
          <w:sz w:val="16"/>
          <w:szCs w:val="16"/>
          <w:u w:val="single" w:color="auto"/>
          <w:color w:val="auto"/>
        </w:rPr>
        <w:t>Grantee</w:t>
      </w:r>
      <w:r>
        <w:rPr>
          <w:rFonts w:ascii="Arial" w:cs="Arial" w:eastAsia="Arial" w:hAnsi="Arial"/>
          <w:sz w:val="16"/>
          <w:szCs w:val="16"/>
          <w:color w:val="auto"/>
        </w:rPr>
        <w:t>”), is made pursuant and subject to the provisions of the Company’s 2020</w:t>
      </w:r>
    </w:p>
    <w:p>
      <w:pPr>
        <w:spacing w:after="0" w:line="32"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Omnibus Equity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a copy of which has been made available to the Grantee. All terms used herein but not defined herein shall have the meaning set forth in the Plan.</w:t>
      </w:r>
    </w:p>
    <w:p>
      <w:pPr>
        <w:spacing w:after="0" w:line="208" w:lineRule="exact"/>
        <w:rPr>
          <w:sz w:val="20"/>
          <w:szCs w:val="20"/>
          <w:color w:val="auto"/>
        </w:rPr>
      </w:pPr>
    </w:p>
    <w:p>
      <w:pPr>
        <w:ind w:right="120" w:firstLine="656"/>
        <w:spacing w:after="0" w:line="261" w:lineRule="auto"/>
        <w:tabs>
          <w:tab w:leader="none" w:pos="1188"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Subject to the terms and conditions of the Plan and subject further to the terms and conditions herein set forth,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grants the Grantee [______] restricted stock units (the “</w:t>
      </w:r>
      <w:r>
        <w:rPr>
          <w:rFonts w:ascii="Arial" w:cs="Arial" w:eastAsia="Arial" w:hAnsi="Arial"/>
          <w:sz w:val="18"/>
          <w:szCs w:val="18"/>
          <w:u w:val="single" w:color="auto"/>
          <w:color w:val="auto"/>
        </w:rPr>
        <w:t>RSUs</w:t>
      </w:r>
      <w:r>
        <w:rPr>
          <w:rFonts w:ascii="Arial" w:cs="Arial" w:eastAsia="Arial" w:hAnsi="Arial"/>
          <w:sz w:val="18"/>
          <w:szCs w:val="18"/>
          <w:color w:val="auto"/>
        </w:rPr>
        <w:t>”), subject to the vesting terms set forth in Section 2 below. Subject to the provisions of this Agreement and the Plan, each vested RSU represents the right to receive one (1) share of Stock. The RSUs shall apply only with respect to a whole number of shares of Stock.</w:t>
      </w:r>
    </w:p>
    <w:p>
      <w:pPr>
        <w:spacing w:after="0" w:line="206" w:lineRule="exact"/>
        <w:rPr>
          <w:rFonts w:ascii="Arial" w:cs="Arial" w:eastAsia="Arial" w:hAnsi="Arial"/>
          <w:sz w:val="18"/>
          <w:szCs w:val="18"/>
          <w:color w:val="auto"/>
        </w:rPr>
      </w:pPr>
    </w:p>
    <w:p>
      <w:pPr>
        <w:ind w:right="220" w:firstLine="656"/>
        <w:spacing w:after="0" w:line="312" w:lineRule="auto"/>
        <w:tabs>
          <w:tab w:leader="none" w:pos="1188"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 xml:space="preserve">Vesting. </w:t>
      </w:r>
      <w:r>
        <w:rPr>
          <w:rFonts w:ascii="Arial" w:cs="Arial" w:eastAsia="Arial" w:hAnsi="Arial"/>
          <w:sz w:val="17"/>
          <w:szCs w:val="17"/>
          <w:color w:val="auto"/>
        </w:rPr>
        <w:t>Except to the extent determined otherwise by the Administrator and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A</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which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A</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supersede the subparagraphs of this Section 2, and any other Sections and subparagraph referenced therein, as applicable:</w:t>
      </w:r>
    </w:p>
    <w:p>
      <w:pPr>
        <w:spacing w:after="0" w:line="170" w:lineRule="exact"/>
        <w:rPr>
          <w:rFonts w:ascii="Arial" w:cs="Arial" w:eastAsia="Arial" w:hAnsi="Arial"/>
          <w:sz w:val="17"/>
          <w:szCs w:val="17"/>
          <w:color w:val="auto"/>
        </w:rPr>
      </w:pPr>
    </w:p>
    <w:p>
      <w:pPr>
        <w:ind w:right="40" w:firstLine="1304"/>
        <w:spacing w:after="0" w:line="255" w:lineRule="auto"/>
        <w:tabs>
          <w:tab w:leader="none" w:pos="1942"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RSUs granted under this Agreement shall vest with respect to 25% of the RSUs on the first anniversary of the Date of Grant and thereafter shall vest with respect to an additional 25% on an annual basis through the fourth anniversary of the Date of Grant until the RSUs are 100% vested, subject to Sections 2(b), 2(c) and 3 hereof.</w:t>
      </w:r>
    </w:p>
    <w:p>
      <w:pPr>
        <w:spacing w:after="0" w:line="2" w:lineRule="exact"/>
        <w:rPr>
          <w:rFonts w:ascii="Arial" w:cs="Arial" w:eastAsia="Arial" w:hAnsi="Arial"/>
          <w:sz w:val="18"/>
          <w:szCs w:val="18"/>
          <w:color w:val="auto"/>
        </w:rPr>
      </w:pPr>
    </w:p>
    <w:p>
      <w:pPr>
        <w:ind w:right="120" w:firstLine="1304"/>
        <w:spacing w:after="0" w:line="260" w:lineRule="auto"/>
        <w:tabs>
          <w:tab w:leader="none" w:pos="1686"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the Grantee ceases to be employed by or provide services to the Company or any of its subsidiaries due to death or disability, the unvested portion of the RSUs shall become immediately vested upon the Grantee’s termination or employment or service.</w:t>
      </w:r>
    </w:p>
    <w:p>
      <w:pPr>
        <w:spacing w:after="0" w:line="212" w:lineRule="exact"/>
        <w:rPr>
          <w:rFonts w:ascii="Arial" w:cs="Arial" w:eastAsia="Arial" w:hAnsi="Arial"/>
          <w:sz w:val="18"/>
          <w:szCs w:val="18"/>
          <w:color w:val="auto"/>
        </w:rPr>
      </w:pPr>
    </w:p>
    <w:p>
      <w:pPr>
        <w:ind w:right="300" w:firstLine="1304"/>
        <w:spacing w:after="0" w:line="286" w:lineRule="auto"/>
        <w:tabs>
          <w:tab w:leader="none" w:pos="1946" w:val="left"/>
        </w:tabs>
        <w:numPr>
          <w:ilvl w:val="1"/>
          <w:numId w:val="45"/>
        </w:numPr>
        <w:rPr>
          <w:rFonts w:ascii="Arial" w:cs="Arial" w:eastAsia="Arial" w:hAnsi="Arial"/>
          <w:sz w:val="17"/>
          <w:szCs w:val="17"/>
          <w:color w:val="auto"/>
        </w:rPr>
      </w:pPr>
      <w:r>
        <w:rPr>
          <w:rFonts w:ascii="Arial" w:cs="Arial" w:eastAsia="Arial" w:hAnsi="Arial"/>
          <w:sz w:val="17"/>
          <w:szCs w:val="17"/>
          <w:color w:val="auto"/>
        </w:rPr>
        <w:t>If a Change of Control occurs, and, at any time prior to the second (2nd) anniversary of the Change of Control, the Company terminates the Grantee’s employment with or service to the Company, as applicable, without Cause (as such term is defined in Section 3 below), the unvested portion of the RSUs shall become immediately vested upon such termination of employment or service.</w:t>
      </w:r>
    </w:p>
    <w:p>
      <w:pPr>
        <w:spacing w:after="0" w:line="188" w:lineRule="exact"/>
        <w:rPr>
          <w:rFonts w:ascii="Arial" w:cs="Arial" w:eastAsia="Arial" w:hAnsi="Arial"/>
          <w:sz w:val="17"/>
          <w:szCs w:val="17"/>
          <w:color w:val="auto"/>
        </w:rPr>
      </w:pPr>
    </w:p>
    <w:p>
      <w:pPr>
        <w:ind w:right="40" w:firstLine="656"/>
        <w:spacing w:after="0" w:line="269" w:lineRule="auto"/>
        <w:tabs>
          <w:tab w:leader="none" w:pos="1188"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 xml:space="preserve">Forfeiture and Termination of Service. </w:t>
      </w:r>
      <w:r>
        <w:rPr>
          <w:rFonts w:ascii="Arial" w:cs="Arial" w:eastAsia="Arial" w:hAnsi="Arial"/>
          <w:sz w:val="17"/>
          <w:szCs w:val="17"/>
          <w:color w:val="auto"/>
        </w:rPr>
        <w:t>No portion of the RSUs underlying this Agreement shall vest after, and any unvested portion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RSUs shall be forfeited on, the date on which the Grantee ceases to provide any services to the Company or any of its subsidiaries (whether as an employee, director, or consultant), unless the Grantee ceases to provide services to the Company or any of its subsidiaries due to death or disability. For purposes of this Agreement, “</w:t>
      </w:r>
      <w:r>
        <w:rPr>
          <w:rFonts w:ascii="Arial" w:cs="Arial" w:eastAsia="Arial" w:hAnsi="Arial"/>
          <w:sz w:val="17"/>
          <w:szCs w:val="17"/>
          <w:u w:val="single" w:color="auto"/>
          <w:color w:val="auto"/>
        </w:rPr>
        <w:t>Cause</w:t>
      </w:r>
      <w:r>
        <w:rPr>
          <w:rFonts w:ascii="Arial" w:cs="Arial" w:eastAsia="Arial" w:hAnsi="Arial"/>
          <w:sz w:val="17"/>
          <w:szCs w:val="17"/>
          <w:color w:val="auto"/>
        </w:rPr>
        <w:t>” means, with respect to the Grantee (i) if the Grantee is a party to an employment agreement with the Company or its Affiliates and such agreement provides for a definition of Cause, the definition contained therein; or (ii) if no such agreement exists, or if such agreement does not define Cause: (A) the commission of, or plea of guilty or no contest to, a felony or a crime involving moral turpitude or the commission of any other act involving willful malfeasance or material fiduciary breach with respect to the Company or an Affiliate; (B) conduct that results in or is reasonably likely to result in harm to the reputation or business of the Company or any of its Affiliates; (C) gross negligence or willful misconduct with respect to the Company or an Affiliate; (D) material violation of any of the Company’s written policies; or (E) material violation of state or federal securities laws. The Administrator, in its absolute discretion, shall determine the effect of all matters and questions relating to whether the Grantee has been discharged for Cause.</w:t>
      </w:r>
    </w:p>
    <w:p>
      <w:pPr>
        <w:spacing w:after="0" w:line="208" w:lineRule="exact"/>
        <w:rPr>
          <w:rFonts w:ascii="Arial" w:cs="Arial" w:eastAsia="Arial" w:hAnsi="Arial"/>
          <w:sz w:val="17"/>
          <w:szCs w:val="17"/>
          <w:color w:val="auto"/>
        </w:rPr>
      </w:pPr>
    </w:p>
    <w:p>
      <w:pPr>
        <w:ind w:firstLine="656"/>
        <w:spacing w:after="0" w:line="292" w:lineRule="auto"/>
        <w:tabs>
          <w:tab w:leader="none" w:pos="1188"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 xml:space="preserve">Settlement. </w:t>
      </w:r>
      <w:r>
        <w:rPr>
          <w:rFonts w:ascii="Arial" w:cs="Arial" w:eastAsia="Arial" w:hAnsi="Arial"/>
          <w:sz w:val="16"/>
          <w:szCs w:val="16"/>
          <w:color w:val="auto"/>
        </w:rPr>
        <w:t>Within thirty (30) days following the date on which any portion of the RSUs vests pursuant to Section 2 of this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deliver to the Grantee one (1) share of Stock in settlement of each RSU that becomes vested on such vesting date. Notwithstanding anything herein to the contrary, if the RSUs constitute nonqualified deferred compensation within the meaning of Section 409A of the Code (“</w:t>
      </w:r>
      <w:r>
        <w:rPr>
          <w:rFonts w:ascii="Arial" w:cs="Arial" w:eastAsia="Arial" w:hAnsi="Arial"/>
          <w:sz w:val="16"/>
          <w:szCs w:val="16"/>
          <w:u w:val="single" w:color="auto"/>
          <w:color w:val="auto"/>
        </w:rPr>
        <w:t>Section 409A</w:t>
      </w:r>
      <w:r>
        <w:rPr>
          <w:rFonts w:ascii="Arial" w:cs="Arial" w:eastAsia="Arial" w:hAnsi="Arial"/>
          <w:sz w:val="16"/>
          <w:szCs w:val="16"/>
          <w:color w:val="auto"/>
        </w:rPr>
        <w:t>”) and if the Grantee is deemed a “specified employee” within the meaning of Section 409A, each as determined by the Administrator, at a time when the Grantee becomes eligible for settlement of the RSUs upon his or her “separation from service” within the meaning of Section 409A, then to the extent necessary to prevent any accelerated or additional tax under Section 409A, such settlement will be delayed until the earlier of: (a) the first day of the month following the date that is six (6) months following the Grantee’s separation from service and (b) the Grantee’s death.</w:t>
      </w:r>
    </w:p>
    <w:p>
      <w:pPr>
        <w:sectPr>
          <w:pgSz w:w="11900" w:h="16838" w:orient="portrait"/>
          <w:cols w:equalWidth="0" w:num="1">
            <w:col w:w="11240"/>
          </w:cols>
          <w:pgMar w:left="320" w:top="121" w:right="339" w:bottom="1440" w:gutter="0" w:footer="0" w:header="0"/>
        </w:sectPr>
      </w:pPr>
    </w:p>
    <w:bookmarkStart w:id="107" w:name="page108"/>
    <w:bookmarkEnd w:id="107"/>
    <w:p>
      <w:pPr>
        <w:ind w:left="-20" w:firstLine="656"/>
        <w:spacing w:after="0" w:line="258" w:lineRule="auto"/>
        <w:tabs>
          <w:tab w:leader="none" w:pos="1168"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Delivery of Stock. </w:t>
      </w:r>
      <w:r>
        <w:rPr>
          <w:rFonts w:ascii="Arial" w:cs="Arial" w:eastAsia="Arial" w:hAnsi="Arial"/>
          <w:sz w:val="18"/>
          <w:szCs w:val="18"/>
          <w:color w:val="auto"/>
        </w:rPr>
        <w:t>Certificates or evidence of book-entry shares representing the Stock issued upon settlement of RSUs pursuant to</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 of this Agreement shall be delivered to or otherwise made available to the Grantee (or, at the discretion of the Grantee, joint in the names of the Grantee and the Grantee’s spouse) or to the Grantee’s nominee at such person’s request. Delivery of shares of Stock under this Agreement will comply with all applicable laws (including, the requirements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and the applicable requirements of any securities exchange or similar entity.</w:t>
      </w:r>
    </w:p>
    <w:p>
      <w:pPr>
        <w:spacing w:after="0" w:line="210" w:lineRule="exact"/>
        <w:rPr>
          <w:rFonts w:ascii="Arial" w:cs="Arial" w:eastAsia="Arial" w:hAnsi="Arial"/>
          <w:sz w:val="18"/>
          <w:szCs w:val="18"/>
          <w:color w:val="auto"/>
        </w:rPr>
      </w:pPr>
    </w:p>
    <w:p>
      <w:pPr>
        <w:ind w:left="-20" w:right="100" w:firstLine="656"/>
        <w:spacing w:after="0" w:line="266" w:lineRule="auto"/>
        <w:tabs>
          <w:tab w:leader="none" w:pos="1168"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Shareholder Rights. </w:t>
      </w:r>
      <w:r>
        <w:rPr>
          <w:rFonts w:ascii="Arial" w:cs="Arial" w:eastAsia="Arial" w:hAnsi="Arial"/>
          <w:sz w:val="18"/>
          <w:szCs w:val="18"/>
          <w:color w:val="auto"/>
        </w:rPr>
        <w:t>An RSU is not a share of Stock, and thus, the Grantee will have no rights as a stockholder with respect to the RSUs.</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Equivalents shall accrue on the RSUs awarded hereunder and such Dividend Equivalents will be subject to vesting on the same schedule as the RSUs and will be paid to Grantee at the same time as the settlement of such RSUs.</w:t>
      </w:r>
    </w:p>
    <w:p>
      <w:pPr>
        <w:spacing w:after="0" w:line="202" w:lineRule="exact"/>
        <w:rPr>
          <w:rFonts w:ascii="Arial" w:cs="Arial" w:eastAsia="Arial" w:hAnsi="Arial"/>
          <w:sz w:val="18"/>
          <w:szCs w:val="18"/>
          <w:color w:val="auto"/>
        </w:rPr>
      </w:pPr>
    </w:p>
    <w:p>
      <w:pPr>
        <w:ind w:left="-20" w:right="20" w:firstLine="656"/>
        <w:spacing w:after="0" w:line="298" w:lineRule="auto"/>
        <w:tabs>
          <w:tab w:leader="none" w:pos="1168" w:val="left"/>
        </w:tabs>
        <w:numPr>
          <w:ilvl w:val="0"/>
          <w:numId w:val="46"/>
        </w:numPr>
        <w:rPr>
          <w:rFonts w:ascii="Arial" w:cs="Arial" w:eastAsia="Arial" w:hAnsi="Arial"/>
          <w:sz w:val="16"/>
          <w:szCs w:val="16"/>
          <w:color w:val="auto"/>
        </w:rPr>
      </w:pPr>
      <w:r>
        <w:rPr>
          <w:rFonts w:ascii="Arial" w:cs="Arial" w:eastAsia="Arial" w:hAnsi="Arial"/>
          <w:sz w:val="16"/>
          <w:szCs w:val="16"/>
          <w:b w:val="1"/>
          <w:bCs w:val="1"/>
          <w:color w:val="auto"/>
        </w:rPr>
        <w:t xml:space="preserve">Transferability. </w:t>
      </w:r>
      <w:r>
        <w:rPr>
          <w:rFonts w:ascii="Arial" w:cs="Arial" w:eastAsia="Arial" w:hAnsi="Arial"/>
          <w:sz w:val="16"/>
          <w:szCs w:val="16"/>
          <w:color w:val="auto"/>
        </w:rPr>
        <w:t>The RSUs subject to this Award may not be assigned, alienated, pledged, attached, sold or otherwise transferred or</w:t>
      </w:r>
      <w:r>
        <w:rPr>
          <w:rFonts w:ascii="Arial" w:cs="Arial" w:eastAsia="Arial" w:hAnsi="Arial"/>
          <w:sz w:val="16"/>
          <w:szCs w:val="16"/>
          <w:b w:val="1"/>
          <w:bCs w:val="1"/>
          <w:color w:val="auto"/>
        </w:rPr>
        <w:t xml:space="preserve"> </w:t>
      </w:r>
      <w:r>
        <w:rPr>
          <w:rFonts w:ascii="Arial" w:cs="Arial" w:eastAsia="Arial" w:hAnsi="Arial"/>
          <w:sz w:val="16"/>
          <w:szCs w:val="16"/>
          <w:color w:val="auto"/>
        </w:rPr>
        <w:t>encumbered before they vest and are settled in accordance with Sections 2 and 4. After such RSUs vest and are settled in accordance with Sections 2 and 4, no sale or disposition of such shares shall be made in the absence of an effective registration statement under the Securities Act with respect to such shares unless an opinion of counsel satisfactory to the Company that such sale or disposition will not constitute a violation of the Securities Act or any other applicable securities laws is first obtained or an exemption from such registration pursuant to Rule 144 under the Securities Act or otherwise is available.</w:t>
      </w:r>
    </w:p>
    <w:p>
      <w:pPr>
        <w:spacing w:after="0" w:line="180" w:lineRule="exact"/>
        <w:rPr>
          <w:rFonts w:ascii="Arial" w:cs="Arial" w:eastAsia="Arial" w:hAnsi="Arial"/>
          <w:sz w:val="16"/>
          <w:szCs w:val="16"/>
          <w:color w:val="auto"/>
        </w:rPr>
      </w:pPr>
    </w:p>
    <w:p>
      <w:pPr>
        <w:ind w:left="-20" w:right="20" w:firstLine="656"/>
        <w:spacing w:after="0" w:line="266" w:lineRule="auto"/>
        <w:tabs>
          <w:tab w:leader="none" w:pos="1168"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 xml:space="preserve">Change in Capital Structure. </w:t>
      </w:r>
      <w:r>
        <w:rPr>
          <w:rFonts w:ascii="Arial" w:cs="Arial" w:eastAsia="Arial" w:hAnsi="Arial"/>
          <w:sz w:val="18"/>
          <w:szCs w:val="18"/>
          <w:color w:val="auto"/>
        </w:rPr>
        <w:t>In accordance with Section 5(d) of the Plan, the terms of this Agreement, including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in respect of the RSUs shall be adjusted as the Administrator determines is equitably required in the event the Company effects one or more stock dividends, stock splits, subdivisions or consolidations of shares or other similar changes in capitalization.</w:t>
      </w:r>
    </w:p>
    <w:p>
      <w:pPr>
        <w:spacing w:after="0" w:line="202" w:lineRule="exact"/>
        <w:rPr>
          <w:rFonts w:ascii="Arial" w:cs="Arial" w:eastAsia="Arial" w:hAnsi="Arial"/>
          <w:sz w:val="18"/>
          <w:szCs w:val="18"/>
          <w:color w:val="auto"/>
        </w:rPr>
      </w:pPr>
    </w:p>
    <w:p>
      <w:pPr>
        <w:ind w:left="1180" w:hanging="544"/>
        <w:spacing w:after="0"/>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b w:val="1"/>
          <w:bCs w:val="1"/>
          <w:color w:val="auto"/>
        </w:rPr>
        <w:t>Tax Liability and Withholding.</w:t>
      </w:r>
    </w:p>
    <w:p>
      <w:pPr>
        <w:spacing w:after="0" w:line="256" w:lineRule="exact"/>
        <w:rPr>
          <w:rFonts w:ascii="Arial" w:cs="Arial" w:eastAsia="Arial" w:hAnsi="Arial"/>
          <w:sz w:val="18"/>
          <w:szCs w:val="18"/>
          <w:color w:val="auto"/>
        </w:rPr>
      </w:pPr>
    </w:p>
    <w:p>
      <w:pPr>
        <w:ind w:left="-20" w:firstLine="1304"/>
        <w:spacing w:after="0" w:line="254" w:lineRule="auto"/>
        <w:tabs>
          <w:tab w:leader="none" w:pos="1521"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Grantee understands that when the RSUs are settled in accordance with Section 4, the Grantee will be obligated to recognize income, for Federal, state and local income tax purposes, as applicable, in an amount equal to the Fair Market Value of the share of Stock as of such date, and the Grantee is responsible for all tax obligations that arise in connection with the RSUs. Notwithstanding any action the Company takes with respect to any or all income tax, social insurance, payroll tax, or other tax-related withholding (“</w:t>
      </w:r>
      <w:r>
        <w:rPr>
          <w:rFonts w:ascii="Arial" w:cs="Arial" w:eastAsia="Arial" w:hAnsi="Arial"/>
          <w:sz w:val="18"/>
          <w:szCs w:val="18"/>
          <w:u w:val="single" w:color="auto"/>
          <w:color w:val="auto"/>
        </w:rPr>
        <w:t>Tax-Related Items</w:t>
      </w:r>
      <w:r>
        <w:rPr>
          <w:rFonts w:ascii="Arial" w:cs="Arial" w:eastAsia="Arial" w:hAnsi="Arial"/>
          <w:sz w:val="18"/>
          <w:szCs w:val="18"/>
          <w:color w:val="auto"/>
        </w:rPr>
        <w:t>”), the ultimate liability for all Tax-Related Items is and remains the Grantee’s responsibility and the Company (i) makes no representation or undertakings regarding the treatment of any Tax-Related Items in connection with the grant or vesting of the RSUs, the delivery of Stock underlying the RSUs, or the subsequent sale of any shares of Stock underlying the RSUs; and (ii) does not commit to structure the RSUs or the delivery of Stock underlying the RSUs to reduce or eliminate the Grantee’s liability for Tax-Related Items.</w:t>
      </w:r>
    </w:p>
    <w:p>
      <w:pPr>
        <w:spacing w:after="0" w:line="218" w:lineRule="exact"/>
        <w:rPr>
          <w:rFonts w:ascii="Arial" w:cs="Arial" w:eastAsia="Arial" w:hAnsi="Arial"/>
          <w:sz w:val="18"/>
          <w:szCs w:val="18"/>
          <w:color w:val="auto"/>
        </w:rPr>
      </w:pPr>
    </w:p>
    <w:p>
      <w:pPr>
        <w:ind w:left="-20" w:right="20" w:firstLine="1304"/>
        <w:spacing w:after="0" w:line="290" w:lineRule="auto"/>
        <w:tabs>
          <w:tab w:leader="none" w:pos="1531" w:val="left"/>
        </w:tabs>
        <w:numPr>
          <w:ilvl w:val="1"/>
          <w:numId w:val="46"/>
        </w:numPr>
        <w:rPr>
          <w:rFonts w:ascii="Arial" w:cs="Arial" w:eastAsia="Arial" w:hAnsi="Arial"/>
          <w:sz w:val="16"/>
          <w:szCs w:val="16"/>
          <w:color w:val="auto"/>
        </w:rPr>
      </w:pPr>
      <w:r>
        <w:rPr>
          <w:rFonts w:ascii="Arial" w:cs="Arial" w:eastAsia="Arial" w:hAnsi="Arial"/>
          <w:sz w:val="16"/>
          <w:szCs w:val="16"/>
          <w:color w:val="auto"/>
        </w:rPr>
        <w:t>Notwithstanding anything in the Plan or this Agreement to the contrary, unless the Grantee has delivered an amount necessary to satisfy the Tax Related Items as of the settlement date for the RSUs, the Grantee agrees to the following methods of satisfying the Tax-Related Items on behalf of the Grantee in connection with the RSUs and the delivery of Stock underlying the RSUs, in the discretion of the Company: (i) through the automatic withholding of a sufficient number of shares of Stock that would otherwise be delivered to Grantee, applying procedures approved by the Administrator, such withheld shares having an aggregate Fair Market Value on the date of settlement that shall not exceed the minimum amount of the Tax-Related Items, rounded up for any partial share of Stock that would be withheld to satisfy such obligation (or such other amount as the Administrator determines will not result in additional compensation expense for financial accounting purposes under applicable financial accounting principles); (ii) through the deduction from any other payment otherwise due to the Grantee at the time of settlement; or (iii) a combination of any or all of the foregoing.</w:t>
      </w:r>
    </w:p>
    <w:p>
      <w:pPr>
        <w:spacing w:after="0" w:line="192" w:lineRule="exact"/>
        <w:rPr>
          <w:rFonts w:ascii="Arial" w:cs="Arial" w:eastAsia="Arial" w:hAnsi="Arial"/>
          <w:sz w:val="16"/>
          <w:szCs w:val="16"/>
          <w:color w:val="auto"/>
        </w:rPr>
      </w:pPr>
    </w:p>
    <w:p>
      <w:pPr>
        <w:ind w:left="-20" w:right="200" w:firstLine="1304"/>
        <w:spacing w:after="0" w:line="263" w:lineRule="auto"/>
        <w:tabs>
          <w:tab w:leader="none" w:pos="1521" w:val="left"/>
        </w:tabs>
        <w:numPr>
          <w:ilvl w:val="1"/>
          <w:numId w:val="46"/>
        </w:numPr>
        <w:rPr>
          <w:rFonts w:ascii="Arial" w:cs="Arial" w:eastAsia="Arial" w:hAnsi="Arial"/>
          <w:sz w:val="18"/>
          <w:szCs w:val="18"/>
          <w:color w:val="auto"/>
        </w:rPr>
      </w:pPr>
      <w:r>
        <w:rPr>
          <w:rFonts w:ascii="Arial" w:cs="Arial" w:eastAsia="Arial" w:hAnsi="Arial"/>
          <w:sz w:val="18"/>
          <w:szCs w:val="18"/>
          <w:color w:val="auto"/>
        </w:rPr>
        <w:t>Unless otherwise determined by the Administrator, the Grantee may satisfy the tax withholding obligation by delivery of cash or by surrendering shares deliverable in settlement of the RSU or by delivering shares of Stock owned by the Grantee (having in any case, an aggregate Fair Market Value on the date of settlement equal to the amount of the Tax Related Items).</w:t>
      </w:r>
    </w:p>
    <w:p>
      <w:pPr>
        <w:spacing w:after="0" w:line="206" w:lineRule="exact"/>
        <w:rPr>
          <w:rFonts w:ascii="Arial" w:cs="Arial" w:eastAsia="Arial" w:hAnsi="Arial"/>
          <w:sz w:val="18"/>
          <w:szCs w:val="18"/>
          <w:color w:val="auto"/>
        </w:rPr>
      </w:pPr>
    </w:p>
    <w:p>
      <w:pPr>
        <w:ind w:left="-20" w:right="500" w:firstLine="656"/>
        <w:spacing w:after="0" w:line="312" w:lineRule="auto"/>
        <w:tabs>
          <w:tab w:leader="none" w:pos="1213"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 xml:space="preserve">Conflicts. </w:t>
      </w:r>
      <w:r>
        <w:rPr>
          <w:rFonts w:ascii="Arial" w:cs="Arial" w:eastAsia="Arial" w:hAnsi="Arial"/>
          <w:sz w:val="17"/>
          <w:szCs w:val="17"/>
          <w:color w:val="auto"/>
        </w:rPr>
        <w:t>In the event of any conflict between the provisions of the Plan as in effect on the Date of Grant and the provisions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the provisions of the Plan shall govern. All references herein to the Plan mean the Plan as in effect on the date hereof.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40" w:top="1093" w:right="359" w:bottom="1440" w:gutter="0" w:footer="0" w:header="0"/>
        </w:sectPr>
      </w:pPr>
    </w:p>
    <w:bookmarkStart w:id="108" w:name="page109"/>
    <w:bookmarkEnd w:id="108"/>
    <w:p>
      <w:pPr>
        <w:ind w:right="100" w:firstLine="656"/>
        <w:spacing w:after="0" w:line="289" w:lineRule="auto"/>
        <w:tabs>
          <w:tab w:leader="none" w:pos="1046"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No Right to Continued Service. </w:t>
      </w:r>
      <w:r>
        <w:rPr>
          <w:rFonts w:ascii="Arial" w:cs="Arial" w:eastAsia="Arial" w:hAnsi="Arial"/>
          <w:sz w:val="17"/>
          <w:szCs w:val="17"/>
          <w:color w:val="auto"/>
        </w:rPr>
        <w:t>Neither the Plan nor this Agreement shall confer upon the Grantee any right to be retained in any 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as an employee, consultant or director of the Company or any of its subsidiaries. Further, nothing in the Plan or this Agreement shall be construed to limit the discretion of the Company to terminate the Grantee’s employment at any time, with or without Cause.</w:t>
      </w:r>
    </w:p>
    <w:p>
      <w:pPr>
        <w:spacing w:after="0" w:line="184" w:lineRule="exact"/>
        <w:rPr>
          <w:rFonts w:ascii="Arial" w:cs="Arial" w:eastAsia="Arial" w:hAnsi="Arial"/>
          <w:sz w:val="17"/>
          <w:szCs w:val="17"/>
          <w:color w:val="auto"/>
        </w:rPr>
      </w:pPr>
    </w:p>
    <w:p>
      <w:pPr>
        <w:ind w:right="80" w:firstLine="656"/>
        <w:spacing w:after="0" w:line="281" w:lineRule="auto"/>
        <w:tabs>
          <w:tab w:leader="none" w:pos="1053"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Compliance with Law. </w:t>
      </w:r>
      <w:r>
        <w:rPr>
          <w:rFonts w:ascii="Arial" w:cs="Arial" w:eastAsia="Arial" w:hAnsi="Arial"/>
          <w:sz w:val="17"/>
          <w:szCs w:val="17"/>
          <w:color w:val="auto"/>
        </w:rPr>
        <w:t>The grant and settlement of the RSUs shall be subject to compliance by the Company and the Grantee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requirements of federal and state securities laws and with all applicable requirements of any stock exchange on which the Company’s shares of Stock may be listed. No shares of Stock shall be issued in settlement of the RSUs unless and until any then applicable requirements of state or federal laws and regulatory agencies have been fully complied with to the satisfaction of the Company and its counsel.</w:t>
      </w:r>
    </w:p>
    <w:p>
      <w:pPr>
        <w:spacing w:after="0" w:line="191" w:lineRule="exact"/>
        <w:rPr>
          <w:rFonts w:ascii="Arial" w:cs="Arial" w:eastAsia="Arial" w:hAnsi="Arial"/>
          <w:sz w:val="17"/>
          <w:szCs w:val="17"/>
          <w:color w:val="auto"/>
        </w:rPr>
      </w:pPr>
    </w:p>
    <w:p>
      <w:pPr>
        <w:ind w:right="140" w:firstLine="656"/>
        <w:spacing w:after="0" w:line="261" w:lineRule="auto"/>
        <w:tabs>
          <w:tab w:leader="none" w:pos="1053"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required to be delivered to the Company under this Agreement shall be in writing and addressed to the Secretary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at the Company’s principal corporate offices. Any notice required to be delivered to the Grantee under this Agreement shall be in writing and addressed to the Grantee at the Grantee’s address as shown in the records of the Company. Either party may designate another address in writing (or by such other method approved by the Company) from time to time.</w:t>
      </w:r>
    </w:p>
    <w:p>
      <w:pPr>
        <w:spacing w:after="0" w:line="206" w:lineRule="exact"/>
        <w:rPr>
          <w:rFonts w:ascii="Arial" w:cs="Arial" w:eastAsia="Arial" w:hAnsi="Arial"/>
          <w:sz w:val="18"/>
          <w:szCs w:val="18"/>
          <w:color w:val="auto"/>
        </w:rPr>
      </w:pPr>
    </w:p>
    <w:p>
      <w:pPr>
        <w:ind w:right="640" w:firstLine="656"/>
        <w:spacing w:after="0" w:line="347" w:lineRule="auto"/>
        <w:tabs>
          <w:tab w:leader="none" w:pos="1053"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Interpretation. </w:t>
      </w:r>
      <w:r>
        <w:rPr>
          <w:rFonts w:ascii="Arial" w:cs="Arial" w:eastAsia="Arial" w:hAnsi="Arial"/>
          <w:sz w:val="16"/>
          <w:szCs w:val="16"/>
          <w:color w:val="auto"/>
        </w:rPr>
        <w:t>Any dispute regarding the interpretation of this Agreement shall be submitted by the Grantee or the Company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Administrator for review. The resolution of such dispute by the Administrator shall be final and binding on the Grantee and the Company.</w:t>
      </w:r>
    </w:p>
    <w:p>
      <w:pPr>
        <w:spacing w:after="0" w:line="142" w:lineRule="exact"/>
        <w:rPr>
          <w:rFonts w:ascii="Arial" w:cs="Arial" w:eastAsia="Arial" w:hAnsi="Arial"/>
          <w:sz w:val="16"/>
          <w:szCs w:val="16"/>
          <w:color w:val="auto"/>
        </w:rPr>
      </w:pPr>
    </w:p>
    <w:p>
      <w:pPr>
        <w:ind w:right="80" w:firstLine="656"/>
        <w:spacing w:after="0" w:line="261" w:lineRule="auto"/>
        <w:tabs>
          <w:tab w:leader="none" w:pos="1053"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The Company may assign any of its rights under this Agreement. This Agreement will be binding upon and inure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benefit of the successors and assigns of the Company. Subject to the restrictions on transfer set forth herein, this Agreement will be binding upon the Grantee and the Grantee’s beneficiaries, executors, administrators and the person(s) to whom this Agreement may be transferred by will or the laws of descent or distribution.</w:t>
      </w:r>
    </w:p>
    <w:p>
      <w:pPr>
        <w:spacing w:after="0" w:line="206" w:lineRule="exact"/>
        <w:rPr>
          <w:rFonts w:ascii="Arial" w:cs="Arial" w:eastAsia="Arial" w:hAnsi="Arial"/>
          <w:sz w:val="18"/>
          <w:szCs w:val="18"/>
          <w:color w:val="auto"/>
        </w:rPr>
      </w:pPr>
    </w:p>
    <w:p>
      <w:pPr>
        <w:ind w:right="140" w:firstLine="656"/>
        <w:spacing w:after="0" w:line="266" w:lineRule="auto"/>
        <w:tabs>
          <w:tab w:leader="none" w:pos="1053"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invalidity or unenforceability of any provision of the Plan or this Agreement shall not affect the validity or enforceability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provision of the Plan or this Agreement, and each provision of the Plan and this Agreement shall be severable and enforceable to the extent permitted by law.</w:t>
      </w:r>
    </w:p>
    <w:p>
      <w:pPr>
        <w:spacing w:after="0" w:line="202" w:lineRule="exact"/>
        <w:rPr>
          <w:rFonts w:ascii="Arial" w:cs="Arial" w:eastAsia="Arial" w:hAnsi="Arial"/>
          <w:sz w:val="18"/>
          <w:szCs w:val="18"/>
          <w:color w:val="auto"/>
        </w:rPr>
      </w:pPr>
    </w:p>
    <w:p>
      <w:pPr>
        <w:ind w:right="40" w:firstLine="656"/>
        <w:spacing w:after="0" w:line="261" w:lineRule="auto"/>
        <w:tabs>
          <w:tab w:leader="none" w:pos="1053"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Discretionary Nature of Plan. </w:t>
      </w:r>
      <w:r>
        <w:rPr>
          <w:rFonts w:ascii="Arial" w:cs="Arial" w:eastAsia="Arial" w:hAnsi="Arial"/>
          <w:sz w:val="18"/>
          <w:szCs w:val="18"/>
          <w:color w:val="auto"/>
        </w:rPr>
        <w:t>The Plan is discretionary and may be amended, cancelled or terminated by the Company at any time,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The grant of the RSUs in this Agreement does not create any contractual right or other right to receive any Grants in the future. Future Grants, if any, will be at the sole discretion of the Company. Any amendment, modification, or termination of the Plan shall not constitute a change or impairment of the terms and conditions of the Grantee’s service to the Company.</w:t>
      </w:r>
    </w:p>
    <w:p>
      <w:pPr>
        <w:spacing w:after="0" w:line="206" w:lineRule="exact"/>
        <w:rPr>
          <w:rFonts w:ascii="Arial" w:cs="Arial" w:eastAsia="Arial" w:hAnsi="Arial"/>
          <w:sz w:val="18"/>
          <w:szCs w:val="18"/>
          <w:color w:val="auto"/>
        </w:rPr>
      </w:pPr>
    </w:p>
    <w:p>
      <w:pPr>
        <w:ind w:right="480" w:firstLine="656"/>
        <w:spacing w:after="0" w:line="347" w:lineRule="auto"/>
        <w:tabs>
          <w:tab w:leader="none" w:pos="1053"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Amendment. </w:t>
      </w:r>
      <w:r>
        <w:rPr>
          <w:rFonts w:ascii="Arial" w:cs="Arial" w:eastAsia="Arial" w:hAnsi="Arial"/>
          <w:sz w:val="16"/>
          <w:szCs w:val="16"/>
          <w:color w:val="auto"/>
        </w:rPr>
        <w:t>The Administrator has the right to amend, alter, suspend, discontinue or cancel the RSUs, prospectively or retroactively;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that, no such amendment shall adversely affect the Grantee’s material rights under this Agreement without the Grantee’s consent.</w:t>
      </w:r>
    </w:p>
    <w:p>
      <w:pPr>
        <w:spacing w:after="0" w:line="142" w:lineRule="exact"/>
        <w:rPr>
          <w:rFonts w:ascii="Arial" w:cs="Arial" w:eastAsia="Arial" w:hAnsi="Arial"/>
          <w:sz w:val="16"/>
          <w:szCs w:val="16"/>
          <w:color w:val="auto"/>
        </w:rPr>
      </w:pPr>
    </w:p>
    <w:p>
      <w:pPr>
        <w:ind w:right="600" w:firstLine="656"/>
        <w:spacing w:after="0" w:line="312" w:lineRule="auto"/>
        <w:tabs>
          <w:tab w:leader="none" w:pos="1053"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 xml:space="preserve">No Impact on Other Benefits. </w:t>
      </w:r>
      <w:r>
        <w:rPr>
          <w:rFonts w:ascii="Arial" w:cs="Arial" w:eastAsia="Arial" w:hAnsi="Arial"/>
          <w:sz w:val="17"/>
          <w:szCs w:val="17"/>
          <w:color w:val="auto"/>
        </w:rPr>
        <w:t>The value of the Grantee’s RSUs or the Stock underlying the RSUs is not part of his or her normal or</w:t>
      </w:r>
      <w:r>
        <w:rPr>
          <w:rFonts w:ascii="Arial" w:cs="Arial" w:eastAsia="Arial" w:hAnsi="Arial"/>
          <w:sz w:val="17"/>
          <w:szCs w:val="17"/>
          <w:b w:val="1"/>
          <w:bCs w:val="1"/>
          <w:color w:val="auto"/>
        </w:rPr>
        <w:t xml:space="preserve"> </w:t>
      </w:r>
      <w:r>
        <w:rPr>
          <w:rFonts w:ascii="Arial" w:cs="Arial" w:eastAsia="Arial" w:hAnsi="Arial"/>
          <w:sz w:val="17"/>
          <w:szCs w:val="17"/>
          <w:color w:val="auto"/>
        </w:rPr>
        <w:t>expected compensation for purposes of calculating any severance, retirement, welfare, insurance or similar employee benefit.</w:t>
      </w:r>
    </w:p>
    <w:p>
      <w:pPr>
        <w:spacing w:after="0" w:line="166" w:lineRule="exact"/>
        <w:rPr>
          <w:rFonts w:ascii="Arial" w:cs="Arial" w:eastAsia="Arial" w:hAnsi="Arial"/>
          <w:sz w:val="17"/>
          <w:szCs w:val="17"/>
          <w:color w:val="auto"/>
        </w:rPr>
      </w:pPr>
    </w:p>
    <w:p>
      <w:pPr>
        <w:ind w:firstLine="656"/>
        <w:spacing w:after="0" w:line="294" w:lineRule="auto"/>
        <w:tabs>
          <w:tab w:leader="none" w:pos="1053"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This Agreement is intended to be exempt from or comply with Section 409A and shall be construed and interpreted,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any ambiguities herein, in a manner that is consistent with the requirements for avoiding additional taxes or penalties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Grantee on account of non-compliance with Section 409A. If the RSUs constitute nonqualified deferred compensation within the meaning of Section 409A, references in this Agreement to a termination of employment or cessation of Service or the like shall mean a “separation from service” under Section 409A.</w:t>
      </w:r>
    </w:p>
    <w:p>
      <w:pPr>
        <w:spacing w:after="0" w:line="186" w:lineRule="exact"/>
        <w:rPr>
          <w:rFonts w:ascii="Arial" w:cs="Arial" w:eastAsia="Arial" w:hAnsi="Arial"/>
          <w:sz w:val="16"/>
          <w:szCs w:val="16"/>
          <w:color w:val="auto"/>
        </w:rPr>
      </w:pPr>
    </w:p>
    <w:p>
      <w:pPr>
        <w:ind w:right="40" w:firstLine="656"/>
        <w:spacing w:after="0" w:line="266" w:lineRule="auto"/>
        <w:tabs>
          <w:tab w:leader="none" w:pos="1053"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counterparts, each of which shall be deemed an original but all of which together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 Counterpart signature pages to this Agreement transmitted by facsimile transmission, by electronic mail in portable document format (.pdf), or by any other electronic means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93" w:right="339" w:bottom="1440" w:gutter="0" w:footer="0" w:header="0"/>
        </w:sectPr>
      </w:pPr>
    </w:p>
    <w:bookmarkStart w:id="109" w:name="page110"/>
    <w:bookmarkEnd w:id="109"/>
    <w:p>
      <w:pPr>
        <w:ind w:right="380"/>
        <w:spacing w:after="0" w:line="277" w:lineRule="auto"/>
        <w:rPr>
          <w:sz w:val="20"/>
          <w:szCs w:val="20"/>
          <w:color w:val="auto"/>
        </w:rPr>
      </w:pPr>
      <w:r>
        <w:rPr>
          <w:rFonts w:ascii="Arial" w:cs="Arial" w:eastAsia="Arial" w:hAnsi="Arial"/>
          <w:sz w:val="18"/>
          <w:szCs w:val="18"/>
          <w:color w:val="auto"/>
        </w:rPr>
        <w:t>intended to preserve the original graphic and pictorial appearance of a document, will have the same effect as physical delivery of the paper document bearing an original signature.</w:t>
      </w:r>
    </w:p>
    <w:p>
      <w:pPr>
        <w:spacing w:after="0" w:line="193" w:lineRule="exact"/>
        <w:rPr>
          <w:sz w:val="20"/>
          <w:szCs w:val="20"/>
          <w:color w:val="auto"/>
        </w:rPr>
      </w:pPr>
    </w:p>
    <w:p>
      <w:pPr>
        <w:ind w:right="140" w:firstLine="656"/>
        <w:spacing w:after="0" w:line="347" w:lineRule="auto"/>
        <w:tabs>
          <w:tab w:leader="none" w:pos="1233"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Grantee Bound by Plan. </w:t>
      </w:r>
      <w:r>
        <w:rPr>
          <w:rFonts w:ascii="Arial" w:cs="Arial" w:eastAsia="Arial" w:hAnsi="Arial"/>
          <w:sz w:val="16"/>
          <w:szCs w:val="16"/>
          <w:color w:val="auto"/>
        </w:rPr>
        <w:t>The Grantee hereby acknowledges that a copy of the Plan has been made available to him or her and agrees to</w:t>
      </w:r>
      <w:r>
        <w:rPr>
          <w:rFonts w:ascii="Arial" w:cs="Arial" w:eastAsia="Arial" w:hAnsi="Arial"/>
          <w:sz w:val="16"/>
          <w:szCs w:val="16"/>
          <w:b w:val="1"/>
          <w:bCs w:val="1"/>
          <w:color w:val="auto"/>
        </w:rPr>
        <w:t xml:space="preserve"> </w:t>
      </w:r>
      <w:r>
        <w:rPr>
          <w:rFonts w:ascii="Arial" w:cs="Arial" w:eastAsia="Arial" w:hAnsi="Arial"/>
          <w:sz w:val="16"/>
          <w:szCs w:val="16"/>
          <w:color w:val="auto"/>
        </w:rPr>
        <w:t>be bound by all the terms and provisions thereof. The terms and conditions of the Plan are incorporated into this Agreement by reference.</w:t>
      </w:r>
    </w:p>
    <w:p>
      <w:pPr>
        <w:spacing w:after="0" w:line="142" w:lineRule="exact"/>
        <w:rPr>
          <w:rFonts w:ascii="Arial" w:cs="Arial" w:eastAsia="Arial" w:hAnsi="Arial"/>
          <w:sz w:val="16"/>
          <w:szCs w:val="16"/>
          <w:color w:val="auto"/>
        </w:rPr>
      </w:pPr>
    </w:p>
    <w:p>
      <w:pPr>
        <w:ind w:left="1240" w:hanging="584"/>
        <w:spacing w:after="0"/>
        <w:tabs>
          <w:tab w:leader="none" w:pos="124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Agreement shall be governed by the laws of the State of Delaware without regard to conflict of law principles.</w:t>
      </w:r>
    </w:p>
    <w:p>
      <w:pPr>
        <w:spacing w:after="0" w:line="263" w:lineRule="exact"/>
        <w:rPr>
          <w:rFonts w:ascii="Arial" w:cs="Arial" w:eastAsia="Arial" w:hAnsi="Arial"/>
          <w:sz w:val="17"/>
          <w:szCs w:val="17"/>
          <w:color w:val="auto"/>
        </w:rPr>
      </w:pPr>
    </w:p>
    <w:p>
      <w:pPr>
        <w:ind w:firstLine="656"/>
        <w:spacing w:after="0" w:line="261" w:lineRule="auto"/>
        <w:tabs>
          <w:tab w:leader="none" w:pos="1098"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 xml:space="preserve">Acceptance. </w:t>
      </w:r>
      <w:r>
        <w:rPr>
          <w:rFonts w:ascii="Arial" w:cs="Arial" w:eastAsia="Arial" w:hAnsi="Arial"/>
          <w:sz w:val="18"/>
          <w:szCs w:val="18"/>
          <w:color w:val="auto"/>
        </w:rPr>
        <w:t>The Grantee hereby acknowledges receipt of a copy of the Plan and this Agreement. The Grantee has read and understands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provisions thereof, and accepts the RSUs subject to all of the terms and conditions of the Plan and this Agreement. The Grantee acknowledges that there may be adverse tax consequences upon grant or vesting of or settlement of the RSUs and that the Grantee should consult a tax advisor prior to such vesting or settlement.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 appear on following page]</w:t>
      </w:r>
    </w:p>
    <w:p>
      <w:pPr>
        <w:spacing w:after="0" w:line="200" w:lineRule="exact"/>
        <w:rPr>
          <w:sz w:val="20"/>
          <w:szCs w:val="20"/>
          <w:color w:val="auto"/>
        </w:rPr>
      </w:pPr>
    </w:p>
    <w:p>
      <w:pPr>
        <w:spacing w:after="0" w:line="22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its duly authorized officer to execute this Agreement, and the Grantee has placed his or her signature</w:t>
      </w:r>
      <w:r>
        <w:rPr>
          <w:rFonts w:ascii="Arial" w:cs="Arial" w:eastAsia="Arial" w:hAnsi="Arial"/>
          <w:sz w:val="18"/>
          <w:szCs w:val="18"/>
          <w:b w:val="1"/>
          <w:bCs w:val="1"/>
          <w:color w:val="auto"/>
        </w:rPr>
        <w:t xml:space="preserve"> </w:t>
      </w:r>
      <w:r>
        <w:rPr>
          <w:rFonts w:ascii="Arial" w:cs="Arial" w:eastAsia="Arial" w:hAnsi="Arial"/>
          <w:sz w:val="18"/>
          <w:szCs w:val="18"/>
          <w:color w:val="auto"/>
        </w:rPr>
        <w:t>hereon, effective as of the Date of Grant.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7" w:right="3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INTERNATIONAL MONEY EXPRESS, INC.</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31750</wp:posOffset>
            </wp:positionV>
            <wp:extent cx="278574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hereby accept this Grant and I agree to be bound by the terms of the Plan and this Grant. I further agree that all of the decisions and interpretations of the Company with respect thereto shall be final and binding.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31750</wp:posOffset>
            </wp:positionV>
            <wp:extent cx="30429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30429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3111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1340" w:right="45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EQUITY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PSU AGREEMENT</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____________________, 20__ (the “</w:t>
      </w:r>
      <w:r>
        <w:rPr>
          <w:rFonts w:ascii="Arial" w:cs="Arial" w:eastAsia="Arial" w:hAnsi="Arial"/>
          <w:sz w:val="16"/>
          <w:szCs w:val="16"/>
          <w:u w:val="single" w:color="auto"/>
          <w:color w:val="auto"/>
        </w:rPr>
        <w:t>Date of Grant</w:t>
      </w:r>
      <w:r>
        <w:rPr>
          <w:rFonts w:ascii="Arial" w:cs="Arial" w:eastAsia="Arial" w:hAnsi="Arial"/>
          <w:sz w:val="16"/>
          <w:szCs w:val="16"/>
          <w:color w:val="auto"/>
        </w:rPr>
        <w:t>”), between International Money Express, Inc.,</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____________ (“</w:t>
      </w:r>
      <w:r>
        <w:rPr>
          <w:rFonts w:ascii="Arial" w:cs="Arial" w:eastAsia="Arial" w:hAnsi="Arial"/>
          <w:sz w:val="16"/>
          <w:szCs w:val="16"/>
          <w:u w:val="single" w:color="auto"/>
          <w:color w:val="auto"/>
        </w:rPr>
        <w:t>Grantee</w:t>
      </w:r>
      <w:r>
        <w:rPr>
          <w:rFonts w:ascii="Arial" w:cs="Arial" w:eastAsia="Arial" w:hAnsi="Arial"/>
          <w:sz w:val="16"/>
          <w:szCs w:val="16"/>
          <w:color w:val="auto"/>
        </w:rPr>
        <w:t>”), is made pursuant and subject to the provisions of the Company’s 2020 Omnibus</w:t>
      </w:r>
    </w:p>
    <w:p>
      <w:pPr>
        <w:spacing w:after="0" w:line="32"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Equity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a copy of which has been made available to Grantee. All terms used but not defined herein shall have the meanings given them in Exhibit I, or if such term is not defined in Exhibit I, the Plan.</w:t>
      </w:r>
    </w:p>
    <w:p>
      <w:pPr>
        <w:spacing w:after="0" w:line="208" w:lineRule="exact"/>
        <w:rPr>
          <w:sz w:val="20"/>
          <w:szCs w:val="20"/>
          <w:color w:val="auto"/>
        </w:rPr>
      </w:pPr>
    </w:p>
    <w:p>
      <w:pPr>
        <w:jc w:val="both"/>
        <w:ind w:firstLine="656"/>
        <w:spacing w:after="0" w:line="303" w:lineRule="auto"/>
        <w:tabs>
          <w:tab w:leader="none" w:pos="1296" w:val="left"/>
        </w:tabs>
        <w:numPr>
          <w:ilvl w:val="0"/>
          <w:numId w:val="49"/>
        </w:numPr>
        <w:rPr>
          <w:rFonts w:ascii="Arial" w:cs="Arial" w:eastAsia="Arial" w:hAnsi="Arial"/>
          <w:sz w:val="16"/>
          <w:szCs w:val="16"/>
          <w:color w:val="010000"/>
        </w:rPr>
      </w:pPr>
      <w:r>
        <w:rPr>
          <w:rFonts w:ascii="Arial" w:cs="Arial" w:eastAsia="Arial" w:hAnsi="Arial"/>
          <w:sz w:val="16"/>
          <w:szCs w:val="16"/>
          <w:b w:val="1"/>
          <w:bCs w:val="1"/>
          <w:color w:val="auto"/>
        </w:rPr>
        <w:t xml:space="preserve">Award. </w:t>
      </w:r>
      <w:r>
        <w:rPr>
          <w:rFonts w:ascii="Arial" w:cs="Arial" w:eastAsia="Arial" w:hAnsi="Arial"/>
          <w:sz w:val="16"/>
          <w:szCs w:val="16"/>
          <w:color w:val="auto"/>
        </w:rPr>
        <w:t>Subject to the terms and conditions of the Plan and subject further to the terms and conditions herein set forth,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hereby grants Grantee [______] Performance Shares (the “</w:t>
      </w:r>
      <w:r>
        <w:rPr>
          <w:rFonts w:ascii="Arial" w:cs="Arial" w:eastAsia="Arial" w:hAnsi="Arial"/>
          <w:sz w:val="16"/>
          <w:szCs w:val="16"/>
          <w:u w:val="single" w:color="auto"/>
          <w:color w:val="auto"/>
        </w:rPr>
        <w:t>Target Award</w:t>
      </w:r>
      <w:r>
        <w:rPr>
          <w:rFonts w:ascii="Arial" w:cs="Arial" w:eastAsia="Arial" w:hAnsi="Arial"/>
          <w:sz w:val="16"/>
          <w:szCs w:val="16"/>
          <w:color w:val="auto"/>
        </w:rPr>
        <w:t>”). Each Performance Share granted hereunder (“</w:t>
      </w:r>
      <w:r>
        <w:rPr>
          <w:rFonts w:ascii="Arial" w:cs="Arial" w:eastAsia="Arial" w:hAnsi="Arial"/>
          <w:sz w:val="16"/>
          <w:szCs w:val="16"/>
          <w:u w:val="single" w:color="auto"/>
          <w:color w:val="auto"/>
        </w:rPr>
        <w:t>PSU</w:t>
      </w:r>
      <w:r>
        <w:rPr>
          <w:rFonts w:ascii="Arial" w:cs="Arial" w:eastAsia="Arial" w:hAnsi="Arial"/>
          <w:sz w:val="16"/>
          <w:szCs w:val="16"/>
          <w:color w:val="auto"/>
        </w:rPr>
        <w:t>”) represents the right to receive (i) one share of Stock for each PSU that is vested as of the Vesting Date (as defined below), and (ii) notional dividend equivalents described in Section 5, if any, each in accordance with the terms of and subject to adjustment as provided in this Agreement and the Plan.</w:t>
      </w:r>
    </w:p>
    <w:p>
      <w:pPr>
        <w:spacing w:after="0" w:line="150" w:lineRule="exact"/>
        <w:rPr>
          <w:rFonts w:ascii="Arial" w:cs="Arial" w:eastAsia="Arial" w:hAnsi="Arial"/>
          <w:sz w:val="16"/>
          <w:szCs w:val="16"/>
          <w:color w:val="010000"/>
        </w:rPr>
      </w:pPr>
    </w:p>
    <w:p>
      <w:pPr>
        <w:ind w:left="1300" w:hanging="644"/>
        <w:spacing w:after="0"/>
        <w:tabs>
          <w:tab w:leader="none" w:pos="1300" w:val="left"/>
        </w:tabs>
        <w:numPr>
          <w:ilvl w:val="0"/>
          <w:numId w:val="49"/>
        </w:numPr>
        <w:rPr>
          <w:rFonts w:ascii="Arial" w:cs="Arial" w:eastAsia="Arial" w:hAnsi="Arial"/>
          <w:sz w:val="18"/>
          <w:szCs w:val="18"/>
          <w:color w:val="010000"/>
        </w:rPr>
      </w:pPr>
      <w:r>
        <w:rPr>
          <w:rFonts w:ascii="Arial" w:cs="Arial" w:eastAsia="Arial" w:hAnsi="Arial"/>
          <w:sz w:val="18"/>
          <w:szCs w:val="18"/>
          <w:b w:val="1"/>
          <w:bCs w:val="1"/>
          <w:color w:val="auto"/>
        </w:rPr>
        <w:t>Vesting</w:t>
      </w:r>
      <w:r>
        <w:rPr>
          <w:rFonts w:ascii="Arial" w:cs="Arial" w:eastAsia="Arial" w:hAnsi="Arial"/>
          <w:sz w:val="18"/>
          <w:szCs w:val="18"/>
          <w:color w:val="auto"/>
        </w:rPr>
        <w:t>.</w:t>
      </w:r>
    </w:p>
    <w:p>
      <w:pPr>
        <w:spacing w:after="0" w:line="229" w:lineRule="exact"/>
        <w:rPr>
          <w:rFonts w:ascii="Arial" w:cs="Arial" w:eastAsia="Arial" w:hAnsi="Arial"/>
          <w:sz w:val="18"/>
          <w:szCs w:val="18"/>
          <w:color w:val="010000"/>
        </w:rPr>
      </w:pPr>
    </w:p>
    <w:p>
      <w:pPr>
        <w:jc w:val="both"/>
        <w:ind w:firstLine="1304"/>
        <w:spacing w:after="0" w:line="270" w:lineRule="auto"/>
        <w:tabs>
          <w:tab w:leader="none" w:pos="1941" w:val="left"/>
        </w:tabs>
        <w:numPr>
          <w:ilvl w:val="1"/>
          <w:numId w:val="49"/>
        </w:numPr>
        <w:rPr>
          <w:rFonts w:ascii="Arial" w:cs="Arial" w:eastAsia="Arial" w:hAnsi="Arial"/>
          <w:sz w:val="17"/>
          <w:szCs w:val="17"/>
          <w:color w:val="010000"/>
        </w:rPr>
      </w:pPr>
      <w:r>
        <w:rPr>
          <w:rFonts w:ascii="Arial" w:cs="Arial" w:eastAsia="Arial" w:hAnsi="Arial"/>
          <w:sz w:val="17"/>
          <w:szCs w:val="17"/>
          <w:color w:val="auto"/>
        </w:rPr>
        <w:t xml:space="preserve">General. Subject to the achievement of the performance goals set forth in </w:t>
      </w:r>
      <w:r>
        <w:rPr>
          <w:rFonts w:ascii="Arial" w:cs="Arial" w:eastAsia="Arial" w:hAnsi="Arial"/>
          <w:sz w:val="17"/>
          <w:szCs w:val="17"/>
          <w:u w:val="single" w:color="auto"/>
          <w:color w:val="auto"/>
        </w:rPr>
        <w:t>Exhibit I</w:t>
      </w:r>
      <w:r>
        <w:rPr>
          <w:rFonts w:ascii="Arial" w:cs="Arial" w:eastAsia="Arial" w:hAnsi="Arial"/>
          <w:sz w:val="17"/>
          <w:szCs w:val="17"/>
          <w:color w:val="auto"/>
        </w:rPr>
        <w:t>, and except as otherwise set forth in Sections 2(c), 2(d) and 2(e) herein, the PSUs granted hereby shall vest on the Vesting Date, provided that Grantee has remained in continuous Service (as defined below) through the Vesting Date. The calculation of the number of PSUs, if any, that may vest on the Vesting Date is specified in Exhibit I and is based upon performance goals achieved during the Performance Period. If the Company does not achieve the minimum threshold performance goals (as set forth in Exhibit I) during the Performance Period, the PSUs granted or otherwise eligible to vest hereunder shall be forfeited as of the date of such determination. The number of PSUs that vest on the Vesting Date shall be rounded up to the nearest whole PSU. Except as otherwise expressly provided in Sections 2(c), 2(d), and 2(e), or as otherwise determined by the Committee, if Grantee’s Service terminates for any reason at any time prior to the Vesting Date, all of the PSUs shall be automatically forfeited upon such termination of Service and neither the Company nor any Affiliate shall have any further obligation to Grantee under this Agreement.</w:t>
      </w:r>
    </w:p>
    <w:p>
      <w:pPr>
        <w:spacing w:after="0" w:line="180" w:lineRule="exact"/>
        <w:rPr>
          <w:rFonts w:ascii="Arial" w:cs="Arial" w:eastAsia="Arial" w:hAnsi="Arial"/>
          <w:sz w:val="17"/>
          <w:szCs w:val="17"/>
          <w:color w:val="010000"/>
        </w:rPr>
      </w:pPr>
    </w:p>
    <w:p>
      <w:pPr>
        <w:jc w:val="both"/>
        <w:ind w:firstLine="1304"/>
        <w:spacing w:after="0" w:line="296" w:lineRule="auto"/>
        <w:tabs>
          <w:tab w:leader="none" w:pos="1938" w:val="left"/>
        </w:tabs>
        <w:numPr>
          <w:ilvl w:val="1"/>
          <w:numId w:val="49"/>
        </w:numPr>
        <w:rPr>
          <w:rFonts w:ascii="Arial" w:cs="Arial" w:eastAsia="Arial" w:hAnsi="Arial"/>
          <w:sz w:val="16"/>
          <w:szCs w:val="16"/>
          <w:color w:val="010000"/>
        </w:rPr>
      </w:pPr>
      <w:r>
        <w:rPr>
          <w:rFonts w:ascii="Arial" w:cs="Arial" w:eastAsia="Arial" w:hAnsi="Arial"/>
          <w:sz w:val="16"/>
          <w:szCs w:val="16"/>
          <w:color w:val="auto"/>
        </w:rPr>
        <w:t>Committee Determinations Final. All determinations of whether performance goals have been achieved and the number of PSUs earned by Grantee, including any adjustment to be made, shall be made by the Committee in its sole discretion. Following completion of the Performance Period (generally during the first fiscal quarter following the end of the Performance Period), the Committee will review and certify (i) whether, and to what extent, the performance goals for the Performance Period have been achieved, and (ii) the number of PSUs that are eligible to vest upon the Vesting Date, if any. Such certification shall be final, conclusive and binding on Grantee, and on all other persons, to the maximum extent permitted by law.</w:t>
      </w:r>
    </w:p>
    <w:p>
      <w:pPr>
        <w:spacing w:after="0" w:line="161" w:lineRule="exact"/>
        <w:rPr>
          <w:rFonts w:ascii="Arial" w:cs="Arial" w:eastAsia="Arial" w:hAnsi="Arial"/>
          <w:sz w:val="16"/>
          <w:szCs w:val="16"/>
          <w:color w:val="010000"/>
        </w:rPr>
      </w:pPr>
    </w:p>
    <w:p>
      <w:pPr>
        <w:jc w:val="both"/>
        <w:ind w:firstLine="1304"/>
        <w:spacing w:after="0" w:line="257" w:lineRule="auto"/>
        <w:tabs>
          <w:tab w:leader="none" w:pos="1941" w:val="left"/>
        </w:tabs>
        <w:numPr>
          <w:ilvl w:val="1"/>
          <w:numId w:val="49"/>
        </w:numPr>
        <w:rPr>
          <w:rFonts w:ascii="Arial" w:cs="Arial" w:eastAsia="Arial" w:hAnsi="Arial"/>
          <w:sz w:val="18"/>
          <w:szCs w:val="18"/>
          <w:color w:val="auto"/>
        </w:rPr>
      </w:pPr>
      <w:r>
        <w:rPr>
          <w:rFonts w:ascii="Arial" w:cs="Arial" w:eastAsia="Arial" w:hAnsi="Arial"/>
          <w:sz w:val="18"/>
          <w:szCs w:val="18"/>
          <w:color w:val="auto"/>
        </w:rPr>
        <w:t>Termination of Service Due to Death or Disability. If Grantee’s continued employment or provision of services to the Company or its Affiliate (“</w:t>
      </w:r>
      <w:r>
        <w:rPr>
          <w:rFonts w:ascii="Arial" w:cs="Arial" w:eastAsia="Arial" w:hAnsi="Arial"/>
          <w:sz w:val="18"/>
          <w:szCs w:val="18"/>
          <w:u w:val="single" w:color="auto"/>
          <w:color w:val="auto"/>
        </w:rPr>
        <w:t>Service</w:t>
      </w:r>
      <w:r>
        <w:rPr>
          <w:rFonts w:ascii="Arial" w:cs="Arial" w:eastAsia="Arial" w:hAnsi="Arial"/>
          <w:sz w:val="18"/>
          <w:szCs w:val="18"/>
          <w:color w:val="auto"/>
        </w:rPr>
        <w:t>”) terminates due to Grantee’s death or disability during the Performance Period, then PSUs equal to 100% of the Target Award shall vest on the date of such Service termination. If Grantee’s Service terminates due to Grantee’s death or disability following the Performance Period but prior to the Vesting Date, all of the outstanding PSUs eligible to vest based on the performance achieved during the Performance Period, as certified by the Committee, shall vest as of the date of such Service termination.</w:t>
      </w:r>
    </w:p>
    <w:p>
      <w:pPr>
        <w:spacing w:after="0" w:line="187" w:lineRule="exact"/>
        <w:rPr>
          <w:rFonts w:ascii="Arial" w:cs="Arial" w:eastAsia="Arial" w:hAnsi="Arial"/>
          <w:sz w:val="18"/>
          <w:szCs w:val="18"/>
          <w:color w:val="auto"/>
        </w:rPr>
      </w:pPr>
    </w:p>
    <w:p>
      <w:pPr>
        <w:ind w:left="1940" w:hanging="636"/>
        <w:spacing w:after="0"/>
        <w:tabs>
          <w:tab w:leader="none" w:pos="19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Termination of Service by the Company or its Affiliate Without Cause.</w:t>
      </w:r>
    </w:p>
    <w:p>
      <w:pPr>
        <w:spacing w:after="0" w:line="225" w:lineRule="exact"/>
        <w:rPr>
          <w:rFonts w:ascii="Arial" w:cs="Arial" w:eastAsia="Arial" w:hAnsi="Arial"/>
          <w:sz w:val="18"/>
          <w:szCs w:val="18"/>
          <w:color w:val="auto"/>
        </w:rPr>
      </w:pPr>
    </w:p>
    <w:p>
      <w:pPr>
        <w:jc w:val="both"/>
        <w:ind w:left="1220" w:firstLine="400"/>
        <w:spacing w:after="0" w:line="342" w:lineRule="auto"/>
        <w:tabs>
          <w:tab w:leader="none" w:pos="1949" w:val="left"/>
        </w:tabs>
        <w:numPr>
          <w:ilvl w:val="2"/>
          <w:numId w:val="49"/>
        </w:numPr>
        <w:rPr>
          <w:rFonts w:ascii="Arial" w:cs="Arial" w:eastAsia="Arial" w:hAnsi="Arial"/>
          <w:sz w:val="16"/>
          <w:szCs w:val="16"/>
          <w:color w:val="auto"/>
        </w:rPr>
      </w:pPr>
      <w:r>
        <w:rPr>
          <w:rFonts w:ascii="Arial" w:cs="Arial" w:eastAsia="Arial" w:hAnsi="Arial"/>
          <w:sz w:val="16"/>
          <w:szCs w:val="16"/>
          <w:color w:val="auto"/>
        </w:rPr>
        <w:t>If Grantee’s Service terminates by action of the Company or its Affiliate without Cause (as defined below) during the first twelve (12) months of the Performance Period, all PSUs granted hereunder shall be automatically forfeited upon such Service termination.</w:t>
      </w:r>
    </w:p>
    <w:p>
      <w:pPr>
        <w:spacing w:after="0" w:line="123" w:lineRule="exact"/>
        <w:rPr>
          <w:rFonts w:ascii="Arial" w:cs="Arial" w:eastAsia="Arial" w:hAnsi="Arial"/>
          <w:sz w:val="16"/>
          <w:szCs w:val="16"/>
          <w:color w:val="auto"/>
        </w:rPr>
      </w:pPr>
    </w:p>
    <w:p>
      <w:pPr>
        <w:jc w:val="both"/>
        <w:ind w:left="1220" w:firstLine="350"/>
        <w:spacing w:after="0" w:line="301" w:lineRule="auto"/>
        <w:tabs>
          <w:tab w:leader="none" w:pos="1949" w:val="left"/>
        </w:tabs>
        <w:numPr>
          <w:ilvl w:val="2"/>
          <w:numId w:val="49"/>
        </w:numPr>
        <w:rPr>
          <w:rFonts w:ascii="Arial" w:cs="Arial" w:eastAsia="Arial" w:hAnsi="Arial"/>
          <w:sz w:val="16"/>
          <w:szCs w:val="16"/>
          <w:color w:val="auto"/>
        </w:rPr>
      </w:pPr>
      <w:r>
        <w:rPr>
          <w:rFonts w:ascii="Arial" w:cs="Arial" w:eastAsia="Arial" w:hAnsi="Arial"/>
          <w:sz w:val="16"/>
          <w:szCs w:val="16"/>
          <w:color w:val="auto"/>
        </w:rPr>
        <w:t>If Grantee’s Service terminates by action of the Company or its Affiliate without Cause after the first twelve (12) months of the Performance Period, then a pro rata portion of the PSUs, determined by multiplying the payout percentage certified by the Committee for the full Performance Period by a fraction, the numerator of which is the number of whole months between the first day of the Performance Period and the date of Grantee’s termination of Service, and the denominator of which is the number of months from the</w:t>
      </w:r>
    </w:p>
    <w:p>
      <w:pPr>
        <w:sectPr>
          <w:pgSz w:w="11900" w:h="16838" w:orient="portrait"/>
          <w:cols w:equalWidth="0" w:num="1">
            <w:col w:w="11240"/>
          </w:cols>
          <w:pgMar w:left="320" w:top="121" w:right="339" w:bottom="1440" w:gutter="0" w:footer="0" w:header="0"/>
        </w:sectPr>
      </w:pPr>
    </w:p>
    <w:bookmarkStart w:id="112" w:name="page113"/>
    <w:bookmarkEnd w:id="112"/>
    <w:p>
      <w:pPr>
        <w:jc w:val="both"/>
        <w:ind w:left="1220"/>
        <w:spacing w:after="0" w:line="263" w:lineRule="auto"/>
        <w:rPr>
          <w:sz w:val="20"/>
          <w:szCs w:val="20"/>
          <w:color w:val="auto"/>
        </w:rPr>
      </w:pPr>
      <w:r>
        <w:rPr>
          <w:rFonts w:ascii="Arial" w:cs="Arial" w:eastAsia="Arial" w:hAnsi="Arial"/>
          <w:sz w:val="18"/>
          <w:szCs w:val="18"/>
          <w:color w:val="auto"/>
        </w:rPr>
        <w:t>first day of the Performance Period to the Vesting Date, shall be eligible to vest as of the date of such Service termination based on attainment of performance goals through the Performance Period. Any PSUs that are not eligible to vest in accordance with the preceding sentence shall be forfeited.</w:t>
      </w:r>
    </w:p>
    <w:p>
      <w:pPr>
        <w:spacing w:after="0" w:line="184" w:lineRule="exact"/>
        <w:rPr>
          <w:sz w:val="20"/>
          <w:szCs w:val="20"/>
          <w:color w:val="auto"/>
        </w:rPr>
      </w:pPr>
    </w:p>
    <w:p>
      <w:pPr>
        <w:jc w:val="both"/>
        <w:ind w:left="1220" w:firstLine="300"/>
        <w:spacing w:after="0" w:line="290" w:lineRule="auto"/>
        <w:tabs>
          <w:tab w:leader="none" w:pos="1949" w:val="left"/>
        </w:tabs>
        <w:numPr>
          <w:ilvl w:val="2"/>
          <w:numId w:val="50"/>
        </w:numPr>
        <w:rPr>
          <w:rFonts w:ascii="Arial" w:cs="Arial" w:eastAsia="Arial" w:hAnsi="Arial"/>
          <w:sz w:val="16"/>
          <w:szCs w:val="16"/>
          <w:color w:val="auto"/>
        </w:rPr>
      </w:pPr>
      <w:r>
        <w:rPr>
          <w:rFonts w:ascii="Arial" w:cs="Arial" w:eastAsia="Arial" w:hAnsi="Arial"/>
          <w:sz w:val="16"/>
          <w:szCs w:val="16"/>
          <w:color w:val="auto"/>
        </w:rPr>
        <w:t>For purposes of this Agreement, “Cause” means, with respect to Grantee (x) if Grantee is a party to an employment agreement with the Company or its Affiliates and such agreement provides for a definition of Cause, the definition contained therein; or (y) if no such agreement exists, or if such agreement does not define Cause: (A) the commission of, or plea of guilty or no contest to, a felony or a crime involving moral turpitude or the commission of any other act involving willful malfeasance or material fiduciary breach with respect to the Company or an Affiliate; (B) conduct that results in or is reasonably likely to result in harm to the reputation or business of the Company or any of its Affiliates; (C) gross negligence or willful misconduct with respect to the Company or an Affiliate; (D) material violation of any of the Company’s written policies; or (E) material violation of state or federal securities laws. The Administrator, in its absolute discretion, shall determine the effect of all matters and questions relating to whether Grantee has been discharged for Cause.</w:t>
      </w:r>
    </w:p>
    <w:p>
      <w:pPr>
        <w:spacing w:after="0" w:line="165" w:lineRule="exact"/>
        <w:rPr>
          <w:rFonts w:ascii="Arial" w:cs="Arial" w:eastAsia="Arial" w:hAnsi="Arial"/>
          <w:sz w:val="16"/>
          <w:szCs w:val="16"/>
          <w:color w:val="auto"/>
        </w:rPr>
      </w:pPr>
    </w:p>
    <w:p>
      <w:pPr>
        <w:ind w:left="1940" w:hanging="636"/>
        <w:spacing w:after="0"/>
        <w:tabs>
          <w:tab w:leader="none" w:pos="1940" w:val="left"/>
        </w:tabs>
        <w:numPr>
          <w:ilvl w:val="1"/>
          <w:numId w:val="51"/>
        </w:numPr>
        <w:rPr>
          <w:rFonts w:ascii="Arial" w:cs="Arial" w:eastAsia="Arial" w:hAnsi="Arial"/>
          <w:sz w:val="18"/>
          <w:szCs w:val="18"/>
          <w:color w:val="010000"/>
        </w:rPr>
      </w:pPr>
      <w:r>
        <w:rPr>
          <w:rFonts w:ascii="Arial" w:cs="Arial" w:eastAsia="Arial" w:hAnsi="Arial"/>
          <w:sz w:val="18"/>
          <w:szCs w:val="18"/>
          <w:color w:val="auto"/>
        </w:rPr>
        <w:t>Change of Control.</w:t>
      </w:r>
    </w:p>
    <w:p>
      <w:pPr>
        <w:spacing w:after="0" w:line="225" w:lineRule="exact"/>
        <w:rPr>
          <w:rFonts w:ascii="Arial" w:cs="Arial" w:eastAsia="Arial" w:hAnsi="Arial"/>
          <w:sz w:val="18"/>
          <w:szCs w:val="18"/>
          <w:color w:val="010000"/>
        </w:rPr>
      </w:pPr>
    </w:p>
    <w:p>
      <w:pPr>
        <w:jc w:val="both"/>
        <w:ind w:left="1220" w:firstLine="400"/>
        <w:spacing w:after="0" w:line="279" w:lineRule="auto"/>
        <w:tabs>
          <w:tab w:leader="none" w:pos="1949" w:val="left"/>
        </w:tabs>
        <w:numPr>
          <w:ilvl w:val="2"/>
          <w:numId w:val="51"/>
        </w:numPr>
        <w:rPr>
          <w:rFonts w:ascii="Arial" w:cs="Arial" w:eastAsia="Arial" w:hAnsi="Arial"/>
          <w:sz w:val="17"/>
          <w:szCs w:val="17"/>
          <w:color w:val="auto"/>
        </w:rPr>
      </w:pPr>
      <w:r>
        <w:rPr>
          <w:rFonts w:ascii="Arial" w:cs="Arial" w:eastAsia="Arial" w:hAnsi="Arial"/>
          <w:sz w:val="17"/>
          <w:szCs w:val="17"/>
          <w:color w:val="auto"/>
        </w:rPr>
        <w:t>If a Change of Control occurs during the first twelve (12) months of the Performance Period, 100% of the Target Award PSUs shall convert to time-vested Stock Units (such converted PSUs, “RSUs”) and all such RSUs shall, subject to continued Service through the Vesting Date, vest on the Vesting Date and be settled at the same time the original PSUs would have been settled in accordance with Section 3 of this Agreement. Any PSUs that are not eligible to vest as of the Change of Control shall be forfeited.</w:t>
      </w:r>
    </w:p>
    <w:p>
      <w:pPr>
        <w:spacing w:after="0" w:line="171" w:lineRule="exact"/>
        <w:rPr>
          <w:rFonts w:ascii="Arial" w:cs="Arial" w:eastAsia="Arial" w:hAnsi="Arial"/>
          <w:sz w:val="17"/>
          <w:szCs w:val="17"/>
          <w:color w:val="auto"/>
        </w:rPr>
      </w:pPr>
    </w:p>
    <w:p>
      <w:pPr>
        <w:jc w:val="both"/>
        <w:ind w:left="1220" w:firstLine="350"/>
        <w:spacing w:after="0" w:line="296" w:lineRule="auto"/>
        <w:tabs>
          <w:tab w:leader="none" w:pos="1949" w:val="left"/>
        </w:tabs>
        <w:numPr>
          <w:ilvl w:val="2"/>
          <w:numId w:val="51"/>
        </w:numPr>
        <w:rPr>
          <w:rFonts w:ascii="Arial" w:cs="Arial" w:eastAsia="Arial" w:hAnsi="Arial"/>
          <w:sz w:val="16"/>
          <w:szCs w:val="16"/>
          <w:color w:val="auto"/>
        </w:rPr>
      </w:pPr>
      <w:r>
        <w:rPr>
          <w:rFonts w:ascii="Arial" w:cs="Arial" w:eastAsia="Arial" w:hAnsi="Arial"/>
          <w:sz w:val="16"/>
          <w:szCs w:val="16"/>
          <w:color w:val="auto"/>
        </w:rPr>
        <w:t>If a Change of Control occurs after the first twelve (12) months of the Performance Period but before the Vesting Date, all PSUs eligible to vest based on performance goals achieved in the most recently completed fiscal year(s) as of the date of such Change of Control, as certified by the Committee, shall convert to time-vested RSUs and all such RSUs shall, subject to continued Service through the Vesting Date, vest on the Vesting Date and be settled at the same time the original PSUs would have been settled in accordance with Section 3 of this Agreement. Any PSUs that are not eligible to vest as of the Change of Control shall be forfeited.</w:t>
      </w:r>
    </w:p>
    <w:p>
      <w:pPr>
        <w:spacing w:after="0" w:line="161" w:lineRule="exact"/>
        <w:rPr>
          <w:rFonts w:ascii="Arial" w:cs="Arial" w:eastAsia="Arial" w:hAnsi="Arial"/>
          <w:sz w:val="16"/>
          <w:szCs w:val="16"/>
          <w:color w:val="auto"/>
        </w:rPr>
      </w:pPr>
    </w:p>
    <w:p>
      <w:pPr>
        <w:jc w:val="both"/>
        <w:ind w:left="1220" w:firstLine="300"/>
        <w:spacing w:after="0" w:line="279" w:lineRule="auto"/>
        <w:tabs>
          <w:tab w:leader="none" w:pos="1949" w:val="left"/>
        </w:tabs>
        <w:numPr>
          <w:ilvl w:val="2"/>
          <w:numId w:val="51"/>
        </w:numPr>
        <w:rPr>
          <w:rFonts w:ascii="Arial" w:cs="Arial" w:eastAsia="Arial" w:hAnsi="Arial"/>
          <w:sz w:val="17"/>
          <w:szCs w:val="17"/>
          <w:color w:val="auto"/>
        </w:rPr>
      </w:pPr>
      <w:r>
        <w:rPr>
          <w:rFonts w:ascii="Arial" w:cs="Arial" w:eastAsia="Arial" w:hAnsi="Arial"/>
          <w:sz w:val="17"/>
          <w:szCs w:val="17"/>
          <w:color w:val="auto"/>
        </w:rPr>
        <w:t>Notwithstanding the foregoing, if a Change of Control occurs and, at any time prior to the second (2nd) anniversary of the Change of Control, Grantee’s Service terminates due to Grantee’s death or disability or by action of the Company or its Affiliate without Cause, all time-vested RSUs shall become immediately vested upon such Service termination, and all such RSUs shall be settled at the same time the original PSUs would have been settled in accordance with Section 3 of this Agreement.</w:t>
      </w:r>
    </w:p>
    <w:p>
      <w:pPr>
        <w:spacing w:after="0" w:line="171" w:lineRule="exact"/>
        <w:rPr>
          <w:rFonts w:ascii="Arial" w:cs="Arial" w:eastAsia="Arial" w:hAnsi="Arial"/>
          <w:sz w:val="17"/>
          <w:szCs w:val="17"/>
          <w:color w:val="auto"/>
        </w:rPr>
      </w:pPr>
    </w:p>
    <w:p>
      <w:pPr>
        <w:jc w:val="both"/>
        <w:ind w:left="1220" w:firstLine="310"/>
        <w:spacing w:after="0" w:line="263" w:lineRule="auto"/>
        <w:tabs>
          <w:tab w:leader="none" w:pos="1949" w:val="left"/>
        </w:tabs>
        <w:numPr>
          <w:ilvl w:val="2"/>
          <w:numId w:val="51"/>
        </w:numPr>
        <w:rPr>
          <w:rFonts w:ascii="Arial" w:cs="Arial" w:eastAsia="Arial" w:hAnsi="Arial"/>
          <w:sz w:val="18"/>
          <w:szCs w:val="18"/>
          <w:color w:val="auto"/>
        </w:rPr>
      </w:pPr>
      <w:r>
        <w:rPr>
          <w:rFonts w:ascii="Arial" w:cs="Arial" w:eastAsia="Arial" w:hAnsi="Arial"/>
          <w:sz w:val="18"/>
          <w:szCs w:val="18"/>
          <w:color w:val="auto"/>
        </w:rPr>
        <w:t>Notwithstanding the foregoing clauses (i) through (iii), if a Change of Control occurs and the surviving entity does not assume and continue the PSUs, then the PSUs shall become fully vested and settled in Stock immediately prior to the Change of Control based on the performance assumptions described in clauses (i) and (ii) above.</w:t>
      </w:r>
    </w:p>
    <w:p>
      <w:pPr>
        <w:spacing w:after="0" w:line="183" w:lineRule="exact"/>
        <w:rPr>
          <w:rFonts w:ascii="Arial" w:cs="Arial" w:eastAsia="Arial" w:hAnsi="Arial"/>
          <w:sz w:val="18"/>
          <w:szCs w:val="18"/>
          <w:color w:val="auto"/>
        </w:rPr>
      </w:pPr>
    </w:p>
    <w:p>
      <w:pPr>
        <w:ind w:left="1960" w:hanging="380"/>
        <w:spacing w:after="0"/>
        <w:tabs>
          <w:tab w:leader="none" w:pos="19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All references to PSUs herein shall include the RSUs into which PSUs may be converted.</w:t>
      </w:r>
    </w:p>
    <w:p>
      <w:pPr>
        <w:spacing w:after="0" w:line="221"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010000"/>
        </w:rPr>
      </w:pPr>
      <w:r>
        <w:rPr>
          <w:rFonts w:ascii="Arial" w:cs="Arial" w:eastAsia="Arial" w:hAnsi="Arial"/>
          <w:sz w:val="18"/>
          <w:szCs w:val="18"/>
          <w:b w:val="1"/>
          <w:bCs w:val="1"/>
          <w:color w:val="auto"/>
        </w:rPr>
        <w:t>Payment of PSUs (Settlement).</w:t>
      </w:r>
    </w:p>
    <w:p>
      <w:pPr>
        <w:spacing w:after="0" w:line="229" w:lineRule="exact"/>
        <w:rPr>
          <w:rFonts w:ascii="Arial" w:cs="Arial" w:eastAsia="Arial" w:hAnsi="Arial"/>
          <w:sz w:val="18"/>
          <w:szCs w:val="18"/>
          <w:color w:val="010000"/>
        </w:rPr>
      </w:pPr>
    </w:p>
    <w:p>
      <w:pPr>
        <w:jc w:val="both"/>
        <w:ind w:firstLine="1304"/>
        <w:spacing w:after="0" w:line="254" w:lineRule="auto"/>
        <w:tabs>
          <w:tab w:leader="none" w:pos="1941" w:val="left"/>
        </w:tabs>
        <w:numPr>
          <w:ilvl w:val="1"/>
          <w:numId w:val="52"/>
        </w:numPr>
        <w:rPr>
          <w:rFonts w:ascii="Arial" w:cs="Arial" w:eastAsia="Arial" w:hAnsi="Arial"/>
          <w:sz w:val="18"/>
          <w:szCs w:val="18"/>
          <w:color w:val="010000"/>
        </w:rPr>
      </w:pPr>
      <w:r>
        <w:rPr>
          <w:rFonts w:ascii="Arial" w:cs="Arial" w:eastAsia="Arial" w:hAnsi="Arial"/>
          <w:sz w:val="18"/>
          <w:szCs w:val="18"/>
          <w:color w:val="auto"/>
        </w:rPr>
        <w:t>Payment in respect of the PSUs eligible to vest for the Performance Period (i.e., the settlement of such PSUs) shall be made in shares of Stock that shall be issued to Grantee as soon as practicable following the Vesting Date (and in any event within thirty (30) days following the Vesting Date). Any PSUs that vest upon termination of Grantee’s Service due to death, disability shall be settled as soon as practicable following the date of such termination of Service, and in any event within two and one-half (2½) months following the end of the calendar year in which such PSUs vest. Any PSUs that vest upon termination of Grantee’s Service by action of the Company without Cause shall be settled as soon as practicable following the determination of attainment of performance goals or termination of Service, whichever is later, and in any event within two and one-half (2½) months following the end of the calendar year in which such termination of Service occurs (i.e., when such PSUs become eligible to vest in accordance with Section 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97" w:right="339" w:bottom="1440" w:gutter="0" w:footer="0" w:header="0"/>
        </w:sectPr>
      </w:pPr>
    </w:p>
    <w:bookmarkStart w:id="113" w:name="page114"/>
    <w:bookmarkEnd w:id="113"/>
    <w:p>
      <w:pPr>
        <w:jc w:val="both"/>
        <w:ind w:firstLine="1304"/>
        <w:spacing w:after="0" w:line="296" w:lineRule="auto"/>
        <w:tabs>
          <w:tab w:leader="none" w:pos="1938" w:val="left"/>
        </w:tabs>
        <w:numPr>
          <w:ilvl w:val="1"/>
          <w:numId w:val="53"/>
        </w:numPr>
        <w:rPr>
          <w:rFonts w:ascii="Arial" w:cs="Arial" w:eastAsia="Arial" w:hAnsi="Arial"/>
          <w:sz w:val="16"/>
          <w:szCs w:val="16"/>
          <w:color w:val="010000"/>
        </w:rPr>
      </w:pPr>
      <w:r>
        <w:rPr>
          <w:rFonts w:ascii="Arial" w:cs="Arial" w:eastAsia="Arial" w:hAnsi="Arial"/>
          <w:sz w:val="16"/>
          <w:szCs w:val="16"/>
          <w:color w:val="auto"/>
        </w:rPr>
        <w:t>Certificates or evidence of book-entry shares representing the Stock issued upon settlement of PSUs pursuant to this Section 3 will be delivered to or otherwise made available to Grantee (or, at the discretion of Grantee, jointly in the names of Grantee and Grantee’s spouse) or, in the case of Grantee’s death, to Grantee’s beneficiary or, if none is identified in the records of the Company, Grantee’s spouse or, if none, Grantee’s estate. It is intended that delivery of shares of Stock under this Agreement will comply with all applicable laws (including, the requirements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the applicable requirements of any securities exchange or similar entity.</w:t>
      </w:r>
    </w:p>
    <w:p>
      <w:pPr>
        <w:spacing w:after="0" w:line="161" w:lineRule="exact"/>
        <w:rPr>
          <w:rFonts w:ascii="Arial" w:cs="Arial" w:eastAsia="Arial" w:hAnsi="Arial"/>
          <w:sz w:val="16"/>
          <w:szCs w:val="16"/>
          <w:color w:val="010000"/>
        </w:rPr>
      </w:pPr>
    </w:p>
    <w:p>
      <w:pPr>
        <w:jc w:val="both"/>
        <w:ind w:firstLine="1304"/>
        <w:spacing w:after="0" w:line="286" w:lineRule="auto"/>
        <w:tabs>
          <w:tab w:leader="none" w:pos="1941" w:val="left"/>
        </w:tabs>
        <w:numPr>
          <w:ilvl w:val="1"/>
          <w:numId w:val="53"/>
        </w:numPr>
        <w:rPr>
          <w:rFonts w:ascii="Arial" w:cs="Arial" w:eastAsia="Arial" w:hAnsi="Arial"/>
          <w:sz w:val="17"/>
          <w:szCs w:val="17"/>
          <w:color w:val="010000"/>
        </w:rPr>
      </w:pPr>
      <w:r>
        <w:rPr>
          <w:rFonts w:ascii="Arial" w:cs="Arial" w:eastAsia="Arial" w:hAnsi="Arial"/>
          <w:sz w:val="17"/>
          <w:szCs w:val="17"/>
          <w:color w:val="auto"/>
        </w:rPr>
        <w:t>Notwithstanding anything herein to the contrary, (i) to the extent Grantee breaches any restrictive covenants under an agreement Grantee entered into with the Company or any of its Affiliates, the PSUs may be immediately forfeited to the extent not yet settled and (ii) the PSUs are subject to forfeiture and any Stock issued hereunder subject to clawback in accordance with Section 21(g) of the Plan.</w:t>
      </w:r>
    </w:p>
    <w:p>
      <w:pPr>
        <w:spacing w:after="0" w:line="161" w:lineRule="exact"/>
        <w:rPr>
          <w:rFonts w:ascii="Arial" w:cs="Arial" w:eastAsia="Arial" w:hAnsi="Arial"/>
          <w:sz w:val="17"/>
          <w:szCs w:val="17"/>
          <w:color w:val="010000"/>
        </w:rPr>
      </w:pPr>
    </w:p>
    <w:p>
      <w:pPr>
        <w:jc w:val="both"/>
        <w:ind w:firstLine="656"/>
        <w:spacing w:after="0" w:line="273" w:lineRule="auto"/>
        <w:tabs>
          <w:tab w:leader="none" w:pos="1296" w:val="left"/>
        </w:tabs>
        <w:numPr>
          <w:ilvl w:val="0"/>
          <w:numId w:val="54"/>
        </w:numPr>
        <w:rPr>
          <w:rFonts w:ascii="Arial" w:cs="Arial" w:eastAsia="Arial" w:hAnsi="Arial"/>
          <w:sz w:val="17"/>
          <w:szCs w:val="17"/>
          <w:color w:val="010000"/>
        </w:rPr>
      </w:pPr>
      <w:r>
        <w:rPr>
          <w:rFonts w:ascii="Arial" w:cs="Arial" w:eastAsia="Arial" w:hAnsi="Arial"/>
          <w:sz w:val="17"/>
          <w:szCs w:val="17"/>
          <w:b w:val="1"/>
          <w:bCs w:val="1"/>
          <w:color w:val="auto"/>
        </w:rPr>
        <w:t xml:space="preserve">Transferability. </w:t>
      </w:r>
      <w:r>
        <w:rPr>
          <w:rFonts w:ascii="Arial" w:cs="Arial" w:eastAsia="Arial" w:hAnsi="Arial"/>
          <w:sz w:val="17"/>
          <w:szCs w:val="17"/>
          <w:color w:val="auto"/>
        </w:rPr>
        <w:t>The PSUs subject to this Award or the rights relating thereto may not be assigned, alienated, pledged, attached, sold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transferred or encumbered by Grantee, except by will or the laws of descent and distribution, and upon any such transfer by will or the laws of descent and distribution, the transferee shall hold such PSUs subject to all of the terms and conditions that were applicable to Grantee immediately prior to such transfer. After such PSUs vest and are settled in accordance with this Agreement, no sale or disposition of such shares of Stock shall be made in the absence of an effective registration statement under the Securities Act with respect to such shares unless an opinion of counsel satisfactory to the Company that such sale or disposition will not constitute a violation of the Securities Act or any other applicable securities laws is first obtained or an exemption from such registration pursuant to Rule 144 under the Securities Act or otherwise is available.</w:t>
      </w:r>
    </w:p>
    <w:p>
      <w:pPr>
        <w:spacing w:after="0" w:line="171" w:lineRule="exact"/>
        <w:rPr>
          <w:rFonts w:ascii="Arial" w:cs="Arial" w:eastAsia="Arial" w:hAnsi="Arial"/>
          <w:sz w:val="17"/>
          <w:szCs w:val="17"/>
          <w:color w:val="010000"/>
        </w:rPr>
      </w:pPr>
    </w:p>
    <w:p>
      <w:pPr>
        <w:jc w:val="both"/>
        <w:ind w:firstLine="656"/>
        <w:spacing w:after="0" w:line="273" w:lineRule="auto"/>
        <w:tabs>
          <w:tab w:leader="none" w:pos="1296" w:val="left"/>
        </w:tabs>
        <w:numPr>
          <w:ilvl w:val="0"/>
          <w:numId w:val="54"/>
        </w:numPr>
        <w:rPr>
          <w:rFonts w:ascii="Arial" w:cs="Arial" w:eastAsia="Arial" w:hAnsi="Arial"/>
          <w:sz w:val="17"/>
          <w:szCs w:val="17"/>
          <w:color w:val="010000"/>
        </w:rPr>
      </w:pPr>
      <w:r>
        <w:rPr>
          <w:rFonts w:ascii="Arial" w:cs="Arial" w:eastAsia="Arial" w:hAnsi="Arial"/>
          <w:sz w:val="17"/>
          <w:szCs w:val="17"/>
          <w:b w:val="1"/>
          <w:bCs w:val="1"/>
          <w:color w:val="auto"/>
        </w:rPr>
        <w:t xml:space="preserve">Rights as Shareholder; Dividend Equivalents. </w:t>
      </w:r>
      <w:r>
        <w:rPr>
          <w:rFonts w:ascii="Arial" w:cs="Arial" w:eastAsia="Arial" w:hAnsi="Arial"/>
          <w:sz w:val="17"/>
          <w:szCs w:val="17"/>
          <w:color w:val="auto"/>
        </w:rPr>
        <w:t>Grantee shall have no rights as a stockholder with respect to the PSUs unless and until</w:t>
      </w:r>
      <w:r>
        <w:rPr>
          <w:rFonts w:ascii="Arial" w:cs="Arial" w:eastAsia="Arial" w:hAnsi="Arial"/>
          <w:sz w:val="17"/>
          <w:szCs w:val="17"/>
          <w:b w:val="1"/>
          <w:bCs w:val="1"/>
          <w:color w:val="auto"/>
        </w:rPr>
        <w:t xml:space="preserve"> </w:t>
      </w:r>
      <w:r>
        <w:rPr>
          <w:rFonts w:ascii="Arial" w:cs="Arial" w:eastAsia="Arial" w:hAnsi="Arial"/>
          <w:sz w:val="17"/>
          <w:szCs w:val="17"/>
          <w:color w:val="auto"/>
        </w:rPr>
        <w:t>the PSUs are settled by delivery of Stock in accordance with Section 3(b) of this Agreement. As of any date that the Company pays an ordinary cash dividend on its shares of Stock, the Company will increase the number of PSUs hereunder (i.e., by increasing the Target Award) by the number of shares of Stock that represent an amount equal to the per share value of dividend paid by the Company on its shares of Stock (if paid in cash or shares) multiplied by the number of target PSUs held by Grantee as of the related dividend payment record date. Any such additional PSUs shall be subject to the same vesting, forfeiture, payment, termination and other terms, conditions and restrictions as the original PSUs to which they relate. No additional PSUs shall be granted with respect to any PSUs which, as of the record date, have either been paid or terminated.</w:t>
      </w:r>
    </w:p>
    <w:p>
      <w:pPr>
        <w:spacing w:after="0" w:line="171" w:lineRule="exact"/>
        <w:rPr>
          <w:rFonts w:ascii="Arial" w:cs="Arial" w:eastAsia="Arial" w:hAnsi="Arial"/>
          <w:sz w:val="17"/>
          <w:szCs w:val="17"/>
          <w:color w:val="010000"/>
        </w:rPr>
      </w:pPr>
    </w:p>
    <w:p>
      <w:pPr>
        <w:jc w:val="both"/>
        <w:ind w:firstLine="656"/>
        <w:spacing w:after="0" w:line="314" w:lineRule="auto"/>
        <w:tabs>
          <w:tab w:leader="none" w:pos="1296" w:val="left"/>
        </w:tabs>
        <w:numPr>
          <w:ilvl w:val="0"/>
          <w:numId w:val="54"/>
        </w:numPr>
        <w:rPr>
          <w:rFonts w:ascii="Arial" w:cs="Arial" w:eastAsia="Arial" w:hAnsi="Arial"/>
          <w:sz w:val="16"/>
          <w:szCs w:val="16"/>
          <w:color w:val="010000"/>
        </w:rPr>
      </w:pPr>
      <w:r>
        <w:rPr>
          <w:rFonts w:ascii="Arial" w:cs="Arial" w:eastAsia="Arial" w:hAnsi="Arial"/>
          <w:sz w:val="16"/>
          <w:szCs w:val="16"/>
          <w:b w:val="1"/>
          <w:bCs w:val="1"/>
          <w:color w:val="auto"/>
        </w:rPr>
        <w:t xml:space="preserve">Change in Capital Structure. </w:t>
      </w:r>
      <w:r>
        <w:rPr>
          <w:rFonts w:ascii="Arial" w:cs="Arial" w:eastAsia="Arial" w:hAnsi="Arial"/>
          <w:sz w:val="16"/>
          <w:szCs w:val="16"/>
          <w:color w:val="auto"/>
        </w:rPr>
        <w:t>In accordance with Section 5(d) of the Plan, the terms of this Agreement, including the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in respect of the PSUs shall be adjusted as the Administrator determines is equitably required in the event the Company effects one or more stock dividends, stock splits, subdivisions or consolidations of shares or other similar changes in capitalization described in Section 5(d) of the Plan.</w:t>
      </w:r>
    </w:p>
    <w:p>
      <w:pPr>
        <w:spacing w:after="0" w:line="141" w:lineRule="exact"/>
        <w:rPr>
          <w:rFonts w:ascii="Arial" w:cs="Arial" w:eastAsia="Arial" w:hAnsi="Arial"/>
          <w:sz w:val="16"/>
          <w:szCs w:val="16"/>
          <w:color w:val="010000"/>
        </w:rPr>
      </w:pPr>
    </w:p>
    <w:p>
      <w:pPr>
        <w:ind w:left="1300" w:hanging="644"/>
        <w:spacing w:after="0"/>
        <w:tabs>
          <w:tab w:leader="none" w:pos="1300" w:val="left"/>
        </w:tabs>
        <w:numPr>
          <w:ilvl w:val="0"/>
          <w:numId w:val="54"/>
        </w:numPr>
        <w:rPr>
          <w:rFonts w:ascii="Arial" w:cs="Arial" w:eastAsia="Arial" w:hAnsi="Arial"/>
          <w:sz w:val="18"/>
          <w:szCs w:val="18"/>
          <w:color w:val="010000"/>
        </w:rPr>
      </w:pPr>
      <w:r>
        <w:rPr>
          <w:rFonts w:ascii="Arial" w:cs="Arial" w:eastAsia="Arial" w:hAnsi="Arial"/>
          <w:sz w:val="18"/>
          <w:szCs w:val="18"/>
          <w:b w:val="1"/>
          <w:bCs w:val="1"/>
          <w:color w:val="auto"/>
        </w:rPr>
        <w:t>Tax Liability and Withholding</w:t>
      </w:r>
      <w:r>
        <w:rPr>
          <w:rFonts w:ascii="Arial" w:cs="Arial" w:eastAsia="Arial" w:hAnsi="Arial"/>
          <w:sz w:val="18"/>
          <w:szCs w:val="18"/>
          <w:color w:val="auto"/>
        </w:rPr>
        <w:t>.</w:t>
      </w:r>
    </w:p>
    <w:p>
      <w:pPr>
        <w:spacing w:after="0" w:line="229" w:lineRule="exact"/>
        <w:rPr>
          <w:rFonts w:ascii="Arial" w:cs="Arial" w:eastAsia="Arial" w:hAnsi="Arial"/>
          <w:sz w:val="18"/>
          <w:szCs w:val="18"/>
          <w:color w:val="010000"/>
        </w:rPr>
      </w:pPr>
    </w:p>
    <w:p>
      <w:pPr>
        <w:jc w:val="both"/>
        <w:ind w:firstLine="1304"/>
        <w:spacing w:after="0" w:line="254" w:lineRule="auto"/>
        <w:tabs>
          <w:tab w:leader="none" w:pos="1941" w:val="left"/>
        </w:tabs>
        <w:numPr>
          <w:ilvl w:val="1"/>
          <w:numId w:val="54"/>
        </w:numPr>
        <w:rPr>
          <w:rFonts w:ascii="Arial" w:cs="Arial" w:eastAsia="Arial" w:hAnsi="Arial"/>
          <w:sz w:val="18"/>
          <w:szCs w:val="18"/>
          <w:color w:val="010000"/>
        </w:rPr>
      </w:pPr>
      <w:r>
        <w:rPr>
          <w:rFonts w:ascii="Arial" w:cs="Arial" w:eastAsia="Arial" w:hAnsi="Arial"/>
          <w:sz w:val="18"/>
          <w:szCs w:val="18"/>
          <w:color w:val="auto"/>
        </w:rPr>
        <w:t>Grantee understands that when the PSUs are settled in accordance with Section 4, Grantee will be obligated to recognize income, for Federal, state and local income tax purposes, as applicable, in an amount equal to the Fair Market Value of the share of Stock as of such date, and Grantee is responsible for all tax obligations that arise in connection with the PSUs. Notwithstanding any action the Company takes with respect to any or all income tax, social insurance, payroll tax, or other tax-related withholding (“</w:t>
      </w:r>
      <w:r>
        <w:rPr>
          <w:rFonts w:ascii="Arial" w:cs="Arial" w:eastAsia="Arial" w:hAnsi="Arial"/>
          <w:sz w:val="18"/>
          <w:szCs w:val="18"/>
          <w:u w:val="single" w:color="auto"/>
          <w:color w:val="auto"/>
        </w:rPr>
        <w:t>Tax-Related Items</w:t>
      </w:r>
      <w:r>
        <w:rPr>
          <w:rFonts w:ascii="Arial" w:cs="Arial" w:eastAsia="Arial" w:hAnsi="Arial"/>
          <w:sz w:val="18"/>
          <w:szCs w:val="18"/>
          <w:color w:val="auto"/>
        </w:rPr>
        <w:t>”), the ultimate liability for all Tax-Related Items is and remains Grantee’s responsibility and the Company (i) makes no representation or undertakings regarding the treatment of any Tax-Related Items in connection with the grant or vesting of the PSUs, the delivery of Stock underlying the PSUs, or the subsequent sale of any shares of the Stock underlying the PSUs; and (ii) does not commit to structure the PSUs or the delivery of Stock underlying the PSUs to reduce or eliminate Grantee’s liability for Tax-Related Items.</w:t>
      </w:r>
    </w:p>
    <w:p>
      <w:pPr>
        <w:spacing w:after="0" w:line="191" w:lineRule="exact"/>
        <w:rPr>
          <w:rFonts w:ascii="Arial" w:cs="Arial" w:eastAsia="Arial" w:hAnsi="Arial"/>
          <w:sz w:val="18"/>
          <w:szCs w:val="18"/>
          <w:color w:val="010000"/>
        </w:rPr>
      </w:pPr>
    </w:p>
    <w:p>
      <w:pPr>
        <w:jc w:val="both"/>
        <w:ind w:firstLine="1304"/>
        <w:spacing w:after="0" w:line="272" w:lineRule="auto"/>
        <w:tabs>
          <w:tab w:leader="none" w:pos="1938" w:val="left"/>
        </w:tabs>
        <w:numPr>
          <w:ilvl w:val="1"/>
          <w:numId w:val="54"/>
        </w:numPr>
        <w:rPr>
          <w:rFonts w:ascii="Arial" w:cs="Arial" w:eastAsia="Arial" w:hAnsi="Arial"/>
          <w:sz w:val="17"/>
          <w:szCs w:val="17"/>
          <w:color w:val="010000"/>
        </w:rPr>
      </w:pPr>
      <w:r>
        <w:rPr>
          <w:rFonts w:ascii="Arial" w:cs="Arial" w:eastAsia="Arial" w:hAnsi="Arial"/>
          <w:sz w:val="17"/>
          <w:szCs w:val="17"/>
          <w:color w:val="auto"/>
        </w:rPr>
        <w:t>Notwithstanding anything in the Plan or this Agreement to the contrary, unless Grantee has delivered an amount necessary to satisfy the Tax-Related Items as of the settlement date for the PSUs, Grantee agrees to the following methods of satisfying the Tax-Related Items on behalf of Grantee in connection with the PSUs and the delivery of Stock underlying the PSUs, in the discretion of the Company: (i) through the automatic withholding of a sufficient number of shares of Stock that would otherwise be delivered to Grantee, applying procedures approved by the Administrator, such withheld shares having an aggregate Fair Market Value on the date of settlement that shall not exceed the minimum amount of the Tax-Related Items, rounded up for any partial share of Stock that would be withheld to satisfy such obligation (or such other amount as the Administrator determines will not result in additional compensation expense for financial accounting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97" w:right="339" w:bottom="1440" w:gutter="0" w:footer="0" w:header="0"/>
        </w:sectPr>
      </w:pPr>
    </w:p>
    <w:bookmarkStart w:id="114" w:name="page115"/>
    <w:bookmarkEnd w:id="114"/>
    <w:p>
      <w:pPr>
        <w:spacing w:after="0" w:line="277" w:lineRule="auto"/>
        <w:rPr>
          <w:sz w:val="20"/>
          <w:szCs w:val="20"/>
          <w:color w:val="auto"/>
        </w:rPr>
      </w:pPr>
      <w:r>
        <w:rPr>
          <w:rFonts w:ascii="Arial" w:cs="Arial" w:eastAsia="Arial" w:hAnsi="Arial"/>
          <w:sz w:val="18"/>
          <w:szCs w:val="18"/>
          <w:color w:val="auto"/>
        </w:rPr>
        <w:t>purposes under applicable financial accounting principles); (ii) through the deduction from any other payment otherwise due to Grantee at the time of exercise; or (iii) a combination of any or all of the foregoing.</w:t>
      </w:r>
    </w:p>
    <w:p>
      <w:pPr>
        <w:spacing w:after="0" w:line="170" w:lineRule="exact"/>
        <w:rPr>
          <w:sz w:val="20"/>
          <w:szCs w:val="20"/>
          <w:color w:val="auto"/>
        </w:rPr>
      </w:pPr>
    </w:p>
    <w:p>
      <w:pPr>
        <w:jc w:val="both"/>
        <w:ind w:firstLine="1304"/>
        <w:spacing w:after="0" w:line="263" w:lineRule="auto"/>
        <w:tabs>
          <w:tab w:leader="none" w:pos="1941" w:val="left"/>
        </w:tabs>
        <w:numPr>
          <w:ilvl w:val="1"/>
          <w:numId w:val="55"/>
        </w:numPr>
        <w:rPr>
          <w:rFonts w:ascii="Arial" w:cs="Arial" w:eastAsia="Arial" w:hAnsi="Arial"/>
          <w:sz w:val="18"/>
          <w:szCs w:val="18"/>
          <w:color w:val="010000"/>
        </w:rPr>
      </w:pPr>
      <w:r>
        <w:rPr>
          <w:rFonts w:ascii="Arial" w:cs="Arial" w:eastAsia="Arial" w:hAnsi="Arial"/>
          <w:sz w:val="18"/>
          <w:szCs w:val="18"/>
          <w:color w:val="auto"/>
        </w:rPr>
        <w:t>Unless otherwise determined by the Administrator, Grantee may satisfy the tax withholding obligation by delivery of cash or by surrendering shares deliverable in settlement of the PSU or by delivering shares of Stock owned by Grantee (having in any case, an aggregate Fair Market Value on the date of exercise equal to the amount of the Tax-Related Items).</w:t>
      </w:r>
    </w:p>
    <w:p>
      <w:pPr>
        <w:spacing w:after="0" w:line="179" w:lineRule="exact"/>
        <w:rPr>
          <w:rFonts w:ascii="Arial" w:cs="Arial" w:eastAsia="Arial" w:hAnsi="Arial"/>
          <w:sz w:val="18"/>
          <w:szCs w:val="18"/>
          <w:color w:val="010000"/>
        </w:rPr>
      </w:pPr>
    </w:p>
    <w:p>
      <w:pPr>
        <w:ind w:firstLine="656"/>
        <w:spacing w:after="0" w:line="282" w:lineRule="auto"/>
        <w:tabs>
          <w:tab w:leader="none" w:pos="1296" w:val="left"/>
        </w:tabs>
        <w:numPr>
          <w:ilvl w:val="0"/>
          <w:numId w:val="56"/>
        </w:numPr>
        <w:rPr>
          <w:rFonts w:ascii="Arial" w:cs="Arial" w:eastAsia="Arial" w:hAnsi="Arial"/>
          <w:sz w:val="18"/>
          <w:szCs w:val="18"/>
          <w:color w:val="010000"/>
        </w:rPr>
      </w:pPr>
      <w:r>
        <w:rPr>
          <w:rFonts w:ascii="Arial" w:cs="Arial" w:eastAsia="Arial" w:hAnsi="Arial"/>
          <w:sz w:val="18"/>
          <w:szCs w:val="18"/>
          <w:b w:val="1"/>
          <w:bCs w:val="1"/>
          <w:color w:val="auto"/>
        </w:rPr>
        <w:t xml:space="preserve">Conflicts. </w:t>
      </w:r>
      <w:r>
        <w:rPr>
          <w:rFonts w:ascii="Arial" w:cs="Arial" w:eastAsia="Arial" w:hAnsi="Arial"/>
          <w:sz w:val="18"/>
          <w:szCs w:val="18"/>
          <w:color w:val="auto"/>
        </w:rPr>
        <w:t>In the event of any conflict between the provisions of the Plan as in effect on the Date of Grant and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provisions of the Plan shall govern. All references herein to the Plan mean the Plan as in effect on the date hereof.</w:t>
      </w:r>
    </w:p>
    <w:p>
      <w:pPr>
        <w:spacing w:after="0" w:line="161" w:lineRule="exact"/>
        <w:rPr>
          <w:rFonts w:ascii="Arial" w:cs="Arial" w:eastAsia="Arial" w:hAnsi="Arial"/>
          <w:sz w:val="18"/>
          <w:szCs w:val="18"/>
          <w:color w:val="010000"/>
        </w:rPr>
      </w:pPr>
    </w:p>
    <w:p>
      <w:pPr>
        <w:jc w:val="both"/>
        <w:ind w:firstLine="656"/>
        <w:spacing w:after="0" w:line="266" w:lineRule="auto"/>
        <w:tabs>
          <w:tab w:leader="none" w:pos="1296" w:val="left"/>
        </w:tabs>
        <w:numPr>
          <w:ilvl w:val="0"/>
          <w:numId w:val="56"/>
        </w:numPr>
        <w:rPr>
          <w:rFonts w:ascii="Arial" w:cs="Arial" w:eastAsia="Arial" w:hAnsi="Arial"/>
          <w:sz w:val="18"/>
          <w:szCs w:val="18"/>
          <w:color w:val="010000"/>
        </w:rPr>
      </w:pPr>
      <w:r>
        <w:rPr>
          <w:rFonts w:ascii="Arial" w:cs="Arial" w:eastAsia="Arial" w:hAnsi="Arial"/>
          <w:sz w:val="18"/>
          <w:szCs w:val="18"/>
          <w:b w:val="1"/>
          <w:bCs w:val="1"/>
          <w:color w:val="auto"/>
        </w:rPr>
        <w:t xml:space="preserve">No Right to Continued Service. </w:t>
      </w:r>
      <w:r>
        <w:rPr>
          <w:rFonts w:ascii="Arial" w:cs="Arial" w:eastAsia="Arial" w:hAnsi="Arial"/>
          <w:sz w:val="18"/>
          <w:szCs w:val="18"/>
          <w:color w:val="auto"/>
        </w:rPr>
        <w:t>Neither the Plan nor this Agreement shall confer upon Grantee any right to be retained in any 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as an employee, consultant or director of the Company or any of its subsidiaries. Further, nothing in the Plan or this Agreement shall be construed to limit the discretion of the Company to terminate Grantee’s employment at any time, with or without Cause.</w:t>
      </w:r>
    </w:p>
    <w:p>
      <w:pPr>
        <w:spacing w:after="0" w:line="175" w:lineRule="exact"/>
        <w:rPr>
          <w:rFonts w:ascii="Arial" w:cs="Arial" w:eastAsia="Arial" w:hAnsi="Arial"/>
          <w:sz w:val="18"/>
          <w:szCs w:val="18"/>
          <w:color w:val="010000"/>
        </w:rPr>
      </w:pPr>
    </w:p>
    <w:p>
      <w:pPr>
        <w:jc w:val="both"/>
        <w:ind w:firstLine="656"/>
        <w:spacing w:after="0" w:line="281" w:lineRule="auto"/>
        <w:tabs>
          <w:tab w:leader="none" w:pos="1291" w:val="left"/>
        </w:tabs>
        <w:numPr>
          <w:ilvl w:val="0"/>
          <w:numId w:val="56"/>
        </w:numPr>
        <w:rPr>
          <w:rFonts w:ascii="Arial" w:cs="Arial" w:eastAsia="Arial" w:hAnsi="Arial"/>
          <w:sz w:val="17"/>
          <w:szCs w:val="17"/>
          <w:color w:val="010000"/>
        </w:rPr>
      </w:pPr>
      <w:r>
        <w:rPr>
          <w:rFonts w:ascii="Arial" w:cs="Arial" w:eastAsia="Arial" w:hAnsi="Arial"/>
          <w:sz w:val="17"/>
          <w:szCs w:val="17"/>
          <w:b w:val="1"/>
          <w:bCs w:val="1"/>
          <w:color w:val="auto"/>
        </w:rPr>
        <w:t xml:space="preserve">Compliance with Law. </w:t>
      </w:r>
      <w:r>
        <w:rPr>
          <w:rFonts w:ascii="Arial" w:cs="Arial" w:eastAsia="Arial" w:hAnsi="Arial"/>
          <w:sz w:val="17"/>
          <w:szCs w:val="17"/>
          <w:color w:val="auto"/>
        </w:rPr>
        <w:t>The grant and settlement of the PSUs shall be subject to compliance by the Company and Grantee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requirements of federal and state securities laws and with all applicable requirements of any stock exchange on which the Company’s shares of Stock may be listed. No shares of Stock shall be issued in settlement of the PSUs unless and until any then applicable requirements of state or federal laws and regulatory agencies have been fully complied with to the satisfaction of the Company and its counsel.</w:t>
      </w:r>
    </w:p>
    <w:p>
      <w:pPr>
        <w:spacing w:after="0" w:line="164" w:lineRule="exact"/>
        <w:rPr>
          <w:rFonts w:ascii="Arial" w:cs="Arial" w:eastAsia="Arial" w:hAnsi="Arial"/>
          <w:sz w:val="17"/>
          <w:szCs w:val="17"/>
          <w:color w:val="010000"/>
        </w:rPr>
      </w:pPr>
    </w:p>
    <w:p>
      <w:pPr>
        <w:jc w:val="both"/>
        <w:ind w:firstLine="656"/>
        <w:spacing w:after="0" w:line="261" w:lineRule="auto"/>
        <w:tabs>
          <w:tab w:leader="none" w:pos="1285" w:val="left"/>
        </w:tabs>
        <w:numPr>
          <w:ilvl w:val="0"/>
          <w:numId w:val="56"/>
        </w:numPr>
        <w:rPr>
          <w:rFonts w:ascii="Arial" w:cs="Arial" w:eastAsia="Arial" w:hAnsi="Arial"/>
          <w:sz w:val="18"/>
          <w:szCs w:val="18"/>
          <w:color w:val="010000"/>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required to be delivered to the Company under this Agreement shall be in writing and addressed to the Secretary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at the Company’s principal corporate offices. Any notice required to be delivered to Grantee under this Agreement shall be in writing and addressed to Grantee at Grantee’s address as shown in the records of the Company. Either party may designate another address in writing (or by such other method approved by the Company) from time to time.</w:t>
      </w:r>
    </w:p>
    <w:p>
      <w:pPr>
        <w:spacing w:after="0" w:line="179" w:lineRule="exact"/>
        <w:rPr>
          <w:rFonts w:ascii="Arial" w:cs="Arial" w:eastAsia="Arial" w:hAnsi="Arial"/>
          <w:sz w:val="18"/>
          <w:szCs w:val="18"/>
          <w:color w:val="010000"/>
        </w:rPr>
      </w:pPr>
    </w:p>
    <w:p>
      <w:pPr>
        <w:ind w:firstLine="656"/>
        <w:spacing w:after="0" w:line="282" w:lineRule="auto"/>
        <w:tabs>
          <w:tab w:leader="none" w:pos="1291" w:val="left"/>
        </w:tabs>
        <w:numPr>
          <w:ilvl w:val="0"/>
          <w:numId w:val="56"/>
        </w:numPr>
        <w:rPr>
          <w:rFonts w:ascii="Arial" w:cs="Arial" w:eastAsia="Arial" w:hAnsi="Arial"/>
          <w:sz w:val="18"/>
          <w:szCs w:val="18"/>
          <w:color w:val="010000"/>
        </w:rPr>
      </w:pPr>
      <w:r>
        <w:rPr>
          <w:rFonts w:ascii="Arial" w:cs="Arial" w:eastAsia="Arial" w:hAnsi="Arial"/>
          <w:sz w:val="18"/>
          <w:szCs w:val="18"/>
          <w:b w:val="1"/>
          <w:bCs w:val="1"/>
          <w:color w:val="auto"/>
        </w:rPr>
        <w:t xml:space="preserve">Interpretation. </w:t>
      </w:r>
      <w:r>
        <w:rPr>
          <w:rFonts w:ascii="Arial" w:cs="Arial" w:eastAsia="Arial" w:hAnsi="Arial"/>
          <w:sz w:val="18"/>
          <w:szCs w:val="18"/>
          <w:color w:val="auto"/>
        </w:rPr>
        <w:t>Any dispute regarding the interpretation of this Agreement shall be submitted by Grantee or the Company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for review. The resolution of such dispute by the Administrator shall be final and binding on Grantee and the Company.</w:t>
      </w:r>
    </w:p>
    <w:p>
      <w:pPr>
        <w:spacing w:after="0" w:line="161" w:lineRule="exact"/>
        <w:rPr>
          <w:rFonts w:ascii="Arial" w:cs="Arial" w:eastAsia="Arial" w:hAnsi="Arial"/>
          <w:sz w:val="18"/>
          <w:szCs w:val="18"/>
          <w:color w:val="010000"/>
        </w:rPr>
      </w:pPr>
    </w:p>
    <w:p>
      <w:pPr>
        <w:jc w:val="both"/>
        <w:ind w:firstLine="656"/>
        <w:spacing w:after="0" w:line="261" w:lineRule="auto"/>
        <w:tabs>
          <w:tab w:leader="none" w:pos="1291" w:val="left"/>
        </w:tabs>
        <w:numPr>
          <w:ilvl w:val="0"/>
          <w:numId w:val="56"/>
        </w:numPr>
        <w:rPr>
          <w:rFonts w:ascii="Arial" w:cs="Arial" w:eastAsia="Arial" w:hAnsi="Arial"/>
          <w:sz w:val="18"/>
          <w:szCs w:val="18"/>
          <w:color w:val="010000"/>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The Company may assign any of its rights under this Agreement. This Agreement will be binding upon and</w:t>
      </w:r>
      <w:r>
        <w:rPr>
          <w:rFonts w:ascii="Arial" w:cs="Arial" w:eastAsia="Arial" w:hAnsi="Arial"/>
          <w:sz w:val="18"/>
          <w:szCs w:val="18"/>
          <w:b w:val="1"/>
          <w:bCs w:val="1"/>
          <w:color w:val="auto"/>
        </w:rPr>
        <w:t xml:space="preserve"> </w:t>
      </w:r>
      <w:r>
        <w:rPr>
          <w:rFonts w:ascii="Arial" w:cs="Arial" w:eastAsia="Arial" w:hAnsi="Arial"/>
          <w:sz w:val="18"/>
          <w:szCs w:val="18"/>
          <w:color w:val="auto"/>
        </w:rPr>
        <w:t>inure to the benefit of the successors and assigns of the Company. Subject to the restrictions on transfer set forth herein, this Agreement will be binding upon Grantee and Grantee’s beneficiaries, executors, administrators and the person(s) to whom this Agreement may be transferred by will or the laws of descent or distribution.</w:t>
      </w:r>
    </w:p>
    <w:p>
      <w:pPr>
        <w:spacing w:after="0" w:line="179" w:lineRule="exact"/>
        <w:rPr>
          <w:rFonts w:ascii="Arial" w:cs="Arial" w:eastAsia="Arial" w:hAnsi="Arial"/>
          <w:sz w:val="18"/>
          <w:szCs w:val="18"/>
          <w:color w:val="010000"/>
        </w:rPr>
      </w:pPr>
    </w:p>
    <w:p>
      <w:pPr>
        <w:jc w:val="both"/>
        <w:ind w:firstLine="656"/>
        <w:spacing w:after="0" w:line="266" w:lineRule="auto"/>
        <w:tabs>
          <w:tab w:leader="none" w:pos="1291" w:val="left"/>
        </w:tabs>
        <w:numPr>
          <w:ilvl w:val="0"/>
          <w:numId w:val="56"/>
        </w:numPr>
        <w:rPr>
          <w:rFonts w:ascii="Arial" w:cs="Arial" w:eastAsia="Arial" w:hAnsi="Arial"/>
          <w:sz w:val="18"/>
          <w:szCs w:val="18"/>
          <w:color w:val="010000"/>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invalidity or unenforceability of any provision of the Plan or this Agreement shall not affect the 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other provision of the Plan or this Agreement, and each provision of the Plan and this Agreement shall be severable and enforceable to the extent permitted by law.</w:t>
      </w:r>
    </w:p>
    <w:p>
      <w:pPr>
        <w:spacing w:after="0" w:line="175" w:lineRule="exact"/>
        <w:rPr>
          <w:rFonts w:ascii="Arial" w:cs="Arial" w:eastAsia="Arial" w:hAnsi="Arial"/>
          <w:sz w:val="18"/>
          <w:szCs w:val="18"/>
          <w:color w:val="010000"/>
        </w:rPr>
      </w:pPr>
    </w:p>
    <w:p>
      <w:pPr>
        <w:jc w:val="both"/>
        <w:ind w:firstLine="656"/>
        <w:spacing w:after="0" w:line="261" w:lineRule="auto"/>
        <w:tabs>
          <w:tab w:leader="none" w:pos="1291" w:val="left"/>
        </w:tabs>
        <w:numPr>
          <w:ilvl w:val="0"/>
          <w:numId w:val="56"/>
        </w:numPr>
        <w:rPr>
          <w:rFonts w:ascii="Arial" w:cs="Arial" w:eastAsia="Arial" w:hAnsi="Arial"/>
          <w:sz w:val="18"/>
          <w:szCs w:val="18"/>
          <w:color w:val="010000"/>
        </w:rPr>
      </w:pPr>
      <w:r>
        <w:rPr>
          <w:rFonts w:ascii="Arial" w:cs="Arial" w:eastAsia="Arial" w:hAnsi="Arial"/>
          <w:sz w:val="18"/>
          <w:szCs w:val="18"/>
          <w:b w:val="1"/>
          <w:bCs w:val="1"/>
          <w:color w:val="auto"/>
        </w:rPr>
        <w:t xml:space="preserve">Discretionary Nature of Plan. </w:t>
      </w:r>
      <w:r>
        <w:rPr>
          <w:rFonts w:ascii="Arial" w:cs="Arial" w:eastAsia="Arial" w:hAnsi="Arial"/>
          <w:sz w:val="18"/>
          <w:szCs w:val="18"/>
          <w:color w:val="auto"/>
        </w:rPr>
        <w:t>The Plan is discretionary and may be amended, cancelled or terminated by the Company at any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its discretion. The grant of the PSUs in this Agreement does not create any contractual right or other right to receive any Grants in the future. Future Grants, if any, will be at the sole discretion of the Company. Any amendment, modification, or termination of the Plan shall not constitute a change or impairment of the terms and conditions of Grantee’s Service to the Company.</w:t>
      </w:r>
    </w:p>
    <w:p>
      <w:pPr>
        <w:spacing w:after="0" w:line="179" w:lineRule="exact"/>
        <w:rPr>
          <w:rFonts w:ascii="Arial" w:cs="Arial" w:eastAsia="Arial" w:hAnsi="Arial"/>
          <w:sz w:val="18"/>
          <w:szCs w:val="18"/>
          <w:color w:val="010000"/>
        </w:rPr>
      </w:pPr>
    </w:p>
    <w:p>
      <w:pPr>
        <w:ind w:firstLine="656"/>
        <w:spacing w:after="0" w:line="312" w:lineRule="auto"/>
        <w:tabs>
          <w:tab w:leader="none" w:pos="1291" w:val="left"/>
        </w:tabs>
        <w:numPr>
          <w:ilvl w:val="0"/>
          <w:numId w:val="56"/>
        </w:numPr>
        <w:rPr>
          <w:rFonts w:ascii="Arial" w:cs="Arial" w:eastAsia="Arial" w:hAnsi="Arial"/>
          <w:sz w:val="17"/>
          <w:szCs w:val="17"/>
          <w:color w:val="010000"/>
        </w:rPr>
      </w:pPr>
      <w:r>
        <w:rPr>
          <w:rFonts w:ascii="Arial" w:cs="Arial" w:eastAsia="Arial" w:hAnsi="Arial"/>
          <w:sz w:val="17"/>
          <w:szCs w:val="17"/>
          <w:b w:val="1"/>
          <w:bCs w:val="1"/>
          <w:color w:val="auto"/>
        </w:rPr>
        <w:t xml:space="preserve">Amendment. </w:t>
      </w:r>
      <w:r>
        <w:rPr>
          <w:rFonts w:ascii="Arial" w:cs="Arial" w:eastAsia="Arial" w:hAnsi="Arial"/>
          <w:sz w:val="17"/>
          <w:szCs w:val="17"/>
          <w:color w:val="auto"/>
        </w:rPr>
        <w:t>The Administrator has the right to amend, alter, suspend, discontinue or cancel the PSUs, prospectively or retroactively;</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no such amendment shall adversely affect Grantee’s material rights under this Agreement without Grantee’s consent.</w:t>
      </w:r>
    </w:p>
    <w:p>
      <w:pPr>
        <w:spacing w:after="0" w:line="139" w:lineRule="exact"/>
        <w:rPr>
          <w:rFonts w:ascii="Arial" w:cs="Arial" w:eastAsia="Arial" w:hAnsi="Arial"/>
          <w:sz w:val="17"/>
          <w:szCs w:val="17"/>
          <w:color w:val="010000"/>
        </w:rPr>
      </w:pPr>
    </w:p>
    <w:p>
      <w:pPr>
        <w:ind w:right="20" w:firstLine="656"/>
        <w:spacing w:after="0" w:line="282" w:lineRule="auto"/>
        <w:tabs>
          <w:tab w:leader="none" w:pos="1291" w:val="left"/>
        </w:tabs>
        <w:numPr>
          <w:ilvl w:val="0"/>
          <w:numId w:val="56"/>
        </w:numPr>
        <w:rPr>
          <w:rFonts w:ascii="Arial" w:cs="Arial" w:eastAsia="Arial" w:hAnsi="Arial"/>
          <w:sz w:val="18"/>
          <w:szCs w:val="18"/>
          <w:color w:val="010000"/>
        </w:rPr>
      </w:pPr>
      <w:r>
        <w:rPr>
          <w:rFonts w:ascii="Arial" w:cs="Arial" w:eastAsia="Arial" w:hAnsi="Arial"/>
          <w:sz w:val="18"/>
          <w:szCs w:val="18"/>
          <w:b w:val="1"/>
          <w:bCs w:val="1"/>
          <w:color w:val="auto"/>
        </w:rPr>
        <w:t xml:space="preserve">No Impact on Other Benefits. </w:t>
      </w:r>
      <w:r>
        <w:rPr>
          <w:rFonts w:ascii="Arial" w:cs="Arial" w:eastAsia="Arial" w:hAnsi="Arial"/>
          <w:sz w:val="18"/>
          <w:szCs w:val="18"/>
          <w:color w:val="auto"/>
        </w:rPr>
        <w:t>The value of Grantee’s PSUs or the Stock underlying the PSUs is not part of his or her normal or</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compensation for purposes of calculating any severance, retirement, welfare, insurance or similar employee benefit.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97" w:right="339" w:bottom="1440" w:gutter="0" w:footer="0" w:header="0"/>
        </w:sectPr>
      </w:pPr>
    </w:p>
    <w:bookmarkStart w:id="115" w:name="page116"/>
    <w:bookmarkEnd w:id="115"/>
    <w:p>
      <w:pPr>
        <w:jc w:val="both"/>
        <w:ind w:firstLine="656"/>
        <w:spacing w:after="0" w:line="269" w:lineRule="auto"/>
        <w:tabs>
          <w:tab w:leader="none" w:pos="1291" w:val="left"/>
        </w:tabs>
        <w:numPr>
          <w:ilvl w:val="0"/>
          <w:numId w:val="57"/>
        </w:numPr>
        <w:rPr>
          <w:rFonts w:ascii="Arial" w:cs="Arial" w:eastAsia="Arial" w:hAnsi="Arial"/>
          <w:sz w:val="17"/>
          <w:szCs w:val="17"/>
          <w:color w:val="010000"/>
        </w:rPr>
      </w:pPr>
      <w:r>
        <w:rPr>
          <w:rFonts w:ascii="Arial" w:cs="Arial" w:eastAsia="Arial" w:hAnsi="Arial"/>
          <w:sz w:val="17"/>
          <w:szCs w:val="17"/>
          <w:b w:val="1"/>
          <w:bCs w:val="1"/>
          <w:color w:val="auto"/>
        </w:rPr>
        <w:t xml:space="preserve">Section 409A. </w:t>
      </w:r>
      <w:r>
        <w:rPr>
          <w:rFonts w:ascii="Arial" w:cs="Arial" w:eastAsia="Arial" w:hAnsi="Arial"/>
          <w:sz w:val="17"/>
          <w:szCs w:val="17"/>
          <w:color w:val="auto"/>
        </w:rPr>
        <w:t>This Agreement is intended to comply with section 409A of the Code (“</w:t>
      </w:r>
      <w:r>
        <w:rPr>
          <w:rFonts w:ascii="Arial" w:cs="Arial" w:eastAsia="Arial" w:hAnsi="Arial"/>
          <w:sz w:val="17"/>
          <w:szCs w:val="17"/>
          <w:u w:val="single" w:color="auto"/>
          <w:color w:val="auto"/>
        </w:rPr>
        <w:t>Section 409A</w:t>
      </w:r>
      <w:r>
        <w:rPr>
          <w:rFonts w:ascii="Arial" w:cs="Arial" w:eastAsia="Arial" w:hAnsi="Arial"/>
          <w:sz w:val="17"/>
          <w:szCs w:val="17"/>
          <w:color w:val="auto"/>
        </w:rPr>
        <w:t>”) or an exemption thereunder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Section 21(b) of the Plan and shall be construed and interpreted, including any ambiguities herein, in a manner that is consistent with the requirements for avoiding additional taxes or penalties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Grantee on account of non-compliance with Section 409A. Notwithstanding the foregoing or anything herein to the contrary, if the PSUs constitute nonqualified deferred compensation within the meaning of Section 409A and if Grantee is deemed a “specified employee” within the meaning of Section 409A, each as determined by the Administrator, at a time when Grantee becomes eligible for settlement of the PSUs upon his or her “separation from service” within the meaning of Section 409A, then to the extent necessary to prevent any accelerated or additional tax under Section 409A, such settlement will be delayed until the earlier of: (a) the first day of the month following the date that is six months following Grantee’s separation from service and (b) Grantee’s death. If the PSUs constitute nonqualified deferred compensation within the meaning of Section 409A, references in this Agreement to a termination of employment or cessation of Service or the like shall mean a “separation from service” under Section 409A.</w:t>
      </w:r>
    </w:p>
    <w:p>
      <w:pPr>
        <w:spacing w:after="0" w:line="178" w:lineRule="exact"/>
        <w:rPr>
          <w:rFonts w:ascii="Arial" w:cs="Arial" w:eastAsia="Arial" w:hAnsi="Arial"/>
          <w:sz w:val="17"/>
          <w:szCs w:val="17"/>
          <w:color w:val="010000"/>
        </w:rPr>
      </w:pPr>
    </w:p>
    <w:p>
      <w:pPr>
        <w:jc w:val="both"/>
        <w:ind w:firstLine="656"/>
        <w:spacing w:after="0" w:line="261" w:lineRule="auto"/>
        <w:tabs>
          <w:tab w:leader="none" w:pos="1291" w:val="left"/>
        </w:tabs>
        <w:numPr>
          <w:ilvl w:val="0"/>
          <w:numId w:val="57"/>
        </w:numPr>
        <w:rPr>
          <w:rFonts w:ascii="Arial" w:cs="Arial" w:eastAsia="Arial" w:hAnsi="Arial"/>
          <w:sz w:val="18"/>
          <w:szCs w:val="18"/>
          <w:color w:val="010000"/>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counterparts, each of which shall be deemed an original but all of which together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9" w:lineRule="exact"/>
        <w:rPr>
          <w:rFonts w:ascii="Arial" w:cs="Arial" w:eastAsia="Arial" w:hAnsi="Arial"/>
          <w:sz w:val="18"/>
          <w:szCs w:val="18"/>
          <w:color w:val="010000"/>
        </w:rPr>
      </w:pPr>
    </w:p>
    <w:p>
      <w:pPr>
        <w:ind w:firstLine="656"/>
        <w:spacing w:after="0" w:line="312" w:lineRule="auto"/>
        <w:tabs>
          <w:tab w:leader="none" w:pos="1291" w:val="left"/>
        </w:tabs>
        <w:numPr>
          <w:ilvl w:val="0"/>
          <w:numId w:val="57"/>
        </w:numPr>
        <w:rPr>
          <w:rFonts w:ascii="Arial" w:cs="Arial" w:eastAsia="Arial" w:hAnsi="Arial"/>
          <w:sz w:val="17"/>
          <w:szCs w:val="17"/>
          <w:color w:val="010000"/>
        </w:rPr>
      </w:pPr>
      <w:r>
        <w:rPr>
          <w:rFonts w:ascii="Arial" w:cs="Arial" w:eastAsia="Arial" w:hAnsi="Arial"/>
          <w:sz w:val="17"/>
          <w:szCs w:val="17"/>
          <w:b w:val="1"/>
          <w:bCs w:val="1"/>
          <w:color w:val="auto"/>
        </w:rPr>
        <w:t xml:space="preserve">Grantee Bound by Plan. </w:t>
      </w:r>
      <w:r>
        <w:rPr>
          <w:rFonts w:ascii="Arial" w:cs="Arial" w:eastAsia="Arial" w:hAnsi="Arial"/>
          <w:sz w:val="17"/>
          <w:szCs w:val="17"/>
          <w:color w:val="auto"/>
        </w:rPr>
        <w:t>Grantee hereby acknowledges that a copy of the Plan has been made available to him or her and agrees to be</w:t>
      </w:r>
      <w:r>
        <w:rPr>
          <w:rFonts w:ascii="Arial" w:cs="Arial" w:eastAsia="Arial" w:hAnsi="Arial"/>
          <w:sz w:val="17"/>
          <w:szCs w:val="17"/>
          <w:b w:val="1"/>
          <w:bCs w:val="1"/>
          <w:color w:val="auto"/>
        </w:rPr>
        <w:t xml:space="preserve"> </w:t>
      </w:r>
      <w:r>
        <w:rPr>
          <w:rFonts w:ascii="Arial" w:cs="Arial" w:eastAsia="Arial" w:hAnsi="Arial"/>
          <w:sz w:val="17"/>
          <w:szCs w:val="17"/>
          <w:color w:val="auto"/>
        </w:rPr>
        <w:t>bound by all the terms and provisions thereof. The terms and conditions of the Plan are incorporated into this Agreement by reference.</w:t>
      </w:r>
    </w:p>
    <w:p>
      <w:pPr>
        <w:spacing w:after="0" w:line="139" w:lineRule="exact"/>
        <w:rPr>
          <w:rFonts w:ascii="Arial" w:cs="Arial" w:eastAsia="Arial" w:hAnsi="Arial"/>
          <w:sz w:val="17"/>
          <w:szCs w:val="17"/>
          <w:color w:val="010000"/>
        </w:rPr>
      </w:pPr>
    </w:p>
    <w:p>
      <w:pPr>
        <w:ind w:left="1300" w:hanging="644"/>
        <w:spacing w:after="0"/>
        <w:tabs>
          <w:tab w:leader="none" w:pos="1300" w:val="left"/>
        </w:tabs>
        <w:numPr>
          <w:ilvl w:val="0"/>
          <w:numId w:val="57"/>
        </w:numPr>
        <w:rPr>
          <w:rFonts w:ascii="Arial" w:cs="Arial" w:eastAsia="Arial" w:hAnsi="Arial"/>
          <w:sz w:val="17"/>
          <w:szCs w:val="17"/>
          <w:color w:val="010000"/>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Agreement shall be governed by the laws of the State of Delaware without regard to conflict of law principles.</w:t>
      </w:r>
    </w:p>
    <w:p>
      <w:pPr>
        <w:spacing w:after="0" w:line="236" w:lineRule="exact"/>
        <w:rPr>
          <w:rFonts w:ascii="Arial" w:cs="Arial" w:eastAsia="Arial" w:hAnsi="Arial"/>
          <w:sz w:val="17"/>
          <w:szCs w:val="17"/>
          <w:color w:val="010000"/>
        </w:rPr>
      </w:pPr>
    </w:p>
    <w:p>
      <w:pPr>
        <w:jc w:val="both"/>
        <w:ind w:firstLine="656"/>
        <w:spacing w:after="0" w:line="261" w:lineRule="auto"/>
        <w:tabs>
          <w:tab w:leader="none" w:pos="1291" w:val="left"/>
        </w:tabs>
        <w:numPr>
          <w:ilvl w:val="0"/>
          <w:numId w:val="57"/>
        </w:numPr>
        <w:rPr>
          <w:rFonts w:ascii="Arial" w:cs="Arial" w:eastAsia="Arial" w:hAnsi="Arial"/>
          <w:sz w:val="18"/>
          <w:szCs w:val="18"/>
          <w:color w:val="010000"/>
        </w:rPr>
      </w:pPr>
      <w:r>
        <w:rPr>
          <w:rFonts w:ascii="Arial" w:cs="Arial" w:eastAsia="Arial" w:hAnsi="Arial"/>
          <w:sz w:val="18"/>
          <w:szCs w:val="18"/>
          <w:b w:val="1"/>
          <w:bCs w:val="1"/>
          <w:color w:val="auto"/>
        </w:rPr>
        <w:t xml:space="preserve">Acceptance. </w:t>
      </w:r>
      <w:r>
        <w:rPr>
          <w:rFonts w:ascii="Arial" w:cs="Arial" w:eastAsia="Arial" w:hAnsi="Arial"/>
          <w:sz w:val="18"/>
          <w:szCs w:val="18"/>
          <w:color w:val="auto"/>
        </w:rPr>
        <w:t>Grantee hereby acknowledges receipt of a copy of the Plan and this Agreement. Grantee has read and understands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provisions thereof, and accepts the PSUs subject to all of the terms and conditions of the Plan and this Agreement. Grantee acknowledges that there may be adverse tax consequences upon grant or vesting of or settlement of the PSUs and that Grantee should consult a tax advisor prior to such vesting or settlement.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appear on following page]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93" w:right="339" w:bottom="1440" w:gutter="0" w:footer="0" w:header="0"/>
        </w:sectPr>
      </w:pPr>
    </w:p>
    <w:bookmarkStart w:id="116" w:name="page117"/>
    <w:bookmarkEnd w:id="116"/>
    <w:p>
      <w:pPr>
        <w:spacing w:after="0" w:line="39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its duly authorized officer to execute this Agreement, and Grantee has placed his or her signature</w:t>
      </w:r>
      <w:r>
        <w:rPr>
          <w:rFonts w:ascii="Arial" w:cs="Arial" w:eastAsia="Arial" w:hAnsi="Arial"/>
          <w:sz w:val="18"/>
          <w:szCs w:val="18"/>
          <w:b w:val="1"/>
          <w:bCs w:val="1"/>
          <w:color w:val="auto"/>
        </w:rPr>
        <w:t xml:space="preserve"> </w:t>
      </w:r>
      <w:r>
        <w:rPr>
          <w:rFonts w:ascii="Arial" w:cs="Arial" w:eastAsia="Arial" w:hAnsi="Arial"/>
          <w:sz w:val="18"/>
          <w:szCs w:val="18"/>
          <w:color w:val="auto"/>
        </w:rPr>
        <w:t>hereon, effective as of the Date of Grant.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INTERNATIONAL MONEY EXPRESS, INC.</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31750</wp:posOffset>
            </wp:positionV>
            <wp:extent cx="32575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6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 hereby accept this Grant of PSUs and I agree to be bound by the terms of the Plan and this Agreement. I further agree that all of the decisions and interpretations of the Company with respect thereto shall be final and binding.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31750</wp:posOffset>
            </wp:positionV>
            <wp:extent cx="32575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32575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wp:posOffset>
            </wp:positionV>
            <wp:extent cx="33515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International Money Express Inc. PSU Agreement]</w:t>
      </w:r>
    </w:p>
    <w:p>
      <w:pPr>
        <w:sectPr>
          <w:pgSz w:w="11900" w:h="16838" w:orient="portrait"/>
          <w:cols w:equalWidth="0" w:num="1">
            <w:col w:w="10940"/>
          </w:cols>
          <w:pgMar w:left="320" w:top="1440" w:right="639" w:bottom="1440" w:gutter="0" w:footer="0" w:header="0"/>
        </w:sectPr>
      </w:pPr>
    </w:p>
    <w:bookmarkStart w:id="117" w:name="page118"/>
    <w:bookmarkEnd w:id="117"/>
    <w:p>
      <w:pPr>
        <w:ind w:left="5180"/>
        <w:spacing w:after="0"/>
        <w:rPr>
          <w:sz w:val="20"/>
          <w:szCs w:val="20"/>
          <w:color w:val="auto"/>
        </w:rPr>
      </w:pPr>
      <w:r>
        <w:rPr>
          <w:rFonts w:ascii="Arial" w:cs="Arial" w:eastAsia="Arial" w:hAnsi="Arial"/>
          <w:sz w:val="18"/>
          <w:szCs w:val="18"/>
          <w:b w:val="1"/>
          <w:bCs w:val="1"/>
          <w:color w:val="auto"/>
        </w:rPr>
        <w:t>EXHIBIT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Period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Performance Period</w:t>
      </w:r>
      <w:r>
        <w:rPr>
          <w:rFonts w:ascii="Arial" w:cs="Arial" w:eastAsia="Arial" w:hAnsi="Arial"/>
          <w:sz w:val="16"/>
          <w:szCs w:val="16"/>
          <w:color w:val="auto"/>
        </w:rPr>
        <w:t>” shall be the ____-year period commencing on ____________, 20__ and ending on ____________, 20___.</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Date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Vesting Date</w:t>
      </w:r>
      <w:r>
        <w:rPr>
          <w:rFonts w:ascii="Arial" w:cs="Arial" w:eastAsia="Arial" w:hAnsi="Arial"/>
          <w:sz w:val="18"/>
          <w:szCs w:val="18"/>
          <w:color w:val="auto"/>
        </w:rPr>
        <w:t>” shall be ________________, 20____.</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be determined on or prior to the Date of Grant]</w:t>
      </w:r>
    </w:p>
    <w:p>
      <w:pPr>
        <w:sectPr>
          <w:pgSz w:w="11900" w:h="16838" w:orient="portrait"/>
          <w:cols w:equalWidth="0" w:num="1">
            <w:col w:w="10139"/>
          </w:cols>
          <w:pgMar w:left="320" w:top="1417" w:right="1440"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10.19</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 2020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OMNIBUS EQUITY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PSU AGREEMENT</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_________________, 20___ (the “</w:t>
      </w:r>
      <w:r>
        <w:rPr>
          <w:rFonts w:ascii="Arial" w:cs="Arial" w:eastAsia="Arial" w:hAnsi="Arial"/>
          <w:sz w:val="16"/>
          <w:szCs w:val="16"/>
          <w:u w:val="single" w:color="auto"/>
          <w:color w:val="auto"/>
        </w:rPr>
        <w:t>Date of Grant</w:t>
      </w:r>
      <w:r>
        <w:rPr>
          <w:rFonts w:ascii="Arial" w:cs="Arial" w:eastAsia="Arial" w:hAnsi="Arial"/>
          <w:sz w:val="16"/>
          <w:szCs w:val="16"/>
          <w:color w:val="auto"/>
        </w:rPr>
        <w:t>”), between International Money Express, Inc., a</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Robert Lisy (“</w:t>
      </w:r>
      <w:r>
        <w:rPr>
          <w:rFonts w:ascii="Arial" w:cs="Arial" w:eastAsia="Arial" w:hAnsi="Arial"/>
          <w:sz w:val="18"/>
          <w:szCs w:val="18"/>
          <w:u w:val="single" w:color="auto"/>
          <w:color w:val="auto"/>
        </w:rPr>
        <w:t>Grantee</w:t>
      </w:r>
      <w:r>
        <w:rPr>
          <w:rFonts w:ascii="Arial" w:cs="Arial" w:eastAsia="Arial" w:hAnsi="Arial"/>
          <w:sz w:val="18"/>
          <w:szCs w:val="18"/>
          <w:color w:val="auto"/>
        </w:rPr>
        <w:t>”), is made pursuant and subject to the provisions of the Company’s 2020 Omnibus Equity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a copy of which has been made available to Grantee. All terms used but not defined herein shall have the meanings given them in Exhibit I, or if such term is not defined in Exhibit I, the Plan.</w:t>
      </w:r>
    </w:p>
    <w:p>
      <w:pPr>
        <w:spacing w:after="0" w:line="213" w:lineRule="exact"/>
        <w:rPr>
          <w:sz w:val="20"/>
          <w:szCs w:val="20"/>
          <w:color w:val="auto"/>
        </w:rPr>
      </w:pPr>
    </w:p>
    <w:p>
      <w:pPr>
        <w:jc w:val="both"/>
        <w:ind w:firstLine="656"/>
        <w:spacing w:after="0" w:line="255" w:lineRule="auto"/>
        <w:tabs>
          <w:tab w:leader="none" w:pos="1296" w:val="left"/>
        </w:tabs>
        <w:numPr>
          <w:ilvl w:val="0"/>
          <w:numId w:val="58"/>
        </w:numPr>
        <w:rPr>
          <w:rFonts w:ascii="Arial" w:cs="Arial" w:eastAsia="Arial" w:hAnsi="Arial"/>
          <w:sz w:val="18"/>
          <w:szCs w:val="18"/>
          <w:color w:val="010000"/>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Subject to the terms and conditions of the Plan and subject further to the terms and conditions herein set forth,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grants Grantee [___________] Performance Shares (the “</w:t>
      </w:r>
      <w:r>
        <w:rPr>
          <w:rFonts w:ascii="Arial" w:cs="Arial" w:eastAsia="Arial" w:hAnsi="Arial"/>
          <w:sz w:val="18"/>
          <w:szCs w:val="18"/>
          <w:u w:val="single" w:color="auto"/>
          <w:color w:val="auto"/>
        </w:rPr>
        <w:t>Target Award</w:t>
      </w:r>
      <w:r>
        <w:rPr>
          <w:rFonts w:ascii="Arial" w:cs="Arial" w:eastAsia="Arial" w:hAnsi="Arial"/>
          <w:sz w:val="18"/>
          <w:szCs w:val="18"/>
          <w:color w:val="auto"/>
        </w:rPr>
        <w:t>”). Each Performance Share granted hereunder (“</w:t>
      </w:r>
      <w:r>
        <w:rPr>
          <w:rFonts w:ascii="Arial" w:cs="Arial" w:eastAsia="Arial" w:hAnsi="Arial"/>
          <w:sz w:val="18"/>
          <w:szCs w:val="18"/>
          <w:u w:val="single" w:color="auto"/>
          <w:color w:val="auto"/>
        </w:rPr>
        <w:t>PSU</w:t>
      </w:r>
      <w:r>
        <w:rPr>
          <w:rFonts w:ascii="Arial" w:cs="Arial" w:eastAsia="Arial" w:hAnsi="Arial"/>
          <w:sz w:val="18"/>
          <w:szCs w:val="18"/>
          <w:color w:val="auto"/>
        </w:rPr>
        <w:t>”) represents the right to receive (i) one share of Stock for each PSU that is vested as of the Vesting Date (as defined below), and (ii) notional dividend equivalents described in Section 5, if any, each in accordance with the terms of and subject to adjustment as provided in this Agreement and the Plan. Grantee acknowledges and agrees that the grant of the PSUs in this Agreement satisfy the obligations of the Company and its Affiliates under Sections 2.04 and 2.05 of the employment agreement between Grantee and Intermex Holdings, Inc., an Affiliate of the Company effective January 1, 2021 (the “</w:t>
      </w:r>
      <w:r>
        <w:rPr>
          <w:rFonts w:ascii="Arial" w:cs="Arial" w:eastAsia="Arial" w:hAnsi="Arial"/>
          <w:sz w:val="18"/>
          <w:szCs w:val="18"/>
          <w:u w:val="single" w:color="auto"/>
          <w:color w:val="auto"/>
        </w:rPr>
        <w:t>Employment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w:t>
      </w:r>
    </w:p>
    <w:p>
      <w:pPr>
        <w:spacing w:after="0" w:line="188" w:lineRule="exact"/>
        <w:rPr>
          <w:rFonts w:ascii="Arial" w:cs="Arial" w:eastAsia="Arial" w:hAnsi="Arial"/>
          <w:sz w:val="18"/>
          <w:szCs w:val="18"/>
          <w:color w:val="010000"/>
        </w:rPr>
      </w:pPr>
    </w:p>
    <w:p>
      <w:pPr>
        <w:ind w:left="1300" w:hanging="644"/>
        <w:spacing w:after="0"/>
        <w:tabs>
          <w:tab w:leader="none" w:pos="1300" w:val="left"/>
        </w:tabs>
        <w:numPr>
          <w:ilvl w:val="0"/>
          <w:numId w:val="58"/>
        </w:numPr>
        <w:rPr>
          <w:rFonts w:ascii="Arial" w:cs="Arial" w:eastAsia="Arial" w:hAnsi="Arial"/>
          <w:sz w:val="18"/>
          <w:szCs w:val="18"/>
          <w:color w:val="010000"/>
        </w:rPr>
      </w:pPr>
      <w:r>
        <w:rPr>
          <w:rFonts w:ascii="Arial" w:cs="Arial" w:eastAsia="Arial" w:hAnsi="Arial"/>
          <w:sz w:val="18"/>
          <w:szCs w:val="18"/>
          <w:b w:val="1"/>
          <w:bCs w:val="1"/>
          <w:color w:val="auto"/>
        </w:rPr>
        <w:t>Vesting</w:t>
      </w:r>
      <w:r>
        <w:rPr>
          <w:rFonts w:ascii="Arial" w:cs="Arial" w:eastAsia="Arial" w:hAnsi="Arial"/>
          <w:sz w:val="18"/>
          <w:szCs w:val="18"/>
          <w:color w:val="auto"/>
        </w:rPr>
        <w:t>.</w:t>
      </w:r>
    </w:p>
    <w:p>
      <w:pPr>
        <w:spacing w:after="0" w:line="229" w:lineRule="exact"/>
        <w:rPr>
          <w:rFonts w:ascii="Arial" w:cs="Arial" w:eastAsia="Arial" w:hAnsi="Arial"/>
          <w:sz w:val="18"/>
          <w:szCs w:val="18"/>
          <w:color w:val="010000"/>
        </w:rPr>
      </w:pPr>
    </w:p>
    <w:p>
      <w:pPr>
        <w:jc w:val="both"/>
        <w:ind w:firstLine="1304"/>
        <w:spacing w:after="0" w:line="270" w:lineRule="auto"/>
        <w:tabs>
          <w:tab w:leader="none" w:pos="1941" w:val="left"/>
        </w:tabs>
        <w:numPr>
          <w:ilvl w:val="1"/>
          <w:numId w:val="58"/>
        </w:numPr>
        <w:rPr>
          <w:rFonts w:ascii="Arial" w:cs="Arial" w:eastAsia="Arial" w:hAnsi="Arial"/>
          <w:sz w:val="17"/>
          <w:szCs w:val="17"/>
          <w:color w:val="010000"/>
        </w:rPr>
      </w:pPr>
      <w:r>
        <w:rPr>
          <w:rFonts w:ascii="Arial" w:cs="Arial" w:eastAsia="Arial" w:hAnsi="Arial"/>
          <w:sz w:val="17"/>
          <w:szCs w:val="17"/>
          <w:color w:val="auto"/>
        </w:rPr>
        <w:t xml:space="preserve">General. Subject to the achievement of the performance goals set forth in </w:t>
      </w:r>
      <w:r>
        <w:rPr>
          <w:rFonts w:ascii="Arial" w:cs="Arial" w:eastAsia="Arial" w:hAnsi="Arial"/>
          <w:sz w:val="17"/>
          <w:szCs w:val="17"/>
          <w:u w:val="single" w:color="auto"/>
          <w:color w:val="auto"/>
        </w:rPr>
        <w:t>Exhibit I</w:t>
      </w:r>
      <w:r>
        <w:rPr>
          <w:rFonts w:ascii="Arial" w:cs="Arial" w:eastAsia="Arial" w:hAnsi="Arial"/>
          <w:sz w:val="17"/>
          <w:szCs w:val="17"/>
          <w:color w:val="auto"/>
        </w:rPr>
        <w:t>, and except as otherwise set forth in Sections 2(c), 2(d), 2(e) and 2(f) herein, the PSUs granted hereby shall vest on the Vesting Date, provided that Grantee has remained in continuous Service (as defined below) through the Vesting Date. The calculation of the number of PSUs, if any, that may vest on the Vesting Date is specified in Exhibit I and is based upon performance goals achieved during the Performance Period. If the Company does not achieve the minimum threshold performance goals (as set forth in Exhibit I) during the Performance Period, the PSUs granted or otherwise eligible to vest hereunder shall be forfeited as of the date of such determination. The number of PSUs that vest on the Vesting Date shall be rounded up to the nearest whole PSU. Except as otherwise expressly provided in Sections 2(c), 2(d), 2(e) and 2(f), or as otherwise determined by the Committee, if Grantee’s Service terminates for any reason at any time prior to the Vesting Date, all of the PSUs shall be automatically forfeited upon such termination of Service and neither the Company nor any Affiliate shall have any further obligation to Grantee under this Agreement.</w:t>
      </w:r>
    </w:p>
    <w:p>
      <w:pPr>
        <w:spacing w:after="0" w:line="180" w:lineRule="exact"/>
        <w:rPr>
          <w:rFonts w:ascii="Arial" w:cs="Arial" w:eastAsia="Arial" w:hAnsi="Arial"/>
          <w:sz w:val="17"/>
          <w:szCs w:val="17"/>
          <w:color w:val="010000"/>
        </w:rPr>
      </w:pPr>
    </w:p>
    <w:p>
      <w:pPr>
        <w:jc w:val="both"/>
        <w:ind w:firstLine="1304"/>
        <w:spacing w:after="0" w:line="296" w:lineRule="auto"/>
        <w:tabs>
          <w:tab w:leader="none" w:pos="1938" w:val="left"/>
        </w:tabs>
        <w:numPr>
          <w:ilvl w:val="1"/>
          <w:numId w:val="58"/>
        </w:numPr>
        <w:rPr>
          <w:rFonts w:ascii="Arial" w:cs="Arial" w:eastAsia="Arial" w:hAnsi="Arial"/>
          <w:sz w:val="16"/>
          <w:szCs w:val="16"/>
          <w:color w:val="010000"/>
        </w:rPr>
      </w:pPr>
      <w:r>
        <w:rPr>
          <w:rFonts w:ascii="Arial" w:cs="Arial" w:eastAsia="Arial" w:hAnsi="Arial"/>
          <w:sz w:val="16"/>
          <w:szCs w:val="16"/>
          <w:color w:val="auto"/>
        </w:rPr>
        <w:t>Committee Determinations Final. All determinations of whether performance goals have been achieved and the number of PSUs earned by Grantee, including any adjustment to be made, shall be made by the Committee in its sole discretion. Following completion of the Performance Period (generally during the first fiscal quarter following the end of the Performance Period), the Committee will review and certify (i) whether, and to what extent, the performance goals for the Performance Period have been achieved, and (ii) the number of PSUs that are eligible to vest upon the Vesting Date, if any. Such certification shall be final, conclusive and binding on Grantee, and on all other persons, to the maximum extent permitted by law.</w:t>
      </w:r>
    </w:p>
    <w:p>
      <w:pPr>
        <w:spacing w:after="0" w:line="161" w:lineRule="exact"/>
        <w:rPr>
          <w:rFonts w:ascii="Arial" w:cs="Arial" w:eastAsia="Arial" w:hAnsi="Arial"/>
          <w:sz w:val="16"/>
          <w:szCs w:val="16"/>
          <w:color w:val="010000"/>
        </w:rPr>
      </w:pPr>
    </w:p>
    <w:p>
      <w:pPr>
        <w:jc w:val="both"/>
        <w:ind w:firstLine="1304"/>
        <w:spacing w:after="0" w:line="255" w:lineRule="auto"/>
        <w:tabs>
          <w:tab w:leader="none" w:pos="1941" w:val="left"/>
        </w:tabs>
        <w:numPr>
          <w:ilvl w:val="1"/>
          <w:numId w:val="58"/>
        </w:numPr>
        <w:rPr>
          <w:rFonts w:ascii="Arial" w:cs="Arial" w:eastAsia="Arial" w:hAnsi="Arial"/>
          <w:sz w:val="18"/>
          <w:szCs w:val="18"/>
          <w:color w:val="010000"/>
        </w:rPr>
      </w:pPr>
      <w:r>
        <w:rPr>
          <w:rFonts w:ascii="Arial" w:cs="Arial" w:eastAsia="Arial" w:hAnsi="Arial"/>
          <w:sz w:val="18"/>
          <w:szCs w:val="18"/>
          <w:color w:val="auto"/>
        </w:rPr>
        <w:t>Grantee’s Death or Disability. If Grantee dies or becomes “disabled” within the meaning of Section 409A(a)(2)(C)(i) or (ii) of the Code (“Disabled” or a “Disability”) prior to the cessation of Grantee’s employment or provision of services to the Company or its Affiliate (“</w:t>
      </w:r>
      <w:r>
        <w:rPr>
          <w:rFonts w:ascii="Arial" w:cs="Arial" w:eastAsia="Arial" w:hAnsi="Arial"/>
          <w:sz w:val="18"/>
          <w:szCs w:val="18"/>
          <w:u w:val="single" w:color="auto"/>
          <w:color w:val="auto"/>
        </w:rPr>
        <w:t>Service</w:t>
      </w:r>
      <w:r>
        <w:rPr>
          <w:rFonts w:ascii="Arial" w:cs="Arial" w:eastAsia="Arial" w:hAnsi="Arial"/>
          <w:sz w:val="18"/>
          <w:szCs w:val="18"/>
          <w:color w:val="auto"/>
        </w:rPr>
        <w:t>”) and during the Performance Period, then PSUs equal to 100% of the Target Award shall vest on the date of such death or Disability (as applicable). If Grantee dies or becomes Disabled prior to the cessation of Grantee’s Service following the Performance Period but prior to the Vesting Date, all of the outstanding PSUs eligible to vest based on the performance achieved during the Performance Period, as certified by the Committee, shall vest as of the date of such death or Disability (as applicable).</w:t>
      </w:r>
    </w:p>
    <w:p>
      <w:pPr>
        <w:spacing w:after="0" w:line="192" w:lineRule="exact"/>
        <w:rPr>
          <w:rFonts w:ascii="Arial" w:cs="Arial" w:eastAsia="Arial" w:hAnsi="Arial"/>
          <w:sz w:val="18"/>
          <w:szCs w:val="18"/>
          <w:color w:val="010000"/>
        </w:rPr>
      </w:pPr>
    </w:p>
    <w:p>
      <w:pPr>
        <w:jc w:val="both"/>
        <w:ind w:firstLine="1304"/>
        <w:spacing w:after="0" w:line="273" w:lineRule="auto"/>
        <w:tabs>
          <w:tab w:leader="none" w:pos="1938" w:val="left"/>
        </w:tabs>
        <w:numPr>
          <w:ilvl w:val="1"/>
          <w:numId w:val="58"/>
        </w:numPr>
        <w:rPr>
          <w:rFonts w:ascii="Arial" w:cs="Arial" w:eastAsia="Arial" w:hAnsi="Arial"/>
          <w:sz w:val="17"/>
          <w:szCs w:val="17"/>
          <w:color w:val="010000"/>
        </w:rPr>
      </w:pPr>
      <w:r>
        <w:rPr>
          <w:rFonts w:ascii="Arial" w:cs="Arial" w:eastAsia="Arial" w:hAnsi="Arial"/>
          <w:sz w:val="17"/>
          <w:szCs w:val="17"/>
          <w:color w:val="auto"/>
        </w:rPr>
        <w:t>Termination of Service by the Company or its Affiliate Without Cause. If Grantee’s Service terminates by action of the Company or its Affiliate without Cause (as defined in the Employment Agreement) during the first twelve (12) months of the Performance Period, all PSUs granted hereunder shall be automatically forfeited upon such Service termination. If Grantee’s Service terminates by action of the Company or its Affiliate without Cause after the first twelve (12) months of the Performance Period, then a pro rata portion of the PSUs, determined by multiplying the payout percentage certified by the Committee for the full Performance Period by a fraction, the numerator of which is the number of whole months between the first day of the Performance Period and the date of Grantee’s termination of Service, and the</w:t>
      </w:r>
    </w:p>
    <w:p>
      <w:pPr>
        <w:sectPr>
          <w:pgSz w:w="11900" w:h="16838" w:orient="portrait"/>
          <w:cols w:equalWidth="0" w:num="1">
            <w:col w:w="11240"/>
          </w:cols>
          <w:pgMar w:left="320" w:top="121" w:right="339" w:bottom="1440" w:gutter="0" w:footer="0" w:header="0"/>
        </w:sectPr>
      </w:pPr>
    </w:p>
    <w:bookmarkStart w:id="119" w:name="page120"/>
    <w:bookmarkEnd w:id="119"/>
    <w:p>
      <w:pPr>
        <w:jc w:val="both"/>
        <w:spacing w:after="0" w:line="263" w:lineRule="auto"/>
        <w:rPr>
          <w:sz w:val="20"/>
          <w:szCs w:val="20"/>
          <w:color w:val="auto"/>
        </w:rPr>
      </w:pPr>
      <w:r>
        <w:rPr>
          <w:rFonts w:ascii="Arial" w:cs="Arial" w:eastAsia="Arial" w:hAnsi="Arial"/>
          <w:sz w:val="18"/>
          <w:szCs w:val="18"/>
          <w:color w:val="auto"/>
        </w:rPr>
        <w:t>denominator of which is the number of months from the first day of the Performance Period to the Vesting Date, shall be eligible to vest as of the date of such Service termination based on attainment of performance goals through the Performance Period. Any PSUs that are not eligible to vest shall be forfeited.</w:t>
      </w:r>
    </w:p>
    <w:p>
      <w:pPr>
        <w:spacing w:after="0" w:line="184" w:lineRule="exact"/>
        <w:rPr>
          <w:sz w:val="20"/>
          <w:szCs w:val="20"/>
          <w:color w:val="auto"/>
        </w:rPr>
      </w:pPr>
    </w:p>
    <w:p>
      <w:pPr>
        <w:jc w:val="both"/>
        <w:ind w:firstLine="1304"/>
        <w:spacing w:after="0" w:line="279" w:lineRule="auto"/>
        <w:tabs>
          <w:tab w:leader="none" w:pos="1941" w:val="left"/>
        </w:tabs>
        <w:numPr>
          <w:ilvl w:val="1"/>
          <w:numId w:val="59"/>
        </w:numPr>
        <w:rPr>
          <w:rFonts w:ascii="Arial" w:cs="Arial" w:eastAsia="Arial" w:hAnsi="Arial"/>
          <w:sz w:val="17"/>
          <w:szCs w:val="17"/>
          <w:color w:val="010000"/>
        </w:rPr>
      </w:pPr>
      <w:r>
        <w:rPr>
          <w:rFonts w:ascii="Arial" w:cs="Arial" w:eastAsia="Arial" w:hAnsi="Arial"/>
          <w:sz w:val="17"/>
          <w:szCs w:val="17"/>
          <w:color w:val="auto"/>
        </w:rPr>
        <w:t>Termination of Service by Grantee for Retirement. If Grantee’s Service terminates due to Grantee’s resignation for Retirement (as defined in the Employment Agreement), then Grantee shall be eligible to vest in PSUs as determined under this Agreement as though his Service continued through the Vesting Date. Notwithstanding the foregoing, without limiting any party’s rights or obligations, all theretofore unsettled PSUs shall be forfeited immediately upon Grantee’s breach of his obligations under Section 5 of the Employment Agreement.</w:t>
      </w:r>
    </w:p>
    <w:p>
      <w:pPr>
        <w:spacing w:after="0" w:line="171" w:lineRule="exact"/>
        <w:rPr>
          <w:rFonts w:ascii="Arial" w:cs="Arial" w:eastAsia="Arial" w:hAnsi="Arial"/>
          <w:sz w:val="17"/>
          <w:szCs w:val="17"/>
          <w:color w:val="010000"/>
        </w:rPr>
      </w:pPr>
    </w:p>
    <w:p>
      <w:pPr>
        <w:ind w:left="1940" w:hanging="636"/>
        <w:spacing w:after="0"/>
        <w:tabs>
          <w:tab w:leader="none" w:pos="1940" w:val="left"/>
        </w:tabs>
        <w:numPr>
          <w:ilvl w:val="1"/>
          <w:numId w:val="59"/>
        </w:numPr>
        <w:rPr>
          <w:rFonts w:ascii="Arial" w:cs="Arial" w:eastAsia="Arial" w:hAnsi="Arial"/>
          <w:sz w:val="18"/>
          <w:szCs w:val="18"/>
          <w:color w:val="010000"/>
        </w:rPr>
      </w:pPr>
      <w:r>
        <w:rPr>
          <w:rFonts w:ascii="Arial" w:cs="Arial" w:eastAsia="Arial" w:hAnsi="Arial"/>
          <w:sz w:val="18"/>
          <w:szCs w:val="18"/>
          <w:color w:val="auto"/>
        </w:rPr>
        <w:t>Change of Control.</w:t>
      </w:r>
    </w:p>
    <w:p>
      <w:pPr>
        <w:spacing w:after="0" w:line="225" w:lineRule="exact"/>
        <w:rPr>
          <w:rFonts w:ascii="Arial" w:cs="Arial" w:eastAsia="Arial" w:hAnsi="Arial"/>
          <w:sz w:val="18"/>
          <w:szCs w:val="18"/>
          <w:color w:val="010000"/>
        </w:rPr>
      </w:pPr>
    </w:p>
    <w:p>
      <w:pPr>
        <w:jc w:val="both"/>
        <w:ind w:left="1300" w:firstLine="401"/>
        <w:spacing w:after="0" w:line="301" w:lineRule="auto"/>
        <w:tabs>
          <w:tab w:leader="none" w:pos="1948" w:val="left"/>
        </w:tabs>
        <w:numPr>
          <w:ilvl w:val="2"/>
          <w:numId w:val="59"/>
        </w:numPr>
        <w:rPr>
          <w:rFonts w:ascii="Arial" w:cs="Arial" w:eastAsia="Arial" w:hAnsi="Arial"/>
          <w:sz w:val="16"/>
          <w:szCs w:val="16"/>
          <w:color w:val="010000"/>
        </w:rPr>
      </w:pPr>
      <w:r>
        <w:rPr>
          <w:rFonts w:ascii="Arial" w:cs="Arial" w:eastAsia="Arial" w:hAnsi="Arial"/>
          <w:sz w:val="16"/>
          <w:szCs w:val="16"/>
          <w:color w:val="auto"/>
        </w:rPr>
        <w:t>If a Change of Control occurs during the first twelve (12) months of the Performance Period, 100% of the Target Award PSUs shall convert to time-vested Stock Units (such converted PSUs, “</w:t>
      </w:r>
      <w:r>
        <w:rPr>
          <w:rFonts w:ascii="Arial" w:cs="Arial" w:eastAsia="Arial" w:hAnsi="Arial"/>
          <w:sz w:val="16"/>
          <w:szCs w:val="16"/>
          <w:u w:val="single" w:color="auto"/>
          <w:color w:val="auto"/>
        </w:rPr>
        <w:t>RSUs</w:t>
      </w:r>
      <w:r>
        <w:rPr>
          <w:rFonts w:ascii="Arial" w:cs="Arial" w:eastAsia="Arial" w:hAnsi="Arial"/>
          <w:sz w:val="16"/>
          <w:szCs w:val="16"/>
          <w:color w:val="auto"/>
        </w:rPr>
        <w:t>”) and all such RSUs shall, subject to continued Service through the Vesting Date, vest on the Vesting Date and be settled at the same time the original PSUs would have been settled in accordance with Section 3 of this Agreement. Any PSUs that are not eligible to vest as of the Change of Control shall be forfeited.</w:t>
      </w:r>
    </w:p>
    <w:p>
      <w:pPr>
        <w:spacing w:after="0" w:line="157" w:lineRule="exact"/>
        <w:rPr>
          <w:rFonts w:ascii="Arial" w:cs="Arial" w:eastAsia="Arial" w:hAnsi="Arial"/>
          <w:sz w:val="16"/>
          <w:szCs w:val="16"/>
          <w:color w:val="010000"/>
        </w:rPr>
      </w:pPr>
    </w:p>
    <w:p>
      <w:pPr>
        <w:jc w:val="both"/>
        <w:ind w:left="1300" w:firstLine="351"/>
        <w:spacing w:after="0" w:line="296" w:lineRule="auto"/>
        <w:tabs>
          <w:tab w:leader="none" w:pos="1948" w:val="left"/>
        </w:tabs>
        <w:numPr>
          <w:ilvl w:val="2"/>
          <w:numId w:val="59"/>
        </w:numPr>
        <w:rPr>
          <w:rFonts w:ascii="Arial" w:cs="Arial" w:eastAsia="Arial" w:hAnsi="Arial"/>
          <w:sz w:val="16"/>
          <w:szCs w:val="16"/>
          <w:color w:val="010000"/>
        </w:rPr>
      </w:pPr>
      <w:r>
        <w:rPr>
          <w:rFonts w:ascii="Arial" w:cs="Arial" w:eastAsia="Arial" w:hAnsi="Arial"/>
          <w:sz w:val="16"/>
          <w:szCs w:val="16"/>
          <w:color w:val="auto"/>
        </w:rPr>
        <w:t>If a Change of Control occurs after the first twelve (12) months of the Performance Period but before the Vesting Date, all PSUs eligible to vest based on performance goals achieved in the most recently completed fiscal year(s) as of the date of such Change of Control, as certified by the Committee, shall convert to time-vested RSUs and all such RSUs shall, subject to continued Service through the Vesting Date, vest on the Vesting Date and be settled at the same time the original PSUs would have been settled in accordance with Section 3 of this Agreement. Any PSUs that are not eligible to vest as of the Change of Control shall be forfeited.</w:t>
      </w:r>
    </w:p>
    <w:p>
      <w:pPr>
        <w:spacing w:after="0" w:line="161" w:lineRule="exact"/>
        <w:rPr>
          <w:rFonts w:ascii="Arial" w:cs="Arial" w:eastAsia="Arial" w:hAnsi="Arial"/>
          <w:sz w:val="16"/>
          <w:szCs w:val="16"/>
          <w:color w:val="010000"/>
        </w:rPr>
      </w:pPr>
    </w:p>
    <w:p>
      <w:pPr>
        <w:jc w:val="both"/>
        <w:ind w:left="1300" w:firstLine="301"/>
        <w:spacing w:after="0" w:line="257" w:lineRule="auto"/>
        <w:tabs>
          <w:tab w:leader="none" w:pos="1948" w:val="left"/>
        </w:tabs>
        <w:numPr>
          <w:ilvl w:val="2"/>
          <w:numId w:val="59"/>
        </w:numPr>
        <w:rPr>
          <w:rFonts w:ascii="Arial" w:cs="Arial" w:eastAsia="Arial" w:hAnsi="Arial"/>
          <w:sz w:val="18"/>
          <w:szCs w:val="18"/>
          <w:color w:val="010000"/>
        </w:rPr>
      </w:pPr>
      <w:r>
        <w:rPr>
          <w:rFonts w:ascii="Arial" w:cs="Arial" w:eastAsia="Arial" w:hAnsi="Arial"/>
          <w:sz w:val="18"/>
          <w:szCs w:val="18"/>
          <w:color w:val="auto"/>
        </w:rPr>
        <w:t>Notwithstanding the foregoing or anything in Section 2(e) to the contrary, if a Change of Control that qualifies as a “change in control event” within the meaning of Treasury Regulation Section 1.409A3(i)(5), (a “</w:t>
      </w:r>
      <w:r>
        <w:rPr>
          <w:rFonts w:ascii="Arial" w:cs="Arial" w:eastAsia="Arial" w:hAnsi="Arial"/>
          <w:sz w:val="18"/>
          <w:szCs w:val="18"/>
          <w:u w:val="single" w:color="auto"/>
          <w:color w:val="auto"/>
        </w:rPr>
        <w:t>409A Change of Control</w:t>
      </w:r>
      <w:r>
        <w:rPr>
          <w:rFonts w:ascii="Arial" w:cs="Arial" w:eastAsia="Arial" w:hAnsi="Arial"/>
          <w:sz w:val="18"/>
          <w:szCs w:val="18"/>
          <w:color w:val="auto"/>
        </w:rPr>
        <w:t>”) occurs and, at any time prior to the second (2nd) anniversary of the 409A Change of Control, Grantee’s Service terminates due to Grantee’s death or disability, by action of the Company or its Affiliate without Cause or due to Grantee’s Retirement, all time-vested RSUs shall become immediately vested upon such Service termination.</w:t>
      </w:r>
    </w:p>
    <w:p>
      <w:pPr>
        <w:spacing w:after="0" w:line="187" w:lineRule="exact"/>
        <w:rPr>
          <w:rFonts w:ascii="Arial" w:cs="Arial" w:eastAsia="Arial" w:hAnsi="Arial"/>
          <w:sz w:val="18"/>
          <w:szCs w:val="18"/>
          <w:color w:val="010000"/>
        </w:rPr>
      </w:pPr>
    </w:p>
    <w:p>
      <w:pPr>
        <w:jc w:val="both"/>
        <w:ind w:left="1300" w:firstLine="311"/>
        <w:spacing w:after="0" w:line="263" w:lineRule="auto"/>
        <w:tabs>
          <w:tab w:leader="none" w:pos="1948" w:val="left"/>
        </w:tabs>
        <w:numPr>
          <w:ilvl w:val="2"/>
          <w:numId w:val="59"/>
        </w:numPr>
        <w:rPr>
          <w:rFonts w:ascii="Arial" w:cs="Arial" w:eastAsia="Arial" w:hAnsi="Arial"/>
          <w:sz w:val="18"/>
          <w:szCs w:val="18"/>
          <w:color w:val="010000"/>
        </w:rPr>
      </w:pPr>
      <w:r>
        <w:rPr>
          <w:rFonts w:ascii="Arial" w:cs="Arial" w:eastAsia="Arial" w:hAnsi="Arial"/>
          <w:sz w:val="18"/>
          <w:szCs w:val="18"/>
          <w:color w:val="auto"/>
        </w:rPr>
        <w:t>Notwithstanding the foregoing clauses (i) through (iii), if a Change of Control occurs and the surviving entity does not assume and continue the PSUs, then the PSUs shall become fully vested immediately prior to the Change of Control based on the performance assumptions described in clauses (i) and (ii) above.</w:t>
      </w:r>
    </w:p>
    <w:p>
      <w:pPr>
        <w:spacing w:after="0" w:line="183" w:lineRule="exact"/>
        <w:rPr>
          <w:rFonts w:ascii="Arial" w:cs="Arial" w:eastAsia="Arial" w:hAnsi="Arial"/>
          <w:sz w:val="18"/>
          <w:szCs w:val="18"/>
          <w:color w:val="010000"/>
        </w:rPr>
      </w:pPr>
    </w:p>
    <w:p>
      <w:pPr>
        <w:ind w:left="1960" w:hanging="299"/>
        <w:spacing w:after="0"/>
        <w:tabs>
          <w:tab w:leader="none" w:pos="1960" w:val="left"/>
        </w:tabs>
        <w:numPr>
          <w:ilvl w:val="2"/>
          <w:numId w:val="59"/>
        </w:numPr>
        <w:rPr>
          <w:rFonts w:ascii="Arial" w:cs="Arial" w:eastAsia="Arial" w:hAnsi="Arial"/>
          <w:sz w:val="18"/>
          <w:szCs w:val="18"/>
          <w:color w:val="010000"/>
        </w:rPr>
      </w:pPr>
      <w:r>
        <w:rPr>
          <w:rFonts w:ascii="Arial" w:cs="Arial" w:eastAsia="Arial" w:hAnsi="Arial"/>
          <w:sz w:val="18"/>
          <w:szCs w:val="18"/>
          <w:color w:val="auto"/>
        </w:rPr>
        <w:t>All references to PSUs herein shall include the RSUs into which PSUs may be converted.</w:t>
      </w:r>
    </w:p>
    <w:p>
      <w:pPr>
        <w:spacing w:after="0" w:line="221" w:lineRule="exact"/>
        <w:rPr>
          <w:rFonts w:ascii="Arial" w:cs="Arial" w:eastAsia="Arial" w:hAnsi="Arial"/>
          <w:sz w:val="18"/>
          <w:szCs w:val="18"/>
          <w:color w:val="010000"/>
        </w:rPr>
      </w:pPr>
    </w:p>
    <w:p>
      <w:pPr>
        <w:ind w:left="1300" w:hanging="644"/>
        <w:spacing w:after="0"/>
        <w:tabs>
          <w:tab w:leader="none" w:pos="1300" w:val="left"/>
        </w:tabs>
        <w:numPr>
          <w:ilvl w:val="0"/>
          <w:numId w:val="60"/>
        </w:numPr>
        <w:rPr>
          <w:rFonts w:ascii="Arial" w:cs="Arial" w:eastAsia="Arial" w:hAnsi="Arial"/>
          <w:sz w:val="18"/>
          <w:szCs w:val="18"/>
          <w:color w:val="010000"/>
        </w:rPr>
      </w:pPr>
      <w:r>
        <w:rPr>
          <w:rFonts w:ascii="Arial" w:cs="Arial" w:eastAsia="Arial" w:hAnsi="Arial"/>
          <w:sz w:val="18"/>
          <w:szCs w:val="18"/>
          <w:b w:val="1"/>
          <w:bCs w:val="1"/>
          <w:color w:val="auto"/>
        </w:rPr>
        <w:t>Payment of PSUs (Settlement).</w:t>
      </w:r>
    </w:p>
    <w:p>
      <w:pPr>
        <w:spacing w:after="0" w:line="229" w:lineRule="exact"/>
        <w:rPr>
          <w:rFonts w:ascii="Arial" w:cs="Arial" w:eastAsia="Arial" w:hAnsi="Arial"/>
          <w:sz w:val="18"/>
          <w:szCs w:val="18"/>
          <w:color w:val="010000"/>
        </w:rPr>
      </w:pPr>
    </w:p>
    <w:p>
      <w:pPr>
        <w:jc w:val="both"/>
        <w:ind w:firstLine="1304"/>
        <w:spacing w:after="0" w:line="279" w:lineRule="auto"/>
        <w:tabs>
          <w:tab w:leader="none" w:pos="1941" w:val="left"/>
        </w:tabs>
        <w:numPr>
          <w:ilvl w:val="1"/>
          <w:numId w:val="60"/>
        </w:numPr>
        <w:rPr>
          <w:rFonts w:ascii="Arial" w:cs="Arial" w:eastAsia="Arial" w:hAnsi="Arial"/>
          <w:sz w:val="17"/>
          <w:szCs w:val="17"/>
          <w:color w:val="010000"/>
        </w:rPr>
      </w:pPr>
      <w:r>
        <w:rPr>
          <w:rFonts w:ascii="Arial" w:cs="Arial" w:eastAsia="Arial" w:hAnsi="Arial"/>
          <w:sz w:val="17"/>
          <w:szCs w:val="17"/>
          <w:color w:val="auto"/>
        </w:rPr>
        <w:t>Payment in respect of the PSUs eligible to vest for the Performance Period (i.e., the settlement of such PSUs) shall be made in shares of Stock that shall be issued to Grantee as soon as practicable (and in any event within thirty (30) days) following the Vesting Date, or, if earlier, (a) the date of Grantee’s death or Disability, as applicable, while in continuous Service or (b) if a 409A Change of Control occurs and Grantee’s Service terminates prior to the second (2nd) anniversary of the 409A Change of Control, the date of such termination of Service.</w:t>
      </w:r>
    </w:p>
    <w:p>
      <w:pPr>
        <w:spacing w:after="0" w:line="171" w:lineRule="exact"/>
        <w:rPr>
          <w:rFonts w:ascii="Arial" w:cs="Arial" w:eastAsia="Arial" w:hAnsi="Arial"/>
          <w:sz w:val="17"/>
          <w:szCs w:val="17"/>
          <w:color w:val="010000"/>
        </w:rPr>
      </w:pPr>
    </w:p>
    <w:p>
      <w:pPr>
        <w:jc w:val="both"/>
        <w:ind w:firstLine="1304"/>
        <w:spacing w:after="0" w:line="296" w:lineRule="auto"/>
        <w:tabs>
          <w:tab w:leader="none" w:pos="1938" w:val="left"/>
        </w:tabs>
        <w:numPr>
          <w:ilvl w:val="1"/>
          <w:numId w:val="60"/>
        </w:numPr>
        <w:rPr>
          <w:rFonts w:ascii="Arial" w:cs="Arial" w:eastAsia="Arial" w:hAnsi="Arial"/>
          <w:sz w:val="16"/>
          <w:szCs w:val="16"/>
          <w:color w:val="010000"/>
        </w:rPr>
      </w:pPr>
      <w:r>
        <w:rPr>
          <w:rFonts w:ascii="Arial" w:cs="Arial" w:eastAsia="Arial" w:hAnsi="Arial"/>
          <w:sz w:val="16"/>
          <w:szCs w:val="16"/>
          <w:color w:val="auto"/>
        </w:rPr>
        <w:t>Certificates or evidence of book-entry shares representing the Stock issued upon settlement of PSUs pursuant to this Section 3 will be delivered to or otherwise made available to Grantee (or, at the discretion of Grantee, jointly in the names of Grantee and Grantee’s spouse) or, in the case of Grantee’s death, to Grantee’s beneficiary or, if none is identified in the records of the Company, Grantee’s spouse or, if none, Grantee’s estate. It is intended that delivery of shares of Stock under this Agreement will comply with all applicable laws (including, the requirements of the Securities Act of 1933,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and the applicable requirements of any securities exchange or similar entity.</w:t>
      </w:r>
    </w:p>
    <w:p>
      <w:pPr>
        <w:spacing w:after="0" w:line="161" w:lineRule="exact"/>
        <w:rPr>
          <w:rFonts w:ascii="Arial" w:cs="Arial" w:eastAsia="Arial" w:hAnsi="Arial"/>
          <w:sz w:val="16"/>
          <w:szCs w:val="16"/>
          <w:color w:val="010000"/>
        </w:rPr>
      </w:pPr>
    </w:p>
    <w:p>
      <w:pPr>
        <w:ind w:firstLine="1304"/>
        <w:spacing w:after="0" w:line="277" w:lineRule="auto"/>
        <w:tabs>
          <w:tab w:leader="none" w:pos="1941" w:val="left"/>
        </w:tabs>
        <w:numPr>
          <w:ilvl w:val="1"/>
          <w:numId w:val="60"/>
        </w:numPr>
        <w:rPr>
          <w:rFonts w:ascii="Arial" w:cs="Arial" w:eastAsia="Arial" w:hAnsi="Arial"/>
          <w:sz w:val="18"/>
          <w:szCs w:val="18"/>
          <w:color w:val="010000"/>
        </w:rPr>
      </w:pPr>
      <w:r>
        <w:rPr>
          <w:rFonts w:ascii="Arial" w:cs="Arial" w:eastAsia="Arial" w:hAnsi="Arial"/>
          <w:sz w:val="18"/>
          <w:szCs w:val="18"/>
          <w:color w:val="auto"/>
        </w:rPr>
        <w:t>Notwithstanding anything herein to the contrary, (i) to the extent Grantee breaches any restrictive covenants under an agreement Grantee entered into with the Company or any of its Affiliates, including without limitation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97" w:right="339" w:bottom="1440" w:gutter="0" w:footer="0" w:header="0"/>
        </w:sectPr>
      </w:pPr>
    </w:p>
    <w:bookmarkStart w:id="120" w:name="page121"/>
    <w:bookmarkEnd w:id="120"/>
    <w:p>
      <w:pPr>
        <w:spacing w:after="0" w:line="277" w:lineRule="auto"/>
        <w:rPr>
          <w:sz w:val="20"/>
          <w:szCs w:val="20"/>
          <w:color w:val="auto"/>
        </w:rPr>
      </w:pPr>
      <w:r>
        <w:rPr>
          <w:rFonts w:ascii="Arial" w:cs="Arial" w:eastAsia="Arial" w:hAnsi="Arial"/>
          <w:sz w:val="18"/>
          <w:szCs w:val="18"/>
          <w:color w:val="auto"/>
        </w:rPr>
        <w:t>those set forth in Section 5 of the Employment Agreement, the PSUs may be immediately forfeited to the extent not yet settled and (ii) the PSUs are subject to forfeiture and any Stock issued hereunder subject to clawback in accordance with Section 21(g) of the Plan.</w:t>
      </w:r>
    </w:p>
    <w:p>
      <w:pPr>
        <w:spacing w:after="0" w:line="166" w:lineRule="exact"/>
        <w:rPr>
          <w:sz w:val="20"/>
          <w:szCs w:val="20"/>
          <w:color w:val="auto"/>
        </w:rPr>
      </w:pPr>
    </w:p>
    <w:p>
      <w:pPr>
        <w:jc w:val="both"/>
        <w:ind w:firstLine="656"/>
        <w:spacing w:after="0" w:line="273" w:lineRule="auto"/>
        <w:tabs>
          <w:tab w:leader="none" w:pos="1296" w:val="left"/>
        </w:tabs>
        <w:numPr>
          <w:ilvl w:val="0"/>
          <w:numId w:val="61"/>
        </w:numPr>
        <w:rPr>
          <w:rFonts w:ascii="Arial" w:cs="Arial" w:eastAsia="Arial" w:hAnsi="Arial"/>
          <w:sz w:val="17"/>
          <w:szCs w:val="17"/>
          <w:color w:val="010000"/>
        </w:rPr>
      </w:pPr>
      <w:r>
        <w:rPr>
          <w:rFonts w:ascii="Arial" w:cs="Arial" w:eastAsia="Arial" w:hAnsi="Arial"/>
          <w:sz w:val="17"/>
          <w:szCs w:val="17"/>
          <w:b w:val="1"/>
          <w:bCs w:val="1"/>
          <w:color w:val="auto"/>
        </w:rPr>
        <w:t xml:space="preserve">Transferability. </w:t>
      </w:r>
      <w:r>
        <w:rPr>
          <w:rFonts w:ascii="Arial" w:cs="Arial" w:eastAsia="Arial" w:hAnsi="Arial"/>
          <w:sz w:val="17"/>
          <w:szCs w:val="17"/>
          <w:color w:val="auto"/>
        </w:rPr>
        <w:t>The PSUs subject to this Award or the rights relating thereto may not be assigned, alienated, pledged, attached, sold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transferred or encumbered by Grantee, except by will or the laws of descent and distribution, and upon any such transfer by will or the laws of descent and distribution, the transferee shall hold such PSUs subject to all of the terms and conditions that were applicable to Grantee immediately prior to such transfer. After such PSUs vest and are settled in accordance with this Agreement, no sale or disposition of such shares of Stock shall be made in the absence of an effective registration statement under the Securities Act with respect to such shares unless an opinion of counsel satisfactory to the Company that such sale or disposition will not constitute a violation of the Securities Act or any other applicable securities laws is first obtained or an exemption from such registration pursuant to Rule 144 under the Securities Act or otherwise is available.</w:t>
      </w:r>
    </w:p>
    <w:p>
      <w:pPr>
        <w:spacing w:after="0" w:line="171" w:lineRule="exact"/>
        <w:rPr>
          <w:rFonts w:ascii="Arial" w:cs="Arial" w:eastAsia="Arial" w:hAnsi="Arial"/>
          <w:sz w:val="17"/>
          <w:szCs w:val="17"/>
          <w:color w:val="010000"/>
        </w:rPr>
      </w:pPr>
    </w:p>
    <w:p>
      <w:pPr>
        <w:jc w:val="both"/>
        <w:ind w:firstLine="656"/>
        <w:spacing w:after="0" w:line="273" w:lineRule="auto"/>
        <w:tabs>
          <w:tab w:leader="none" w:pos="1296" w:val="left"/>
        </w:tabs>
        <w:numPr>
          <w:ilvl w:val="0"/>
          <w:numId w:val="61"/>
        </w:numPr>
        <w:rPr>
          <w:rFonts w:ascii="Arial" w:cs="Arial" w:eastAsia="Arial" w:hAnsi="Arial"/>
          <w:sz w:val="17"/>
          <w:szCs w:val="17"/>
          <w:color w:val="010000"/>
        </w:rPr>
      </w:pPr>
      <w:r>
        <w:rPr>
          <w:rFonts w:ascii="Arial" w:cs="Arial" w:eastAsia="Arial" w:hAnsi="Arial"/>
          <w:sz w:val="17"/>
          <w:szCs w:val="17"/>
          <w:b w:val="1"/>
          <w:bCs w:val="1"/>
          <w:color w:val="auto"/>
        </w:rPr>
        <w:t xml:space="preserve">Rights as Shareholder; Dividend Equivalents. </w:t>
      </w:r>
      <w:r>
        <w:rPr>
          <w:rFonts w:ascii="Arial" w:cs="Arial" w:eastAsia="Arial" w:hAnsi="Arial"/>
          <w:sz w:val="17"/>
          <w:szCs w:val="17"/>
          <w:color w:val="auto"/>
        </w:rPr>
        <w:t>Grantee shall have no rights as a stockholder with respect to the PSUs unless and until</w:t>
      </w:r>
      <w:r>
        <w:rPr>
          <w:rFonts w:ascii="Arial" w:cs="Arial" w:eastAsia="Arial" w:hAnsi="Arial"/>
          <w:sz w:val="17"/>
          <w:szCs w:val="17"/>
          <w:b w:val="1"/>
          <w:bCs w:val="1"/>
          <w:color w:val="auto"/>
        </w:rPr>
        <w:t xml:space="preserve"> </w:t>
      </w:r>
      <w:r>
        <w:rPr>
          <w:rFonts w:ascii="Arial" w:cs="Arial" w:eastAsia="Arial" w:hAnsi="Arial"/>
          <w:sz w:val="17"/>
          <w:szCs w:val="17"/>
          <w:color w:val="auto"/>
        </w:rPr>
        <w:t>the PSUs are settled by delivery of Stock in accordance with Section 3(b) of this Agreement. As of any date that the Company pays an ordinary cash dividend on its shares of Stock, the Company will increase the number of PSUs hereunder (i.e., by increasing the Target Award) by the number of shares of Stock that represent an amount equal to the per share value of dividend paid by the Company on its shares of Stock (if paid in cash or shares) multiplied by the number of target PSUs held by Grantee as of the related dividend payment record date. Any such additional PSUs shall be subject to the same vesting, forfeiture, payment, termination and other terms, conditions and restrictions as the original PSUs to which they relate. No additional PSUs shall be granted with respect to any PSUs which, as of the record date, have either been paid or terminated.</w:t>
      </w:r>
    </w:p>
    <w:p>
      <w:pPr>
        <w:spacing w:after="0" w:line="171" w:lineRule="exact"/>
        <w:rPr>
          <w:rFonts w:ascii="Arial" w:cs="Arial" w:eastAsia="Arial" w:hAnsi="Arial"/>
          <w:sz w:val="17"/>
          <w:szCs w:val="17"/>
          <w:color w:val="010000"/>
        </w:rPr>
      </w:pPr>
    </w:p>
    <w:p>
      <w:pPr>
        <w:jc w:val="both"/>
        <w:ind w:firstLine="656"/>
        <w:spacing w:after="0" w:line="314" w:lineRule="auto"/>
        <w:tabs>
          <w:tab w:leader="none" w:pos="1296" w:val="left"/>
        </w:tabs>
        <w:numPr>
          <w:ilvl w:val="0"/>
          <w:numId w:val="61"/>
        </w:numPr>
        <w:rPr>
          <w:rFonts w:ascii="Arial" w:cs="Arial" w:eastAsia="Arial" w:hAnsi="Arial"/>
          <w:sz w:val="16"/>
          <w:szCs w:val="16"/>
          <w:color w:val="010000"/>
        </w:rPr>
      </w:pPr>
      <w:r>
        <w:rPr>
          <w:rFonts w:ascii="Arial" w:cs="Arial" w:eastAsia="Arial" w:hAnsi="Arial"/>
          <w:sz w:val="16"/>
          <w:szCs w:val="16"/>
          <w:b w:val="1"/>
          <w:bCs w:val="1"/>
          <w:color w:val="auto"/>
        </w:rPr>
        <w:t xml:space="preserve">Change in Capital Structure. </w:t>
      </w:r>
      <w:r>
        <w:rPr>
          <w:rFonts w:ascii="Arial" w:cs="Arial" w:eastAsia="Arial" w:hAnsi="Arial"/>
          <w:sz w:val="16"/>
          <w:szCs w:val="16"/>
          <w:color w:val="auto"/>
        </w:rPr>
        <w:t>In accordance with Section 5(d) of the Plan, the terms of this Agreement, including the number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Stock in respect of the PSUs shall be adjusted as the Administrator determines is equitably required in the event the Company effects one or more stock dividends, stock splits, subdivisions or consolidations of shares or other similar changes in capitalization described in Section 5(d) of the Plan.</w:t>
      </w:r>
    </w:p>
    <w:p>
      <w:pPr>
        <w:spacing w:after="0" w:line="141" w:lineRule="exact"/>
        <w:rPr>
          <w:rFonts w:ascii="Arial" w:cs="Arial" w:eastAsia="Arial" w:hAnsi="Arial"/>
          <w:sz w:val="16"/>
          <w:szCs w:val="16"/>
          <w:color w:val="010000"/>
        </w:rPr>
      </w:pPr>
    </w:p>
    <w:p>
      <w:pPr>
        <w:ind w:left="1300" w:hanging="644"/>
        <w:spacing w:after="0"/>
        <w:tabs>
          <w:tab w:leader="none" w:pos="1300" w:val="left"/>
        </w:tabs>
        <w:numPr>
          <w:ilvl w:val="0"/>
          <w:numId w:val="61"/>
        </w:numPr>
        <w:rPr>
          <w:rFonts w:ascii="Arial" w:cs="Arial" w:eastAsia="Arial" w:hAnsi="Arial"/>
          <w:sz w:val="18"/>
          <w:szCs w:val="18"/>
          <w:color w:val="010000"/>
        </w:rPr>
      </w:pPr>
      <w:r>
        <w:rPr>
          <w:rFonts w:ascii="Arial" w:cs="Arial" w:eastAsia="Arial" w:hAnsi="Arial"/>
          <w:sz w:val="18"/>
          <w:szCs w:val="18"/>
          <w:b w:val="1"/>
          <w:bCs w:val="1"/>
          <w:color w:val="auto"/>
        </w:rPr>
        <w:t>Tax Liability and Withholding</w:t>
      </w:r>
      <w:r>
        <w:rPr>
          <w:rFonts w:ascii="Arial" w:cs="Arial" w:eastAsia="Arial" w:hAnsi="Arial"/>
          <w:sz w:val="18"/>
          <w:szCs w:val="18"/>
          <w:color w:val="auto"/>
        </w:rPr>
        <w:t>.</w:t>
      </w:r>
    </w:p>
    <w:p>
      <w:pPr>
        <w:spacing w:after="0" w:line="229" w:lineRule="exact"/>
        <w:rPr>
          <w:rFonts w:ascii="Arial" w:cs="Arial" w:eastAsia="Arial" w:hAnsi="Arial"/>
          <w:sz w:val="18"/>
          <w:szCs w:val="18"/>
          <w:color w:val="010000"/>
        </w:rPr>
      </w:pPr>
    </w:p>
    <w:p>
      <w:pPr>
        <w:jc w:val="both"/>
        <w:ind w:firstLine="1304"/>
        <w:spacing w:after="0" w:line="254" w:lineRule="auto"/>
        <w:tabs>
          <w:tab w:leader="none" w:pos="1941" w:val="left"/>
        </w:tabs>
        <w:numPr>
          <w:ilvl w:val="1"/>
          <w:numId w:val="61"/>
        </w:numPr>
        <w:rPr>
          <w:rFonts w:ascii="Arial" w:cs="Arial" w:eastAsia="Arial" w:hAnsi="Arial"/>
          <w:sz w:val="18"/>
          <w:szCs w:val="18"/>
          <w:color w:val="010000"/>
        </w:rPr>
      </w:pPr>
      <w:r>
        <w:rPr>
          <w:rFonts w:ascii="Arial" w:cs="Arial" w:eastAsia="Arial" w:hAnsi="Arial"/>
          <w:sz w:val="18"/>
          <w:szCs w:val="18"/>
          <w:color w:val="auto"/>
        </w:rPr>
        <w:t>Grantee understands that when the PSUs are settled in accordance with Section 4, Grantee will be obligated to recognize income, for Federal, state and local income tax purposes, as applicable, in an amount equal to the Fair Market Value of the share of Stock as of such date, and Grantee is responsible for all tax obligations that arise in connection with the PSUs. Notwithstanding any action the Company takes with respect to any or all income tax, social insurance, payroll tax, or other tax-related withholding (“</w:t>
      </w:r>
      <w:r>
        <w:rPr>
          <w:rFonts w:ascii="Arial" w:cs="Arial" w:eastAsia="Arial" w:hAnsi="Arial"/>
          <w:sz w:val="18"/>
          <w:szCs w:val="18"/>
          <w:u w:val="single" w:color="auto"/>
          <w:color w:val="auto"/>
        </w:rPr>
        <w:t>Tax-Related Items</w:t>
      </w:r>
      <w:r>
        <w:rPr>
          <w:rFonts w:ascii="Arial" w:cs="Arial" w:eastAsia="Arial" w:hAnsi="Arial"/>
          <w:sz w:val="18"/>
          <w:szCs w:val="18"/>
          <w:color w:val="auto"/>
        </w:rPr>
        <w:t>”), the ultimate liability for all Tax-Related Items is and remains Grantee’s responsibility and the Company (i) makes no representation or undertakings regarding the treatment of any Tax-Related Items in connection with the grant or vesting of the PSUs, the delivery of Stock underlying the PSUs, or the subsequent sale of any shares of the Stock underlying the PSUs; and (ii) does not commit to structure the PSUs or the delivery of Stock underlying the PSUs to reduce or eliminate Grantee’s liability for Tax-Related Items.</w:t>
      </w:r>
    </w:p>
    <w:p>
      <w:pPr>
        <w:spacing w:after="0" w:line="191" w:lineRule="exact"/>
        <w:rPr>
          <w:rFonts w:ascii="Arial" w:cs="Arial" w:eastAsia="Arial" w:hAnsi="Arial"/>
          <w:sz w:val="18"/>
          <w:szCs w:val="18"/>
          <w:color w:val="010000"/>
        </w:rPr>
      </w:pPr>
    </w:p>
    <w:p>
      <w:pPr>
        <w:jc w:val="both"/>
        <w:ind w:firstLine="1304"/>
        <w:spacing w:after="0" w:line="290" w:lineRule="auto"/>
        <w:tabs>
          <w:tab w:leader="none" w:pos="1938" w:val="left"/>
        </w:tabs>
        <w:numPr>
          <w:ilvl w:val="1"/>
          <w:numId w:val="61"/>
        </w:numPr>
        <w:rPr>
          <w:rFonts w:ascii="Arial" w:cs="Arial" w:eastAsia="Arial" w:hAnsi="Arial"/>
          <w:sz w:val="16"/>
          <w:szCs w:val="16"/>
          <w:color w:val="010000"/>
        </w:rPr>
      </w:pPr>
      <w:r>
        <w:rPr>
          <w:rFonts w:ascii="Arial" w:cs="Arial" w:eastAsia="Arial" w:hAnsi="Arial"/>
          <w:sz w:val="16"/>
          <w:szCs w:val="16"/>
          <w:color w:val="auto"/>
        </w:rPr>
        <w:t>Notwithstanding anything in the Plan or this Agreement to the contrary, unless Grantee has delivered an amount necessary to satisfy the Tax-Related Items as of the settlement date for the PSUs, Grantee agrees to the following methods of satisfying the Tax-Related Items on behalf of Grantee in connection with the PSUs and the delivery of Stock underlying the PSUs, in the discretion of the Company: (i) through the automatic withholding of a sufficient number of shares of Stock that would otherwise be delivered to Grantee, applying procedures approved by the Administrator, such withheld shares having an aggregate Fair Market Value on the date of settlement that shall not exceed the minimum amount of the Tax-Related Items, rounded up for any partial share of Stock that would be withheld to satisfy such obligation (or such other amount as the Administrator determines will not result in additional compensation expense for financial accounting purposes under applicable financial accounting principles); (ii) through the deduction from any other payment otherwise due to Grantee at the time of exercise; or (iii) a combination of any or all of the foregoing.</w:t>
      </w:r>
    </w:p>
    <w:p>
      <w:pPr>
        <w:spacing w:after="0" w:line="165" w:lineRule="exact"/>
        <w:rPr>
          <w:rFonts w:ascii="Arial" w:cs="Arial" w:eastAsia="Arial" w:hAnsi="Arial"/>
          <w:sz w:val="16"/>
          <w:szCs w:val="16"/>
          <w:color w:val="010000"/>
        </w:rPr>
      </w:pPr>
    </w:p>
    <w:p>
      <w:pPr>
        <w:jc w:val="both"/>
        <w:ind w:firstLine="1304"/>
        <w:spacing w:after="0" w:line="263" w:lineRule="auto"/>
        <w:tabs>
          <w:tab w:leader="none" w:pos="1941" w:val="left"/>
        </w:tabs>
        <w:numPr>
          <w:ilvl w:val="1"/>
          <w:numId w:val="61"/>
        </w:numPr>
        <w:rPr>
          <w:rFonts w:ascii="Arial" w:cs="Arial" w:eastAsia="Arial" w:hAnsi="Arial"/>
          <w:sz w:val="18"/>
          <w:szCs w:val="18"/>
          <w:color w:val="010000"/>
        </w:rPr>
      </w:pPr>
      <w:r>
        <w:rPr>
          <w:rFonts w:ascii="Arial" w:cs="Arial" w:eastAsia="Arial" w:hAnsi="Arial"/>
          <w:sz w:val="18"/>
          <w:szCs w:val="18"/>
          <w:color w:val="auto"/>
        </w:rPr>
        <w:t>Unless otherwise determined by the Administrator, Grantee may satisfy the tax withholding obligation by delivery of cash or by surrendering shares deliverable in settlement of the PSU or by delivering shares of Stock owned by Grantee (having in any case, an aggregate Fair Market Value on the date of exercise equal to the amount of the Tax-Related Items).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97" w:right="339" w:bottom="1440" w:gutter="0" w:footer="0" w:header="0"/>
        </w:sectPr>
      </w:pPr>
    </w:p>
    <w:bookmarkStart w:id="121" w:name="page122"/>
    <w:bookmarkEnd w:id="121"/>
    <w:p>
      <w:pPr>
        <w:ind w:firstLine="656"/>
        <w:spacing w:after="0" w:line="282" w:lineRule="auto"/>
        <w:tabs>
          <w:tab w:leader="none" w:pos="1296" w:val="left"/>
        </w:tabs>
        <w:numPr>
          <w:ilvl w:val="0"/>
          <w:numId w:val="62"/>
        </w:numPr>
        <w:rPr>
          <w:rFonts w:ascii="Arial" w:cs="Arial" w:eastAsia="Arial" w:hAnsi="Arial"/>
          <w:sz w:val="18"/>
          <w:szCs w:val="18"/>
          <w:color w:val="010000"/>
        </w:rPr>
      </w:pPr>
      <w:r>
        <w:rPr>
          <w:rFonts w:ascii="Arial" w:cs="Arial" w:eastAsia="Arial" w:hAnsi="Arial"/>
          <w:sz w:val="18"/>
          <w:szCs w:val="18"/>
          <w:b w:val="1"/>
          <w:bCs w:val="1"/>
          <w:color w:val="auto"/>
        </w:rPr>
        <w:t xml:space="preserve">Conflicts. </w:t>
      </w:r>
      <w:r>
        <w:rPr>
          <w:rFonts w:ascii="Arial" w:cs="Arial" w:eastAsia="Arial" w:hAnsi="Arial"/>
          <w:sz w:val="18"/>
          <w:szCs w:val="18"/>
          <w:color w:val="auto"/>
        </w:rPr>
        <w:t>In the event of any conflict between the provisions of the Plan as in effect on the Date of Grant and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provisions of the Plan shall govern. All references herein to the Plan mean the Plan as in effect on the date hereof.</w:t>
      </w:r>
    </w:p>
    <w:p>
      <w:pPr>
        <w:spacing w:after="0" w:line="161" w:lineRule="exact"/>
        <w:rPr>
          <w:rFonts w:ascii="Arial" w:cs="Arial" w:eastAsia="Arial" w:hAnsi="Arial"/>
          <w:sz w:val="18"/>
          <w:szCs w:val="18"/>
          <w:color w:val="010000"/>
        </w:rPr>
      </w:pPr>
    </w:p>
    <w:p>
      <w:pPr>
        <w:jc w:val="both"/>
        <w:ind w:firstLine="656"/>
        <w:spacing w:after="0" w:line="266" w:lineRule="auto"/>
        <w:tabs>
          <w:tab w:leader="none" w:pos="1296" w:val="left"/>
        </w:tabs>
        <w:numPr>
          <w:ilvl w:val="0"/>
          <w:numId w:val="62"/>
        </w:numPr>
        <w:rPr>
          <w:rFonts w:ascii="Arial" w:cs="Arial" w:eastAsia="Arial" w:hAnsi="Arial"/>
          <w:sz w:val="18"/>
          <w:szCs w:val="18"/>
          <w:color w:val="010000"/>
        </w:rPr>
      </w:pPr>
      <w:r>
        <w:rPr>
          <w:rFonts w:ascii="Arial" w:cs="Arial" w:eastAsia="Arial" w:hAnsi="Arial"/>
          <w:sz w:val="18"/>
          <w:szCs w:val="18"/>
          <w:b w:val="1"/>
          <w:bCs w:val="1"/>
          <w:color w:val="auto"/>
        </w:rPr>
        <w:t xml:space="preserve">No Right to Continued Service. </w:t>
      </w:r>
      <w:r>
        <w:rPr>
          <w:rFonts w:ascii="Arial" w:cs="Arial" w:eastAsia="Arial" w:hAnsi="Arial"/>
          <w:sz w:val="18"/>
          <w:szCs w:val="18"/>
          <w:color w:val="auto"/>
        </w:rPr>
        <w:t>Neither the Plan nor this Agreement shall confer upon Grantee any right to be retained in any 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as an employee, consultant or director of the Company or any of its subsidiaries. Further, nothing in the Plan or this Agreement shall be construed to limit the discretion of the Company to terminate Grantee’s employment at any time, with or without Cause.</w:t>
      </w:r>
    </w:p>
    <w:p>
      <w:pPr>
        <w:spacing w:after="0" w:line="175" w:lineRule="exact"/>
        <w:rPr>
          <w:rFonts w:ascii="Arial" w:cs="Arial" w:eastAsia="Arial" w:hAnsi="Arial"/>
          <w:sz w:val="18"/>
          <w:szCs w:val="18"/>
          <w:color w:val="010000"/>
        </w:rPr>
      </w:pPr>
    </w:p>
    <w:p>
      <w:pPr>
        <w:jc w:val="both"/>
        <w:ind w:firstLine="656"/>
        <w:spacing w:after="0" w:line="281" w:lineRule="auto"/>
        <w:tabs>
          <w:tab w:leader="none" w:pos="1291" w:val="left"/>
        </w:tabs>
        <w:numPr>
          <w:ilvl w:val="0"/>
          <w:numId w:val="62"/>
        </w:numPr>
        <w:rPr>
          <w:rFonts w:ascii="Arial" w:cs="Arial" w:eastAsia="Arial" w:hAnsi="Arial"/>
          <w:sz w:val="17"/>
          <w:szCs w:val="17"/>
          <w:color w:val="010000"/>
        </w:rPr>
      </w:pPr>
      <w:r>
        <w:rPr>
          <w:rFonts w:ascii="Arial" w:cs="Arial" w:eastAsia="Arial" w:hAnsi="Arial"/>
          <w:sz w:val="17"/>
          <w:szCs w:val="17"/>
          <w:b w:val="1"/>
          <w:bCs w:val="1"/>
          <w:color w:val="auto"/>
        </w:rPr>
        <w:t xml:space="preserve">Compliance with Law. </w:t>
      </w:r>
      <w:r>
        <w:rPr>
          <w:rFonts w:ascii="Arial" w:cs="Arial" w:eastAsia="Arial" w:hAnsi="Arial"/>
          <w:sz w:val="17"/>
          <w:szCs w:val="17"/>
          <w:color w:val="auto"/>
        </w:rPr>
        <w:t>The grant and settlement of the PSUs shall be subject to compliance by the Company and Grantee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requirements of federal and state securities laws and with all applicable requirements of any stock exchange on which the Company’s shares of Stock may be listed. No shares of Stock shall be issued in settlement of the PSUs unless and until any then applicable requirements of state or federal laws and regulatory agencies have been fully complied with to the satisfaction of the Company and its counsel.</w:t>
      </w:r>
    </w:p>
    <w:p>
      <w:pPr>
        <w:spacing w:after="0" w:line="164" w:lineRule="exact"/>
        <w:rPr>
          <w:rFonts w:ascii="Arial" w:cs="Arial" w:eastAsia="Arial" w:hAnsi="Arial"/>
          <w:sz w:val="17"/>
          <w:szCs w:val="17"/>
          <w:color w:val="010000"/>
        </w:rPr>
      </w:pPr>
    </w:p>
    <w:p>
      <w:pPr>
        <w:jc w:val="both"/>
        <w:ind w:firstLine="656"/>
        <w:spacing w:after="0" w:line="261" w:lineRule="auto"/>
        <w:tabs>
          <w:tab w:leader="none" w:pos="1285" w:val="left"/>
        </w:tabs>
        <w:numPr>
          <w:ilvl w:val="0"/>
          <w:numId w:val="62"/>
        </w:numPr>
        <w:rPr>
          <w:rFonts w:ascii="Arial" w:cs="Arial" w:eastAsia="Arial" w:hAnsi="Arial"/>
          <w:sz w:val="18"/>
          <w:szCs w:val="18"/>
          <w:color w:val="010000"/>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required to be delivered to the Company under this Agreement shall be in writing and addressed to the Secretary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at the Company’s principal corporate offices. Any notice required to be delivered to Grantee under this Agreement shall be in writing and addressed to Grantee at Grantee’s address as shown in the records of the Company. Either party may designate another address in writing (or by such other method approved by the Company) from time to time.</w:t>
      </w:r>
    </w:p>
    <w:p>
      <w:pPr>
        <w:spacing w:after="0" w:line="179" w:lineRule="exact"/>
        <w:rPr>
          <w:rFonts w:ascii="Arial" w:cs="Arial" w:eastAsia="Arial" w:hAnsi="Arial"/>
          <w:sz w:val="18"/>
          <w:szCs w:val="18"/>
          <w:color w:val="010000"/>
        </w:rPr>
      </w:pPr>
    </w:p>
    <w:p>
      <w:pPr>
        <w:ind w:firstLine="656"/>
        <w:spacing w:after="0" w:line="282" w:lineRule="auto"/>
        <w:tabs>
          <w:tab w:leader="none" w:pos="1291" w:val="left"/>
        </w:tabs>
        <w:numPr>
          <w:ilvl w:val="0"/>
          <w:numId w:val="62"/>
        </w:numPr>
        <w:rPr>
          <w:rFonts w:ascii="Arial" w:cs="Arial" w:eastAsia="Arial" w:hAnsi="Arial"/>
          <w:sz w:val="18"/>
          <w:szCs w:val="18"/>
          <w:color w:val="010000"/>
        </w:rPr>
      </w:pPr>
      <w:r>
        <w:rPr>
          <w:rFonts w:ascii="Arial" w:cs="Arial" w:eastAsia="Arial" w:hAnsi="Arial"/>
          <w:sz w:val="18"/>
          <w:szCs w:val="18"/>
          <w:b w:val="1"/>
          <w:bCs w:val="1"/>
          <w:color w:val="auto"/>
        </w:rPr>
        <w:t xml:space="preserve">Interpretation. </w:t>
      </w:r>
      <w:r>
        <w:rPr>
          <w:rFonts w:ascii="Arial" w:cs="Arial" w:eastAsia="Arial" w:hAnsi="Arial"/>
          <w:sz w:val="18"/>
          <w:szCs w:val="18"/>
          <w:color w:val="auto"/>
        </w:rPr>
        <w:t>Any dispute regarding the interpretation of this Agreement shall be submitted by Grantee or the Company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for review. The resolution of such dispute by the Administrator shall be final and binding on Grantee and the Company.</w:t>
      </w:r>
    </w:p>
    <w:p>
      <w:pPr>
        <w:spacing w:after="0" w:line="161" w:lineRule="exact"/>
        <w:rPr>
          <w:rFonts w:ascii="Arial" w:cs="Arial" w:eastAsia="Arial" w:hAnsi="Arial"/>
          <w:sz w:val="18"/>
          <w:szCs w:val="18"/>
          <w:color w:val="010000"/>
        </w:rPr>
      </w:pPr>
    </w:p>
    <w:p>
      <w:pPr>
        <w:jc w:val="both"/>
        <w:ind w:firstLine="656"/>
        <w:spacing w:after="0" w:line="261" w:lineRule="auto"/>
        <w:tabs>
          <w:tab w:leader="none" w:pos="1291" w:val="left"/>
        </w:tabs>
        <w:numPr>
          <w:ilvl w:val="0"/>
          <w:numId w:val="62"/>
        </w:numPr>
        <w:rPr>
          <w:rFonts w:ascii="Arial" w:cs="Arial" w:eastAsia="Arial" w:hAnsi="Arial"/>
          <w:sz w:val="18"/>
          <w:szCs w:val="18"/>
          <w:color w:val="010000"/>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The Company may assign any of its rights under this Agreement. This Agreement will be binding upon and</w:t>
      </w:r>
      <w:r>
        <w:rPr>
          <w:rFonts w:ascii="Arial" w:cs="Arial" w:eastAsia="Arial" w:hAnsi="Arial"/>
          <w:sz w:val="18"/>
          <w:szCs w:val="18"/>
          <w:b w:val="1"/>
          <w:bCs w:val="1"/>
          <w:color w:val="auto"/>
        </w:rPr>
        <w:t xml:space="preserve"> </w:t>
      </w:r>
      <w:r>
        <w:rPr>
          <w:rFonts w:ascii="Arial" w:cs="Arial" w:eastAsia="Arial" w:hAnsi="Arial"/>
          <w:sz w:val="18"/>
          <w:szCs w:val="18"/>
          <w:color w:val="auto"/>
        </w:rPr>
        <w:t>inure to the benefit of the successors and assigns of the Company. Subject to the restrictions on transfer set forth herein, this Agreement will be binding upon Grantee and Grantee’s beneficiaries, executors, administrators and the person(s) to whom this Agreement may be transferred by will or the laws of descent or distribution.</w:t>
      </w:r>
    </w:p>
    <w:p>
      <w:pPr>
        <w:spacing w:after="0" w:line="179" w:lineRule="exact"/>
        <w:rPr>
          <w:rFonts w:ascii="Arial" w:cs="Arial" w:eastAsia="Arial" w:hAnsi="Arial"/>
          <w:sz w:val="18"/>
          <w:szCs w:val="18"/>
          <w:color w:val="010000"/>
        </w:rPr>
      </w:pPr>
    </w:p>
    <w:p>
      <w:pPr>
        <w:jc w:val="both"/>
        <w:ind w:firstLine="656"/>
        <w:spacing w:after="0" w:line="266" w:lineRule="auto"/>
        <w:tabs>
          <w:tab w:leader="none" w:pos="1291" w:val="left"/>
        </w:tabs>
        <w:numPr>
          <w:ilvl w:val="0"/>
          <w:numId w:val="62"/>
        </w:numPr>
        <w:rPr>
          <w:rFonts w:ascii="Arial" w:cs="Arial" w:eastAsia="Arial" w:hAnsi="Arial"/>
          <w:sz w:val="18"/>
          <w:szCs w:val="18"/>
          <w:color w:val="010000"/>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invalidity or unenforceability of any provision of the Plan or this Agreement shall not affect the 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other provision of the Plan or this Agreement, and each provision of the Plan and this Agreement shall be severable and enforceable to the extent permitted by law.</w:t>
      </w:r>
    </w:p>
    <w:p>
      <w:pPr>
        <w:spacing w:after="0" w:line="175" w:lineRule="exact"/>
        <w:rPr>
          <w:rFonts w:ascii="Arial" w:cs="Arial" w:eastAsia="Arial" w:hAnsi="Arial"/>
          <w:sz w:val="18"/>
          <w:szCs w:val="18"/>
          <w:color w:val="010000"/>
        </w:rPr>
      </w:pPr>
    </w:p>
    <w:p>
      <w:pPr>
        <w:jc w:val="both"/>
        <w:ind w:firstLine="656"/>
        <w:spacing w:after="0" w:line="261" w:lineRule="auto"/>
        <w:tabs>
          <w:tab w:leader="none" w:pos="1291" w:val="left"/>
        </w:tabs>
        <w:numPr>
          <w:ilvl w:val="0"/>
          <w:numId w:val="62"/>
        </w:numPr>
        <w:rPr>
          <w:rFonts w:ascii="Arial" w:cs="Arial" w:eastAsia="Arial" w:hAnsi="Arial"/>
          <w:sz w:val="18"/>
          <w:szCs w:val="18"/>
          <w:color w:val="010000"/>
        </w:rPr>
      </w:pPr>
      <w:r>
        <w:rPr>
          <w:rFonts w:ascii="Arial" w:cs="Arial" w:eastAsia="Arial" w:hAnsi="Arial"/>
          <w:sz w:val="18"/>
          <w:szCs w:val="18"/>
          <w:b w:val="1"/>
          <w:bCs w:val="1"/>
          <w:color w:val="auto"/>
        </w:rPr>
        <w:t xml:space="preserve">Discretionary Nature of Plan. </w:t>
      </w:r>
      <w:r>
        <w:rPr>
          <w:rFonts w:ascii="Arial" w:cs="Arial" w:eastAsia="Arial" w:hAnsi="Arial"/>
          <w:sz w:val="18"/>
          <w:szCs w:val="18"/>
          <w:color w:val="auto"/>
        </w:rPr>
        <w:t>The Plan is discretionary and may be amended, cancelled or terminated by the Company at any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its discretion. The grant of the PSUs in this Agreement does not create any contractual right or other right to receive any Grants in the future. Future Grants, if any, will be at the sole discretion of the Company. Any amendment, modification, or termination of the Plan shall not constitute a change or impairment of the terms and conditions of Grantee’s Service to the Company.</w:t>
      </w:r>
    </w:p>
    <w:p>
      <w:pPr>
        <w:spacing w:after="0" w:line="179" w:lineRule="exact"/>
        <w:rPr>
          <w:rFonts w:ascii="Arial" w:cs="Arial" w:eastAsia="Arial" w:hAnsi="Arial"/>
          <w:sz w:val="18"/>
          <w:szCs w:val="18"/>
          <w:color w:val="010000"/>
        </w:rPr>
      </w:pPr>
    </w:p>
    <w:p>
      <w:pPr>
        <w:ind w:firstLine="656"/>
        <w:spacing w:after="0" w:line="312" w:lineRule="auto"/>
        <w:tabs>
          <w:tab w:leader="none" w:pos="1291" w:val="left"/>
        </w:tabs>
        <w:numPr>
          <w:ilvl w:val="0"/>
          <w:numId w:val="62"/>
        </w:numPr>
        <w:rPr>
          <w:rFonts w:ascii="Arial" w:cs="Arial" w:eastAsia="Arial" w:hAnsi="Arial"/>
          <w:sz w:val="17"/>
          <w:szCs w:val="17"/>
          <w:color w:val="010000"/>
        </w:rPr>
      </w:pPr>
      <w:r>
        <w:rPr>
          <w:rFonts w:ascii="Arial" w:cs="Arial" w:eastAsia="Arial" w:hAnsi="Arial"/>
          <w:sz w:val="17"/>
          <w:szCs w:val="17"/>
          <w:b w:val="1"/>
          <w:bCs w:val="1"/>
          <w:color w:val="auto"/>
        </w:rPr>
        <w:t xml:space="preserve">Amendment. </w:t>
      </w:r>
      <w:r>
        <w:rPr>
          <w:rFonts w:ascii="Arial" w:cs="Arial" w:eastAsia="Arial" w:hAnsi="Arial"/>
          <w:sz w:val="17"/>
          <w:szCs w:val="17"/>
          <w:color w:val="auto"/>
        </w:rPr>
        <w:t>The Administrator has the right to amend, alter, suspend, discontinue or cancel the PSUs, prospectively or retroactively;</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no such amendment shall adversely affect Grantee’s material rights under this Agreement without Grantee’s consent.</w:t>
      </w:r>
    </w:p>
    <w:p>
      <w:pPr>
        <w:spacing w:after="0" w:line="139" w:lineRule="exact"/>
        <w:rPr>
          <w:rFonts w:ascii="Arial" w:cs="Arial" w:eastAsia="Arial" w:hAnsi="Arial"/>
          <w:sz w:val="17"/>
          <w:szCs w:val="17"/>
          <w:color w:val="010000"/>
        </w:rPr>
      </w:pPr>
    </w:p>
    <w:p>
      <w:pPr>
        <w:ind w:right="20" w:firstLine="656"/>
        <w:spacing w:after="0" w:line="282" w:lineRule="auto"/>
        <w:tabs>
          <w:tab w:leader="none" w:pos="1291" w:val="left"/>
        </w:tabs>
        <w:numPr>
          <w:ilvl w:val="0"/>
          <w:numId w:val="62"/>
        </w:numPr>
        <w:rPr>
          <w:rFonts w:ascii="Arial" w:cs="Arial" w:eastAsia="Arial" w:hAnsi="Arial"/>
          <w:sz w:val="18"/>
          <w:szCs w:val="18"/>
          <w:color w:val="010000"/>
        </w:rPr>
      </w:pPr>
      <w:r>
        <w:rPr>
          <w:rFonts w:ascii="Arial" w:cs="Arial" w:eastAsia="Arial" w:hAnsi="Arial"/>
          <w:sz w:val="18"/>
          <w:szCs w:val="18"/>
          <w:b w:val="1"/>
          <w:bCs w:val="1"/>
          <w:color w:val="auto"/>
        </w:rPr>
        <w:t xml:space="preserve">No Impact on Other Benefits. </w:t>
      </w:r>
      <w:r>
        <w:rPr>
          <w:rFonts w:ascii="Arial" w:cs="Arial" w:eastAsia="Arial" w:hAnsi="Arial"/>
          <w:sz w:val="18"/>
          <w:szCs w:val="18"/>
          <w:color w:val="auto"/>
        </w:rPr>
        <w:t>The value of Grantee’s PSUs or the Stock underlying the PSUs is not part of his or her normal or</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compensation for purposes of calculating any severance, retirement, welfare, insurance or similar employee benefit.</w:t>
      </w:r>
    </w:p>
    <w:p>
      <w:pPr>
        <w:spacing w:after="0" w:line="161" w:lineRule="exact"/>
        <w:rPr>
          <w:rFonts w:ascii="Arial" w:cs="Arial" w:eastAsia="Arial" w:hAnsi="Arial"/>
          <w:sz w:val="18"/>
          <w:szCs w:val="18"/>
          <w:color w:val="010000"/>
        </w:rPr>
      </w:pPr>
    </w:p>
    <w:p>
      <w:pPr>
        <w:jc w:val="both"/>
        <w:ind w:firstLine="656"/>
        <w:spacing w:after="0" w:line="272" w:lineRule="auto"/>
        <w:tabs>
          <w:tab w:leader="none" w:pos="1291" w:val="left"/>
        </w:tabs>
        <w:numPr>
          <w:ilvl w:val="0"/>
          <w:numId w:val="62"/>
        </w:numPr>
        <w:rPr>
          <w:rFonts w:ascii="Arial" w:cs="Arial" w:eastAsia="Arial" w:hAnsi="Arial"/>
          <w:sz w:val="17"/>
          <w:szCs w:val="17"/>
          <w:color w:val="010000"/>
        </w:rPr>
      </w:pPr>
      <w:r>
        <w:rPr>
          <w:rFonts w:ascii="Arial" w:cs="Arial" w:eastAsia="Arial" w:hAnsi="Arial"/>
          <w:sz w:val="17"/>
          <w:szCs w:val="17"/>
          <w:b w:val="1"/>
          <w:bCs w:val="1"/>
          <w:color w:val="auto"/>
        </w:rPr>
        <w:t xml:space="preserve">Section 409A. </w:t>
      </w:r>
      <w:r>
        <w:rPr>
          <w:rFonts w:ascii="Arial" w:cs="Arial" w:eastAsia="Arial" w:hAnsi="Arial"/>
          <w:sz w:val="17"/>
          <w:szCs w:val="17"/>
          <w:color w:val="auto"/>
        </w:rPr>
        <w:t>This Agreement is intended to comply with section 409A of the Code (“</w:t>
      </w:r>
      <w:r>
        <w:rPr>
          <w:rFonts w:ascii="Arial" w:cs="Arial" w:eastAsia="Arial" w:hAnsi="Arial"/>
          <w:sz w:val="17"/>
          <w:szCs w:val="17"/>
          <w:u w:val="single" w:color="auto"/>
          <w:color w:val="auto"/>
        </w:rPr>
        <w:t>Section 409A</w:t>
      </w:r>
      <w:r>
        <w:rPr>
          <w:rFonts w:ascii="Arial" w:cs="Arial" w:eastAsia="Arial" w:hAnsi="Arial"/>
          <w:sz w:val="17"/>
          <w:szCs w:val="17"/>
          <w:color w:val="auto"/>
        </w:rPr>
        <w:t>”) or an exemption thereunder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Section 21(b) of the Plan and shall be construed and interpreted, including any ambiguities herein, in a manner that is consistent with the requirements for avoiding additional taxes or penalties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Grantee on account of non-compliance with Section 409A. Notwithstanding the foregoing or anything herein to the contrary, if the PSUs constitute nonqualified deferred compensation within the meaning of Section 409A and if Grantee is deemed a “specified employee” within the meaning of Section 409A, each as determined by the Administrator, at a time when Grantee becomes eligible for settlement of the PSUs upon his or her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93" w:right="339" w:bottom="1440" w:gutter="0" w:footer="0" w:header="0"/>
        </w:sectPr>
      </w:pPr>
    </w:p>
    <w:bookmarkStart w:id="122" w:name="page123"/>
    <w:bookmarkEnd w:id="122"/>
    <w:p>
      <w:pPr>
        <w:jc w:val="both"/>
        <w:spacing w:after="0" w:line="301" w:lineRule="auto"/>
        <w:rPr>
          <w:sz w:val="20"/>
          <w:szCs w:val="20"/>
          <w:color w:val="auto"/>
        </w:rPr>
      </w:pPr>
      <w:r>
        <w:rPr>
          <w:rFonts w:ascii="Arial" w:cs="Arial" w:eastAsia="Arial" w:hAnsi="Arial"/>
          <w:sz w:val="16"/>
          <w:szCs w:val="16"/>
          <w:color w:val="auto"/>
        </w:rPr>
        <w:t>“separation from service” within the meaning of Section 409A, then to the extent necessary to prevent any accelerated or additional tax under Section 409A, such settlement will be delayed until the earlier of: (a) the first day of the month following the date that is six months following Grantee’s separation from service and (b) Grantee’s death. If the PSUs constitute nonqualified deferred compensation within the meaning of Section 409A, references in this Agreement to a termination of employment or cessation of Service or the like shall mean a “separation from service” under Section 409A.</w:t>
      </w:r>
    </w:p>
    <w:p>
      <w:pPr>
        <w:spacing w:after="0" w:line="153" w:lineRule="exact"/>
        <w:rPr>
          <w:sz w:val="20"/>
          <w:szCs w:val="20"/>
          <w:color w:val="auto"/>
        </w:rPr>
      </w:pPr>
    </w:p>
    <w:p>
      <w:pPr>
        <w:jc w:val="both"/>
        <w:ind w:firstLine="656"/>
        <w:spacing w:after="0" w:line="261" w:lineRule="auto"/>
        <w:tabs>
          <w:tab w:leader="none" w:pos="1291" w:val="left"/>
        </w:tabs>
        <w:numPr>
          <w:ilvl w:val="0"/>
          <w:numId w:val="63"/>
        </w:numPr>
        <w:rPr>
          <w:rFonts w:ascii="Arial" w:cs="Arial" w:eastAsia="Arial" w:hAnsi="Arial"/>
          <w:sz w:val="18"/>
          <w:szCs w:val="18"/>
          <w:color w:val="010000"/>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counterparts, each of which shall be deemed an original but all of which together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179" w:lineRule="exact"/>
        <w:rPr>
          <w:rFonts w:ascii="Arial" w:cs="Arial" w:eastAsia="Arial" w:hAnsi="Arial"/>
          <w:sz w:val="18"/>
          <w:szCs w:val="18"/>
          <w:color w:val="010000"/>
        </w:rPr>
      </w:pPr>
    </w:p>
    <w:p>
      <w:pPr>
        <w:ind w:firstLine="656"/>
        <w:spacing w:after="0" w:line="312" w:lineRule="auto"/>
        <w:tabs>
          <w:tab w:leader="none" w:pos="1291" w:val="left"/>
        </w:tabs>
        <w:numPr>
          <w:ilvl w:val="0"/>
          <w:numId w:val="63"/>
        </w:numPr>
        <w:rPr>
          <w:rFonts w:ascii="Arial" w:cs="Arial" w:eastAsia="Arial" w:hAnsi="Arial"/>
          <w:sz w:val="17"/>
          <w:szCs w:val="17"/>
          <w:color w:val="010000"/>
        </w:rPr>
      </w:pPr>
      <w:r>
        <w:rPr>
          <w:rFonts w:ascii="Arial" w:cs="Arial" w:eastAsia="Arial" w:hAnsi="Arial"/>
          <w:sz w:val="17"/>
          <w:szCs w:val="17"/>
          <w:b w:val="1"/>
          <w:bCs w:val="1"/>
          <w:color w:val="auto"/>
        </w:rPr>
        <w:t xml:space="preserve">Grantee Bound by Plan. </w:t>
      </w:r>
      <w:r>
        <w:rPr>
          <w:rFonts w:ascii="Arial" w:cs="Arial" w:eastAsia="Arial" w:hAnsi="Arial"/>
          <w:sz w:val="17"/>
          <w:szCs w:val="17"/>
          <w:color w:val="auto"/>
        </w:rPr>
        <w:t>Grantee hereby acknowledges that a copy of the Plan has been made available to him or her and agrees to be</w:t>
      </w:r>
      <w:r>
        <w:rPr>
          <w:rFonts w:ascii="Arial" w:cs="Arial" w:eastAsia="Arial" w:hAnsi="Arial"/>
          <w:sz w:val="17"/>
          <w:szCs w:val="17"/>
          <w:b w:val="1"/>
          <w:bCs w:val="1"/>
          <w:color w:val="auto"/>
        </w:rPr>
        <w:t xml:space="preserve"> </w:t>
      </w:r>
      <w:r>
        <w:rPr>
          <w:rFonts w:ascii="Arial" w:cs="Arial" w:eastAsia="Arial" w:hAnsi="Arial"/>
          <w:sz w:val="17"/>
          <w:szCs w:val="17"/>
          <w:color w:val="auto"/>
        </w:rPr>
        <w:t>bound by all the terms and provisions thereof. The terms and conditions of the Plan are incorporated into this Agreement by reference.</w:t>
      </w:r>
    </w:p>
    <w:p>
      <w:pPr>
        <w:spacing w:after="0" w:line="139" w:lineRule="exact"/>
        <w:rPr>
          <w:rFonts w:ascii="Arial" w:cs="Arial" w:eastAsia="Arial" w:hAnsi="Arial"/>
          <w:sz w:val="17"/>
          <w:szCs w:val="17"/>
          <w:color w:val="010000"/>
        </w:rPr>
      </w:pPr>
    </w:p>
    <w:p>
      <w:pPr>
        <w:ind w:left="1300" w:hanging="644"/>
        <w:spacing w:after="0"/>
        <w:tabs>
          <w:tab w:leader="none" w:pos="1300" w:val="left"/>
        </w:tabs>
        <w:numPr>
          <w:ilvl w:val="0"/>
          <w:numId w:val="63"/>
        </w:numPr>
        <w:rPr>
          <w:rFonts w:ascii="Arial" w:cs="Arial" w:eastAsia="Arial" w:hAnsi="Arial"/>
          <w:sz w:val="17"/>
          <w:szCs w:val="17"/>
          <w:color w:val="010000"/>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Agreement shall be governed by the laws of the State of Delaware without regard to conflict of law principles.</w:t>
      </w:r>
    </w:p>
    <w:p>
      <w:pPr>
        <w:spacing w:after="0" w:line="236" w:lineRule="exact"/>
        <w:rPr>
          <w:rFonts w:ascii="Arial" w:cs="Arial" w:eastAsia="Arial" w:hAnsi="Arial"/>
          <w:sz w:val="17"/>
          <w:szCs w:val="17"/>
          <w:color w:val="010000"/>
        </w:rPr>
      </w:pPr>
    </w:p>
    <w:p>
      <w:pPr>
        <w:jc w:val="both"/>
        <w:ind w:firstLine="656"/>
        <w:spacing w:after="0" w:line="261" w:lineRule="auto"/>
        <w:tabs>
          <w:tab w:leader="none" w:pos="1291" w:val="left"/>
        </w:tabs>
        <w:numPr>
          <w:ilvl w:val="0"/>
          <w:numId w:val="63"/>
        </w:numPr>
        <w:rPr>
          <w:rFonts w:ascii="Arial" w:cs="Arial" w:eastAsia="Arial" w:hAnsi="Arial"/>
          <w:sz w:val="18"/>
          <w:szCs w:val="18"/>
          <w:color w:val="010000"/>
        </w:rPr>
      </w:pPr>
      <w:r>
        <w:rPr>
          <w:rFonts w:ascii="Arial" w:cs="Arial" w:eastAsia="Arial" w:hAnsi="Arial"/>
          <w:sz w:val="18"/>
          <w:szCs w:val="18"/>
          <w:b w:val="1"/>
          <w:bCs w:val="1"/>
          <w:color w:val="auto"/>
        </w:rPr>
        <w:t xml:space="preserve">Acceptance. </w:t>
      </w:r>
      <w:r>
        <w:rPr>
          <w:rFonts w:ascii="Arial" w:cs="Arial" w:eastAsia="Arial" w:hAnsi="Arial"/>
          <w:sz w:val="18"/>
          <w:szCs w:val="18"/>
          <w:color w:val="auto"/>
        </w:rPr>
        <w:t>Grantee hereby acknowledges receipt of a copy of the Plan and this Agreement. Grantee has read and understands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provisions thereof, and accepts the PSUs subject to all of the terms and conditions of the Plan and this Agreement. Grantee acknowledges that there may be adverse tax consequences upon grant or vesting of or settlement of the PSUs and that Grantee should consult a tax advisor prior to such vesting or settlement.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appear on following page]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097" w:right="339" w:bottom="1440" w:gutter="0" w:footer="0" w:header="0"/>
        </w:sectPr>
      </w:pPr>
    </w:p>
    <w:bookmarkStart w:id="123" w:name="page124"/>
    <w:bookmarkEnd w:id="123"/>
    <w:p>
      <w:pPr>
        <w:spacing w:after="0" w:line="396"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its duly authorized officer to execute this Agreement, and Grantee has placed his or her signature</w:t>
      </w:r>
      <w:r>
        <w:rPr>
          <w:rFonts w:ascii="Arial" w:cs="Arial" w:eastAsia="Arial" w:hAnsi="Arial"/>
          <w:sz w:val="18"/>
          <w:szCs w:val="18"/>
          <w:b w:val="1"/>
          <w:bCs w:val="1"/>
          <w:color w:val="auto"/>
        </w:rPr>
        <w:t xml:space="preserve"> </w:t>
      </w:r>
      <w:r>
        <w:rPr>
          <w:rFonts w:ascii="Arial" w:cs="Arial" w:eastAsia="Arial" w:hAnsi="Arial"/>
          <w:sz w:val="18"/>
          <w:szCs w:val="18"/>
          <w:color w:val="auto"/>
        </w:rPr>
        <w:t>hereon, effective as of the Date of Grant.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INTERNATIONAL MONEY EXPRESS, INC.</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31750</wp:posOffset>
            </wp:positionV>
            <wp:extent cx="298323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6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 hereby accept this Grant of PSUs and I agree to be bound by the terms of the Plan and this Agreement. I further agree that all of the decisions and interpretations of the Company with respect thereto shall be final and binding.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31750</wp:posOffset>
            </wp:positionV>
            <wp:extent cx="325755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335153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International Money Express Inc. PSU Agreement]</w:t>
      </w:r>
    </w:p>
    <w:p>
      <w:pPr>
        <w:sectPr>
          <w:pgSz w:w="11900" w:h="16838" w:orient="portrait"/>
          <w:cols w:equalWidth="0" w:num="1">
            <w:col w:w="10940"/>
          </w:cols>
          <w:pgMar w:left="320" w:top="1440" w:right="639" w:bottom="1440" w:gutter="0" w:footer="0" w:header="0"/>
        </w:sectPr>
      </w:pPr>
    </w:p>
    <w:bookmarkStart w:id="124" w:name="page125"/>
    <w:bookmarkEnd w:id="124"/>
    <w:p>
      <w:pPr>
        <w:ind w:left="5180"/>
        <w:spacing w:after="0"/>
        <w:rPr>
          <w:sz w:val="20"/>
          <w:szCs w:val="20"/>
          <w:color w:val="auto"/>
        </w:rPr>
      </w:pPr>
      <w:r>
        <w:rPr>
          <w:rFonts w:ascii="Arial" w:cs="Arial" w:eastAsia="Arial" w:hAnsi="Arial"/>
          <w:sz w:val="18"/>
          <w:szCs w:val="18"/>
          <w:b w:val="1"/>
          <w:bCs w:val="1"/>
          <w:color w:val="auto"/>
        </w:rPr>
        <w:t>EXHIBIT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Period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Performance Period</w:t>
      </w:r>
      <w:r>
        <w:rPr>
          <w:rFonts w:ascii="Arial" w:cs="Arial" w:eastAsia="Arial" w:hAnsi="Arial"/>
          <w:sz w:val="16"/>
          <w:szCs w:val="16"/>
          <w:color w:val="auto"/>
        </w:rPr>
        <w:t>” shall be the ____-year period commencing on ____________, 20__ and ending on ____________, 20___.</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Date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Vesting Date</w:t>
      </w:r>
      <w:r>
        <w:rPr>
          <w:rFonts w:ascii="Arial" w:cs="Arial" w:eastAsia="Arial" w:hAnsi="Arial"/>
          <w:sz w:val="18"/>
          <w:szCs w:val="18"/>
          <w:color w:val="auto"/>
        </w:rPr>
        <w:t>” shall be ________________, 20____.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be determined on or prior to the Date of Grant]</w:t>
      </w:r>
    </w:p>
    <w:p>
      <w:pPr>
        <w:sectPr>
          <w:pgSz w:w="11900" w:h="16838" w:orient="portrait"/>
          <w:cols w:equalWidth="0" w:num="1">
            <w:col w:w="10139"/>
          </w:cols>
          <w:pgMar w:left="320" w:top="1417" w:right="1440"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10.20</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INTERNATIONAL MONEY EXPRESS,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OMNIBUS EQUITY COMPENSATION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AWARD AGREEMENT</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RESTRICTED STOCK AWARD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_______________, 20____ (the “</w:t>
      </w:r>
      <w:r>
        <w:rPr>
          <w:rFonts w:ascii="Arial" w:cs="Arial" w:eastAsia="Arial" w:hAnsi="Arial"/>
          <w:sz w:val="17"/>
          <w:szCs w:val="17"/>
          <w:u w:val="single" w:color="auto"/>
          <w:color w:val="auto"/>
        </w:rPr>
        <w:t>Date of Grant</w:t>
      </w:r>
      <w:r>
        <w:rPr>
          <w:rFonts w:ascii="Arial" w:cs="Arial" w:eastAsia="Arial" w:hAnsi="Arial"/>
          <w:sz w:val="17"/>
          <w:szCs w:val="17"/>
          <w:color w:val="auto"/>
        </w:rPr>
        <w:t>”), between</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International Money Express,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Robert Lisy (the “</w:t>
      </w:r>
      <w:r>
        <w:rPr>
          <w:rFonts w:ascii="Arial" w:cs="Arial" w:eastAsia="Arial" w:hAnsi="Arial"/>
          <w:sz w:val="18"/>
          <w:szCs w:val="18"/>
          <w:u w:val="single" w:color="auto"/>
          <w:color w:val="auto"/>
        </w:rPr>
        <w:t>Grantee</w:t>
      </w:r>
      <w:r>
        <w:rPr>
          <w:rFonts w:ascii="Arial" w:cs="Arial" w:eastAsia="Arial" w:hAnsi="Arial"/>
          <w:sz w:val="18"/>
          <w:szCs w:val="18"/>
          <w:color w:val="auto"/>
        </w:rPr>
        <w:t>”), is made pursuant and subject to the provisions of the Company’s 2020 Omnibus Equity Compensation Plan (the “</w:t>
      </w:r>
      <w:r>
        <w:rPr>
          <w:rFonts w:ascii="Arial" w:cs="Arial" w:eastAsia="Arial" w:hAnsi="Arial"/>
          <w:sz w:val="18"/>
          <w:szCs w:val="18"/>
          <w:u w:val="single" w:color="auto"/>
          <w:color w:val="auto"/>
        </w:rPr>
        <w:t>Plan</w:t>
      </w:r>
      <w:r>
        <w:rPr>
          <w:rFonts w:ascii="Arial" w:cs="Arial" w:eastAsia="Arial" w:hAnsi="Arial"/>
          <w:sz w:val="18"/>
          <w:szCs w:val="18"/>
          <w:color w:val="auto"/>
        </w:rPr>
        <w:t>”), a copy of which has been made available to the Grantee. All terms used but not defined herein shall have the meaning set forth in the Plan.</w:t>
      </w:r>
    </w:p>
    <w:p>
      <w:pPr>
        <w:spacing w:after="0" w:line="213" w:lineRule="exact"/>
        <w:rPr>
          <w:sz w:val="20"/>
          <w:szCs w:val="20"/>
          <w:color w:val="auto"/>
        </w:rPr>
      </w:pPr>
    </w:p>
    <w:p>
      <w:pPr>
        <w:jc w:val="both"/>
        <w:ind w:firstLine="656"/>
        <w:spacing w:after="0" w:line="258" w:lineRule="auto"/>
        <w:tabs>
          <w:tab w:leader="none" w:pos="1323"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Subject to the terms and conditions of the Plan and subject further to the terms and conditions herein set forth,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hereby grants the Grantee [______] shares of Stock, subject to the restrictions and conditions set forth in this Agreement. References in this Agreement to “</w:t>
      </w:r>
      <w:r>
        <w:rPr>
          <w:rFonts w:ascii="Arial" w:cs="Arial" w:eastAsia="Arial" w:hAnsi="Arial"/>
          <w:sz w:val="18"/>
          <w:szCs w:val="18"/>
          <w:u w:val="single" w:color="auto"/>
          <w:color w:val="auto"/>
        </w:rPr>
        <w:t>Restricted Shares</w:t>
      </w:r>
      <w:r>
        <w:rPr>
          <w:rFonts w:ascii="Arial" w:cs="Arial" w:eastAsia="Arial" w:hAnsi="Arial"/>
          <w:sz w:val="18"/>
          <w:szCs w:val="18"/>
          <w:color w:val="auto"/>
        </w:rPr>
        <w:t>” shall mean the shares of Stock granted hereby and any cash, securities, rights or property distributed in respect thereof or issued in exchange therefor (which shall be subject to the same restrictions and provisions as such Restricted Shares). The services to be provided by the Grantee are the consideration for the Restricted Shares.</w:t>
      </w:r>
    </w:p>
    <w:p>
      <w:pPr>
        <w:spacing w:after="0" w:line="210" w:lineRule="exact"/>
        <w:rPr>
          <w:rFonts w:ascii="Arial" w:cs="Arial" w:eastAsia="Arial" w:hAnsi="Arial"/>
          <w:sz w:val="18"/>
          <w:szCs w:val="18"/>
          <w:color w:val="auto"/>
        </w:rPr>
      </w:pPr>
    </w:p>
    <w:p>
      <w:pPr>
        <w:jc w:val="both"/>
        <w:ind w:firstLine="656"/>
        <w:spacing w:after="0" w:line="261" w:lineRule="auto"/>
        <w:tabs>
          <w:tab w:leader="none" w:pos="99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Acceptance of the Award. </w:t>
      </w:r>
      <w:r>
        <w:rPr>
          <w:rFonts w:ascii="Arial" w:cs="Arial" w:eastAsia="Arial" w:hAnsi="Arial"/>
          <w:sz w:val="18"/>
          <w:szCs w:val="18"/>
          <w:color w:val="auto"/>
        </w:rPr>
        <w:t>By signing below, the Grantee accepts the Restricted Shares and agrees to be bound by the terms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and the Plan. The Grantee acknowledges and agrees that the grant of the Restricted Shares in this Agreement satisfies the obligations of the Company and its Affiliates under Sections 2.03 and 2.05 of the Employment Agreement between the Grantee and Intermex Holdings, Inc., an Affiliate of the Company, effective January 1, 2021 (the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ind w:firstLine="656"/>
        <w:spacing w:after="0" w:line="282" w:lineRule="auto"/>
        <w:tabs>
          <w:tab w:leader="none" w:pos="1215"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Until vested, the Restricted Shares and any right or interests therein are not transferable except by will or the laws of descent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The Restricted Shares shall vest according to the following provisions:</w:t>
      </w:r>
    </w:p>
    <w:p>
      <w:pPr>
        <w:spacing w:after="0" w:line="192" w:lineRule="exact"/>
        <w:rPr>
          <w:rFonts w:ascii="Arial" w:cs="Arial" w:eastAsia="Arial" w:hAnsi="Arial"/>
          <w:sz w:val="18"/>
          <w:szCs w:val="18"/>
          <w:color w:val="auto"/>
        </w:rPr>
      </w:pPr>
    </w:p>
    <w:p>
      <w:pPr>
        <w:jc w:val="both"/>
        <w:ind w:firstLine="1304"/>
        <w:spacing w:after="0" w:line="259" w:lineRule="auto"/>
        <w:tabs>
          <w:tab w:leader="none" w:pos="1957" w:val="left"/>
        </w:tabs>
        <w:numPr>
          <w:ilvl w:val="1"/>
          <w:numId w:val="64"/>
        </w:numPr>
        <w:rPr>
          <w:rFonts w:ascii="Arial" w:cs="Arial" w:eastAsia="Arial" w:hAnsi="Arial"/>
          <w:sz w:val="18"/>
          <w:szCs w:val="18"/>
          <w:color w:val="auto"/>
        </w:rPr>
      </w:pPr>
      <w:r>
        <w:rPr>
          <w:rFonts w:ascii="Arial" w:cs="Arial" w:eastAsia="Arial" w:hAnsi="Arial"/>
          <w:sz w:val="18"/>
          <w:szCs w:val="18"/>
          <w:color w:val="auto"/>
        </w:rPr>
        <w:t>Normal Vesting. 25% of the Restricted Shares shall vest on each of the first four (4) anniversaries of the Date of Grant, such that all of the Restricted Shares shall be vested on the fourth anniversary of the Date of Grant, subject to Sections 3(b), 3(c), and 3(d) hereof. If any Restricted Shares in respect of a partial share of Stock would vest on any date, the total number of Restricted Shares vesting on such date shall be rounded down to the nearest whole share of Stock, calculated on a cumulative basis.</w:t>
      </w:r>
    </w:p>
    <w:p>
      <w:pPr>
        <w:spacing w:after="0" w:line="213" w:lineRule="exact"/>
        <w:rPr>
          <w:rFonts w:ascii="Arial" w:cs="Arial" w:eastAsia="Arial" w:hAnsi="Arial"/>
          <w:sz w:val="18"/>
          <w:szCs w:val="18"/>
          <w:color w:val="auto"/>
        </w:rPr>
      </w:pPr>
    </w:p>
    <w:p>
      <w:pPr>
        <w:jc w:val="both"/>
        <w:ind w:firstLine="1304"/>
        <w:spacing w:after="0" w:line="263" w:lineRule="auto"/>
        <w:tabs>
          <w:tab w:leader="none" w:pos="1790" w:val="left"/>
        </w:tabs>
        <w:numPr>
          <w:ilvl w:val="1"/>
          <w:numId w:val="64"/>
        </w:numPr>
        <w:rPr>
          <w:rFonts w:ascii="Arial" w:cs="Arial" w:eastAsia="Arial" w:hAnsi="Arial"/>
          <w:sz w:val="18"/>
          <w:szCs w:val="18"/>
          <w:color w:val="auto"/>
        </w:rPr>
      </w:pPr>
      <w:r>
        <w:rPr>
          <w:rFonts w:ascii="Arial" w:cs="Arial" w:eastAsia="Arial" w:hAnsi="Arial"/>
          <w:sz w:val="18"/>
          <w:szCs w:val="18"/>
          <w:color w:val="auto"/>
        </w:rPr>
        <w:t>Vesting upon Death or Disability. If the Grantee ceases to be employed by or provide services to the Company or any of its subsidiaries due to death or Disability (as defined in the Employment Agreement), the unvested portion of the Restricted Shares shall become immediately vested upon the Grantee’s termination or employment or service.</w:t>
      </w:r>
    </w:p>
    <w:p>
      <w:pPr>
        <w:spacing w:after="0" w:line="210" w:lineRule="exact"/>
        <w:rPr>
          <w:rFonts w:ascii="Arial" w:cs="Arial" w:eastAsia="Arial" w:hAnsi="Arial"/>
          <w:sz w:val="18"/>
          <w:szCs w:val="18"/>
          <w:color w:val="auto"/>
        </w:rPr>
      </w:pPr>
    </w:p>
    <w:p>
      <w:pPr>
        <w:jc w:val="both"/>
        <w:ind w:firstLine="1304"/>
        <w:spacing w:after="0" w:line="311" w:lineRule="auto"/>
        <w:tabs>
          <w:tab w:leader="none" w:pos="1676" w:val="left"/>
        </w:tabs>
        <w:numPr>
          <w:ilvl w:val="1"/>
          <w:numId w:val="64"/>
        </w:numPr>
        <w:rPr>
          <w:rFonts w:ascii="Arial" w:cs="Arial" w:eastAsia="Arial" w:hAnsi="Arial"/>
          <w:sz w:val="16"/>
          <w:szCs w:val="16"/>
          <w:color w:val="auto"/>
        </w:rPr>
      </w:pPr>
      <w:r>
        <w:rPr>
          <w:rFonts w:ascii="Arial" w:cs="Arial" w:eastAsia="Arial" w:hAnsi="Arial"/>
          <w:sz w:val="16"/>
          <w:szCs w:val="16"/>
          <w:color w:val="auto"/>
        </w:rPr>
        <w:t>Retirement. If the Grantee ceases to be employed by or provide services to the Company or any of its Affiliates because the Grantee resigns for Retirement (as defined in the Employment Agreement), then the Restricted Shares shall continue to vest and be paid out in accordance with Section 3(a) or 3(b), as applicable, as though the Grantee continues to provide services to the Company or any of its Affiliates, subject to Section 4 hereof.</w:t>
      </w:r>
    </w:p>
    <w:p>
      <w:pPr>
        <w:spacing w:after="0" w:line="175" w:lineRule="exact"/>
        <w:rPr>
          <w:rFonts w:ascii="Arial" w:cs="Arial" w:eastAsia="Arial" w:hAnsi="Arial"/>
          <w:sz w:val="16"/>
          <w:szCs w:val="16"/>
          <w:color w:val="auto"/>
        </w:rPr>
      </w:pPr>
    </w:p>
    <w:p>
      <w:pPr>
        <w:jc w:val="both"/>
        <w:ind w:firstLine="1304"/>
        <w:spacing w:after="0" w:line="238" w:lineRule="auto"/>
        <w:tabs>
          <w:tab w:leader="none" w:pos="1706" w:val="left"/>
        </w:tabs>
        <w:numPr>
          <w:ilvl w:val="1"/>
          <w:numId w:val="64"/>
        </w:numPr>
        <w:rPr>
          <w:rFonts w:ascii="Arial" w:cs="Arial" w:eastAsia="Arial" w:hAnsi="Arial"/>
          <w:sz w:val="18"/>
          <w:szCs w:val="18"/>
          <w:color w:val="auto"/>
        </w:rPr>
      </w:pPr>
      <w:r>
        <w:rPr>
          <w:rFonts w:ascii="Arial" w:cs="Arial" w:eastAsia="Arial" w:hAnsi="Arial"/>
          <w:sz w:val="18"/>
          <w:szCs w:val="18"/>
          <w:color w:val="auto"/>
        </w:rPr>
        <w:t>Change of Control Termination. Notwithstanding Section 3(a) to the contrary, if a Change of Control occurs, and, at any time prior to the second (2</w:t>
      </w:r>
      <w:r>
        <w:rPr>
          <w:rFonts w:ascii="Arial" w:cs="Arial" w:eastAsia="Arial" w:hAnsi="Arial"/>
          <w:sz w:val="23"/>
          <w:szCs w:val="23"/>
          <w:color w:val="auto"/>
          <w:vertAlign w:val="superscript"/>
        </w:rPr>
        <w:t>nd</w:t>
      </w:r>
      <w:r>
        <w:rPr>
          <w:rFonts w:ascii="Arial" w:cs="Arial" w:eastAsia="Arial" w:hAnsi="Arial"/>
          <w:sz w:val="18"/>
          <w:szCs w:val="18"/>
          <w:color w:val="auto"/>
        </w:rPr>
        <w:t>) anniversary of the Change of Control, the Company or its Affiliate terminates the Grantee’s employment with or service to the Company, as applicable, without Cause (as such term is defined in the Employment Agreement) or the Grantee resigns for Retirement, the unvested portion of the Restricted Stock shall become immediately vested upon such termination of employment or service.</w:t>
      </w:r>
    </w:p>
    <w:p>
      <w:pPr>
        <w:spacing w:after="0" w:line="224" w:lineRule="exact"/>
        <w:rPr>
          <w:rFonts w:ascii="Arial" w:cs="Arial" w:eastAsia="Arial" w:hAnsi="Arial"/>
          <w:sz w:val="18"/>
          <w:szCs w:val="18"/>
          <w:color w:val="auto"/>
        </w:rPr>
      </w:pPr>
    </w:p>
    <w:p>
      <w:pPr>
        <w:jc w:val="both"/>
        <w:ind w:firstLine="656"/>
        <w:spacing w:after="0" w:line="256" w:lineRule="auto"/>
        <w:tabs>
          <w:tab w:leader="none" w:pos="976"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Forfeiture. </w:t>
      </w:r>
      <w:r>
        <w:rPr>
          <w:rFonts w:ascii="Arial" w:cs="Arial" w:eastAsia="Arial" w:hAnsi="Arial"/>
          <w:sz w:val="18"/>
          <w:szCs w:val="18"/>
          <w:color w:val="auto"/>
        </w:rPr>
        <w:t>No portion of the Restricted Shares underlying this Agreement shall vest after, and any unvested portion of the Restricted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forfeited on, the date on which the Grantee ceases to provide any services to the Company or any of its Affiliates (whether as an employee, director, or consultant), unless the Grantee ceases to provide services to the Company or any of its Affiliates due to death, disability, or Retirement. Notwithstanding anything herein to the contrary and without limiting any party’s rights or obligations, in the event of the Grantee’s Retirement, if the Grantee breaches his obligations under Section 5 of the Employment Agreement at any time following his Retirement, all Restricted Shares shall be forfeited immediately upon such breach.</w:t>
      </w:r>
    </w:p>
    <w:p>
      <w:pPr>
        <w:sectPr>
          <w:pgSz w:w="11900" w:h="16838" w:orient="portrait"/>
          <w:cols w:equalWidth="0" w:num="1">
            <w:col w:w="11240"/>
          </w:cols>
          <w:pgMar w:left="320" w:top="121" w:right="339" w:bottom="1440" w:gutter="0" w:footer="0" w:header="0"/>
        </w:sectPr>
      </w:pPr>
    </w:p>
    <w:bookmarkStart w:id="126" w:name="page127"/>
    <w:bookmarkEnd w:id="126"/>
    <w:p>
      <w:pPr>
        <w:jc w:val="both"/>
        <w:ind w:firstLine="656"/>
        <w:spacing w:after="0" w:line="256" w:lineRule="auto"/>
        <w:tabs>
          <w:tab w:leader="none" w:pos="1242"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Delivery of Stock. </w:t>
      </w:r>
      <w:r>
        <w:rPr>
          <w:rFonts w:ascii="Arial" w:cs="Arial" w:eastAsia="Arial" w:hAnsi="Arial"/>
          <w:sz w:val="18"/>
          <w:szCs w:val="18"/>
          <w:color w:val="auto"/>
        </w:rPr>
        <w:t>Delivery of shares of Stock under this Agreement will comply with all applicable laws (including the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Act), and the applicable requirements of any securities exchange or similar entity. The Company shall cause the Restricted Stock to either (i) be issued and a stock certificate or certificates representing the Restricted Stock to be registered in your name, or (ii) held in book entry form promptly upon acknowledgement and acceptance of this Agreement. If a stock certificate is issued, it shall be delivered to and held in custody by the Company until the applicable restrictions lapse at the times specified above, or such Restricted Stock is forfeited. If issued, each such certificate will bear the following legend:</w:t>
      </w:r>
    </w:p>
    <w:p>
      <w:pPr>
        <w:spacing w:after="0" w:line="21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THE SHARES OF STOCK REPRESENTED BY THIS CERTIFICATE ARE SUBJECT TO FORFEITURE AND THE TRANSFERABILITY OF THIS CERTIFICATE AND THE SHARES OF STOCK REPRESENTED HEREBY ARE SUBJECT TO THE RESTRICTIONS, TERMS AND CONDITIONS (INCLUDING RESTRICTIONS AGAINST TRANSFER) CONTAINED IN THE INTERNATIONAL MONEY EXPRESS, INC. 2020 OMNIBUS EQUITY COMPENSATION PLAN AND RESTRICTED STOCK AWARD AGREEMENT WITH A DATE OF GRANT OF MARCH 4, 2021 ENTERED INTO BETWEEN THE REGISTERED OWNER OF SUCH SHARES AND INTERNATIONAL MONEY EXPRESS, INC. A COPY OF THE AGREEMENT IS ON FILE IN THE OFFICE OF THE SECRETARY OF INTERNATIONAL MONEY EXPRESS, INC.</w:t>
      </w:r>
    </w:p>
    <w:p>
      <w:pPr>
        <w:spacing w:after="0" w:line="201" w:lineRule="exact"/>
        <w:rPr>
          <w:sz w:val="20"/>
          <w:szCs w:val="20"/>
          <w:color w:val="auto"/>
        </w:rPr>
      </w:pPr>
    </w:p>
    <w:p>
      <w:pPr>
        <w:ind w:firstLine="656"/>
        <w:spacing w:after="0" w:line="347" w:lineRule="auto"/>
        <w:tabs>
          <w:tab w:leader="none" w:pos="1017"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 xml:space="preserve">Rights as Stockholder. </w:t>
      </w:r>
      <w:r>
        <w:rPr>
          <w:rFonts w:ascii="Arial" w:cs="Arial" w:eastAsia="Arial" w:hAnsi="Arial"/>
          <w:sz w:val="16"/>
          <w:szCs w:val="16"/>
          <w:color w:val="auto"/>
        </w:rPr>
        <w:t>The Grantee shall have the right to vote unvested Restricted Shares awarded hereunder. Dividends shall accrue on</w:t>
      </w:r>
      <w:r>
        <w:rPr>
          <w:rFonts w:ascii="Arial" w:cs="Arial" w:eastAsia="Arial" w:hAnsi="Arial"/>
          <w:sz w:val="16"/>
          <w:szCs w:val="16"/>
          <w:b w:val="1"/>
          <w:bCs w:val="1"/>
          <w:color w:val="auto"/>
        </w:rPr>
        <w:t xml:space="preserve"> </w:t>
      </w:r>
      <w:r>
        <w:rPr>
          <w:rFonts w:ascii="Arial" w:cs="Arial" w:eastAsia="Arial" w:hAnsi="Arial"/>
          <w:sz w:val="16"/>
          <w:szCs w:val="16"/>
          <w:color w:val="auto"/>
        </w:rPr>
        <w:t>unvested Restricted Shares awarded hereunder and such dividends will be paid to the Grantee upon the vesting of such Restricted Shares.</w:t>
      </w:r>
    </w:p>
    <w:p>
      <w:pPr>
        <w:spacing w:after="0" w:line="142" w:lineRule="exact"/>
        <w:rPr>
          <w:rFonts w:ascii="Arial" w:cs="Arial" w:eastAsia="Arial" w:hAnsi="Arial"/>
          <w:sz w:val="16"/>
          <w:szCs w:val="16"/>
          <w:color w:val="auto"/>
        </w:rPr>
      </w:pPr>
    </w:p>
    <w:p>
      <w:pPr>
        <w:jc w:val="both"/>
        <w:ind w:firstLine="656"/>
        <w:spacing w:after="0" w:line="258" w:lineRule="auto"/>
        <w:tabs>
          <w:tab w:leader="none" w:pos="1377"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The shares of Stock subject to this Agreement may not be assigned, alienated, pledged, attached, sold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or encumbered before they vest in accordance with Section 3. After this Stock Award vests in accordance with Section 3, no sale or disposition of such shares shall be made in the absence of an effective registration statement under the Securities Act with respect to such shares unless an opinion of counsel satisfactory to the Company that such sale or disposition will not constitute a violation of the Securities Act or any other applicable securities laws is first obtained.</w:t>
      </w:r>
    </w:p>
    <w:p>
      <w:pPr>
        <w:spacing w:after="0" w:line="210" w:lineRule="exact"/>
        <w:rPr>
          <w:rFonts w:ascii="Arial" w:cs="Arial" w:eastAsia="Arial" w:hAnsi="Arial"/>
          <w:sz w:val="18"/>
          <w:szCs w:val="18"/>
          <w:color w:val="auto"/>
        </w:rPr>
      </w:pPr>
    </w:p>
    <w:p>
      <w:pPr>
        <w:jc w:val="both"/>
        <w:ind w:firstLine="656"/>
        <w:spacing w:after="0" w:line="266" w:lineRule="auto"/>
        <w:tabs>
          <w:tab w:leader="none" w:pos="1188"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Change in Capital Structure. </w:t>
      </w:r>
      <w:r>
        <w:rPr>
          <w:rFonts w:ascii="Arial" w:cs="Arial" w:eastAsia="Arial" w:hAnsi="Arial"/>
          <w:sz w:val="18"/>
          <w:szCs w:val="18"/>
          <w:color w:val="auto"/>
        </w:rPr>
        <w:t>In accordance with Section 5(d) of the Plan, the terms of this Agreement, including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Stock in respect of the Restricted Shares, shall be adjusted as the Administrator determines is equitably required in the event the Company effects one or more stock dividends, stock splits, subdivisions or consolidations of shares or other similar changes in capitalization.</w:t>
      </w:r>
    </w:p>
    <w:p>
      <w:pPr>
        <w:spacing w:after="0" w:line="202" w:lineRule="exact"/>
        <w:rPr>
          <w:rFonts w:ascii="Arial" w:cs="Arial" w:eastAsia="Arial" w:hAnsi="Arial"/>
          <w:sz w:val="18"/>
          <w:szCs w:val="18"/>
          <w:color w:val="auto"/>
        </w:rPr>
      </w:pPr>
    </w:p>
    <w:p>
      <w:pPr>
        <w:ind w:left="1200" w:hanging="544"/>
        <w:spacing w:after="0"/>
        <w:tabs>
          <w:tab w:leader="none" w:pos="120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Tax Liability and Withholding.</w:t>
      </w:r>
    </w:p>
    <w:p>
      <w:pPr>
        <w:spacing w:after="0" w:line="256" w:lineRule="exact"/>
        <w:rPr>
          <w:rFonts w:ascii="Arial" w:cs="Arial" w:eastAsia="Arial" w:hAnsi="Arial"/>
          <w:sz w:val="18"/>
          <w:szCs w:val="18"/>
          <w:color w:val="auto"/>
        </w:rPr>
      </w:pPr>
    </w:p>
    <w:p>
      <w:pPr>
        <w:jc w:val="both"/>
        <w:ind w:firstLine="1304"/>
        <w:spacing w:after="0" w:line="271" w:lineRule="auto"/>
        <w:tabs>
          <w:tab w:leader="none" w:pos="1682" w:val="left"/>
        </w:tabs>
        <w:numPr>
          <w:ilvl w:val="1"/>
          <w:numId w:val="66"/>
        </w:numPr>
        <w:rPr>
          <w:rFonts w:ascii="Arial" w:cs="Arial" w:eastAsia="Arial" w:hAnsi="Arial"/>
          <w:sz w:val="17"/>
          <w:szCs w:val="17"/>
          <w:color w:val="auto"/>
        </w:rPr>
      </w:pPr>
      <w:r>
        <w:rPr>
          <w:rFonts w:ascii="Arial" w:cs="Arial" w:eastAsia="Arial" w:hAnsi="Arial"/>
          <w:sz w:val="17"/>
          <w:szCs w:val="17"/>
          <w:color w:val="auto"/>
        </w:rPr>
        <w:t>The Grantee understands that when the Restricted Shares are vested, the Grantee will be obligated to recognize income, for Federal, state and local income tax purposes, as applicable, in an amount equal to the Fair Market Value of the Restricted Shares that vest as of such date, and the Grantee is responsible for all tax obligations that arise in connection with the Restricted Shares. Notwithstanding any action the Company takes with respect to any or all income tax, social insurance, payroll tax, or other tax-related withholding (“</w:t>
      </w:r>
      <w:r>
        <w:rPr>
          <w:rFonts w:ascii="Arial" w:cs="Arial" w:eastAsia="Arial" w:hAnsi="Arial"/>
          <w:sz w:val="17"/>
          <w:szCs w:val="17"/>
          <w:u w:val="single" w:color="auto"/>
          <w:color w:val="auto"/>
        </w:rPr>
        <w:t>Tax-Related Items</w:t>
      </w:r>
      <w:r>
        <w:rPr>
          <w:rFonts w:ascii="Arial" w:cs="Arial" w:eastAsia="Arial" w:hAnsi="Arial"/>
          <w:sz w:val="17"/>
          <w:szCs w:val="17"/>
          <w:color w:val="auto"/>
        </w:rPr>
        <w:t>”), the ultimate liability for all Tax-Related Items is and remains the Grantee’s responsibility and the Company (i) makes no representation or undertakings regarding the treatment of any Tax-Related Items in connection with the grant or vesting of the Restricted Shares, the delivery of Stock underlying the Restricted Shares, or the subsequent sale of any shares of Stock underlying the Restricted Shares; and (ii) does not commit to structure the Restricted Shares or the delivery of Stock underlying the Restricted Shares to reduce or eliminate the Grantee’s liability for Tax-Related Items.</w:t>
      </w:r>
    </w:p>
    <w:p>
      <w:pPr>
        <w:spacing w:after="0" w:line="205" w:lineRule="exact"/>
        <w:rPr>
          <w:rFonts w:ascii="Arial" w:cs="Arial" w:eastAsia="Arial" w:hAnsi="Arial"/>
          <w:sz w:val="17"/>
          <w:szCs w:val="17"/>
          <w:color w:val="auto"/>
        </w:rPr>
      </w:pPr>
    </w:p>
    <w:p>
      <w:pPr>
        <w:jc w:val="both"/>
        <w:ind w:firstLine="1304"/>
        <w:spacing w:after="0" w:line="253" w:lineRule="auto"/>
        <w:tabs>
          <w:tab w:leader="none" w:pos="1735" w:val="left"/>
        </w:tabs>
        <w:numPr>
          <w:ilvl w:val="1"/>
          <w:numId w:val="66"/>
        </w:numPr>
        <w:rPr>
          <w:rFonts w:ascii="Arial" w:cs="Arial" w:eastAsia="Arial" w:hAnsi="Arial"/>
          <w:sz w:val="18"/>
          <w:szCs w:val="18"/>
          <w:color w:val="auto"/>
        </w:rPr>
      </w:pPr>
      <w:r>
        <w:rPr>
          <w:rFonts w:ascii="Arial" w:cs="Arial" w:eastAsia="Arial" w:hAnsi="Arial"/>
          <w:sz w:val="18"/>
          <w:szCs w:val="18"/>
          <w:color w:val="auto"/>
        </w:rPr>
        <w:t>Notwithstanding anything in the Plan or this Agreement to the contrary, unless the Grantee has delivered an amount necessary to satisfy the Tax-Related Items as of the vesting date for the Restricted Shares, the Grantee agrees to the following methods of satisfying the Tax-Related Items on behalf of the Grantee in connection with the vesting of the Restricted Shares, in the discretion of the Company: (i) through the automatic withholding of a sufficient number of other shares of Stock that would otherwise be delivered to Grantee on such date, if any, applying procedures approved by the Administrator, such withheld shares having an aggregate Fair Market Value on the date of vesting of such Restricted Shares that shall not exceed the minimum amount of the Tax-Related Items, rounded up for any partial share of Stock that would be withheld to satisfy such obligation (or such other amount as the Administrator determines will not result in additional compensation expense for financial accounting purposes under applicable financial accounting principles); (ii) through the deduction from any other payment otherwise due to the Grantee at the time of vesting; or (iii) a combination of any or all of the foregoing.</w:t>
      </w:r>
    </w:p>
    <w:p>
      <w:pPr>
        <w:sectPr>
          <w:pgSz w:w="11900" w:h="16838" w:orient="portrait"/>
          <w:cols w:equalWidth="0" w:num="1">
            <w:col w:w="11240"/>
          </w:cols>
          <w:pgMar w:left="320" w:top="1093" w:right="339" w:bottom="1440" w:gutter="0" w:footer="0" w:header="0"/>
        </w:sectPr>
      </w:pPr>
    </w:p>
    <w:bookmarkStart w:id="127" w:name="page128"/>
    <w:bookmarkEnd w:id="127"/>
    <w:p>
      <w:pPr>
        <w:jc w:val="both"/>
        <w:ind w:left="-656" w:firstLine="1304"/>
        <w:spacing w:after="0" w:line="263" w:lineRule="auto"/>
        <w:tabs>
          <w:tab w:leader="none" w:pos="1024" w:val="left"/>
        </w:tabs>
        <w:numPr>
          <w:ilvl w:val="1"/>
          <w:numId w:val="67"/>
        </w:numPr>
        <w:rPr>
          <w:rFonts w:ascii="Arial" w:cs="Arial" w:eastAsia="Arial" w:hAnsi="Arial"/>
          <w:sz w:val="18"/>
          <w:szCs w:val="18"/>
          <w:color w:val="auto"/>
        </w:rPr>
      </w:pPr>
      <w:r>
        <w:rPr>
          <w:rFonts w:ascii="Arial" w:cs="Arial" w:eastAsia="Arial" w:hAnsi="Arial"/>
          <w:sz w:val="18"/>
          <w:szCs w:val="18"/>
          <w:color w:val="auto"/>
        </w:rPr>
        <w:t>Unless otherwise determined by the Administrator, the Grantee may satisfy the tax withholding obligation by delivery of cash, or by delivering shares of Stock owned by the Grantee (having in any case, an aggregate Fair Market Value on the date of vesting equal to the amount of the Tax-Related Items).</w:t>
      </w:r>
    </w:p>
    <w:p>
      <w:pPr>
        <w:spacing w:after="0" w:line="206" w:lineRule="exact"/>
        <w:rPr>
          <w:rFonts w:ascii="Arial" w:cs="Arial" w:eastAsia="Arial" w:hAnsi="Arial"/>
          <w:sz w:val="18"/>
          <w:szCs w:val="18"/>
          <w:color w:val="auto"/>
        </w:rPr>
      </w:pPr>
    </w:p>
    <w:p>
      <w:pPr>
        <w:ind w:left="-656" w:firstLine="656"/>
        <w:spacing w:after="0" w:line="282" w:lineRule="auto"/>
        <w:tabs>
          <w:tab w:leader="none" w:pos="698"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Conflicts. </w:t>
      </w:r>
      <w:r>
        <w:rPr>
          <w:rFonts w:ascii="Arial" w:cs="Arial" w:eastAsia="Arial" w:hAnsi="Arial"/>
          <w:sz w:val="18"/>
          <w:szCs w:val="18"/>
          <w:color w:val="auto"/>
        </w:rPr>
        <w:t>In the event of any conflict between the provisions of the Plan as in effect on the Date of Grant and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provisions of the Plan shall govern. All references herein to the Plan mean the Plan as in effect on the date hereof.</w:t>
      </w:r>
    </w:p>
    <w:p>
      <w:pPr>
        <w:spacing w:after="0" w:line="188" w:lineRule="exact"/>
        <w:rPr>
          <w:rFonts w:ascii="Arial" w:cs="Arial" w:eastAsia="Arial" w:hAnsi="Arial"/>
          <w:sz w:val="18"/>
          <w:szCs w:val="18"/>
          <w:color w:val="auto"/>
        </w:rPr>
      </w:pPr>
    </w:p>
    <w:p>
      <w:pPr>
        <w:jc w:val="both"/>
        <w:ind w:left="-656" w:firstLine="656"/>
        <w:spacing w:after="0" w:line="266" w:lineRule="auto"/>
        <w:tabs>
          <w:tab w:leader="none" w:pos="404"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No Right to Continued Service. </w:t>
      </w:r>
      <w:r>
        <w:rPr>
          <w:rFonts w:ascii="Arial" w:cs="Arial" w:eastAsia="Arial" w:hAnsi="Arial"/>
          <w:sz w:val="18"/>
          <w:szCs w:val="18"/>
          <w:color w:val="auto"/>
        </w:rPr>
        <w:t>Neither the Plan nor this Agreement shall confer upon the Grantee any right to be retained in any 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as an employee, consultant or director of the Company or any of its subsidiaries. Further, nothing in the Plan or this Agreement shall be construed to limit the discretion of the Company to terminate the Grantee’s employment at any time, with or without Cause.</w:t>
      </w:r>
    </w:p>
    <w:p>
      <w:pPr>
        <w:spacing w:after="0" w:line="202" w:lineRule="exact"/>
        <w:rPr>
          <w:rFonts w:ascii="Arial" w:cs="Arial" w:eastAsia="Arial" w:hAnsi="Arial"/>
          <w:sz w:val="18"/>
          <w:szCs w:val="18"/>
          <w:color w:val="auto"/>
        </w:rPr>
      </w:pPr>
    </w:p>
    <w:p>
      <w:pPr>
        <w:jc w:val="both"/>
        <w:ind w:left="-656" w:firstLine="656"/>
        <w:spacing w:after="0" w:line="266" w:lineRule="auto"/>
        <w:tabs>
          <w:tab w:leader="none" w:pos="505"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Compliance with Law. </w:t>
      </w:r>
      <w:r>
        <w:rPr>
          <w:rFonts w:ascii="Arial" w:cs="Arial" w:eastAsia="Arial" w:hAnsi="Arial"/>
          <w:sz w:val="18"/>
          <w:szCs w:val="18"/>
          <w:color w:val="auto"/>
        </w:rPr>
        <w:t>The grant of the Restricted Shares shall be subject to compliance by the Company and the Grantee with all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requirements of federal and state securities laws and with all applicable requirements of any stock exchange on which the Company’s shares of Stock may be listed.</w:t>
      </w:r>
    </w:p>
    <w:p>
      <w:pPr>
        <w:spacing w:after="0" w:line="202" w:lineRule="exact"/>
        <w:rPr>
          <w:rFonts w:ascii="Arial" w:cs="Arial" w:eastAsia="Arial" w:hAnsi="Arial"/>
          <w:sz w:val="18"/>
          <w:szCs w:val="18"/>
          <w:color w:val="auto"/>
        </w:rPr>
      </w:pPr>
    </w:p>
    <w:p>
      <w:pPr>
        <w:jc w:val="both"/>
        <w:ind w:left="-656" w:firstLine="656"/>
        <w:spacing w:after="0" w:line="261" w:lineRule="auto"/>
        <w:tabs>
          <w:tab w:leader="none" w:pos="41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Any notice required to be delivered to the Company under this Agreement shall be in writing and addressed to the Secretary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at the Company’s principal corporate offices. Any notice required to be delivered to the Grantee under this Agreement shall be in writing and addressed to the Grantee at the Grantee’s address as shown in the records of the Company. Either party may designate another address in writing (or by such other method approved by the Company) from time to time.</w:t>
      </w:r>
    </w:p>
    <w:p>
      <w:pPr>
        <w:spacing w:after="0" w:line="206" w:lineRule="exact"/>
        <w:rPr>
          <w:rFonts w:ascii="Arial" w:cs="Arial" w:eastAsia="Arial" w:hAnsi="Arial"/>
          <w:sz w:val="18"/>
          <w:szCs w:val="18"/>
          <w:color w:val="auto"/>
        </w:rPr>
      </w:pPr>
    </w:p>
    <w:p>
      <w:pPr>
        <w:ind w:left="-656" w:firstLine="656"/>
        <w:spacing w:after="0" w:line="312" w:lineRule="auto"/>
        <w:tabs>
          <w:tab w:leader="none" w:pos="505"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 xml:space="preserve">Interpretation. </w:t>
      </w:r>
      <w:r>
        <w:rPr>
          <w:rFonts w:ascii="Arial" w:cs="Arial" w:eastAsia="Arial" w:hAnsi="Arial"/>
          <w:sz w:val="17"/>
          <w:szCs w:val="17"/>
          <w:color w:val="auto"/>
        </w:rPr>
        <w:t>Any dispute regarding the interpretation of this Agreement shall be submitted by the Grantee or the Company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Administrator for review. The resolution of such dispute by the Administrator shall be final and binding on the Grantee and the Company.</w:t>
      </w:r>
    </w:p>
    <w:p>
      <w:pPr>
        <w:spacing w:after="0" w:line="166" w:lineRule="exact"/>
        <w:rPr>
          <w:rFonts w:ascii="Arial" w:cs="Arial" w:eastAsia="Arial" w:hAnsi="Arial"/>
          <w:sz w:val="17"/>
          <w:szCs w:val="17"/>
          <w:color w:val="auto"/>
        </w:rPr>
      </w:pPr>
    </w:p>
    <w:p>
      <w:pPr>
        <w:jc w:val="both"/>
        <w:ind w:left="-656" w:firstLine="656"/>
        <w:spacing w:after="0" w:line="261" w:lineRule="auto"/>
        <w:tabs>
          <w:tab w:leader="none" w:pos="41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Successors and Assigns. </w:t>
      </w:r>
      <w:r>
        <w:rPr>
          <w:rFonts w:ascii="Arial" w:cs="Arial" w:eastAsia="Arial" w:hAnsi="Arial"/>
          <w:sz w:val="18"/>
          <w:szCs w:val="18"/>
          <w:color w:val="auto"/>
        </w:rPr>
        <w:t>The Company may assign any of its rights under this Agreement. This Agreement will be binding upon and inure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benefit of the successors and assigns of the Company. Subject to the restrictions on transfer set forth herein, this Agreement will be binding upon the Grantee and the Grantee’s beneficiaries, executors, administrators and the person(s) to whom this Agreement may be transferred by will or the laws of descent or distribution.</w:t>
      </w:r>
    </w:p>
    <w:p>
      <w:pPr>
        <w:spacing w:after="0" w:line="206" w:lineRule="exact"/>
        <w:rPr>
          <w:rFonts w:ascii="Arial" w:cs="Arial" w:eastAsia="Arial" w:hAnsi="Arial"/>
          <w:sz w:val="18"/>
          <w:szCs w:val="18"/>
          <w:color w:val="auto"/>
        </w:rPr>
      </w:pPr>
    </w:p>
    <w:p>
      <w:pPr>
        <w:jc w:val="both"/>
        <w:ind w:left="-656" w:firstLine="656"/>
        <w:spacing w:after="0" w:line="266" w:lineRule="auto"/>
        <w:tabs>
          <w:tab w:leader="none" w:pos="41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The invalidity or unenforceability of any provision of the Plan or this Agreement shall not affect the validity or enforceability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other provision of the Plan or this Agreement, and each provision of the Plan and this Agreement shall be severable and enforceable to the extent permitted by law.</w:t>
      </w:r>
    </w:p>
    <w:p>
      <w:pPr>
        <w:spacing w:after="0" w:line="202" w:lineRule="exact"/>
        <w:rPr>
          <w:rFonts w:ascii="Arial" w:cs="Arial" w:eastAsia="Arial" w:hAnsi="Arial"/>
          <w:sz w:val="18"/>
          <w:szCs w:val="18"/>
          <w:color w:val="auto"/>
        </w:rPr>
      </w:pPr>
    </w:p>
    <w:p>
      <w:pPr>
        <w:jc w:val="both"/>
        <w:ind w:left="-656" w:firstLine="656"/>
        <w:spacing w:after="0" w:line="261" w:lineRule="auto"/>
        <w:tabs>
          <w:tab w:leader="none" w:pos="424"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Discretionary Nature of Plan. </w:t>
      </w:r>
      <w:r>
        <w:rPr>
          <w:rFonts w:ascii="Arial" w:cs="Arial" w:eastAsia="Arial" w:hAnsi="Arial"/>
          <w:sz w:val="18"/>
          <w:szCs w:val="18"/>
          <w:color w:val="auto"/>
        </w:rPr>
        <w:t>The Plan is discretionary and may be amended, cancelled or terminated by the Company at any time, in its</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The grant of the Restricted Shares in this Agreement does not create any contractual right or other right to receive any Grants in the future. Future Grants, if any, will be at the sole discretion of the Company. Any amendment, modification, or termination of the Plan shall not constitute a change or impairment of the terms and conditions of the Grantee’s service to the Company.</w:t>
      </w:r>
    </w:p>
    <w:p>
      <w:pPr>
        <w:spacing w:after="0" w:line="206" w:lineRule="exact"/>
        <w:rPr>
          <w:rFonts w:ascii="Arial" w:cs="Arial" w:eastAsia="Arial" w:hAnsi="Arial"/>
          <w:sz w:val="18"/>
          <w:szCs w:val="18"/>
          <w:color w:val="auto"/>
        </w:rPr>
      </w:pPr>
    </w:p>
    <w:p>
      <w:pPr>
        <w:ind w:left="-656" w:firstLine="656"/>
        <w:spacing w:after="0" w:line="347" w:lineRule="auto"/>
        <w:tabs>
          <w:tab w:leader="none" w:pos="518"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Amendment. </w:t>
      </w:r>
      <w:r>
        <w:rPr>
          <w:rFonts w:ascii="Arial" w:cs="Arial" w:eastAsia="Arial" w:hAnsi="Arial"/>
          <w:sz w:val="16"/>
          <w:szCs w:val="16"/>
          <w:color w:val="auto"/>
        </w:rPr>
        <w:t>The Administrator has the right to amend, alter, suspend, discontinue or cancel the Restricted Shares, prospectively or</w:t>
      </w:r>
      <w:r>
        <w:rPr>
          <w:rFonts w:ascii="Arial" w:cs="Arial" w:eastAsia="Arial" w:hAnsi="Arial"/>
          <w:sz w:val="16"/>
          <w:szCs w:val="16"/>
          <w:b w:val="1"/>
          <w:bCs w:val="1"/>
          <w:color w:val="auto"/>
        </w:rPr>
        <w:t xml:space="preserve"> </w:t>
      </w:r>
      <w:r>
        <w:rPr>
          <w:rFonts w:ascii="Arial" w:cs="Arial" w:eastAsia="Arial" w:hAnsi="Arial"/>
          <w:sz w:val="16"/>
          <w:szCs w:val="16"/>
          <w:color w:val="auto"/>
        </w:rPr>
        <w:t>retroactively; provided, that, no such amendment shall adversely affect the Grantee’s material rights under this Agreement without the Grantee’s consent.</w:t>
      </w:r>
    </w:p>
    <w:p>
      <w:pPr>
        <w:spacing w:after="0" w:line="142" w:lineRule="exact"/>
        <w:rPr>
          <w:rFonts w:ascii="Arial" w:cs="Arial" w:eastAsia="Arial" w:hAnsi="Arial"/>
          <w:sz w:val="16"/>
          <w:szCs w:val="16"/>
          <w:color w:val="auto"/>
        </w:rPr>
      </w:pPr>
    </w:p>
    <w:p>
      <w:pPr>
        <w:ind w:left="-656" w:firstLine="656"/>
        <w:spacing w:after="0" w:line="282" w:lineRule="auto"/>
        <w:tabs>
          <w:tab w:leader="none" w:pos="424"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No Impact on Other Benefits. </w:t>
      </w:r>
      <w:r>
        <w:rPr>
          <w:rFonts w:ascii="Arial" w:cs="Arial" w:eastAsia="Arial" w:hAnsi="Arial"/>
          <w:sz w:val="18"/>
          <w:szCs w:val="18"/>
          <w:color w:val="auto"/>
        </w:rPr>
        <w:t>The value of the Grantee’s Restricted Shares is not part of his or her normal or expected compensation for</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calculating any severance, retirement, welfare, insurance or similar employee benefit.</w:t>
      </w:r>
    </w:p>
    <w:p>
      <w:pPr>
        <w:spacing w:after="0" w:line="188" w:lineRule="exact"/>
        <w:rPr>
          <w:rFonts w:ascii="Arial" w:cs="Arial" w:eastAsia="Arial" w:hAnsi="Arial"/>
          <w:sz w:val="18"/>
          <w:szCs w:val="18"/>
          <w:color w:val="auto"/>
        </w:rPr>
      </w:pPr>
    </w:p>
    <w:p>
      <w:pPr>
        <w:jc w:val="both"/>
        <w:ind w:left="-656" w:firstLine="656"/>
        <w:spacing w:after="0" w:line="298" w:lineRule="auto"/>
        <w:tabs>
          <w:tab w:leader="none" w:pos="397"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The parties recognize that although the Restricted Shares are not intended to be subject to Section 409A of the Code (“</w:t>
      </w:r>
      <w:r>
        <w:rPr>
          <w:rFonts w:ascii="Arial" w:cs="Arial" w:eastAsia="Arial" w:hAnsi="Arial"/>
          <w:sz w:val="16"/>
          <w:szCs w:val="16"/>
          <w:u w:val="single" w:color="auto"/>
          <w:color w:val="auto"/>
        </w:rPr>
        <w:t>Section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409A</w:t>
      </w:r>
      <w:r>
        <w:rPr>
          <w:rFonts w:ascii="Arial" w:cs="Arial" w:eastAsia="Arial" w:hAnsi="Arial"/>
          <w:sz w:val="16"/>
          <w:szCs w:val="16"/>
          <w:color w:val="auto"/>
        </w:rPr>
        <w:t>”), certain provisions of this Agreement may be affected by Section 409A and agree to negotiate in good faith to amend this Agreement with respect to any changes that the Board reasonably determines are necessary or advisable to cause the Restricted Shares to comply with or otherwise be exempt from Section 409A. Any ambiguities in this Agreement shall be interpreted in a manner intended to comply with, or to cause the Restricted Shares to be exempt from, Section 409A. Notwithstanding the foregoing, the Company makes no representations that the payments</w:t>
      </w:r>
    </w:p>
    <w:p>
      <w:pPr>
        <w:sectPr>
          <w:pgSz w:w="11900" w:h="16838" w:orient="portrait"/>
          <w:cols w:equalWidth="0" w:num="1">
            <w:col w:w="10584"/>
          </w:cols>
          <w:pgMar w:left="976" w:top="1340" w:right="339" w:bottom="1440" w:gutter="0" w:footer="0" w:header="0"/>
        </w:sectPr>
      </w:pPr>
    </w:p>
    <w:bookmarkStart w:id="128" w:name="page129"/>
    <w:bookmarkEnd w:id="128"/>
    <w:p>
      <w:pPr>
        <w:jc w:val="both"/>
        <w:spacing w:after="0" w:line="259" w:lineRule="auto"/>
        <w:rPr>
          <w:sz w:val="20"/>
          <w:szCs w:val="20"/>
          <w:color w:val="auto"/>
        </w:rPr>
      </w:pPr>
      <w:r>
        <w:rPr>
          <w:rFonts w:ascii="Arial" w:cs="Arial" w:eastAsia="Arial" w:hAnsi="Arial"/>
          <w:sz w:val="18"/>
          <w:szCs w:val="18"/>
          <w:color w:val="auto"/>
        </w:rPr>
        <w:t>and benefits provided under this Agreement comply with Section 409A and in no event shall the Company be liable for all or any portion of any taxes, penalties, interest or other expenses that may be incurred by the Grantee on account of non-compliance with Section 409A. If the Restricted Shares constitute nonqualified deferred compensation within the meaning of Section 409A, references in this Agreement to a termination of employment or cessation of service or the like shall mean a “separation from service” under Section 409A.</w:t>
      </w:r>
    </w:p>
    <w:p>
      <w:pPr>
        <w:spacing w:after="0" w:line="210" w:lineRule="exact"/>
        <w:rPr>
          <w:sz w:val="20"/>
          <w:szCs w:val="20"/>
          <w:color w:val="auto"/>
        </w:rPr>
      </w:pPr>
    </w:p>
    <w:p>
      <w:pPr>
        <w:jc w:val="both"/>
        <w:ind w:firstLine="656"/>
        <w:spacing w:after="0" w:line="261"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Agreement may be executed in counterparts, each of which shall be deemed an original but all of which together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206" w:lineRule="exact"/>
        <w:rPr>
          <w:rFonts w:ascii="Arial" w:cs="Arial" w:eastAsia="Arial" w:hAnsi="Arial"/>
          <w:sz w:val="18"/>
          <w:szCs w:val="18"/>
          <w:color w:val="auto"/>
        </w:rPr>
      </w:pPr>
    </w:p>
    <w:p>
      <w:pPr>
        <w:ind w:firstLine="656"/>
        <w:spacing w:after="0" w:line="312" w:lineRule="auto"/>
        <w:tabs>
          <w:tab w:leader="none" w:pos="1273"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Grantee Bound by Plan. </w:t>
      </w:r>
      <w:r>
        <w:rPr>
          <w:rFonts w:ascii="Arial" w:cs="Arial" w:eastAsia="Arial" w:hAnsi="Arial"/>
          <w:sz w:val="17"/>
          <w:szCs w:val="17"/>
          <w:color w:val="auto"/>
        </w:rPr>
        <w:t>The Grantee hereby acknowledges that a copy of the Plan has been made available to him or her and agrees to</w:t>
      </w:r>
      <w:r>
        <w:rPr>
          <w:rFonts w:ascii="Arial" w:cs="Arial" w:eastAsia="Arial" w:hAnsi="Arial"/>
          <w:sz w:val="17"/>
          <w:szCs w:val="17"/>
          <w:b w:val="1"/>
          <w:bCs w:val="1"/>
          <w:color w:val="auto"/>
        </w:rPr>
        <w:t xml:space="preserve"> </w:t>
      </w:r>
      <w:r>
        <w:rPr>
          <w:rFonts w:ascii="Arial" w:cs="Arial" w:eastAsia="Arial" w:hAnsi="Arial"/>
          <w:sz w:val="17"/>
          <w:szCs w:val="17"/>
          <w:color w:val="auto"/>
        </w:rPr>
        <w:t>be bound by all the terms and provisions thereof. The terms and conditions of the Plan are incorporated into this Agreement by reference.</w:t>
      </w:r>
    </w:p>
    <w:p>
      <w:pPr>
        <w:spacing w:after="0" w:line="166" w:lineRule="exact"/>
        <w:rPr>
          <w:rFonts w:ascii="Arial" w:cs="Arial" w:eastAsia="Arial" w:hAnsi="Arial"/>
          <w:sz w:val="17"/>
          <w:szCs w:val="17"/>
          <w:color w:val="auto"/>
        </w:rPr>
      </w:pPr>
    </w:p>
    <w:p>
      <w:pPr>
        <w:ind w:left="1240" w:hanging="584"/>
        <w:spacing w:after="0"/>
        <w:tabs>
          <w:tab w:leader="none" w:pos="124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This Agreement shall be governed by the laws of the State of Delaware without regard to conflict of law principles.</w:t>
      </w:r>
    </w:p>
    <w:p>
      <w:pPr>
        <w:spacing w:after="0" w:line="263" w:lineRule="exact"/>
        <w:rPr>
          <w:rFonts w:ascii="Arial" w:cs="Arial" w:eastAsia="Arial" w:hAnsi="Arial"/>
          <w:sz w:val="17"/>
          <w:szCs w:val="17"/>
          <w:color w:val="auto"/>
        </w:rPr>
      </w:pPr>
    </w:p>
    <w:p>
      <w:pPr>
        <w:jc w:val="both"/>
        <w:ind w:firstLine="656"/>
        <w:spacing w:after="0" w:line="261" w:lineRule="auto"/>
        <w:tabs>
          <w:tab w:leader="none" w:pos="1098"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Acceptance. </w:t>
      </w:r>
      <w:r>
        <w:rPr>
          <w:rFonts w:ascii="Arial" w:cs="Arial" w:eastAsia="Arial" w:hAnsi="Arial"/>
          <w:sz w:val="18"/>
          <w:szCs w:val="18"/>
          <w:color w:val="auto"/>
        </w:rPr>
        <w:t>The Grantee hereby acknowledges receipt of a copy of the Plan and this Agreement. The Grantee has read and understands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provisions thereof, and accepts the Restricted Shares subject to all of the terms and conditions of the Plan and this Agreement. The Grantee acknowledges that there may be adverse tax consequences upon grant or vesting of the Restricted Shares and that the Grantee should consult a tax advisor prior to such vesting.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 appear on following page]</w:t>
      </w:r>
    </w:p>
    <w:p>
      <w:pPr>
        <w:spacing w:after="0" w:line="200" w:lineRule="exact"/>
        <w:rPr>
          <w:sz w:val="20"/>
          <w:szCs w:val="20"/>
          <w:color w:val="auto"/>
        </w:rPr>
      </w:pPr>
    </w:p>
    <w:p>
      <w:pPr>
        <w:spacing w:after="0" w:line="22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its duly authorized officer to execute this Agreement, and the Grantee has placed his or her signature</w:t>
      </w:r>
      <w:r>
        <w:rPr>
          <w:rFonts w:ascii="Arial" w:cs="Arial" w:eastAsia="Arial" w:hAnsi="Arial"/>
          <w:sz w:val="18"/>
          <w:szCs w:val="18"/>
          <w:b w:val="1"/>
          <w:bCs w:val="1"/>
          <w:color w:val="auto"/>
        </w:rPr>
        <w:t xml:space="preserve"> </w:t>
      </w:r>
      <w:r>
        <w:rPr>
          <w:rFonts w:ascii="Arial" w:cs="Arial" w:eastAsia="Arial" w:hAnsi="Arial"/>
          <w:sz w:val="18"/>
          <w:szCs w:val="18"/>
          <w:color w:val="auto"/>
        </w:rPr>
        <w:t>hereon, effective as of the Date of Grant.</w:t>
      </w:r>
    </w:p>
    <w:p>
      <w:pPr>
        <w:sectPr>
          <w:pgSz w:w="11900" w:h="16838" w:orient="portrait"/>
          <w:cols w:equalWidth="0" w:num="1">
            <w:col w:w="11240"/>
          </w:cols>
          <w:pgMar w:left="320" w:top="1097"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INTERNATIONAL MONEY EXPRESS, INC.</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31750</wp:posOffset>
            </wp:positionV>
            <wp:extent cx="27774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hereby accept this grant and I agree to be bound by the terms of the Plan and this grant. I further agree that all of the decisions and interpretations of the Company with respect thereto shall be final and binding.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31750</wp:posOffset>
            </wp:positionV>
            <wp:extent cx="30346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3111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040"/>
          </w:cols>
          <w:pgMar w:left="320" w:top="1340" w:right="5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7400" w:type="dxa"/>
            <w:vAlign w:val="bottom"/>
            <w:gridSpan w:val="5"/>
          </w:tcPr>
          <w:p>
            <w:pPr>
              <w:ind w:left="100"/>
              <w:spacing w:after="0"/>
              <w:rPr>
                <w:sz w:val="20"/>
                <w:szCs w:val="20"/>
                <w:color w:val="auto"/>
              </w:rPr>
            </w:pPr>
            <w:r>
              <w:rPr>
                <w:rFonts w:ascii="Arial" w:cs="Arial" w:eastAsia="Arial" w:hAnsi="Arial"/>
                <w:sz w:val="18"/>
                <w:szCs w:val="18"/>
                <w:b w:val="1"/>
                <w:bCs w:val="1"/>
                <w:color w:val="auto"/>
              </w:rPr>
              <w:t>Subsidiaries of International Money Express, Inc.</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Entity</w:t>
            </w:r>
          </w:p>
        </w:tc>
        <w:tc>
          <w:tcPr>
            <w:tcW w:w="100" w:type="dxa"/>
            <w:vAlign w:val="bottom"/>
          </w:tcPr>
          <w:p>
            <w:pPr>
              <w:spacing w:after="0"/>
              <w:rPr>
                <w:sz w:val="24"/>
                <w:szCs w:val="24"/>
                <w:color w:val="auto"/>
              </w:rPr>
            </w:pPr>
          </w:p>
        </w:tc>
        <w:tc>
          <w:tcPr>
            <w:tcW w:w="7300" w:type="dxa"/>
            <w:vAlign w:val="bottom"/>
            <w:gridSpan w:val="4"/>
          </w:tcPr>
          <w:p>
            <w:pPr>
              <w:ind w:left="3480"/>
              <w:spacing w:after="0"/>
              <w:rPr>
                <w:sz w:val="20"/>
                <w:szCs w:val="20"/>
                <w:color w:val="auto"/>
              </w:rPr>
            </w:pPr>
            <w:r>
              <w:rPr>
                <w:rFonts w:ascii="Arial" w:cs="Arial" w:eastAsia="Arial" w:hAnsi="Arial"/>
                <w:sz w:val="18"/>
                <w:szCs w:val="18"/>
                <w:color w:val="auto"/>
              </w:rPr>
              <w:t>State of Organization</w:t>
            </w:r>
          </w:p>
        </w:tc>
      </w:tr>
      <w:tr>
        <w:trPr>
          <w:trHeight w:val="48"/>
        </w:trPr>
        <w:tc>
          <w:tcPr>
            <w:tcW w:w="2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3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International Money Express Sub 2, LLC</w:t>
            </w:r>
          </w:p>
        </w:tc>
        <w:tc>
          <w:tcPr>
            <w:tcW w:w="10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4"/>
            <w:shd w:val="clear" w:color="auto" w:fill="CCEEFF"/>
          </w:tcPr>
          <w:p>
            <w:pPr>
              <w:ind w:left="348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Intermex Holdings, Inc.</w:t>
            </w:r>
          </w:p>
        </w:tc>
        <w:tc>
          <w:tcPr>
            <w:tcW w:w="100" w:type="dxa"/>
            <w:vAlign w:val="bottom"/>
          </w:tcPr>
          <w:p>
            <w:pPr>
              <w:spacing w:after="0"/>
              <w:rPr>
                <w:sz w:val="21"/>
                <w:szCs w:val="21"/>
                <w:color w:val="auto"/>
              </w:rPr>
            </w:pPr>
          </w:p>
        </w:tc>
        <w:tc>
          <w:tcPr>
            <w:tcW w:w="7300" w:type="dxa"/>
            <w:vAlign w:val="bottom"/>
            <w:gridSpan w:val="4"/>
          </w:tcPr>
          <w:p>
            <w:pPr>
              <w:ind w:left="3480"/>
              <w:spacing w:after="0"/>
              <w:rPr>
                <w:sz w:val="20"/>
                <w:szCs w:val="20"/>
                <w:color w:val="auto"/>
              </w:rPr>
            </w:pPr>
            <w:r>
              <w:rPr>
                <w:rFonts w:ascii="Arial" w:cs="Arial" w:eastAsia="Arial" w:hAnsi="Arial"/>
                <w:sz w:val="18"/>
                <w:szCs w:val="18"/>
                <w:color w:val="auto"/>
              </w:rPr>
              <w:t>Delaware</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Intermex Wire Transfer, LLC</w:t>
            </w:r>
          </w:p>
        </w:tc>
        <w:tc>
          <w:tcPr>
            <w:tcW w:w="10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4"/>
            <w:shd w:val="clear" w:color="auto" w:fill="CCEEFF"/>
          </w:tcPr>
          <w:p>
            <w:pPr>
              <w:ind w:left="3480"/>
              <w:spacing w:after="0"/>
              <w:rPr>
                <w:sz w:val="20"/>
                <w:szCs w:val="20"/>
                <w:color w:val="auto"/>
              </w:rPr>
            </w:pPr>
            <w:r>
              <w:rPr>
                <w:rFonts w:ascii="Arial" w:cs="Arial" w:eastAsia="Arial" w:hAnsi="Arial"/>
                <w:sz w:val="18"/>
                <w:szCs w:val="18"/>
                <w:color w:val="auto"/>
              </w:rPr>
              <w:t>Florida</w:t>
            </w:r>
          </w:p>
        </w:tc>
      </w:tr>
      <w:tr>
        <w:trPr>
          <w:trHeight w:val="243"/>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Intermex Wire Transfer Corp.</w:t>
            </w:r>
          </w:p>
        </w:tc>
        <w:tc>
          <w:tcPr>
            <w:tcW w:w="100" w:type="dxa"/>
            <w:vAlign w:val="bottom"/>
          </w:tcPr>
          <w:p>
            <w:pPr>
              <w:spacing w:after="0"/>
              <w:rPr>
                <w:sz w:val="21"/>
                <w:szCs w:val="21"/>
                <w:color w:val="auto"/>
              </w:rPr>
            </w:pPr>
          </w:p>
        </w:tc>
        <w:tc>
          <w:tcPr>
            <w:tcW w:w="7300" w:type="dxa"/>
            <w:vAlign w:val="bottom"/>
            <w:gridSpan w:val="4"/>
          </w:tcPr>
          <w:p>
            <w:pPr>
              <w:ind w:left="3480"/>
              <w:spacing w:after="0"/>
              <w:rPr>
                <w:sz w:val="20"/>
                <w:szCs w:val="20"/>
                <w:color w:val="auto"/>
              </w:rPr>
            </w:pPr>
            <w:r>
              <w:rPr>
                <w:rFonts w:ascii="Arial" w:cs="Arial" w:eastAsia="Arial" w:hAnsi="Arial"/>
                <w:sz w:val="18"/>
                <w:szCs w:val="18"/>
                <w:color w:val="auto"/>
              </w:rPr>
              <w:t>California</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Intermex Wire Transfer II, LLC</w:t>
            </w:r>
          </w:p>
        </w:tc>
        <w:tc>
          <w:tcPr>
            <w:tcW w:w="10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4"/>
            <w:shd w:val="clear" w:color="auto" w:fill="CCEEFF"/>
          </w:tcPr>
          <w:p>
            <w:pPr>
              <w:ind w:left="3480"/>
              <w:spacing w:after="0"/>
              <w:rPr>
                <w:sz w:val="20"/>
                <w:szCs w:val="20"/>
                <w:color w:val="auto"/>
              </w:rPr>
            </w:pPr>
            <w:r>
              <w:rPr>
                <w:rFonts w:ascii="Arial" w:cs="Arial" w:eastAsia="Arial" w:hAnsi="Arial"/>
                <w:sz w:val="18"/>
                <w:szCs w:val="18"/>
                <w:color w:val="auto"/>
              </w:rPr>
              <w:t>Delaware</w:t>
            </w:r>
          </w:p>
        </w:tc>
      </w:tr>
      <w:tr>
        <w:trPr>
          <w:trHeight w:val="243"/>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Intermex Transfers de Mexico S.A. de C.V.</w:t>
            </w:r>
          </w:p>
        </w:tc>
        <w:tc>
          <w:tcPr>
            <w:tcW w:w="100" w:type="dxa"/>
            <w:vAlign w:val="bottom"/>
          </w:tcPr>
          <w:p>
            <w:pPr>
              <w:spacing w:after="0"/>
              <w:rPr>
                <w:sz w:val="21"/>
                <w:szCs w:val="21"/>
                <w:color w:val="auto"/>
              </w:rPr>
            </w:pPr>
          </w:p>
        </w:tc>
        <w:tc>
          <w:tcPr>
            <w:tcW w:w="7300" w:type="dxa"/>
            <w:vAlign w:val="bottom"/>
            <w:gridSpan w:val="4"/>
          </w:tcPr>
          <w:p>
            <w:pPr>
              <w:ind w:left="3480"/>
              <w:spacing w:after="0"/>
              <w:rPr>
                <w:sz w:val="20"/>
                <w:szCs w:val="20"/>
                <w:color w:val="auto"/>
              </w:rPr>
            </w:pPr>
            <w:r>
              <w:rPr>
                <w:rFonts w:ascii="Arial" w:cs="Arial" w:eastAsia="Arial" w:hAnsi="Arial"/>
                <w:sz w:val="18"/>
                <w:szCs w:val="18"/>
                <w:color w:val="auto"/>
              </w:rPr>
              <w:t>Mexico</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5"/>
              </w:rPr>
              <w:t>Intermex Wire Transfer de Mexico S.A. de C.V.</w:t>
            </w:r>
          </w:p>
        </w:tc>
        <w:tc>
          <w:tcPr>
            <w:tcW w:w="10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4"/>
            <w:shd w:val="clear" w:color="auto" w:fill="CCEEFF"/>
          </w:tcPr>
          <w:p>
            <w:pPr>
              <w:ind w:left="3480"/>
              <w:spacing w:after="0"/>
              <w:rPr>
                <w:sz w:val="20"/>
                <w:szCs w:val="20"/>
                <w:color w:val="auto"/>
              </w:rPr>
            </w:pPr>
            <w:r>
              <w:rPr>
                <w:rFonts w:ascii="Arial" w:cs="Arial" w:eastAsia="Arial" w:hAnsi="Arial"/>
                <w:sz w:val="18"/>
                <w:szCs w:val="18"/>
                <w:color w:val="auto"/>
              </w:rPr>
              <w:t>Mexico</w:t>
            </w:r>
          </w:p>
        </w:tc>
      </w:tr>
      <w:tr>
        <w:trPr>
          <w:trHeight w:val="243"/>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Intermex Wire Transfers de Guatemala S.A.</w:t>
            </w:r>
          </w:p>
        </w:tc>
        <w:tc>
          <w:tcPr>
            <w:tcW w:w="100" w:type="dxa"/>
            <w:vAlign w:val="bottom"/>
          </w:tcPr>
          <w:p>
            <w:pPr>
              <w:spacing w:after="0"/>
              <w:rPr>
                <w:sz w:val="21"/>
                <w:szCs w:val="21"/>
                <w:color w:val="auto"/>
              </w:rPr>
            </w:pPr>
          </w:p>
        </w:tc>
        <w:tc>
          <w:tcPr>
            <w:tcW w:w="7300" w:type="dxa"/>
            <w:vAlign w:val="bottom"/>
            <w:gridSpan w:val="4"/>
          </w:tcPr>
          <w:p>
            <w:pPr>
              <w:ind w:left="3480"/>
              <w:spacing w:after="0"/>
              <w:rPr>
                <w:sz w:val="20"/>
                <w:szCs w:val="20"/>
                <w:color w:val="auto"/>
              </w:rPr>
            </w:pPr>
            <w:r>
              <w:rPr>
                <w:rFonts w:ascii="Arial" w:cs="Arial" w:eastAsia="Arial" w:hAnsi="Arial"/>
                <w:sz w:val="18"/>
                <w:szCs w:val="18"/>
                <w:color w:val="auto"/>
              </w:rPr>
              <w:t>Guatemala</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3"/>
              </w:rPr>
              <w:t>Intermex Servicios Integrales S. de R.L. de C.V.</w:t>
            </w:r>
          </w:p>
        </w:tc>
        <w:tc>
          <w:tcPr>
            <w:tcW w:w="100" w:type="dxa"/>
            <w:vAlign w:val="bottom"/>
            <w:tcBorders>
              <w:bottom w:val="single" w:sz="8" w:color="CCEEFF"/>
            </w:tcBorders>
            <w:shd w:val="clear" w:color="auto" w:fill="CCEEFF"/>
          </w:tcPr>
          <w:p>
            <w:pPr>
              <w:spacing w:after="0"/>
              <w:rPr>
                <w:sz w:val="21"/>
                <w:szCs w:val="21"/>
                <w:color w:val="auto"/>
              </w:rPr>
            </w:pPr>
          </w:p>
        </w:tc>
        <w:tc>
          <w:tcPr>
            <w:tcW w:w="7300" w:type="dxa"/>
            <w:vAlign w:val="bottom"/>
            <w:tcBorders>
              <w:bottom w:val="single" w:sz="8" w:color="CCEEFF"/>
            </w:tcBorders>
            <w:gridSpan w:val="4"/>
            <w:shd w:val="clear" w:color="auto" w:fill="CCEEFF"/>
          </w:tcPr>
          <w:p>
            <w:pPr>
              <w:ind w:left="3480"/>
              <w:spacing w:after="0"/>
              <w:rPr>
                <w:sz w:val="20"/>
                <w:szCs w:val="20"/>
                <w:color w:val="auto"/>
              </w:rPr>
            </w:pPr>
            <w:r>
              <w:rPr>
                <w:rFonts w:ascii="Arial" w:cs="Arial" w:eastAsia="Arial" w:hAnsi="Arial"/>
                <w:sz w:val="18"/>
                <w:szCs w:val="18"/>
                <w:color w:val="auto"/>
              </w:rPr>
              <w:t>Mexico</w:t>
            </w:r>
          </w:p>
        </w:tc>
      </w:tr>
      <w:tr>
        <w:trPr>
          <w:trHeight w:val="243"/>
        </w:trPr>
        <w:tc>
          <w:tcPr>
            <w:tcW w:w="20" w:type="dxa"/>
            <w:vAlign w:val="bottom"/>
          </w:tcPr>
          <w:p>
            <w:pPr>
              <w:spacing w:after="0"/>
              <w:rPr>
                <w:sz w:val="21"/>
                <w:szCs w:val="21"/>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w w:val="92"/>
              </w:rPr>
              <w:t>Intermex Central de Servicios S. de R.L. de C.V.</w:t>
            </w:r>
          </w:p>
        </w:tc>
        <w:tc>
          <w:tcPr>
            <w:tcW w:w="100" w:type="dxa"/>
            <w:vAlign w:val="bottom"/>
          </w:tcPr>
          <w:p>
            <w:pPr>
              <w:spacing w:after="0"/>
              <w:rPr>
                <w:sz w:val="21"/>
                <w:szCs w:val="21"/>
                <w:color w:val="auto"/>
              </w:rPr>
            </w:pPr>
          </w:p>
        </w:tc>
        <w:tc>
          <w:tcPr>
            <w:tcW w:w="7300" w:type="dxa"/>
            <w:vAlign w:val="bottom"/>
            <w:gridSpan w:val="4"/>
          </w:tcPr>
          <w:p>
            <w:pPr>
              <w:ind w:left="3480"/>
              <w:spacing w:after="0"/>
              <w:rPr>
                <w:sz w:val="20"/>
                <w:szCs w:val="20"/>
                <w:color w:val="auto"/>
              </w:rPr>
            </w:pPr>
            <w:r>
              <w:rPr>
                <w:rFonts w:ascii="Arial" w:cs="Arial" w:eastAsia="Arial" w:hAnsi="Arial"/>
                <w:sz w:val="18"/>
                <w:szCs w:val="18"/>
                <w:color w:val="auto"/>
              </w:rPr>
              <w:t>Mexico</w:t>
            </w:r>
          </w:p>
        </w:tc>
      </w:tr>
      <w:tr>
        <w:trPr>
          <w:trHeight w:val="27"/>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Canada International Transfers Corp.</w:t>
            </w:r>
          </w:p>
        </w:tc>
        <w:tc>
          <w:tcPr>
            <w:tcW w:w="100" w:type="dxa"/>
            <w:vAlign w:val="bottom"/>
            <w:shd w:val="clear" w:color="auto" w:fill="CCEEFF"/>
          </w:tcPr>
          <w:p>
            <w:pPr>
              <w:spacing w:after="0"/>
              <w:rPr>
                <w:sz w:val="21"/>
                <w:szCs w:val="21"/>
                <w:color w:val="auto"/>
              </w:rPr>
            </w:pPr>
          </w:p>
        </w:tc>
        <w:tc>
          <w:tcPr>
            <w:tcW w:w="7300" w:type="dxa"/>
            <w:vAlign w:val="bottom"/>
            <w:gridSpan w:val="4"/>
            <w:shd w:val="clear" w:color="auto" w:fill="CCEEFF"/>
          </w:tcPr>
          <w:p>
            <w:pPr>
              <w:ind w:left="3480"/>
              <w:spacing w:after="0"/>
              <w:rPr>
                <w:sz w:val="20"/>
                <w:szCs w:val="20"/>
                <w:color w:val="auto"/>
              </w:rPr>
            </w:pPr>
            <w:r>
              <w:rPr>
                <w:rFonts w:ascii="Arial" w:cs="Arial" w:eastAsia="Arial" w:hAnsi="Arial"/>
                <w:sz w:val="18"/>
                <w:szCs w:val="18"/>
                <w:color w:val="auto"/>
              </w:rPr>
              <w:t>British Colombia, Canada</w:t>
            </w:r>
          </w:p>
        </w:tc>
      </w:tr>
      <w:tr>
        <w:trPr>
          <w:trHeight w:val="27"/>
        </w:trPr>
        <w:tc>
          <w:tcPr>
            <w:tcW w:w="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35"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International Money Express,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279"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Nos. 333-232888 and 333-248902) and Form S-8 (File Nos. 333-233392 and 333-248563) of International Money Express, Inc. of our report dated March 15, 2021 relating to the consolidated financial statements and financial statement schedule, which appears in this Form 10-K.</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BDO USA,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15, 2021</w:t>
      </w:r>
    </w:p>
    <w:p>
      <w:pPr>
        <w:sectPr>
          <w:pgSz w:w="11900" w:h="16838" w:orient="portrait"/>
          <w:cols w:equalWidth="0" w:num="1">
            <w:col w:w="11240"/>
          </w:cols>
          <w:pgMar w:left="320" w:top="121" w:right="339" w:bottom="1440" w:gutter="0" w:footer="0" w:header="0"/>
        </w:sectPr>
      </w:pPr>
    </w:p>
    <w:bookmarkStart w:id="132" w:name="page133"/>
    <w:bookmarkEnd w:id="132"/>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Robert Lisy, certify that:</w:t>
      </w:r>
    </w:p>
    <w:p>
      <w:pPr>
        <w:spacing w:after="0" w:line="171" w:lineRule="exact"/>
        <w:rPr>
          <w:sz w:val="20"/>
          <w:szCs w:val="20"/>
          <w:color w:val="auto"/>
        </w:rPr>
      </w:pPr>
    </w:p>
    <w:p>
      <w:pPr>
        <w:ind w:left="660" w:hanging="652"/>
        <w:spacing w:after="0"/>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International Money Express, Inc.;</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2021</w:t>
      </w:r>
    </w:p>
    <w:p>
      <w:pPr>
        <w:spacing w:after="0" w:line="63" w:lineRule="exact"/>
        <w:rPr>
          <w:sz w:val="20"/>
          <w:szCs w:val="20"/>
          <w:color w:val="auto"/>
        </w:rPr>
      </w:pPr>
    </w:p>
    <w:p>
      <w:pPr>
        <w:ind w:left="52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31750</wp:posOffset>
            </wp:positionV>
            <wp:extent cx="125984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1259840" cy="17145"/>
                    </a:xfrm>
                    <a:prstGeom prst="rect">
                      <a:avLst/>
                    </a:prstGeom>
                    <a:noFill/>
                  </pic:spPr>
                </pic:pic>
              </a:graphicData>
            </a:graphic>
          </wp:anchor>
        </w:drawing>
      </w:r>
    </w:p>
    <w:p>
      <w:pPr>
        <w:spacing w:after="0" w:line="5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Robert Lisy</w:t>
      </w:r>
    </w:p>
    <w:p>
      <w:pPr>
        <w:ind w:left="5220"/>
        <w:spacing w:after="0"/>
        <w:tabs>
          <w:tab w:leader="none" w:pos="5740" w:val="left"/>
        </w:tabs>
        <w:rPr>
          <w:sz w:val="20"/>
          <w:szCs w:val="20"/>
          <w:color w:val="auto"/>
        </w:rPr>
      </w:pPr>
      <w:r>
        <w:rPr>
          <w:rFonts w:ascii="Arial" w:cs="Arial" w:eastAsia="Arial" w:hAnsi="Arial"/>
          <w:sz w:val="35"/>
          <w:szCs w:val="35"/>
          <w:color w:val="auto"/>
          <w:vertAlign w:val="superscript"/>
        </w:rPr>
        <w:t>Title:</w:t>
      </w:r>
      <w:r>
        <w:rPr>
          <w:sz w:val="20"/>
          <w:szCs w:val="20"/>
          <w:color w:val="auto"/>
        </w:rPr>
        <w:tab/>
      </w:r>
      <w:r>
        <w:rPr>
          <w:rFonts w:ascii="Arial" w:cs="Arial" w:eastAsia="Arial" w:hAnsi="Arial"/>
          <w:sz w:val="16"/>
          <w:szCs w:val="16"/>
          <w:color w:val="auto"/>
        </w:rPr>
        <w:t>Chief Executive Officer</w:t>
      </w:r>
    </w:p>
    <w:p>
      <w:pPr>
        <w:ind w:left="5760"/>
        <w:spacing w:after="0"/>
        <w:rPr>
          <w:sz w:val="20"/>
          <w:szCs w:val="20"/>
          <w:color w:val="auto"/>
        </w:rPr>
      </w:pPr>
      <w:r>
        <w:rPr>
          <w:rFonts w:ascii="Arial" w:cs="Arial" w:eastAsia="Arial" w:hAnsi="Arial"/>
          <w:sz w:val="18"/>
          <w:szCs w:val="18"/>
          <w:color w:val="auto"/>
        </w:rPr>
        <w:t>and President</w:t>
      </w:r>
    </w:p>
    <w:p>
      <w:pPr>
        <w:spacing w:after="0" w:line="2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(Principal Executive</w:t>
      </w:r>
    </w:p>
    <w:p>
      <w:pPr>
        <w:spacing w:after="0" w:line="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135" w:right="339" w:bottom="1440" w:gutter="0" w:footer="0" w:header="0"/>
        </w:sectPr>
      </w:pPr>
    </w:p>
    <w:bookmarkStart w:id="133" w:name="page134"/>
    <w:bookmarkEnd w:id="133"/>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Andras Bende, certify that:</w:t>
      </w:r>
    </w:p>
    <w:p>
      <w:pPr>
        <w:spacing w:after="0" w:line="171" w:lineRule="exact"/>
        <w:rPr>
          <w:sz w:val="20"/>
          <w:szCs w:val="20"/>
          <w:color w:val="auto"/>
        </w:rPr>
      </w:pPr>
    </w:p>
    <w:p>
      <w:pPr>
        <w:ind w:left="660" w:hanging="652"/>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International Money Express, Inc.;</w:t>
      </w:r>
    </w:p>
    <w:p>
      <w:pPr>
        <w:spacing w:after="0" w:line="171"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2021</w:t>
      </w:r>
    </w:p>
    <w:p>
      <w:pPr>
        <w:spacing w:after="0" w:line="63" w:lineRule="exact"/>
        <w:rPr>
          <w:sz w:val="20"/>
          <w:szCs w:val="20"/>
          <w:color w:val="auto"/>
        </w:rPr>
      </w:pPr>
    </w:p>
    <w:p>
      <w:pPr>
        <w:ind w:left="5220"/>
        <w:spacing w:after="0"/>
        <w:tabs>
          <w:tab w:leader="none" w:pos="5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31750</wp:posOffset>
            </wp:positionV>
            <wp:extent cx="125158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1251585" cy="17145"/>
                    </a:xfrm>
                    <a:prstGeom prst="rect">
                      <a:avLst/>
                    </a:prstGeom>
                    <a:noFill/>
                  </pic:spPr>
                </pic:pic>
              </a:graphicData>
            </a:graphic>
          </wp:anchor>
        </w:drawing>
      </w:r>
    </w:p>
    <w:p>
      <w:pPr>
        <w:spacing w:after="0" w:line="5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Name: Andras Bende</w:t>
      </w:r>
    </w:p>
    <w:p>
      <w:pPr>
        <w:spacing w:after="0" w:line="1" w:lineRule="exact"/>
        <w:rPr>
          <w:sz w:val="20"/>
          <w:szCs w:val="20"/>
          <w:color w:val="auto"/>
        </w:rPr>
      </w:pPr>
    </w:p>
    <w:p>
      <w:pPr>
        <w:ind w:left="5220"/>
        <w:spacing w:after="0"/>
        <w:tabs>
          <w:tab w:leader="none" w:pos="5740" w:val="left"/>
        </w:tabs>
        <w:rPr>
          <w:sz w:val="20"/>
          <w:szCs w:val="20"/>
          <w:color w:val="auto"/>
        </w:rPr>
      </w:pPr>
      <w:r>
        <w:rPr>
          <w:rFonts w:ascii="Arial" w:cs="Arial" w:eastAsia="Arial" w:hAnsi="Arial"/>
          <w:sz w:val="35"/>
          <w:szCs w:val="35"/>
          <w:color w:val="auto"/>
          <w:vertAlign w:val="superscript"/>
        </w:rPr>
        <w:t>Title:</w:t>
      </w:r>
      <w:r>
        <w:rPr>
          <w:sz w:val="20"/>
          <w:szCs w:val="20"/>
          <w:color w:val="auto"/>
        </w:rPr>
        <w:tab/>
      </w:r>
      <w:r>
        <w:rPr>
          <w:rFonts w:ascii="Arial" w:cs="Arial" w:eastAsia="Arial" w:hAnsi="Arial"/>
          <w:sz w:val="16"/>
          <w:szCs w:val="16"/>
          <w:color w:val="auto"/>
        </w:rPr>
        <w:t>Chief Financial Officer</w:t>
      </w:r>
    </w:p>
    <w:p>
      <w:pPr>
        <w:ind w:left="5760"/>
        <w:spacing w:after="0"/>
        <w:rPr>
          <w:sz w:val="20"/>
          <w:szCs w:val="20"/>
          <w:color w:val="auto"/>
        </w:rPr>
      </w:pPr>
      <w:r>
        <w:rPr>
          <w:rFonts w:ascii="Arial" w:cs="Arial" w:eastAsia="Arial" w:hAnsi="Arial"/>
          <w:sz w:val="18"/>
          <w:szCs w:val="18"/>
          <w:color w:val="auto"/>
        </w:rPr>
        <w:t>(Principal Financial</w:t>
      </w:r>
    </w:p>
    <w:p>
      <w:pPr>
        <w:spacing w:after="0" w:line="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40"/>
          </w:cols>
          <w:pgMar w:left="320" w:top="135"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Robert Lisy, Chief Executive Officer and President of International Money Express, Inc. (the “Company”), hereby certify, pursuant to 18 U.S.C. Section 1350, that, to my knowledge:</w:t>
      </w:r>
    </w:p>
    <w:p>
      <w:pPr>
        <w:spacing w:after="0" w:line="170" w:lineRule="exact"/>
        <w:rPr>
          <w:sz w:val="20"/>
          <w:szCs w:val="20"/>
          <w:color w:val="auto"/>
        </w:rPr>
      </w:pPr>
    </w:p>
    <w:p>
      <w:pPr>
        <w:ind w:left="660" w:right="200" w:hanging="652"/>
        <w:spacing w:after="0" w:line="277" w:lineRule="auto"/>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2020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200" w:firstLine="8"/>
        <w:spacing w:after="0" w:line="527" w:lineRule="auto"/>
        <w:tabs>
          <w:tab w:leader="none" w:pos="64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15, 2021</w:t>
      </w:r>
    </w:p>
    <w:p>
      <w:pPr>
        <w:spacing w:after="0" w:line="9" w:lineRule="exact"/>
        <w:rPr>
          <w:sz w:val="20"/>
          <w:szCs w:val="20"/>
          <w:color w:val="auto"/>
        </w:rPr>
      </w:pPr>
    </w:p>
    <w:p>
      <w:pPr>
        <w:ind w:left="456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Lisy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31750</wp:posOffset>
            </wp:positionV>
            <wp:extent cx="159448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8" w:lineRule="exact"/>
        <w:rPr>
          <w:sz w:val="20"/>
          <w:szCs w:val="20"/>
          <w:color w:val="auto"/>
        </w:rPr>
      </w:pPr>
    </w:p>
    <w:p>
      <w:pPr>
        <w:ind w:left="4560"/>
        <w:spacing w:after="0"/>
        <w:rPr>
          <w:sz w:val="20"/>
          <w:szCs w:val="20"/>
          <w:color w:val="auto"/>
        </w:rPr>
      </w:pPr>
      <w:r>
        <w:rPr>
          <w:rFonts w:ascii="Arial" w:cs="Arial" w:eastAsia="Arial" w:hAnsi="Arial"/>
          <w:sz w:val="35"/>
          <w:szCs w:val="35"/>
          <w:color w:val="auto"/>
          <w:vertAlign w:val="superscript"/>
        </w:rPr>
        <w:t>Name:</w:t>
      </w:r>
      <w:r>
        <w:rPr>
          <w:rFonts w:ascii="Arial" w:cs="Arial" w:eastAsia="Arial" w:hAnsi="Arial"/>
          <w:sz w:val="18"/>
          <w:szCs w:val="18"/>
          <w:color w:val="auto"/>
        </w:rPr>
        <w:t xml:space="preserve"> Robert Lisy</w:t>
      </w:r>
    </w:p>
    <w:p>
      <w:pPr>
        <w:ind w:left="456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and</w:t>
      </w:r>
    </w:p>
    <w:p>
      <w:pPr>
        <w:spacing w:after="0" w:line="34"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w:t>
      </w:r>
    </w:p>
    <w:p>
      <w:pPr>
        <w:spacing w:after="0" w:line="2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35"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Andras Bende, Chief Financial Officer of International Money Express, Inc. (the “Company”), hereby certify, pursuant to 18 U.S.C. Section 1350, that, to my knowledge:</w:t>
      </w:r>
    </w:p>
    <w:p>
      <w:pPr>
        <w:spacing w:after="0" w:line="170" w:lineRule="exact"/>
        <w:rPr>
          <w:sz w:val="20"/>
          <w:szCs w:val="20"/>
          <w:color w:val="auto"/>
        </w:rPr>
      </w:pPr>
    </w:p>
    <w:p>
      <w:pPr>
        <w:ind w:left="660" w:right="200" w:hanging="652"/>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2020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right="200" w:firstLine="8"/>
        <w:spacing w:after="0" w:line="527" w:lineRule="auto"/>
        <w:tabs>
          <w:tab w:leader="none" w:pos="648"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15, 2021</w:t>
      </w:r>
    </w:p>
    <w:p>
      <w:pPr>
        <w:spacing w:after="0" w:line="9" w:lineRule="exact"/>
        <w:rPr>
          <w:sz w:val="20"/>
          <w:szCs w:val="20"/>
          <w:color w:val="auto"/>
        </w:rPr>
      </w:pPr>
    </w:p>
    <w:p>
      <w:pPr>
        <w:ind w:left="456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Andras Bende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31750</wp:posOffset>
            </wp:positionV>
            <wp:extent cx="159448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1594485" cy="17145"/>
                    </a:xfrm>
                    <a:prstGeom prst="rect">
                      <a:avLst/>
                    </a:prstGeom>
                    <a:noFill/>
                  </pic:spPr>
                </pic:pic>
              </a:graphicData>
            </a:graphic>
          </wp:anchor>
        </w:drawing>
      </w:r>
    </w:p>
    <w:p>
      <w:pPr>
        <w:spacing w:after="0" w:line="5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Name: Andras Bende</w:t>
      </w:r>
    </w:p>
    <w:p>
      <w:pPr>
        <w:spacing w:after="0" w:line="77" w:lineRule="exact"/>
        <w:rPr>
          <w:sz w:val="20"/>
          <w:szCs w:val="20"/>
          <w:color w:val="auto"/>
        </w:rPr>
      </w:pPr>
    </w:p>
    <w:p>
      <w:pPr>
        <w:ind w:left="4560"/>
        <w:spacing w:after="0"/>
        <w:tabs>
          <w:tab w:leader="none" w:pos="50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63"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lvl w:ilvl="1">
      <w:lvlJc w:val="left"/>
      <w:lvlText w:val="☒"/>
      <w:numFmt w:val="bullet"/>
      <w:start w:val="1"/>
    </w:lvl>
  </w:abstractNum>
  <w:abstractNum w:abstractNumId="1">
    <w:nsid w:val="7724C67E"/>
    <w:multiLevelType w:val="hybridMultilevel"/>
    <w:lvl w:ilvl="0">
      <w:lvlJc w:val="left"/>
      <w:lvlText w:val="•"/>
      <w:numFmt w:val="bullet"/>
      <w:start w:val="1"/>
    </w:lvl>
    <w:lvl w:ilvl="1">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1)"/>
      <w:numFmt w:val="lowerLetter"/>
      <w:start w:val="1"/>
    </w:lvl>
  </w:abstractNum>
  <w:abstractNum w:abstractNumId="20">
    <w:nsid w:val="6DE91B18"/>
    <w:multiLevelType w:val="hybridMultilevel"/>
    <w:lvl w:ilvl="0">
      <w:lvlJc w:val="left"/>
      <w:lvlText w:val="(%1)"/>
      <w:numFmt w:val="lowerLetter"/>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1)"/>
      <w:numFmt w:val="lowerLetter"/>
      <w:start w:val="1"/>
    </w:lvl>
  </w:abstractNum>
  <w:abstractNum w:abstractNumId="23">
    <w:nsid w:val="32FFF902"/>
    <w:multiLevelType w:val="hybridMultilevel"/>
    <w:lvl w:ilvl="0">
      <w:lvlJc w:val="left"/>
      <w:lvlText w:val="(%1)"/>
      <w:numFmt w:val="lowerLetter"/>
      <w:start w:val="4"/>
    </w:lvl>
  </w:abstractNum>
  <w:abstractNum w:abstractNumId="24">
    <w:nsid w:val="684A481A"/>
    <w:multiLevelType w:val="hybridMultilevel"/>
    <w:lvl w:ilvl="0">
      <w:lvlJc w:val="left"/>
      <w:lvlText w:val="(%1)"/>
      <w:numFmt w:val="lowerLetter"/>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1)"/>
      <w:numFmt w:val="decimal"/>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1)"/>
      <w:numFmt w:val="decimal"/>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1)"/>
      <w:numFmt w:val="lowerLetter"/>
      <w:start w:val="1"/>
    </w:lvl>
  </w:abstractNum>
  <w:abstractNum w:abstractNumId="36">
    <w:nsid w:val="23F9C13C"/>
    <w:multiLevelType w:val="hybridMultilevel"/>
    <w:lvl w:ilvl="0">
      <w:lvlJc w:val="left"/>
      <w:lvlText w:val="(%1)"/>
      <w:numFmt w:val="decimal"/>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1)"/>
      <w:numFmt w:val="decimal"/>
      <w:start w:val="3"/>
    </w:lvl>
  </w:abstractNum>
  <w:abstractNum w:abstractNumId="40">
    <w:nsid w:val="1CF10FD8"/>
    <w:multiLevelType w:val="hybridMultilevel"/>
    <w:lvl w:ilvl="0">
      <w:lvlJc w:val="left"/>
      <w:lvlText w:val="(%1)"/>
      <w:numFmt w:val="decimal"/>
      <w:start w:val="14"/>
    </w:lvl>
  </w:abstractNum>
  <w:abstractNum w:abstractNumId="41">
    <w:nsid w:val="180115BE"/>
    <w:multiLevelType w:val="hybridMultilevel"/>
    <w:lvl w:ilvl="0">
      <w:lvlJc w:val="left"/>
      <w:lvlText w:val="(%1)"/>
      <w:numFmt w:val="lowerLetter"/>
      <w:start w:val="1"/>
    </w:lvl>
    <w:lvl w:ilvl="1">
      <w:lvlJc w:val="left"/>
      <w:lvlText w:val="%2."/>
      <w:numFmt w:val="decimal"/>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1."/>
      <w:numFmt w:val="decimal"/>
      <w:start w:val="1"/>
    </w:lvl>
    <w:lvl w:ilvl="1">
      <w:lvlJc w:val="left"/>
      <w:lvlText w:val="(%2)"/>
      <w:numFmt w:val="lowerLetter"/>
      <w:start w:val="1"/>
    </w:lvl>
  </w:abstractNum>
  <w:abstractNum w:abstractNumId="45">
    <w:nsid w:val="15B5AF5C"/>
    <w:multiLevelType w:val="hybridMultilevel"/>
    <w:lvl w:ilvl="0">
      <w:lvlJc w:val="left"/>
      <w:lvlText w:val="%1."/>
      <w:numFmt w:val="decimal"/>
      <w:start w:val="5"/>
    </w:lvl>
    <w:lvl w:ilvl="1">
      <w:lvlJc w:val="left"/>
      <w:lvlText w:val="(%2)"/>
      <w:numFmt w:val="lowerLetter"/>
      <w:start w:val="1"/>
    </w:lvl>
  </w:abstractNum>
  <w:abstractNum w:abstractNumId="46">
    <w:nsid w:val="741226BB"/>
    <w:multiLevelType w:val="hybridMultilevel"/>
    <w:lvl w:ilvl="0">
      <w:lvlJc w:val="left"/>
      <w:lvlText w:val="%1."/>
      <w:numFmt w:val="decimal"/>
      <w:start w:val="11"/>
    </w:lvl>
  </w:abstractNum>
  <w:abstractNum w:abstractNumId="47">
    <w:nsid w:val="D34B6A8"/>
    <w:multiLevelType w:val="hybridMultilevel"/>
    <w:lvl w:ilvl="0">
      <w:lvlJc w:val="left"/>
      <w:lvlText w:val="%1."/>
      <w:numFmt w:val="decimal"/>
      <w:start w:val="22"/>
    </w:lvl>
  </w:abstractNum>
  <w:abstractNum w:abstractNumId="48">
    <w:nsid w:val="10233C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9">
    <w:nsid w:val="3F6AB60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lowerLetter"/>
      <w:start w:val="1"/>
    </w:lvl>
  </w:abstractNum>
  <w:abstractNum w:abstractNumId="50">
    <w:nsid w:val="6157409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lvl w:ilvl="3">
      <w:lvlJc w:val="left"/>
      <w:lvlText w:val="%4"/>
      <w:numFmt w:val="lowerLetter"/>
      <w:start w:val="1"/>
    </w:lvl>
  </w:abstractNum>
  <w:abstractNum w:abstractNumId="51">
    <w:nsid w:val="7E0C57B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52">
    <w:nsid w:val="77AE35EB"/>
    <w:multiLevelType w:val="hybridMultilevel"/>
    <w:lvl w:ilvl="0">
      <w:lvlJc w:val="left"/>
      <w:lvlText w:val="%1"/>
      <w:numFmt w:val="decimal"/>
      <w:start w:val="1"/>
    </w:lvl>
    <w:lvl w:ilvl="1">
      <w:lvlJc w:val="left"/>
      <w:lvlText w:val="(%2)"/>
      <w:numFmt w:val="lowerLetter"/>
      <w:start w:val="2"/>
    </w:lvl>
  </w:abstractNum>
  <w:abstractNum w:abstractNumId="53">
    <w:nsid w:val="579BE4F1"/>
    <w:multiLevelType w:val="hybridMultilevel"/>
    <w:lvl w:ilvl="0">
      <w:lvlJc w:val="left"/>
      <w:lvlText w:val="%1."/>
      <w:numFmt w:val="decimal"/>
      <w:start w:val="4"/>
    </w:lvl>
    <w:lvl w:ilvl="1">
      <w:lvlJc w:val="left"/>
      <w:lvlText w:val="(%2)"/>
      <w:numFmt w:val="lowerLetter"/>
      <w:start w:val="1"/>
    </w:lvl>
  </w:abstractNum>
  <w:abstractNum w:abstractNumId="54">
    <w:nsid w:val="310C50B3"/>
    <w:multiLevelType w:val="hybridMultilevel"/>
    <w:lvl w:ilvl="0">
      <w:lvlJc w:val="left"/>
      <w:lvlText w:val="%1"/>
      <w:numFmt w:val="decimal"/>
      <w:start w:val="1"/>
    </w:lvl>
    <w:lvl w:ilvl="1">
      <w:lvlJc w:val="left"/>
      <w:lvlText w:val="(%2)"/>
      <w:numFmt w:val="lowerLetter"/>
      <w:start w:val="3"/>
    </w:lvl>
  </w:abstractNum>
  <w:abstractNum w:abstractNumId="55">
    <w:nsid w:val="5FF87E05"/>
    <w:multiLevelType w:val="hybridMultilevel"/>
    <w:lvl w:ilvl="0">
      <w:lvlJc w:val="left"/>
      <w:lvlText w:val="%1."/>
      <w:numFmt w:val="decimal"/>
      <w:start w:val="8"/>
    </w:lvl>
    <w:lvl w:ilvl="1">
      <w:lvlJc w:val="left"/>
      <w:lvlText w:val="%2"/>
      <w:numFmt w:val="lowerLetter"/>
      <w:start w:val="1"/>
    </w:lvl>
  </w:abstractNum>
  <w:abstractNum w:abstractNumId="56">
    <w:nsid w:val="2F305DEF"/>
    <w:multiLevelType w:val="hybridMultilevel"/>
    <w:lvl w:ilvl="0">
      <w:lvlJc w:val="left"/>
      <w:lvlText w:val="%1."/>
      <w:numFmt w:val="decimal"/>
      <w:start w:val="18"/>
    </w:lvl>
  </w:abstractNum>
  <w:abstractNum w:abstractNumId="57">
    <w:nsid w:val="25A70BF7"/>
    <w:multiLevelType w:val="hybridMultilevel"/>
    <w:lvl w:ilvl="0">
      <w:lvlJc w:val="left"/>
      <w:lvlText w:val="%1."/>
      <w:numFmt w:val="decimal"/>
      <w:start w:val="1"/>
    </w:lvl>
    <w:lvl w:ilvl="1">
      <w:lvlJc w:val="left"/>
      <w:lvlText w:val="(%2)"/>
      <w:numFmt w:val="lowerLetter"/>
      <w:start w:val="1"/>
    </w:lvl>
  </w:abstractNum>
  <w:abstractNum w:abstractNumId="58">
    <w:nsid w:val="1DBABF00"/>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59">
    <w:nsid w:val="4AD084E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0">
    <w:nsid w:val="1F48EAA1"/>
    <w:multiLevelType w:val="hybridMultilevel"/>
    <w:lvl w:ilvl="0">
      <w:lvlJc w:val="left"/>
      <w:lvlText w:val="%1."/>
      <w:numFmt w:val="decimal"/>
      <w:start w:val="4"/>
    </w:lvl>
    <w:lvl w:ilvl="1">
      <w:lvlJc w:val="left"/>
      <w:lvlText w:val="(%2)"/>
      <w:numFmt w:val="lowerLetter"/>
      <w:start w:val="1"/>
    </w:lvl>
  </w:abstractNum>
  <w:abstractNum w:abstractNumId="61">
    <w:nsid w:val="1381823A"/>
    <w:multiLevelType w:val="hybridMultilevel"/>
    <w:lvl w:ilvl="0">
      <w:lvlJc w:val="left"/>
      <w:lvlText w:val="%1."/>
      <w:numFmt w:val="decimal"/>
      <w:start w:val="8"/>
    </w:lvl>
  </w:abstractNum>
  <w:abstractNum w:abstractNumId="62">
    <w:nsid w:val="5DB70AE5"/>
    <w:multiLevelType w:val="hybridMultilevel"/>
    <w:lvl w:ilvl="0">
      <w:lvlJc w:val="left"/>
      <w:lvlText w:val="%1."/>
      <w:numFmt w:val="decimal"/>
      <w:start w:val="19"/>
    </w:lvl>
  </w:abstractNum>
  <w:abstractNum w:abstractNumId="63">
    <w:nsid w:val="100F8FCA"/>
    <w:multiLevelType w:val="hybridMultilevel"/>
    <w:lvl w:ilvl="0">
      <w:lvlJc w:val="left"/>
      <w:lvlText w:val="%1."/>
      <w:numFmt w:val="decimal"/>
      <w:start w:val="1"/>
    </w:lvl>
    <w:lvl w:ilvl="1">
      <w:lvlJc w:val="left"/>
      <w:lvlText w:val="(%2)"/>
      <w:numFmt w:val="lowerLetter"/>
      <w:start w:val="1"/>
    </w:lvl>
  </w:abstractNum>
  <w:abstractNum w:abstractNumId="64">
    <w:nsid w:val="6590700B"/>
    <w:multiLevelType w:val="hybridMultilevel"/>
    <w:lvl w:ilvl="0">
      <w:lvlJc w:val="left"/>
      <w:lvlText w:val="%1."/>
      <w:numFmt w:val="decimal"/>
      <w:start w:val="5"/>
    </w:lvl>
  </w:abstractNum>
  <w:abstractNum w:abstractNumId="65">
    <w:nsid w:val="15014ACB"/>
    <w:multiLevelType w:val="hybridMultilevel"/>
    <w:lvl w:ilvl="0">
      <w:lvlJc w:val="left"/>
      <w:lvlText w:val="%1."/>
      <w:numFmt w:val="decimal"/>
      <w:start w:val="6"/>
    </w:lvl>
    <w:lvl w:ilvl="1">
      <w:lvlJc w:val="left"/>
      <w:lvlText w:val="(%2)"/>
      <w:numFmt w:val="lowerLetter"/>
      <w:start w:val="1"/>
    </w:lvl>
  </w:abstractNum>
  <w:abstractNum w:abstractNumId="66">
    <w:nsid w:val="5F5E7FD0"/>
    <w:multiLevelType w:val="hybridMultilevel"/>
    <w:lvl w:ilvl="0">
      <w:lvlJc w:val="left"/>
      <w:lvlText w:val="%1"/>
      <w:numFmt w:val="decimal"/>
      <w:start w:val="1"/>
    </w:lvl>
    <w:lvl w:ilvl="1">
      <w:lvlJc w:val="left"/>
      <w:lvlText w:val="(%2)"/>
      <w:numFmt w:val="lowerLetter"/>
      <w:start w:val="3"/>
    </w:lvl>
  </w:abstractNum>
  <w:abstractNum w:abstractNumId="67">
    <w:nsid w:val="98A3148"/>
    <w:multiLevelType w:val="hybridMultilevel"/>
    <w:lvl w:ilvl="0">
      <w:lvlJc w:val="left"/>
      <w:lvlText w:val="%1."/>
      <w:numFmt w:val="decimal"/>
      <w:start w:val="10"/>
    </w:lvl>
    <w:lvl w:ilvl="1">
      <w:lvlJc w:val="left"/>
      <w:lvlText w:val="%2"/>
      <w:numFmt w:val="lowerLetter"/>
      <w:start w:val="1"/>
    </w:lvl>
  </w:abstractNum>
  <w:abstractNum w:abstractNumId="68">
    <w:nsid w:val="799D0247"/>
    <w:multiLevelType w:val="hybridMultilevel"/>
    <w:lvl w:ilvl="0">
      <w:lvlJc w:val="left"/>
      <w:lvlText w:val="%1."/>
      <w:numFmt w:val="decimal"/>
      <w:start w:val="2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3" Type="http://schemas.openxmlformats.org/officeDocument/2006/relationships/image" Target="media/image133.png"/><Relationship Id="rId155" Type="http://schemas.openxmlformats.org/officeDocument/2006/relationships/image" Target="media/image134.png"/><Relationship Id="rId157"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png"/><Relationship Id="rId204"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08" Type="http://schemas.openxmlformats.org/officeDocument/2006/relationships/image" Target="media/image169.png"/><Relationship Id="rId209" Type="http://schemas.openxmlformats.org/officeDocument/2006/relationships/image" Target="media/image170.png"/><Relationship Id="rId210"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136" Type="http://schemas.openxmlformats.org/officeDocument/2006/relationships/hyperlink" Target="http://www.sec.gov/Archives/edgar/data/1683695/000114036118039596/ex3_1.htm" TargetMode="External"/><Relationship Id="rId137" Type="http://schemas.openxmlformats.org/officeDocument/2006/relationships/hyperlink" Target="http://www.sec.gov/Archives/edgar/data/1683695/000114036118039596/ex3_2.htm" TargetMode="External"/><Relationship Id="rId138" Type="http://schemas.openxmlformats.org/officeDocument/2006/relationships/hyperlink" Target="http://www.sec.gov/Archives/edgar/data/1683695/000114036118039596/ex4_2.htm" TargetMode="External"/><Relationship Id="rId139" Type="http://schemas.openxmlformats.org/officeDocument/2006/relationships/hyperlink" Target="http://www.sec.gov/Archives/edgar/data/1683695/000114036119007957/ntp10000642x2_ex10-1.htm" TargetMode="External"/><Relationship Id="rId140" Type="http://schemas.openxmlformats.org/officeDocument/2006/relationships/hyperlink" Target="http://www.sec.gov/Archives/edgar/data/1683695/000114036118039596/ex4_3.htm" TargetMode="External"/><Relationship Id="rId141" Type="http://schemas.openxmlformats.org/officeDocument/2006/relationships/hyperlink" Target="http://www.sec.gov/Archives/edgar/data/1683695/000089534518000334/se8k-exh4_1.htm" TargetMode="External"/><Relationship Id="rId142" Type="http://schemas.openxmlformats.org/officeDocument/2006/relationships/hyperlink" Target="http://www.sec.gov/Archives/edgar/data/1683695/000114036119015545/nc10004250x1_ex10-1.htm" TargetMode="External"/><Relationship Id="rId143" Type="http://schemas.openxmlformats.org/officeDocument/2006/relationships/hyperlink" Target="http://www.sec.gov/Archives/edgar/data/1683695/000168369520000016/exhibit41imxi-stockhol.htm" TargetMode="External"/><Relationship Id="rId144" Type="http://schemas.openxmlformats.org/officeDocument/2006/relationships/hyperlink" Target="http://www.sec.gov/Archives/edgar/data/1683695/000162828020003396/exhibit46.htm" TargetMode="External"/><Relationship Id="rId145" Type="http://schemas.openxmlformats.org/officeDocument/2006/relationships/hyperlink" Target="http://www.sec.gov/Archives/edgar/data/1683695/000114036118042765/ex10_1.htm" TargetMode="External"/><Relationship Id="rId146" Type="http://schemas.openxmlformats.org/officeDocument/2006/relationships/hyperlink" Target="http://www.sec.gov/Archives/edgar/data/1683695/000114036118044840/ex10_1.htm" TargetMode="External"/><Relationship Id="rId147" Type="http://schemas.openxmlformats.org/officeDocument/2006/relationships/hyperlink" Target="http://www.sec.gov/Archives/edgar/data/1683695/000114036119007957/ntp10000642x2_ex10-2.htm" TargetMode="External"/><Relationship Id="rId152" Type="http://schemas.openxmlformats.org/officeDocument/2006/relationships/hyperlink" Target="http://www.sec.gov/Archives/edgar/data/1683695/000114036118039596/ex10_2.htm" TargetMode="External"/><Relationship Id="rId154" Type="http://schemas.openxmlformats.org/officeDocument/2006/relationships/hyperlink" Target="http://www.sec.gov/Archives/edgar/data/1683695/000114036119013682/ex10_1.htm" TargetMode="External"/><Relationship Id="rId156" Type="http://schemas.openxmlformats.org/officeDocument/2006/relationships/hyperlink" Target="http://www.sec.gov/Archives/edgar/data/1683695/000114036119015545/nc10004250x1_ex10-2.htm" TargetMode="External"/><Relationship Id="rId158" Type="http://schemas.openxmlformats.org/officeDocument/2006/relationships/hyperlink" Target="http://www.sec.gov/Archives/edgar/data/1683695/000114036120006235/ex10_1.htm" TargetMode="External"/><Relationship Id="rId159" Type="http://schemas.openxmlformats.org/officeDocument/2006/relationships/hyperlink" Target="http://www.sec.gov/Archives/edgar/data/1683695/000114036118039596/ex10_3a.htm" TargetMode="External"/><Relationship Id="rId160" Type="http://schemas.openxmlformats.org/officeDocument/2006/relationships/hyperlink" Target="http://www.sec.gov/Archives/edgar/data/1683695/000114036118039596/ex10_4f.htm" TargetMode="External"/><Relationship Id="rId163" Type="http://schemas.openxmlformats.org/officeDocument/2006/relationships/hyperlink" Target="http://www.sec.gov/Archives/edgar/data/1683695/000114036118039596/ex10_4b.htm" TargetMode="External"/><Relationship Id="rId164" Type="http://schemas.openxmlformats.org/officeDocument/2006/relationships/hyperlink" Target="http://www.sec.gov/Archives/edgar/data/1683695/000114036118039596/ex10_4a.htm" TargetMode="External"/><Relationship Id="rId165" Type="http://schemas.openxmlformats.org/officeDocument/2006/relationships/hyperlink" Target="http://www.sec.gov/Archives/edgar/data/1683695/000114036118039596/ex10_4e.htm" TargetMode="External"/><Relationship Id="rId166" Type="http://schemas.openxmlformats.org/officeDocument/2006/relationships/hyperlink" Target="http://www.sec.gov/Archives/edgar/data/1683695/000114036118039596/ex10_4d.htm" TargetMode="External"/><Relationship Id="rId167" Type="http://schemas.openxmlformats.org/officeDocument/2006/relationships/hyperlink" Target="http://www.sec.gov/Archives/edgar/data/1683695/000114036118039596/ex10_4c.htm" TargetMode="External"/><Relationship Id="rId168" Type="http://schemas.openxmlformats.org/officeDocument/2006/relationships/hyperlink" Target="http://www.sec.gov/Archives/edgar/data/1683695/000114036118039596/ex10_3b.htm" TargetMode="External"/><Relationship Id="rId169" Type="http://schemas.openxmlformats.org/officeDocument/2006/relationships/hyperlink" Target="http://www.sec.gov/Archives/edgar/data/1683695/000114036120011750/nc10011882x1_def14a.htm" TargetMode="External"/><Relationship Id="rId170" Type="http://schemas.openxmlformats.org/officeDocument/2006/relationships/hyperlink" Target="http://www.sec.gov/Archives/edgar/data/1683695/000168369520000013/exhibit103formofnqsoag.htm" TargetMode="External"/><Relationship Id="rId171" Type="http://schemas.openxmlformats.org/officeDocument/2006/relationships/hyperlink" Target="http://www.sec.gov/Archives/edgar/data/1683695/000168369520000013/exhibit104formofrsuagr.htm" TargetMode="External"/><Relationship Id="rId172" Type="http://schemas.openxmlformats.org/officeDocument/2006/relationships/hyperlink" Target="http://www.sec.gov/Archives/edgar/data/1683695/000114036121000288/brhc10018654_ex10-1.htm" TargetMode="External"/><Relationship Id="rId173" Type="http://schemas.openxmlformats.org/officeDocument/2006/relationships/hyperlink" Target="http://www.sec.gov/Archives/edgar/data/1683695/000114036120027563/brhc10017690_ex10-1.htm" TargetMode="External"/><Relationship Id="rId174" Type="http://schemas.openxmlformats.org/officeDocument/2006/relationships/hyperlink" Target="http://www.sec.gov/Archives/edgar/data/1683695/000114036118039596/ex10_5e.htm" TargetMode="External"/><Relationship Id="rId175" Type="http://schemas.openxmlformats.org/officeDocument/2006/relationships/hyperlink" Target="http://www.sec.gov/Archives/edgar/data/1683695/000114036119017939/ex10_1.htm" TargetMode="External"/><Relationship Id="rId176" Type="http://schemas.openxmlformats.org/officeDocument/2006/relationships/hyperlink" Target="http://www.sec.gov/Archives/edgar/data/1683695/000114036118039596/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2021-03-15T16:39:52Z</dcterms:created>
  <dcterms:modified xsi:type="dcterms:W3CDTF">2021-03-15T16:39:52Z</dcterms:modified>
</cp:coreProperties>
</file>