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59"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8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r>
      <w:tr>
        <w:trPr>
          <w:trHeight w:val="34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b w:val="1"/>
                <w:bCs w:val="1"/>
                <w:color w:val="auto"/>
                <w:w w:val="89"/>
              </w:rPr>
              <w:t>Commission File No. 001-37986</w:t>
            </w:r>
          </w:p>
        </w:tc>
      </w:tr>
      <w:tr>
        <w:trPr>
          <w:trHeight w:val="396"/>
        </w:trPr>
        <w:tc>
          <w:tcPr>
            <w:tcW w:w="11240" w:type="dxa"/>
            <w:vAlign w:val="bottom"/>
            <w:gridSpan w:val="8"/>
          </w:tcPr>
          <w:p>
            <w:pPr>
              <w:jc w:val="center"/>
              <w:spacing w:after="0"/>
              <w:rPr>
                <w:sz w:val="20"/>
                <w:szCs w:val="20"/>
                <w:color w:val="auto"/>
              </w:rPr>
            </w:pPr>
            <w:r>
              <w:rPr>
                <w:rFonts w:ascii="Arial" w:cs="Arial" w:eastAsia="Arial" w:hAnsi="Arial"/>
                <w:sz w:val="29"/>
                <w:szCs w:val="29"/>
                <w:b w:val="1"/>
                <w:bCs w:val="1"/>
                <w:color w:val="auto"/>
              </w:rPr>
              <w:t>INTERNATIONAL MONEY EXPRESS, INC.</w:t>
            </w:r>
          </w:p>
        </w:tc>
      </w:tr>
      <w:tr>
        <w:trPr>
          <w:trHeight w:val="43"/>
        </w:trPr>
        <w:tc>
          <w:tcPr>
            <w:tcW w:w="33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20" w:type="dxa"/>
            <w:vAlign w:val="bottom"/>
            <w:tcBorders>
              <w:bottom w:val="single" w:sz="8" w:color="auto"/>
            </w:tcBorders>
            <w:gridSpan w:val="5"/>
          </w:tcPr>
          <w:p>
            <w:pPr>
              <w:spacing w:after="0"/>
              <w:rPr>
                <w:sz w:val="3"/>
                <w:szCs w:val="3"/>
                <w:color w:val="auto"/>
              </w:rPr>
            </w:pPr>
          </w:p>
        </w:tc>
      </w:tr>
      <w:tr>
        <w:trPr>
          <w:trHeight w:val="243"/>
        </w:trPr>
        <w:tc>
          <w:tcPr>
            <w:tcW w:w="3380" w:type="dxa"/>
            <w:vAlign w:val="bottom"/>
          </w:tcPr>
          <w:p>
            <w:pPr>
              <w:spacing w:after="0"/>
              <w:rPr>
                <w:sz w:val="21"/>
                <w:szCs w:val="21"/>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500"/>
        </w:trPr>
        <w:tc>
          <w:tcPr>
            <w:tcW w:w="3380" w:type="dxa"/>
            <w:vAlign w:val="bottom"/>
          </w:tcPr>
          <w:p>
            <w:pPr>
              <w:jc w:val="center"/>
              <w:ind w:left="1943"/>
              <w:spacing w:after="0"/>
              <w:rPr>
                <w:sz w:val="20"/>
                <w:szCs w:val="20"/>
                <w:color w:val="auto"/>
              </w:rPr>
            </w:pPr>
            <w:r>
              <w:rPr>
                <w:rFonts w:ascii="Arial" w:cs="Arial" w:eastAsia="Arial" w:hAnsi="Arial"/>
                <w:sz w:val="18"/>
                <w:szCs w:val="18"/>
                <w:b w:val="1"/>
                <w:bCs w:val="1"/>
                <w:color w:val="auto"/>
                <w:w w:val="93"/>
              </w:rPr>
              <w:t>Delaware</w:t>
            </w: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gridSpan w:val="3"/>
          </w:tcPr>
          <w:p>
            <w:pPr>
              <w:jc w:val="right"/>
              <w:ind w:right="2190"/>
              <w:spacing w:after="0"/>
              <w:rPr>
                <w:sz w:val="20"/>
                <w:szCs w:val="20"/>
                <w:color w:val="auto"/>
              </w:rPr>
            </w:pPr>
            <w:r>
              <w:rPr>
                <w:rFonts w:ascii="Arial" w:cs="Arial" w:eastAsia="Arial" w:hAnsi="Arial"/>
                <w:sz w:val="18"/>
                <w:szCs w:val="18"/>
                <w:b w:val="1"/>
                <w:bCs w:val="1"/>
                <w:color w:val="auto"/>
              </w:rPr>
              <w:t>47-4219082</w:t>
            </w: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2"/>
          </w:tcPr>
          <w:p>
            <w:pPr>
              <w:spacing w:after="0"/>
              <w:rPr>
                <w:sz w:val="2"/>
                <w:szCs w:val="2"/>
                <w:color w:val="auto"/>
              </w:rPr>
            </w:pPr>
          </w:p>
        </w:tc>
      </w:tr>
      <w:tr>
        <w:trPr>
          <w:trHeight w:val="243"/>
        </w:trPr>
        <w:tc>
          <w:tcPr>
            <w:tcW w:w="6680" w:type="dxa"/>
            <w:vAlign w:val="bottom"/>
            <w:gridSpan w:val="5"/>
          </w:tcPr>
          <w:p>
            <w:pPr>
              <w:jc w:val="center"/>
              <w:ind w:right="12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(I.R.S. Employer Identification No.)</w:t>
            </w:r>
          </w:p>
        </w:tc>
      </w:tr>
      <w:tr>
        <w:trPr>
          <w:trHeight w:val="257"/>
        </w:trPr>
        <w:tc>
          <w:tcPr>
            <w:tcW w:w="668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w w:val="90"/>
              </w:rPr>
              <w:t>9480 South Dixie Highway</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50"/>
        </w:trPr>
        <w:tc>
          <w:tcPr>
            <w:tcW w:w="3380" w:type="dxa"/>
            <w:vAlign w:val="bottom"/>
            <w:tcBorders>
              <w:bottom w:val="single" w:sz="8" w:color="auto"/>
            </w:tcBorders>
          </w:tcPr>
          <w:p>
            <w:pPr>
              <w:jc w:val="center"/>
              <w:ind w:left="1943"/>
              <w:spacing w:after="0"/>
              <w:rPr>
                <w:sz w:val="20"/>
                <w:szCs w:val="20"/>
                <w:color w:val="auto"/>
              </w:rPr>
            </w:pPr>
            <w:r>
              <w:rPr>
                <w:rFonts w:ascii="Arial" w:cs="Arial" w:eastAsia="Arial" w:hAnsi="Arial"/>
                <w:sz w:val="18"/>
                <w:szCs w:val="18"/>
                <w:b w:val="1"/>
                <w:bCs w:val="1"/>
                <w:color w:val="auto"/>
                <w:w w:val="97"/>
              </w:rPr>
              <w:t>Miami, Florida</w:t>
            </w:r>
          </w:p>
        </w:tc>
        <w:tc>
          <w:tcPr>
            <w:tcW w:w="20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gridSpan w:val="3"/>
          </w:tcPr>
          <w:p>
            <w:pPr>
              <w:jc w:val="right"/>
              <w:ind w:right="2390"/>
              <w:spacing w:after="0"/>
              <w:rPr>
                <w:sz w:val="20"/>
                <w:szCs w:val="20"/>
                <w:color w:val="auto"/>
              </w:rPr>
            </w:pPr>
            <w:r>
              <w:rPr>
                <w:rFonts w:ascii="Arial" w:cs="Arial" w:eastAsia="Arial" w:hAnsi="Arial"/>
                <w:sz w:val="18"/>
                <w:szCs w:val="18"/>
                <w:b w:val="1"/>
                <w:bCs w:val="1"/>
                <w:color w:val="auto"/>
              </w:rPr>
              <w:t>33156</w:t>
            </w:r>
          </w:p>
        </w:tc>
      </w:tr>
      <w:tr>
        <w:trPr>
          <w:trHeight w:val="230"/>
        </w:trPr>
        <w:tc>
          <w:tcPr>
            <w:tcW w:w="540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(Zip Code)</w:t>
            </w:r>
          </w:p>
        </w:tc>
      </w:tr>
      <w:tr>
        <w:trPr>
          <w:trHeight w:val="364"/>
        </w:trPr>
        <w:tc>
          <w:tcPr>
            <w:tcW w:w="3380" w:type="dxa"/>
            <w:vAlign w:val="bottom"/>
          </w:tcPr>
          <w:p>
            <w:pPr>
              <w:spacing w:after="0"/>
              <w:rPr>
                <w:sz w:val="24"/>
                <w:szCs w:val="24"/>
                <w:color w:val="auto"/>
              </w:rPr>
            </w:pPr>
          </w:p>
        </w:tc>
        <w:tc>
          <w:tcPr>
            <w:tcW w:w="330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90"/>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7"/>
          </w:tcPr>
          <w:p>
            <w:pPr>
              <w:spacing w:after="0"/>
              <w:rPr>
                <w:sz w:val="21"/>
                <w:szCs w:val="21"/>
                <w:color w:val="auto"/>
              </w:rPr>
            </w:pPr>
          </w:p>
        </w:tc>
      </w:tr>
      <w:tr>
        <w:trPr>
          <w:trHeight w:val="237"/>
        </w:trPr>
        <w:tc>
          <w:tcPr>
            <w:tcW w:w="3380" w:type="dxa"/>
            <w:vAlign w:val="bottom"/>
          </w:tcPr>
          <w:p>
            <w:pPr>
              <w:spacing w:after="0"/>
              <w:rPr>
                <w:sz w:val="20"/>
                <w:szCs w:val="20"/>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621"/>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70"/>
        </w:trPr>
        <w:tc>
          <w:tcPr>
            <w:tcW w:w="3380" w:type="dxa"/>
            <w:vAlign w:val="bottom"/>
          </w:tcPr>
          <w:p>
            <w:pPr>
              <w:jc w:val="center"/>
              <w:ind w:left="463"/>
              <w:spacing w:after="0"/>
              <w:rPr>
                <w:sz w:val="20"/>
                <w:szCs w:val="20"/>
                <w:color w:val="auto"/>
              </w:rPr>
            </w:pPr>
            <w:r>
              <w:rPr>
                <w:rFonts w:ascii="Arial" w:cs="Arial" w:eastAsia="Arial" w:hAnsi="Arial"/>
                <w:sz w:val="18"/>
                <w:szCs w:val="18"/>
                <w:b w:val="1"/>
                <w:bCs w:val="1"/>
                <w:color w:val="auto"/>
                <w:w w:val="86"/>
              </w:rPr>
              <w:t>Title of each class</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3"/>
                <w:szCs w:val="23"/>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0"/>
        </w:trPr>
        <w:tc>
          <w:tcPr>
            <w:tcW w:w="3380" w:type="dxa"/>
            <w:vAlign w:val="bottom"/>
          </w:tcPr>
          <w:p>
            <w:pPr>
              <w:jc w:val="center"/>
              <w:ind w:left="443"/>
              <w:spacing w:after="0"/>
              <w:rPr>
                <w:sz w:val="20"/>
                <w:szCs w:val="20"/>
                <w:color w:val="auto"/>
              </w:rPr>
            </w:pPr>
            <w:r>
              <w:rPr>
                <w:rFonts w:ascii="Arial" w:cs="Arial" w:eastAsia="Arial" w:hAnsi="Arial"/>
                <w:sz w:val="18"/>
                <w:szCs w:val="18"/>
                <w:color w:val="auto"/>
                <w:w w:val="91"/>
              </w:rPr>
              <w:t>Common stock ($0.0001 par value)</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color w:val="auto"/>
              </w:rPr>
              <w:t>IMXI</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60" w:type="dxa"/>
            <w:vAlign w:val="bottom"/>
          </w:tcPr>
          <w:p>
            <w:pPr>
              <w:ind w:left="280"/>
              <w:spacing w:after="0"/>
              <w:rPr>
                <w:sz w:val="20"/>
                <w:szCs w:val="20"/>
                <w:color w:val="auto"/>
              </w:rPr>
            </w:pPr>
            <w:r>
              <w:rPr>
                <w:rFonts w:ascii="Arial" w:cs="Arial" w:eastAsia="Arial" w:hAnsi="Arial"/>
                <w:sz w:val="18"/>
                <w:szCs w:val="18"/>
                <w:color w:val="auto"/>
              </w:rPr>
              <w:t>Nasdaq Capital Market</w:t>
            </w:r>
          </w:p>
        </w:tc>
      </w:tr>
    </w:tbl>
    <w:p>
      <w:pPr>
        <w:spacing w:after="0" w:line="200" w:lineRule="exact"/>
        <w:rPr>
          <w:sz w:val="24"/>
          <w:szCs w:val="24"/>
          <w:color w:val="auto"/>
        </w:rPr>
      </w:pPr>
    </w:p>
    <w:p>
      <w:pPr>
        <w:spacing w:after="0" w:line="33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090" w:gutter="0" w:footer="0" w:header="0"/>
        </w:sectPr>
      </w:pPr>
    </w:p>
    <w:p>
      <w:pPr>
        <w:spacing w:after="0" w:line="232" w:lineRule="exact"/>
        <w:rPr>
          <w:sz w:val="24"/>
          <w:szCs w:val="24"/>
          <w:color w:val="auto"/>
        </w:rPr>
      </w:pPr>
    </w:p>
    <w:p>
      <w:pPr>
        <w:ind w:left="8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37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194" w:lineRule="exact"/>
        <w:rPr>
          <w:sz w:val="24"/>
          <w:szCs w:val="24"/>
          <w:color w:val="auto"/>
        </w:rPr>
      </w:pPr>
    </w:p>
    <w:p>
      <w:pPr>
        <w:sectPr>
          <w:pgSz w:w="11900" w:h="16838" w:orient="portrait"/>
          <w:cols w:equalWidth="0" w:num="2">
            <w:col w:w="5420" w:space="720"/>
            <w:col w:w="5100"/>
          </w:cols>
          <w:pgMar w:left="320" w:top="233" w:right="339" w:bottom="1090" w:gutter="0" w:footer="0" w:header="0"/>
          <w:type w:val="continuous"/>
        </w:sectPr>
      </w:pPr>
    </w:p>
    <w:p>
      <w:pPr>
        <w:ind w:left="8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94" w:lineRule="exact"/>
        <w:rPr>
          <w:sz w:val="24"/>
          <w:szCs w:val="24"/>
          <w:color w:val="auto"/>
        </w:rPr>
      </w:pPr>
    </w:p>
    <w:p>
      <w:pPr>
        <w:sectPr>
          <w:pgSz w:w="11900" w:h="16838" w:orient="portrait"/>
          <w:cols w:equalWidth="0" w:num="2">
            <w:col w:w="5420" w:space="720"/>
            <w:col w:w="5100"/>
          </w:cols>
          <w:pgMar w:left="320" w:top="233" w:right="339" w:bottom="1090" w:gutter="0" w:footer="0" w:header="0"/>
          <w:type w:val="continuous"/>
        </w:sectPr>
      </w:pPr>
    </w:p>
    <w:p>
      <w:pPr>
        <w:ind w:left="6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ectPr>
          <w:pgSz w:w="11900" w:h="16838" w:orient="portrait"/>
          <w:cols w:equalWidth="0" w:num="1">
            <w:col w:w="11240"/>
          </w:cols>
          <w:pgMar w:left="320" w:top="233" w:right="339" w:bottom="109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As of April 28, 2023, there were 36,418,273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09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SPECIAL NOTE REGARDING FORWARD-LOOKING STATEMENTS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79"/>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tcBorders>
              <w:top w:val="single" w:sz="8" w:color="0000FF"/>
            </w:tcBorders>
            <w:gridSpan w:val="2"/>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858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PART 1 - FINANCIAL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w:t>
            </w: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79"/>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Balance Sheets as of March 31, 2023 and December 31, 2022</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79"/>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1"/>
              </w:rPr>
              <w:t>Condensed Consolidated Statements of Income and Comprehensive Income for the Three Months Ended</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0000FF"/>
                <w:w w:val="79"/>
              </w:rPr>
              <w:t>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540" w:type="dxa"/>
            <w:vAlign w:val="bottom"/>
            <w:tcBorders>
              <w:top w:val="single" w:sz="8" w:color="0000FF"/>
            </w:tcBorders>
            <w:gridSpan w:val="17"/>
            <w:shd w:val="clear" w:color="auto" w:fill="CCEEFF"/>
          </w:tcPr>
          <w:p>
            <w:pPr>
              <w:spacing w:after="0" w:line="142" w:lineRule="exact"/>
              <w:rPr>
                <w:sz w:val="20"/>
                <w:szCs w:val="20"/>
                <w:color w:val="auto"/>
              </w:rPr>
            </w:pPr>
            <w:r>
              <w:rPr>
                <w:rFonts w:ascii="Arial" w:cs="Arial" w:eastAsia="Arial" w:hAnsi="Arial"/>
                <w:sz w:val="16"/>
                <w:szCs w:val="16"/>
                <w:color w:val="0000FF"/>
              </w:rPr>
              <w:t>March 31, 2023 and 2022</w:t>
            </w: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5"/>
              </w:rPr>
              <w:t>Condensed Consolidated Statements of Changes in Stockholders’ Equity for the Three Months Ended</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0000FF"/>
                <w:w w:val="79"/>
              </w:rPr>
              <w:t>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0000FF"/>
              <w:bottom w:val="single" w:sz="8" w:color="0000FF"/>
            </w:tcBorders>
            <w:gridSpan w:val="8"/>
            <w:shd w:val="clear" w:color="auto" w:fill="CCEEFF"/>
          </w:tcPr>
          <w:p>
            <w:pPr>
              <w:spacing w:after="0" w:line="142" w:lineRule="exact"/>
              <w:rPr>
                <w:sz w:val="20"/>
                <w:szCs w:val="20"/>
                <w:color w:val="auto"/>
              </w:rPr>
            </w:pPr>
            <w:r>
              <w:rPr>
                <w:rFonts w:ascii="Arial" w:cs="Arial" w:eastAsia="Arial" w:hAnsi="Arial"/>
                <w:sz w:val="16"/>
                <w:szCs w:val="16"/>
                <w:color w:val="0000FF"/>
                <w:w w:val="99"/>
              </w:rPr>
              <w:t>March 31, 2023 and 2022</w:t>
            </w:r>
          </w:p>
        </w:tc>
        <w:tc>
          <w:tcPr>
            <w:tcW w:w="480" w:type="dxa"/>
            <w:vAlign w:val="bottom"/>
            <w:tcBorders>
              <w:top w:val="single" w:sz="8" w:color="0000FF"/>
              <w:bottom w:val="single" w:sz="8" w:color="CCEEFF"/>
            </w:tcBorders>
            <w:shd w:val="clear" w:color="auto" w:fill="CCEEFF"/>
          </w:tcPr>
          <w:p>
            <w:pPr>
              <w:spacing w:after="0"/>
              <w:rPr>
                <w:sz w:val="16"/>
                <w:szCs w:val="16"/>
                <w:color w:val="auto"/>
              </w:rPr>
            </w:pPr>
          </w:p>
        </w:tc>
        <w:tc>
          <w:tcPr>
            <w:tcW w:w="166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88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0"/>
              </w:rPr>
              <w:t>Condensed Consolidated Statements of Cash Flows for the Three Months Ended March 31, 2023 and 2022</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79"/>
              </w:rPr>
              <w:t>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Notes to Condensed Consolidated Financial Statements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79"/>
              </w:rPr>
              <w:t>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2.</w:t>
            </w: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24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3.</w:t>
            </w: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37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87"/>
              </w:rPr>
              <w:t>Controls and Procedures</w:t>
            </w:r>
          </w:p>
        </w:tc>
        <w:tc>
          <w:tcPr>
            <w:tcW w:w="5980" w:type="dxa"/>
            <w:vAlign w:val="bottom"/>
            <w:tcBorders>
              <w:bottom w:val="single" w:sz="8" w:color="CCEEFF"/>
            </w:tcBorders>
            <w:gridSpan w:val="12"/>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39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 w:type="dxa"/>
            <w:vAlign w:val="bottom"/>
            <w:tcBorders>
              <w:right w:val="single" w:sz="8" w:color="CCEEFF"/>
            </w:tcBorders>
          </w:tcPr>
          <w:p>
            <w:pPr>
              <w:spacing w:after="0"/>
              <w:rPr>
                <w:sz w:val="19"/>
                <w:szCs w:val="19"/>
                <w:color w:val="auto"/>
              </w:rPr>
            </w:pPr>
          </w:p>
        </w:tc>
        <w:tc>
          <w:tcPr>
            <w:tcW w:w="858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w:t>
            </w: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1A.</w:t>
            </w: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2.</w:t>
            </w: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3.</w:t>
            </w: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4.</w:t>
            </w: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5.</w:t>
            </w:r>
          </w:p>
        </w:tc>
        <w:tc>
          <w:tcPr>
            <w:tcW w:w="774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91"/>
              </w:rPr>
              <w:t>Exhibits</w:t>
            </w:r>
          </w:p>
        </w:tc>
        <w:tc>
          <w:tcPr>
            <w:tcW w:w="7140" w:type="dxa"/>
            <w:vAlign w:val="bottom"/>
            <w:tcBorders>
              <w:bottom w:val="single" w:sz="8" w:color="CCEEFF"/>
            </w:tcBorders>
            <w:gridSpan w:val="17"/>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42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9"/>
        </w:trPr>
        <w:tc>
          <w:tcPr>
            <w:tcW w:w="68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16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4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business of the Company.</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expected or implied by such forward-looking statements and could materially adversely affect our business, financial condition, results of operations, cash flows and liquidity. Factors that could cause or contribute to such differences include, but are not limited to, the following:</w:t>
      </w:r>
    </w:p>
    <w:p>
      <w:pPr>
        <w:spacing w:after="0" w:line="19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980" w:right="40" w:hanging="324"/>
        <w:spacing w:after="0" w:line="265" w:lineRule="auto"/>
        <w:tabs>
          <w:tab w:leader="none" w:pos="976"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Company’s ability to successfully execute, manage, integrate and obtain the anticipated financial benefits of key acquisitions and mergers, including the acquisitions of Envios de Valores La Nacional Corp. (“La Nacional”) and LAN Holdings, Corp. (“LAN Holdings”);</w:t>
      </w:r>
    </w:p>
    <w:p>
      <w:pPr>
        <w:ind w:left="980" w:hanging="324"/>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economic factors such as inflation, the level of economic activity, recession risks and labor market conditions, as well as rising interest rates;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public health conditions, responses thereto and the economic and market effects thereof;</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favorable banking and agent relationships necessary to conduct our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including the introduction of new digital platforms;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data centers and mobile devices apps;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confidence in our brands and in consumer money transfers generally;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regulatory requirements;</w:t>
      </w:r>
    </w:p>
    <w:p>
      <w:pPr>
        <w:spacing w:after="0" w:line="9" w:lineRule="exact"/>
        <w:rPr>
          <w:rFonts w:ascii="Arial" w:cs="Arial" w:eastAsia="Arial" w:hAnsi="Arial"/>
          <w:sz w:val="18"/>
          <w:szCs w:val="18"/>
          <w:color w:val="auto"/>
        </w:rPr>
      </w:pPr>
    </w:p>
    <w:p>
      <w:pPr>
        <w:ind w:left="980" w:right="360" w:hanging="324"/>
        <w:spacing w:after="0" w:line="250"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political stability, tariffs, border taxes or restrictions on remittances or transfers out of the United States and Canada;</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currency restrictions and volatility in countries in which we operate or plan to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the authenticity of customers’ orders;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brands and intellectual property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laws in the countries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recruit and retain key personnel; and</w:t>
      </w:r>
    </w:p>
    <w:p>
      <w:pPr>
        <w:spacing w:after="0" w:line="9" w:lineRule="exact"/>
        <w:rPr>
          <w:rFonts w:ascii="Arial" w:cs="Arial" w:eastAsia="Arial" w:hAnsi="Arial"/>
          <w:sz w:val="18"/>
          <w:szCs w:val="18"/>
          <w:color w:val="auto"/>
        </w:rPr>
      </w:pPr>
    </w:p>
    <w:p>
      <w:pPr>
        <w:ind w:left="660" w:right="1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sections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 except for share data)</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w w:val="91"/>
              </w:rPr>
              <w:t>December 31, 2022</w:t>
            </w:r>
          </w:p>
        </w:tc>
        <w:tc>
          <w:tcPr>
            <w:tcW w:w="0" w:type="dxa"/>
            <w:vAlign w:val="bottom"/>
          </w:tcPr>
          <w:p>
            <w:pPr>
              <w:spacing w:after="0"/>
              <w:rPr>
                <w:sz w:val="1"/>
                <w:szCs w:val="1"/>
                <w:color w:val="auto"/>
              </w:rPr>
            </w:pPr>
          </w:p>
        </w:tc>
      </w:tr>
      <w:tr>
        <w:trPr>
          <w:trHeight w:val="229"/>
        </w:trPr>
        <w:tc>
          <w:tcPr>
            <w:tcW w:w="6480" w:type="dxa"/>
            <w:vAlign w:val="bottom"/>
          </w:tcPr>
          <w:p>
            <w:pPr>
              <w:ind w:left="29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85,453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149,493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129,808</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Prepaid wires,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106,878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90,386</w:t>
            </w:r>
          </w:p>
        </w:tc>
        <w:tc>
          <w:tcPr>
            <w:tcW w:w="0" w:type="dxa"/>
            <w:vAlign w:val="bottom"/>
          </w:tcPr>
          <w:p>
            <w:pPr>
              <w:spacing w:after="0"/>
              <w:rPr>
                <w:sz w:val="1"/>
                <w:szCs w:val="1"/>
                <w:color w:val="auto"/>
              </w:rPr>
            </w:pPr>
          </w:p>
        </w:tc>
      </w:tr>
      <w:tr>
        <w:trPr>
          <w:trHeight w:val="249"/>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0" w:type="dxa"/>
            <w:vAlign w:val="bottom"/>
          </w:tcPr>
          <w:p>
            <w:pPr>
              <w:spacing w:after="0"/>
              <w:rPr>
                <w:sz w:val="1"/>
                <w:szCs w:val="1"/>
                <w:color w:val="auto"/>
              </w:rPr>
            </w:pPr>
          </w:p>
        </w:tc>
      </w:tr>
      <w:tr>
        <w:trPr>
          <w:trHeight w:val="217"/>
        </w:trPr>
        <w:tc>
          <w:tcPr>
            <w:tcW w:w="64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304,409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382,436</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28,173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28,160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18,666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19,826</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31,876</w:t>
            </w:r>
          </w:p>
        </w:tc>
        <w:tc>
          <w:tcPr>
            <w:tcW w:w="0" w:type="dxa"/>
            <w:vAlign w:val="bottom"/>
          </w:tcPr>
          <w:p>
            <w:pPr>
              <w:spacing w:after="0"/>
              <w:rPr>
                <w:sz w:val="1"/>
                <w:szCs w:val="1"/>
                <w:color w:val="auto"/>
              </w:rPr>
            </w:pPr>
          </w:p>
        </w:tc>
      </w:tr>
      <w:tr>
        <w:trPr>
          <w:trHeight w:val="229"/>
        </w:trPr>
        <w:tc>
          <w:tcPr>
            <w:tcW w:w="64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512,072</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Current portion of long-term debt,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25,686</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Wire transfers and money orders payable,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112,251</w:t>
            </w:r>
          </w:p>
        </w:tc>
        <w:tc>
          <w:tcPr>
            <w:tcW w:w="0" w:type="dxa"/>
            <w:vAlign w:val="bottom"/>
          </w:tcPr>
          <w:p>
            <w:pPr>
              <w:spacing w:after="0"/>
              <w:rPr>
                <w:sz w:val="1"/>
                <w:szCs w:val="1"/>
                <w:color w:val="auto"/>
              </w:rPr>
            </w:pPr>
          </w:p>
        </w:tc>
      </w:tr>
      <w:tr>
        <w:trPr>
          <w:trHeight w:val="249"/>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and other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41,855</w:t>
            </w:r>
          </w:p>
        </w:tc>
        <w:tc>
          <w:tcPr>
            <w:tcW w:w="0" w:type="dxa"/>
            <w:vAlign w:val="bottom"/>
          </w:tcPr>
          <w:p>
            <w:pPr>
              <w:spacing w:after="0"/>
              <w:rPr>
                <w:sz w:val="1"/>
                <w:szCs w:val="1"/>
                <w:color w:val="auto"/>
              </w:rPr>
            </w:pPr>
          </w:p>
        </w:tc>
      </w:tr>
      <w:tr>
        <w:trPr>
          <w:trHeight w:val="217"/>
        </w:trPr>
        <w:tc>
          <w:tcPr>
            <w:tcW w:w="64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156,424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184,767</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150,235</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Lease liabilities,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21,872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23,272</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liability, net</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17"/>
        </w:trPr>
        <w:tc>
          <w:tcPr>
            <w:tcW w:w="6480" w:type="dxa"/>
            <w:vAlign w:val="bottom"/>
          </w:tcPr>
          <w:p>
            <w:pPr>
              <w:ind w:left="340"/>
              <w:spacing w:after="0"/>
              <w:rPr>
                <w:sz w:val="20"/>
                <w:szCs w:val="20"/>
                <w:color w:val="auto"/>
              </w:rPr>
            </w:pPr>
            <w:r>
              <w:rPr>
                <w:rFonts w:ascii="Arial" w:cs="Arial" w:eastAsia="Arial" w:hAnsi="Arial"/>
                <w:sz w:val="18"/>
                <w:szCs w:val="18"/>
                <w:color w:val="auto"/>
              </w:rPr>
              <w:t>Total long-term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118,521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177,399</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16</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Common stock $0.0001 par value; 230,000,000 shares authorized, 39,556,217 and</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8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2"/>
              </w:rPr>
              <w:t>39,453,236 shares issued and 36,417,492 and 36,630,970 shares outstanding as of</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March 31, 2023 and December 31, 2022, respectively.</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70,210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139,134</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Treasury stock, at cost; 3,138,725 and 2,822,266 shares as of March 31, 2023 and</w:t>
            </w:r>
          </w:p>
        </w:tc>
        <w:tc>
          <w:tcPr>
            <w:tcW w:w="2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(66,884)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(59,300)</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December 31, 2022, respectively.</w:t>
            </w: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155,853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149,906</w:t>
            </w:r>
          </w:p>
        </w:tc>
        <w:tc>
          <w:tcPr>
            <w:tcW w:w="0" w:type="dxa"/>
            <w:vAlign w:val="bottom"/>
          </w:tcPr>
          <w:p>
            <w:pPr>
              <w:spacing w:after="0"/>
              <w:rPr>
                <w:sz w:val="1"/>
                <w:szCs w:val="1"/>
                <w:color w:val="auto"/>
              </w:rPr>
            </w:pPr>
          </w:p>
        </w:tc>
      </w:tr>
      <w:tr>
        <w:trPr>
          <w:trHeight w:val="255"/>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512,072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0800"/>
          </w:cols>
          <w:pgMar w:left="320" w:top="125" w:right="779" w:bottom="1440" w:gutter="0" w:footer="0" w:header="0"/>
        </w:sectPr>
      </w:pP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Three Months Ended March 31,</w:t>
            </w:r>
          </w:p>
        </w:tc>
      </w:tr>
      <w:tr>
        <w:trPr>
          <w:trHeight w:val="237"/>
        </w:trPr>
        <w:tc>
          <w:tcPr>
            <w:tcW w:w="6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Foreign exchange gain, net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15,674</w:t>
            </w:r>
          </w:p>
        </w:tc>
      </w:tr>
      <w:tr>
        <w:trPr>
          <w:trHeight w:val="236"/>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37"/>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145,364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114,666</w:t>
            </w:r>
          </w:p>
        </w:tc>
      </w:tr>
      <w:tr>
        <w:trPr>
          <w:trHeight w:val="243"/>
        </w:trPr>
        <w:tc>
          <w:tcPr>
            <w:tcW w:w="64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76,993</w:t>
            </w: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11,310</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r>
      <w:tr>
        <w:trPr>
          <w:trHeight w:val="237"/>
        </w:trPr>
        <w:tc>
          <w:tcPr>
            <w:tcW w:w="6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r>
      <w:tr>
        <w:trPr>
          <w:trHeight w:val="237"/>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97,555</w:t>
            </w:r>
          </w:p>
        </w:tc>
      </w:tr>
      <w:tr>
        <w:trPr>
          <w:trHeight w:val="243"/>
        </w:trPr>
        <w:tc>
          <w:tcPr>
            <w:tcW w:w="6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w:t>
            </w:r>
          </w:p>
        </w:tc>
      </w:tr>
      <w:tr>
        <w:trPr>
          <w:trHeight w:val="257"/>
        </w:trPr>
        <w:tc>
          <w:tcPr>
            <w:tcW w:w="6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43"/>
        </w:trPr>
        <w:tc>
          <w:tcPr>
            <w:tcW w:w="6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w:t>
            </w:r>
          </w:p>
        </w:tc>
      </w:tr>
      <w:tr>
        <w:trPr>
          <w:trHeight w:val="257"/>
        </w:trPr>
        <w:tc>
          <w:tcPr>
            <w:tcW w:w="6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r>
      <w:tr>
        <w:trPr>
          <w:trHeight w:val="243"/>
        </w:trPr>
        <w:tc>
          <w:tcPr>
            <w:tcW w:w="6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r>
      <w:tr>
        <w:trPr>
          <w:trHeight w:val="257"/>
        </w:trPr>
        <w:tc>
          <w:tcPr>
            <w:tcW w:w="6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5"/>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6480" w:type="dxa"/>
            <w:vAlign w:val="bottom"/>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30"/>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57"/>
        </w:trPr>
        <w:tc>
          <w:tcPr>
            <w:tcW w:w="6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480" w:type="dxa"/>
            <w:vAlign w:val="bottom"/>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36,480,972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38,362,014</w:t>
            </w:r>
          </w:p>
        </w:tc>
      </w:tr>
      <w:tr>
        <w:trPr>
          <w:trHeight w:val="230"/>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37,361,953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39,077,665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gridSpan w:val="15"/>
          </w:tcPr>
          <w:p>
            <w:pPr>
              <w:ind w:left="760"/>
              <w:spacing w:after="0"/>
              <w:rPr>
                <w:sz w:val="20"/>
                <w:szCs w:val="20"/>
                <w:color w:val="auto"/>
              </w:rPr>
            </w:pPr>
            <w:r>
              <w:rPr>
                <w:rFonts w:ascii="Arial" w:cs="Arial" w:eastAsia="Arial" w:hAnsi="Arial"/>
                <w:sz w:val="14"/>
                <w:szCs w:val="14"/>
                <w:b w:val="1"/>
                <w:bCs w:val="1"/>
                <w:color w:val="auto"/>
                <w:w w:val="94"/>
              </w:rPr>
              <w:t>Three Months Ended March 31, 2023</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8"/>
          </w:tcPr>
          <w:p>
            <w:pPr>
              <w:ind w:left="500"/>
              <w:spacing w:after="0" w:line="139"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1920" w:type="dxa"/>
            <w:vAlign w:val="bottom"/>
            <w:gridSpan w:val="8"/>
          </w:tcPr>
          <w:p>
            <w:pPr>
              <w:ind w:left="440"/>
              <w:spacing w:after="0" w:line="139"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23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960" w:type="dxa"/>
            <w:vAlign w:val="bottom"/>
            <w:gridSpan w:val="4"/>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Balance, December 31, 2022</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39,453,236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(2,822,266)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139,134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11,762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100"/>
              <w:spacing w:after="0" w:line="176" w:lineRule="exact"/>
              <w:rPr>
                <w:sz w:val="20"/>
                <w:szCs w:val="20"/>
                <w:color w:val="auto"/>
              </w:rPr>
            </w:pPr>
            <w:r>
              <w:rPr>
                <w:rFonts w:ascii="Arial" w:cs="Arial" w:eastAsia="Arial" w:hAnsi="Arial"/>
                <w:sz w:val="18"/>
                <w:szCs w:val="18"/>
                <w:color w:val="auto"/>
                <w:w w:val="93"/>
              </w:rPr>
              <w:t>Exercise of stock options, net</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w w:val="91"/>
              </w:rPr>
              <w:t>of shares withheld for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57,250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Restricted stock units and</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awards, net of shares</w:t>
            </w: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withheld for taxes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44,905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00"/>
              <w:spacing w:after="0"/>
              <w:rPr>
                <w:sz w:val="20"/>
                <w:szCs w:val="20"/>
                <w:color w:val="auto"/>
              </w:rPr>
            </w:pPr>
            <w:r>
              <w:rPr>
                <w:rFonts w:ascii="Arial" w:cs="Arial" w:eastAsia="Arial" w:hAnsi="Arial"/>
                <w:sz w:val="18"/>
                <w:szCs w:val="18"/>
                <w:color w:val="auto"/>
              </w:rPr>
              <w:t>Fully vested shares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0"/>
              <w:spacing w:after="0"/>
              <w:rPr>
                <w:sz w:val="20"/>
                <w:szCs w:val="20"/>
                <w:color w:val="auto"/>
              </w:rPr>
            </w:pPr>
            <w:r>
              <w:rPr>
                <w:rFonts w:ascii="Arial" w:cs="Arial" w:eastAsia="Arial" w:hAnsi="Arial"/>
                <w:sz w:val="18"/>
                <w:szCs w:val="18"/>
                <w:color w:val="auto"/>
              </w:rPr>
              <w:t>currency translation, net</w:t>
            </w:r>
          </w:p>
        </w:tc>
        <w:tc>
          <w:tcPr>
            <w:tcW w:w="2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Acquisition of treasury stock,</w:t>
            </w:r>
          </w:p>
        </w:tc>
        <w:tc>
          <w:tcPr>
            <w:tcW w:w="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(316,459)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cost</w:t>
            </w:r>
          </w:p>
        </w:tc>
        <w:tc>
          <w:tcPr>
            <w:tcW w:w="20" w:type="dxa"/>
            <w:vAlign w:val="bottom"/>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March 31, 2023</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39,556,217</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(3,138,725)</w:t>
            </w: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(66,884)</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71,797</w:t>
            </w: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150,896</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155,853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80" w:type="dxa"/>
            <w:vAlign w:val="bottom"/>
            <w:gridSpan w:val="18"/>
          </w:tcPr>
          <w:p>
            <w:pPr>
              <w:ind w:left="780"/>
              <w:spacing w:after="0"/>
              <w:rPr>
                <w:sz w:val="20"/>
                <w:szCs w:val="20"/>
                <w:color w:val="auto"/>
              </w:rPr>
            </w:pPr>
            <w:r>
              <w:rPr>
                <w:rFonts w:ascii="Arial" w:cs="Arial" w:eastAsia="Arial" w:hAnsi="Arial"/>
                <w:sz w:val="14"/>
                <w:szCs w:val="14"/>
                <w:b w:val="1"/>
                <w:bCs w:val="1"/>
                <w:color w:val="auto"/>
              </w:rPr>
              <w:t>Three Months Ended March 31, 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8"/>
          </w:tcPr>
          <w:p>
            <w:pPr>
              <w:ind w:left="520"/>
              <w:spacing w:after="0" w:line="135"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1"/>
                <w:szCs w:val="11"/>
                <w:color w:val="auto"/>
              </w:rPr>
            </w:pPr>
          </w:p>
        </w:tc>
        <w:tc>
          <w:tcPr>
            <w:tcW w:w="1920" w:type="dxa"/>
            <w:vAlign w:val="bottom"/>
            <w:gridSpan w:val="8"/>
          </w:tcPr>
          <w:p>
            <w:pPr>
              <w:ind w:left="460"/>
              <w:spacing w:after="0" w:line="135"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8"/>
                <w:szCs w:val="18"/>
                <w:color w:val="auto"/>
              </w:rPr>
            </w:pPr>
          </w:p>
        </w:tc>
        <w:tc>
          <w:tcPr>
            <w:tcW w:w="10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Balance, December 31, 2021</w:t>
            </w:r>
          </w:p>
        </w:tc>
        <w:tc>
          <w:tcPr>
            <w:tcW w:w="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38,820,222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(341,522)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91"/>
              </w:rPr>
              <w:t>(5,566)</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81,803</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143,040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00" w:type="dxa"/>
            <w:vAlign w:val="bottom"/>
          </w:tcPr>
          <w:p>
            <w:pPr>
              <w:ind w:left="100"/>
              <w:spacing w:after="0" w:line="176" w:lineRule="exact"/>
              <w:rPr>
                <w:sz w:val="20"/>
                <w:szCs w:val="20"/>
                <w:color w:val="auto"/>
              </w:rPr>
            </w:pPr>
            <w:r>
              <w:rPr>
                <w:rFonts w:ascii="Arial" w:cs="Arial" w:eastAsia="Arial" w:hAnsi="Arial"/>
                <w:sz w:val="18"/>
                <w:szCs w:val="18"/>
                <w:color w:val="auto"/>
                <w:w w:val="93"/>
              </w:rPr>
              <w:t>Exercise of stock options, net</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80"/>
              <w:spacing w:after="0"/>
              <w:rPr>
                <w:sz w:val="20"/>
                <w:szCs w:val="20"/>
                <w:color w:val="auto"/>
              </w:rPr>
            </w:pPr>
            <w:r>
              <w:rPr>
                <w:rFonts w:ascii="Arial" w:cs="Arial" w:eastAsia="Arial" w:hAnsi="Arial"/>
                <w:sz w:val="18"/>
                <w:szCs w:val="18"/>
                <w:color w:val="auto"/>
                <w:w w:val="91"/>
              </w:rPr>
              <w:t>of shares withheld for taxes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43,725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Restricted stock units and</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awards, net of shares</w:t>
            </w: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withheld for taxes</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20,787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2300" w:type="dxa"/>
            <w:vAlign w:val="bottom"/>
          </w:tcPr>
          <w:p>
            <w:pPr>
              <w:ind w:left="100"/>
              <w:spacing w:after="0"/>
              <w:rPr>
                <w:sz w:val="20"/>
                <w:szCs w:val="20"/>
                <w:color w:val="auto"/>
              </w:rPr>
            </w:pPr>
            <w:r>
              <w:rPr>
                <w:rFonts w:ascii="Arial" w:cs="Arial" w:eastAsia="Arial" w:hAnsi="Arial"/>
                <w:sz w:val="18"/>
                <w:szCs w:val="18"/>
                <w:color w:val="auto"/>
              </w:rPr>
              <w:t>Fully vested shares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200"/>
              <w:spacing w:after="0"/>
              <w:rPr>
                <w:sz w:val="20"/>
                <w:szCs w:val="20"/>
                <w:color w:val="auto"/>
              </w:rPr>
            </w:pPr>
            <w:r>
              <w:rPr>
                <w:rFonts w:ascii="Arial" w:cs="Arial" w:eastAsia="Arial" w:hAnsi="Arial"/>
                <w:sz w:val="18"/>
                <w:szCs w:val="18"/>
                <w:color w:val="auto"/>
              </w:rPr>
              <w:t>currency translation, net</w:t>
            </w:r>
          </w:p>
        </w:tc>
        <w:tc>
          <w:tcPr>
            <w:tcW w:w="2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Acquisition of treasury stock,</w:t>
            </w:r>
          </w:p>
        </w:tc>
        <w:tc>
          <w:tcPr>
            <w:tcW w:w="2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(224,388)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w w:val="91"/>
              </w:rPr>
              <w:t>(3,628)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49"/>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cost</w:t>
            </w:r>
          </w:p>
        </w:tc>
        <w:tc>
          <w:tcPr>
            <w:tcW w:w="20" w:type="dxa"/>
            <w:vAlign w:val="bottom"/>
            <w:shd w:val="clear" w:color="auto" w:fill="CCEEFF"/>
          </w:tcPr>
          <w:p>
            <w:pPr>
              <w:spacing w:after="0"/>
              <w:rPr>
                <w:sz w:val="21"/>
                <w:szCs w:val="21"/>
                <w:color w:val="auto"/>
              </w:rPr>
            </w:pPr>
          </w:p>
        </w:tc>
        <w:tc>
          <w:tcPr>
            <w:tcW w:w="10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3"/>
            <w:vMerge w:val="continue"/>
            <w:shd w:val="clear" w:color="auto" w:fill="CCEEFF"/>
          </w:tcPr>
          <w:p>
            <w:pPr>
              <w:spacing w:after="0"/>
              <w:rPr>
                <w:sz w:val="21"/>
                <w:szCs w:val="21"/>
                <w:color w:val="auto"/>
              </w:rPr>
            </w:pPr>
          </w:p>
        </w:tc>
        <w:tc>
          <w:tcPr>
            <w:tcW w:w="9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3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March 31, 2022</w:t>
            </w: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38,885,736</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(565,910)</w:t>
            </w: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91"/>
              </w:rPr>
              <w:t>(9,194)</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68,431</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93,457</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152,734</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25" w:right="11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left="760" w:right="2480"/>
        <w:spacing w:after="0" w:line="266"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(in thousands, unaudited)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48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37"/>
        </w:trPr>
        <w:tc>
          <w:tcPr>
            <w:tcW w:w="64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20"/>
                <w:szCs w:val="20"/>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29"/>
        </w:trPr>
        <w:tc>
          <w:tcPr>
            <w:tcW w:w="64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30"/>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6480" w:type="dxa"/>
            <w:vAlign w:val="bottom"/>
          </w:tcPr>
          <w:p>
            <w:pPr>
              <w:ind w:left="340"/>
              <w:spacing w:after="0"/>
              <w:rPr>
                <w:sz w:val="20"/>
                <w:szCs w:val="20"/>
                <w:color w:val="auto"/>
              </w:rPr>
            </w:pPr>
            <w:r>
              <w:rPr>
                <w:rFonts w:ascii="Arial" w:cs="Arial" w:eastAsia="Arial" w:hAnsi="Arial"/>
                <w:sz w:val="18"/>
                <w:szCs w:val="18"/>
                <w:color w:val="auto"/>
              </w:rPr>
              <w:t>Debt origination costs amortization</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(benefit) provision, net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48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49"/>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7"/>
        </w:trPr>
        <w:tc>
          <w:tcPr>
            <w:tcW w:w="6480" w:type="dxa"/>
            <w:vAlign w:val="bottom"/>
          </w:tcPr>
          <w:p>
            <w:pPr>
              <w:ind w:left="660"/>
              <w:spacing w:after="0"/>
              <w:rPr>
                <w:sz w:val="20"/>
                <w:szCs w:val="20"/>
                <w:color w:val="auto"/>
              </w:rPr>
            </w:pPr>
            <w:r>
              <w:rPr>
                <w:rFonts w:ascii="Arial" w:cs="Arial" w:eastAsia="Arial" w:hAnsi="Arial"/>
                <w:sz w:val="18"/>
                <w:szCs w:val="18"/>
                <w:color w:val="auto"/>
              </w:rPr>
              <w:t>Total adjustments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7,471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4,805</w:t>
            </w:r>
          </w:p>
        </w:tc>
      </w:tr>
      <w:tr>
        <w:trPr>
          <w:trHeight w:val="229"/>
        </w:trPr>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480" w:type="dxa"/>
            <w:vAlign w:val="bottom"/>
          </w:tcPr>
          <w:p>
            <w:pPr>
              <w:ind w:left="460"/>
              <w:spacing w:after="0"/>
              <w:rPr>
                <w:sz w:val="20"/>
                <w:szCs w:val="20"/>
                <w:color w:val="auto"/>
              </w:rPr>
            </w:pPr>
            <w:r>
              <w:rPr>
                <w:rFonts w:ascii="Arial" w:cs="Arial" w:eastAsia="Arial" w:hAnsi="Arial"/>
                <w:sz w:val="18"/>
                <w:szCs w:val="18"/>
                <w:color w:val="auto"/>
              </w:rPr>
              <w:t>Accounts receivable, net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26,432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(19,546)</w:t>
            </w:r>
          </w:p>
        </w:tc>
      </w:tr>
      <w:tr>
        <w:trPr>
          <w:trHeight w:val="229"/>
        </w:trPr>
        <w:tc>
          <w:tcPr>
            <w:tcW w:w="6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wires, net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(15,433)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41,879</w:t>
            </w:r>
          </w:p>
        </w:tc>
      </w:tr>
      <w:tr>
        <w:trPr>
          <w:trHeight w:val="230"/>
        </w:trPr>
        <w:tc>
          <w:tcPr>
            <w:tcW w:w="6480" w:type="dxa"/>
            <w:vAlign w:val="bottom"/>
          </w:tcPr>
          <w:p>
            <w:pPr>
              <w:ind w:left="460"/>
              <w:spacing w:after="0"/>
              <w:rPr>
                <w:sz w:val="20"/>
                <w:szCs w:val="20"/>
                <w:color w:val="auto"/>
              </w:rPr>
            </w:pPr>
            <w:r>
              <w:rPr>
                <w:rFonts w:ascii="Arial" w:cs="Arial" w:eastAsia="Arial" w:hAnsi="Arial"/>
                <w:sz w:val="18"/>
                <w:szCs w:val="18"/>
                <w:color w:val="auto"/>
              </w:rPr>
              <w:t>Prepaid expenses and other assets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6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Wire transfers and money orders payable, net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(21,593)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r>
      <w:tr>
        <w:trPr>
          <w:trHeight w:val="229"/>
        </w:trPr>
        <w:tc>
          <w:tcPr>
            <w:tcW w:w="6480" w:type="dxa"/>
            <w:vAlign w:val="bottom"/>
          </w:tcPr>
          <w:p>
            <w:pPr>
              <w:ind w:left="460"/>
              <w:spacing w:after="0"/>
              <w:rPr>
                <w:sz w:val="20"/>
                <w:szCs w:val="20"/>
                <w:color w:val="auto"/>
              </w:rPr>
            </w:pPr>
            <w:r>
              <w:rPr>
                <w:rFonts w:ascii="Arial" w:cs="Arial" w:eastAsia="Arial" w:hAnsi="Arial"/>
                <w:sz w:val="18"/>
                <w:szCs w:val="18"/>
                <w:color w:val="auto"/>
              </w:rPr>
              <w:t>Lease liabilities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37"/>
        </w:trPr>
        <w:tc>
          <w:tcPr>
            <w:tcW w:w="6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 and accrued and other liabilities</w:t>
            </w: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w:t>
            </w:r>
          </w:p>
        </w:tc>
      </w:tr>
      <w:tr>
        <w:trPr>
          <w:trHeight w:val="23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33,284</w:t>
            </w:r>
          </w:p>
        </w:tc>
      </w:tr>
      <w:tr>
        <w:trPr>
          <w:trHeight w:val="148"/>
        </w:trPr>
        <w:tc>
          <w:tcPr>
            <w:tcW w:w="6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1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(4,316)</w:t>
            </w:r>
          </w:p>
        </w:tc>
      </w:tr>
      <w:tr>
        <w:trPr>
          <w:trHeight w:val="162"/>
        </w:trPr>
        <w:tc>
          <w:tcPr>
            <w:tcW w:w="6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term loan facility</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Repayments under revolving credit facility, net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(55,000)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exercises of stock options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Payments for stock awards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6"/>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r>
      <w:tr>
        <w:trPr>
          <w:trHeight w:val="23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(63,789)</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r>
      <w:tr>
        <w:trPr>
          <w:trHeight w:val="148"/>
        </w:trPr>
        <w:tc>
          <w:tcPr>
            <w:tcW w:w="6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148"/>
        </w:trPr>
        <w:tc>
          <w:tcPr>
            <w:tcW w:w="6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(64,040)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24,763</w:t>
            </w:r>
          </w:p>
        </w:tc>
      </w:tr>
      <w:tr>
        <w:trPr>
          <w:trHeight w:val="162"/>
        </w:trPr>
        <w:tc>
          <w:tcPr>
            <w:tcW w:w="6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3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149,493</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132,474</w:t>
            </w:r>
          </w:p>
        </w:tc>
      </w:tr>
      <w:tr>
        <w:trPr>
          <w:trHeight w:val="149"/>
        </w:trPr>
        <w:tc>
          <w:tcPr>
            <w:tcW w:w="6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85,453</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157,237</w:t>
            </w:r>
          </w:p>
        </w:tc>
      </w:tr>
      <w:tr>
        <w:trPr>
          <w:trHeight w:val="21"/>
        </w:trPr>
        <w:tc>
          <w:tcPr>
            <w:tcW w:w="6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37" w:lineRule="exact"/>
        <w:rPr>
          <w:sz w:val="20"/>
          <w:szCs w:val="20"/>
          <w:color w:val="auto"/>
        </w:rPr>
      </w:pPr>
    </w:p>
    <w:p>
      <w:pPr>
        <w:jc w:val="center"/>
        <w:ind w:left="760" w:right="1840"/>
        <w:spacing w:after="0" w:line="275"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6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Three Months Ended March 31,</w:t>
            </w:r>
          </w:p>
        </w:tc>
      </w:tr>
      <w:tr>
        <w:trPr>
          <w:trHeight w:val="237"/>
        </w:trPr>
        <w:tc>
          <w:tcPr>
            <w:tcW w:w="6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2022</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36"/>
        </w:trPr>
        <w:tc>
          <w:tcPr>
            <w:tcW w:w="648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w:t>
            </w:r>
          </w:p>
        </w:tc>
      </w:tr>
      <w:tr>
        <w:trPr>
          <w:trHeight w:val="486"/>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6"/>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Non-cash lease liabilities arising from obtaining right-of-use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ind w:left="5520" w:right="2680" w:hanging="2834"/>
        <w:spacing w:after="0" w:line="260"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Money Express, Inc. (the “Company” or “us” or “we”) operates as a money transmitter between the United States of America (“United States” or “U.S.”) and Canada to Mexico, Guatemala and other countries in Latin America, Africa and Asia through a network of authorized agents located in various unaffiliated retail establishments and 117 Company-operated stores throughout the United States and Canada.</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consolidated financial statements of the Company include International Money Express, Inc. and its majority-owned subsidiaries. The condensed consolidated financial statements are prepared in accordance with accounting principles generally accepted in the United States (“GAAP”). All significant inter-company balances and transactions have been eliminated from the condensed consolidated financial statements.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2022.</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2022, the Company entered into a definitive purchase agreement to acquire Envios de Valores La Nacional Corp. (“La Nacional”) and LAN Holdings, Corp. (“LAN Holdings”), which either directly or indirectly operate as money remittance companies in the United States, Canada and certain countries in Europe. The acquisition of La Nacional was closed effective November 1, 2022 and the acquisition of LAN Holdings was closed effective April 5, 2023. Refer to Note 3 and Note 17 for additional information on the closings of the acquisitions of La Nacional and LAN Holdings,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w:t>
      </w:r>
    </w:p>
    <w:p>
      <w:pPr>
        <w:spacing w:after="0" w:line="3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maintains certain of its cash balances in various U.S. banks, which at times, may exceed federally insured limits. The Company has not incurred any losses on these accounts. In addition, the Company maintains various bank accounts in Mexico, Guatemala and Canada, which are not insured. During the three months ended March 31, 2023, the Company has not incurred any losses on these uninsured foreign bank accounts.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 substantial portion of our paying agents are concentrated in a few large banks and financial institutions and large retail chains in Latin American countries.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FASB issued guidance, ASU 2021-08, </w:t>
      </w:r>
      <w:r>
        <w:rPr>
          <w:rFonts w:ascii="Arial" w:cs="Arial" w:eastAsia="Arial" w:hAnsi="Arial"/>
          <w:sz w:val="16"/>
          <w:szCs w:val="16"/>
          <w:i w:val="1"/>
          <w:iCs w:val="1"/>
          <w:color w:val="auto"/>
        </w:rPr>
        <w:t>Business Combinations (Topic 805): 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which requires entities to apply Topic 606:</w:t>
      </w:r>
      <w:r>
        <w:rPr>
          <w:rFonts w:ascii="Arial" w:cs="Arial" w:eastAsia="Arial" w:hAnsi="Arial"/>
          <w:sz w:val="16"/>
          <w:szCs w:val="16"/>
          <w:i w:val="1"/>
          <w:iCs w:val="1"/>
          <w:color w:val="auto"/>
        </w:rPr>
        <w:t xml:space="preserve"> Revenue from Contracts with Customers </w:t>
      </w:r>
      <w:r>
        <w:rPr>
          <w:rFonts w:ascii="Arial" w:cs="Arial" w:eastAsia="Arial" w:hAnsi="Arial"/>
          <w:sz w:val="16"/>
          <w:szCs w:val="16"/>
          <w:color w:val="auto"/>
        </w:rPr>
        <w:t>to recognize and measure contract assets and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in a business combination. This guidance improves comparability after the business combination by providing consistent recognition and measurement guidance for revenue contracts with customers acquired in a business combination and revenue contracts with customers not acquired in a business combination. The Company adopted this guidance on January 1, 2023 prospectively for business combinations that occur after the adoption date. The adoption of this accounting standard is not expected to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2 –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revenues from contracts with customers for the three months ended March 31, 2023 and 2022,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00" w:type="dxa"/>
            <w:vAlign w:val="bottom"/>
          </w:tcPr>
          <w:p>
            <w:pPr>
              <w:spacing w:after="0"/>
              <w:rPr>
                <w:sz w:val="20"/>
                <w:szCs w:val="20"/>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37"/>
        </w:trPr>
        <w:tc>
          <w:tcPr>
            <w:tcW w:w="65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20"/>
                <w:szCs w:val="20"/>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98,404</w:t>
            </w:r>
          </w:p>
        </w:tc>
      </w:tr>
      <w:tr>
        <w:trPr>
          <w:trHeight w:val="23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Discounts and promotions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124,450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19,168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15,674</w:t>
            </w:r>
          </w:p>
        </w:tc>
      </w:tr>
      <w:tr>
        <w:trPr>
          <w:trHeight w:val="23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145,364</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114,666</w:t>
            </w:r>
          </w:p>
        </w:tc>
      </w:tr>
      <w:tr>
        <w:trPr>
          <w:trHeight w:val="21"/>
        </w:trPr>
        <w:tc>
          <w:tcPr>
            <w:tcW w:w="6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9) and a corresponding loyalty program expense is recorded as contra revenue. Revenue from this performance obligation is recognized upon customers redeeming points or upon expiration of any points outstanding.</w:t>
      </w:r>
    </w:p>
    <w:p>
      <w:pPr>
        <w:spacing w:after="0" w:line="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Except for the loyalty program discussed above, our revenues include only one performance obligation, which is to collect the customer’s money and make funds available for payment, generally on the same day, to a designated recipient in the currency requested.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through our sending agents,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Wire transfers and money order fees include money order fees of $0.6 million and $0.4 million for the three months ended March 31, 2023 and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Envios de Valores La Nacional Corp.</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November 1, 2022, the Company completed the acquisition of 100% of the voting interest of La Nacional (the “La Nacional Acquisition”) and on April 5, 2023, the Company completed the acquisition of 100% of the voting interest of LAN Holdings (the “LAN Acquisition”) (the “LAN Acquisition,” and together with the La Nacional Acquisition, the “Acquisitions”). See “LAN Holdings, Corp.” section below.</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paid cash consideration of $39.7 million upon consummation of the La Nacional Acquisition (subject to customary purchase price adjustments) and anticipates up to an additional $2.4 million in contingent consideration to be paid in cash in 2023 as a result of La Nacional achieving certain transaction volume and financial targets during 2023. The contingent consideration fair value as of both March 31, 2023 and December 31, 2022 was approximately $1.3 million.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summarizes the estimated fair values of consideration paid and identifiable net assets acquired in the La Nacional Acquisition on November 1, 2022, the measurement period adjustments in the three months ended March 31, 2023 and the estimated fair values of consideration transferred and identifiable net assets acquired as of March 31, 2023. The measurement period of the La Nacional Acquisition extends to one year from November 1, 2022.</w:t>
      </w:r>
    </w:p>
    <w:p>
      <w:pPr>
        <w:spacing w:after="0" w:line="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November 1, 2022</w:t>
            </w:r>
          </w:p>
        </w:tc>
        <w:tc>
          <w:tcPr>
            <w:tcW w:w="18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1"/>
              </w:rPr>
              <w:t>Measurement Period</w:t>
            </w:r>
          </w:p>
        </w:tc>
        <w:tc>
          <w:tcPr>
            <w:tcW w:w="180" w:type="dxa"/>
            <w:vAlign w:val="bottom"/>
          </w:tcPr>
          <w:p>
            <w:pPr>
              <w:spacing w:after="0"/>
              <w:rPr>
                <w:sz w:val="17"/>
                <w:szCs w:val="17"/>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6"/>
              </w:rPr>
              <w:t>March 31, 2023</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3"/>
              </w:rPr>
              <w:t>(As initially</w:t>
            </w:r>
          </w:p>
        </w:tc>
        <w:tc>
          <w:tcPr>
            <w:tcW w:w="18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reported)</w:t>
            </w:r>
          </w:p>
        </w:tc>
        <w:tc>
          <w:tcPr>
            <w:tcW w:w="24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80" w:type="dxa"/>
            <w:vAlign w:val="bottom"/>
          </w:tcPr>
          <w:p>
            <w:pPr>
              <w:spacing w:after="0"/>
              <w:rPr>
                <w:sz w:val="21"/>
                <w:szCs w:val="21"/>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Assets acquired:</w:t>
            </w: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39,569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39,569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16,504</w:t>
            </w:r>
          </w:p>
        </w:tc>
        <w:tc>
          <w:tcPr>
            <w:tcW w:w="0" w:type="dxa"/>
            <w:vAlign w:val="bottom"/>
          </w:tcPr>
          <w:p>
            <w:pPr>
              <w:spacing w:after="0"/>
              <w:rPr>
                <w:sz w:val="1"/>
                <w:szCs w:val="1"/>
                <w:color w:val="auto"/>
              </w:rPr>
            </w:pPr>
          </w:p>
        </w:tc>
      </w:tr>
      <w:tr>
        <w:trPr>
          <w:trHeight w:val="229"/>
        </w:trPr>
        <w:tc>
          <w:tcPr>
            <w:tcW w:w="4520" w:type="dxa"/>
            <w:vAlign w:val="bottom"/>
          </w:tcPr>
          <w:p>
            <w:pPr>
              <w:ind w:left="220"/>
              <w:spacing w:after="0"/>
              <w:rPr>
                <w:sz w:val="20"/>
                <w:szCs w:val="20"/>
                <w:color w:val="auto"/>
              </w:rPr>
            </w:pPr>
            <w:r>
              <w:rPr>
                <w:rFonts w:ascii="Arial" w:cs="Arial" w:eastAsia="Arial" w:hAnsi="Arial"/>
                <w:sz w:val="18"/>
                <w:szCs w:val="18"/>
                <w:color w:val="auto"/>
              </w:rPr>
              <w:t>Prepaid wires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29"/>
        </w:trPr>
        <w:tc>
          <w:tcPr>
            <w:tcW w:w="452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13,659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13,659</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identifiable assets acquired</w:t>
            </w: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84,479</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Liabilities assumed:</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Wire transfers and money orders payable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(35,595)</w:t>
            </w: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Accrued and other liabilities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liabilities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tax liability</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assumed</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(55,838)</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identifiable assets acquired</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28,641</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Consideration transferred</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41,021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41,021</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 Holdings, Corp.</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2023, the Company completed the previously announced acquisition of 100% of the issued and outstanding stock of LAN Holdings. LAN Holdings provides the Company the opportunity to enter into markets in which it did not have a presence previously, such as the ability to provide outbound remittances from Spain, Italy, and Germany.</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consideration paid by the Company in connection with the LAN Acquisition was $8.0 million in cash, subject to customary purchase price adjustments. The Company will also pay an additional $0.6 million in cash related to LAN Holdings’ achievement of certain operational milestones during 2023, which the parties have agreed have been achieved; accordingly, the earn-out will be paid under the terms of the definitive purchase agreement.</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the date of these condensed consolidated financial statements, due to the recent closing of the LAN Acquisition, the initial accounting for the LAN Acquisition is incomplete, including a preliminary allocation of the consideration transferred to the fair value of the assets acquired and liabilities assumed. In addition, due to the timing of the LAN Acquisition, the potential income tax consequences of this transaction have not been fully determined.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costs include all internal and external costs directly related to the Company’s acquisition activity, consisting primarily of legal, consulting, accounting and financial advisory fees. Transaction costs for the three months ended March 31, 2023 amounted to $0.1 million and related to the LAN Acquisition, and are included in other selling, general and administrative expenses on the condensed consolidated statement of income and comprehensive income. There were no transaction costs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4 – ACCOUNTS RECEIVABLE AND AGENT ADVANCES RECEIVABLE, NET OF ALLOWANCE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represents outstanding balances from sending agents for pending wire transfers or money orders from consumers. The outstanding balance of accounts receivable, net of allowance for credit losses, consists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2022</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132,363</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Advances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Agent advances receivable, net of allowance for credit losses, from sending agents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2022</w:t>
            </w:r>
          </w:p>
        </w:tc>
      </w:tr>
      <w:tr>
        <w:trPr>
          <w:trHeight w:val="229"/>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Agent advances receivable, current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5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advances receivable, long-term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current portion of agent advances receivable is included in prepaid expenses and other current assets (see Note 5), and the net long-term portion is included in other assets (see Note 5) in the condensed consolidated balance sheets. Certain agent advances receivable bear interest and have interest rates ranging from 0% to 14.5% per annum. The Company had an immaterial amount of accrued interest receivable as of March 31, 2023 and December 31, 2022, which was included in the allowance for credit losses calculation. As of March 31, 2023 and December 31, 2022, there were $3.2 million and $2.8 million, respectively, of agent advances receivable collateralized by personal guarantees from sending agents and assets from their businesses in case of a default by the agent.</w:t>
      </w:r>
    </w:p>
    <w:p>
      <w:pPr>
        <w:sectPr>
          <w:pgSz w:w="11900" w:h="16838" w:orient="portrait"/>
          <w:cols w:equalWidth="0" w:num="1">
            <w:col w:w="11240"/>
          </w:cols>
          <w:pgMar w:left="320" w:top="125" w:right="3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maturities of agent advances receivable at March 31, 2023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62661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66180" cy="1631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1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661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6180" cy="16256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More than 2 years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jc w:val="center"/>
        <w:ind w:right="1379"/>
        <w:spacing w:after="0"/>
        <w:rPr>
          <w:sz w:val="20"/>
          <w:szCs w:val="20"/>
          <w:color w:val="auto"/>
        </w:rPr>
      </w:pPr>
      <w:r>
        <w:rPr>
          <w:rFonts w:ascii="Arial" w:cs="Arial" w:eastAsia="Arial" w:hAnsi="Arial"/>
          <w:sz w:val="18"/>
          <w:szCs w:val="18"/>
          <w:color w:val="auto"/>
        </w:rPr>
        <w:t>Unpaid Advance</w:t>
      </w:r>
    </w:p>
    <w:p>
      <w:pPr>
        <w:jc w:val="center"/>
        <w:ind w:right="1379"/>
        <w:spacing w:after="0"/>
        <w:rPr>
          <w:sz w:val="20"/>
          <w:szCs w:val="20"/>
          <w:color w:val="auto"/>
        </w:rPr>
      </w:pPr>
      <w:r>
        <w:rPr>
          <w:rFonts w:ascii="Arial" w:cs="Arial" w:eastAsia="Arial" w:hAnsi="Arial"/>
          <w:sz w:val="18"/>
          <w:szCs w:val="18"/>
          <w:color w:val="auto"/>
        </w:rPr>
        <w:t>Balance</w:t>
      </w:r>
    </w:p>
    <w:p>
      <w:pPr>
        <w:spacing w:after="0" w:line="34" w:lineRule="exact"/>
        <w:rPr>
          <w:sz w:val="20"/>
          <w:szCs w:val="20"/>
          <w:color w:val="auto"/>
        </w:rPr>
      </w:pPr>
    </w:p>
    <w:p>
      <w:pPr>
        <w:ind w:left="1261" w:hanging="1261"/>
        <w:spacing w:after="0"/>
        <w:tabs>
          <w:tab w:leader="none" w:pos="1261" w:val="left"/>
        </w:tabs>
        <w:numPr>
          <w:ilvl w:val="0"/>
          <w:numId w:val="4"/>
        </w:numPr>
        <w:rPr>
          <w:rFonts w:ascii="Arial" w:cs="Arial" w:eastAsia="Arial" w:hAnsi="Arial"/>
          <w:sz w:val="15"/>
          <w:szCs w:val="15"/>
          <w:color w:val="auto"/>
        </w:rPr>
      </w:pPr>
      <w:r>
        <w:rPr>
          <w:rFonts w:ascii="Arial" w:cs="Arial" w:eastAsia="Arial" w:hAnsi="Arial"/>
          <w:sz w:val="15"/>
          <w:szCs w:val="15"/>
          <w:color w:val="auto"/>
        </w:rPr>
        <w:t>1,666</w:t>
      </w:r>
    </w:p>
    <w:p>
      <w:pPr>
        <w:spacing w:after="0" w:line="57" w:lineRule="exact"/>
        <w:rPr>
          <w:rFonts w:ascii="Arial" w:cs="Arial" w:eastAsia="Arial" w:hAnsi="Arial"/>
          <w:sz w:val="15"/>
          <w:szCs w:val="15"/>
          <w:color w:val="auto"/>
        </w:rPr>
      </w:pPr>
    </w:p>
    <w:p>
      <w:pPr>
        <w:ind w:left="1261"/>
        <w:spacing w:after="0"/>
        <w:rPr>
          <w:rFonts w:ascii="Arial" w:cs="Arial" w:eastAsia="Arial" w:hAnsi="Arial"/>
          <w:sz w:val="15"/>
          <w:szCs w:val="15"/>
          <w:color w:val="auto"/>
        </w:rPr>
      </w:pPr>
      <w:r>
        <w:rPr>
          <w:rFonts w:ascii="Arial" w:cs="Arial" w:eastAsia="Arial" w:hAnsi="Arial"/>
          <w:sz w:val="15"/>
          <w:szCs w:val="15"/>
          <w:color w:val="auto"/>
        </w:rPr>
        <w:t>1,420</w:t>
      </w:r>
    </w:p>
    <w:p>
      <w:pPr>
        <w:spacing w:after="0" w:line="57" w:lineRule="exact"/>
        <w:rPr>
          <w:rFonts w:ascii="Arial" w:cs="Arial" w:eastAsia="Arial" w:hAnsi="Arial"/>
          <w:sz w:val="15"/>
          <w:szCs w:val="15"/>
          <w:color w:val="auto"/>
        </w:rPr>
      </w:pPr>
    </w:p>
    <w:p>
      <w:pPr>
        <w:ind w:left="1401"/>
        <w:spacing w:after="0"/>
        <w:rPr>
          <w:rFonts w:ascii="Arial" w:cs="Arial" w:eastAsia="Arial" w:hAnsi="Arial"/>
          <w:sz w:val="15"/>
          <w:szCs w:val="15"/>
          <w:color w:val="auto"/>
        </w:rPr>
      </w:pPr>
      <w:r>
        <w:rPr>
          <w:rFonts w:ascii="Arial" w:cs="Arial" w:eastAsia="Arial" w:hAnsi="Arial"/>
          <w:sz w:val="15"/>
          <w:szCs w:val="15"/>
          <w:color w:val="auto"/>
        </w:rPr>
        <w:t>113</w:t>
      </w:r>
    </w:p>
    <w:p>
      <w:pPr>
        <w:spacing w:after="0" w:line="83" w:lineRule="exact"/>
        <w:rPr>
          <w:sz w:val="20"/>
          <w:szCs w:val="20"/>
          <w:color w:val="auto"/>
        </w:rPr>
      </w:pPr>
    </w:p>
    <w:p>
      <w:pPr>
        <w:ind w:left="1261" w:hanging="1261"/>
        <w:spacing w:after="0"/>
        <w:tabs>
          <w:tab w:leader="none" w:pos="1261" w:val="left"/>
        </w:tabs>
        <w:numPr>
          <w:ilvl w:val="0"/>
          <w:numId w:val="5"/>
        </w:numPr>
        <w:rPr>
          <w:rFonts w:ascii="Arial" w:cs="Arial" w:eastAsia="Arial" w:hAnsi="Arial"/>
          <w:sz w:val="15"/>
          <w:szCs w:val="15"/>
          <w:color w:val="auto"/>
        </w:rPr>
      </w:pPr>
      <w:r>
        <w:rPr>
          <w:rFonts w:ascii="Arial" w:cs="Arial" w:eastAsia="Arial" w:hAnsi="Arial"/>
          <w:sz w:val="15"/>
          <w:szCs w:val="15"/>
          <w:color w:val="auto"/>
        </w:rPr>
        <w:t>3,199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1144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11144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842" w:lineRule="exact"/>
        <w:rPr>
          <w:sz w:val="20"/>
          <w:szCs w:val="20"/>
          <w:color w:val="auto"/>
        </w:rPr>
      </w:pPr>
    </w:p>
    <w:p>
      <w:pPr>
        <w:sectPr>
          <w:pgSz w:w="11900" w:h="16838" w:orient="portrait"/>
          <w:cols w:equalWidth="0" w:num="2">
            <w:col w:w="7419" w:space="720"/>
            <w:col w:w="3101"/>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allowance for credit losses related to accounts receivable and agent advances receivable are as follows (in thousands):</w:t>
      </w:r>
    </w:p>
    <w:p>
      <w:pPr>
        <w:spacing w:after="0" w:line="3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2022</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2,249</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3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w:t>
            </w:r>
          </w:p>
        </w:tc>
      </w:tr>
      <w:tr>
        <w:trPr>
          <w:trHeight w:val="20"/>
        </w:trPr>
        <w:tc>
          <w:tcPr>
            <w:tcW w:w="6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w w:val="98"/>
              </w:rPr>
              <w:t>December 31, 2022</w:t>
            </w:r>
          </w:p>
        </w:tc>
        <w:tc>
          <w:tcPr>
            <w:tcW w:w="0" w:type="dxa"/>
            <w:vAlign w:val="bottom"/>
          </w:tcPr>
          <w:p>
            <w:pPr>
              <w:spacing w:after="0"/>
              <w:rPr>
                <w:sz w:val="1"/>
                <w:szCs w:val="1"/>
                <w:color w:val="auto"/>
              </w:rPr>
            </w:pPr>
          </w:p>
        </w:tc>
      </w:tr>
      <w:tr>
        <w:trPr>
          <w:trHeight w:val="229"/>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Agent advances receivable</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NOTE 5 – PREPAID EXPENSES AND OTHER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w w:val="92"/>
              </w:rPr>
              <w:t>Prepaid expenses and other current assets consisted of the following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w w:val="99"/>
              </w:rPr>
              <w:t>December 31, 2022</w:t>
            </w:r>
          </w:p>
        </w:tc>
        <w:tc>
          <w:tcPr>
            <w:tcW w:w="0" w:type="dxa"/>
            <w:vAlign w:val="bottom"/>
          </w:tcPr>
          <w:p>
            <w:pPr>
              <w:spacing w:after="0"/>
              <w:rPr>
                <w:sz w:val="1"/>
                <w:szCs w:val="1"/>
                <w:color w:val="auto"/>
              </w:rPr>
            </w:pPr>
          </w:p>
        </w:tc>
      </w:tr>
      <w:tr>
        <w:trPr>
          <w:trHeight w:val="229"/>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Prepaid fees and services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Agent incentives advances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Agent advances receivable, net of allowance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 pending settlement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Tenant allowance</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income taxes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Prepaid expenses and current assets - other</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Other assets consisted of the following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w w:val="99"/>
              </w:rPr>
              <w:t>December 31, 2022</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line origination fees</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Agent incentives advances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Agent advances receivable, net of allowance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Right-of-use assets, net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24,768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Funds held by seized banking entities, net of allowance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2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September 2021, local banking regulators in Mexico resolved to close and liquidate a local financial institution, citing a lack of compliance with minimum capital requirements. The Company has approximately $5.2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The Company maintains a valuation allowance of approximately $3.6 million in connection with the balance of deposits held by the financial institution as a result of its 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6 – GOODWILL AND INTANGIBLE ASSETS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Goodwill and the majority of intangible assets on the condensed consolidated balance sheets of the Company were recognized from business acquisitions. Intangible assets on the condensed consolidated balance sheets of the Company consist of agent relationships, trade names, developed technology and other intangible assets. Agent relationships, trade names and developed technology are all amortized over 15 years using an accelerated method that correlates with the projected realization of the benefit. The agent relationships intangible represents the network of independent sending agents; trade names refers to the Intermex and La Nacional names, branded on all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months ended March 31, 2023.</w:t>
      </w:r>
    </w:p>
    <w:p>
      <w:pPr>
        <w:spacing w:after="0" w:line="24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Intangibles</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Measurement period adjustment (Refer to Note 3)</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6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29"/>
        </w:trPr>
        <w:tc>
          <w:tcPr>
            <w:tcW w:w="62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at March 31, 2023</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48,640</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18,666</w:t>
            </w:r>
          </w:p>
        </w:tc>
      </w:tr>
      <w:tr>
        <w:trPr>
          <w:trHeight w:val="21"/>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for the remainder of 2023 and thereafter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3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r>
      <w:tr>
        <w:trPr>
          <w:trHeight w:val="255"/>
        </w:trPr>
        <w:tc>
          <w:tcPr>
            <w:tcW w:w="8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7 – LEASES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conduct certain of our operations, the Company is a party to leases for office space, warehouses and Company-operated store locations. In December 2022, the Company entered into a lease agreement, which expires in 2033, for its new headquarters to accommodate its growing workforce. The Company expects to complete the move to the new headquarters in the second half of 2023 following the completion of leasehold improvements. The new lease agreement provides for the Company to receive a tenant allowance amounting to approximately $3.8 million through the third quarter of 2023 and the Company will commence making monthly lease payments on November 1, 2024. Such tenant allowance has been recorded within prepaid expenses and other current assets in the condensed consolidated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of right-of-use assets and lease liabilities in the condensed consolidated balance sheet is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Leases</w:t>
            </w:r>
          </w:p>
        </w:tc>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Classification</w:t>
            </w: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2023</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29"/>
        </w:trPr>
        <w:tc>
          <w:tcPr>
            <w:tcW w:w="2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r>
      <w:tr>
        <w:trPr>
          <w:trHeight w:val="230"/>
        </w:trPr>
        <w:tc>
          <w:tcPr>
            <w:tcW w:w="2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Right-of-use assets</w:t>
            </w:r>
          </w:p>
        </w:tc>
        <w:tc>
          <w:tcPr>
            <w:tcW w:w="34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Other assets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24,768</w:t>
            </w:r>
          </w:p>
        </w:tc>
      </w:tr>
      <w:tr>
        <w:trPr>
          <w:trHeight w:val="223"/>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leased assets</w:t>
            </w:r>
          </w:p>
        </w:tc>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24,768</w:t>
            </w:r>
          </w:p>
        </w:tc>
      </w:tr>
      <w:tr>
        <w:trPr>
          <w:trHeight w:val="270"/>
        </w:trPr>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3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and other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Noncurrent</w:t>
            </w: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23,272</w:t>
            </w:r>
          </w:p>
        </w:tc>
      </w:tr>
      <w:tr>
        <w:trPr>
          <w:trHeight w:val="223"/>
        </w:trPr>
        <w:tc>
          <w:tcPr>
            <w:tcW w:w="22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28,530</w:t>
            </w: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(1) Operating right of-use assets are recorded net of accumulated amortization of $7.1 million and $5.6 million as of March 31, 2023 and December 31, 2022</w:t>
      </w:r>
      <w:r>
        <w:rPr>
          <w:rFonts w:ascii="Arial" w:cs="Arial" w:eastAsia="Arial" w:hAnsi="Arial"/>
          <w:sz w:val="15"/>
          <w:szCs w:val="15"/>
          <w:color w:val="auto"/>
        </w:rPr>
        <w:t>, respectively</w:t>
      </w:r>
      <w:r>
        <w:rPr>
          <w:rFonts w:ascii="Arial" w:cs="Arial" w:eastAsia="Arial" w:hAnsi="Arial"/>
          <w:sz w:val="14"/>
          <w:szCs w:val="14"/>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the three months ended March 31, 2023 and 2022, was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2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 March 31,</w:t>
            </w:r>
          </w:p>
        </w:tc>
      </w:tr>
      <w:tr>
        <w:trPr>
          <w:trHeight w:val="236"/>
        </w:trPr>
        <w:tc>
          <w:tcPr>
            <w:tcW w:w="1840" w:type="dxa"/>
            <w:vAlign w:val="bottom"/>
            <w:gridSpan w:val="2"/>
          </w:tcPr>
          <w:p>
            <w:pPr>
              <w:ind w:left="460"/>
              <w:spacing w:after="0"/>
              <w:rPr>
                <w:sz w:val="20"/>
                <w:szCs w:val="20"/>
                <w:color w:val="auto"/>
              </w:rPr>
            </w:pPr>
            <w:r>
              <w:rPr>
                <w:rFonts w:ascii="Arial" w:cs="Arial" w:eastAsia="Arial" w:hAnsi="Arial"/>
                <w:sz w:val="18"/>
                <w:szCs w:val="18"/>
                <w:b w:val="1"/>
                <w:bCs w:val="1"/>
                <w:color w:val="auto"/>
              </w:rPr>
              <w:t>Lease Cost</w:t>
            </w:r>
          </w:p>
        </w:tc>
        <w:tc>
          <w:tcPr>
            <w:tcW w:w="3880" w:type="dxa"/>
            <w:vAlign w:val="bottom"/>
          </w:tcPr>
          <w:p>
            <w:pPr>
              <w:ind w:left="1600"/>
              <w:spacing w:after="0"/>
              <w:rPr>
                <w:sz w:val="20"/>
                <w:szCs w:val="20"/>
                <w:color w:val="auto"/>
              </w:rPr>
            </w:pPr>
            <w:r>
              <w:rPr>
                <w:rFonts w:ascii="Arial" w:cs="Arial" w:eastAsia="Arial" w:hAnsi="Arial"/>
                <w:sz w:val="18"/>
                <w:szCs w:val="18"/>
                <w:b w:val="1"/>
                <w:bCs w:val="1"/>
                <w:color w:val="auto"/>
              </w:rPr>
              <w:t>Classification</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040" w:type="dxa"/>
            <w:vAlign w:val="bottom"/>
          </w:tcPr>
          <w:p>
            <w:pPr>
              <w:spacing w:after="0"/>
              <w:rPr>
                <w:sz w:val="20"/>
                <w:szCs w:val="20"/>
                <w:color w:val="auto"/>
              </w:rPr>
            </w:pPr>
          </w:p>
        </w:tc>
      </w:tr>
      <w:tr>
        <w:trPr>
          <w:trHeight w:val="229"/>
        </w:trPr>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8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Other selling, general and administrative expenses</w:t>
            </w: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40" w:type="dxa"/>
            <w:vAlign w:val="bottom"/>
          </w:tcPr>
          <w:p>
            <w:pPr>
              <w:spacing w:after="0"/>
              <w:rPr>
                <w:sz w:val="19"/>
                <w:szCs w:val="19"/>
                <w:color w:val="auto"/>
              </w:rPr>
            </w:pPr>
          </w:p>
        </w:tc>
      </w:tr>
      <w:tr>
        <w:trPr>
          <w:trHeight w:val="608"/>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2023 and 2022, the Company’s weighted-average remaining lease terms on its operating leases was 6.8 years and 4.0 years, respectively, and the Company’s weighted-average discount rate was 5.77% and 2.59%, respectively, which is the Company’s incremental borrowing rate. The Company used its incremental borrowing rate for all leases, as none of the Company’s lease agreements provide a readily determinable implicit rate.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Payments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Future minimum lease payments for assets under non-cancelable operating lease agreements with original terms of more than one year for the remainder of 2023 and thereafter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(9,894)</w:t>
            </w: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NOTE 8 – WIRE TRANSFERS AND MONEY ORDERS PAYABLE, NET</w:t>
            </w:r>
          </w:p>
        </w:tc>
        <w:tc>
          <w:tcPr>
            <w:tcW w:w="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60" w:type="dxa"/>
            <w:vAlign w:val="bottom"/>
            <w:gridSpan w:val="2"/>
          </w:tcPr>
          <w:p>
            <w:pPr>
              <w:spacing w:after="0"/>
              <w:rPr>
                <w:sz w:val="20"/>
                <w:szCs w:val="20"/>
                <w:color w:val="auto"/>
              </w:rPr>
            </w:pPr>
            <w:r>
              <w:rPr>
                <w:rFonts w:ascii="Arial" w:cs="Arial" w:eastAsia="Arial" w:hAnsi="Arial"/>
                <w:sz w:val="18"/>
                <w:szCs w:val="18"/>
                <w:color w:val="auto"/>
                <w:w w:val="92"/>
              </w:rPr>
              <w:t>Wire transfers and money orders payable, net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Arial" w:cs="Arial" w:eastAsia="Arial" w:hAnsi="Arial"/>
                <w:sz w:val="18"/>
                <w:szCs w:val="18"/>
                <w:color w:val="auto"/>
                <w:w w:val="98"/>
              </w:rPr>
              <w:t>December 31, 2022</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transfers payable,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25,976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Arial" w:cs="Arial" w:eastAsia="Arial" w:hAnsi="Arial"/>
                <w:sz w:val="18"/>
                <w:szCs w:val="18"/>
                <w:i w:val="1"/>
                <w:iCs w:val="1"/>
                <w:color w:val="0000FF"/>
              </w:rPr>
              <w:t>Index</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07"/>
        </w:trPr>
        <w:tc>
          <w:tcPr>
            <w:tcW w:w="6280" w:type="dxa"/>
            <w:vAlign w:val="bottom"/>
            <w:gridSpan w:val="2"/>
          </w:tcPr>
          <w:p>
            <w:pPr>
              <w:spacing w:after="0"/>
              <w:rPr>
                <w:sz w:val="20"/>
                <w:szCs w:val="20"/>
                <w:color w:val="auto"/>
              </w:rPr>
            </w:pPr>
            <w:r>
              <w:rPr>
                <w:rFonts w:ascii="Arial" w:cs="Arial" w:eastAsia="Arial" w:hAnsi="Arial"/>
                <w:sz w:val="18"/>
                <w:szCs w:val="18"/>
                <w:color w:val="auto"/>
              </w:rPr>
              <w:t>NOTE 9 – ACCRUED AND OTHER LIABILITIES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7"/>
        </w:trPr>
        <w:tc>
          <w:tcPr>
            <w:tcW w:w="4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2022</w:t>
            </w:r>
          </w:p>
        </w:tc>
      </w:tr>
      <w:tr>
        <w:trPr>
          <w:trHeight w:val="229"/>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19,141</w:t>
            </w: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Accrued salaries and benefits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5,578</w:t>
            </w: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bank charges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Accrued other professional fees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1,169</w:t>
            </w: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Lease liabilities, current portion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5,258</w:t>
            </w: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Deferred revenue loyalty program</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4,212</w:t>
            </w: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transaction costs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7"/>
        </w:trPr>
        <w:tc>
          <w:tcPr>
            <w:tcW w:w="6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r>
      <w:tr>
        <w:trPr>
          <w:trHeight w:val="255"/>
        </w:trPr>
        <w:tc>
          <w:tcPr>
            <w:tcW w:w="40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41,855</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changes in the deferred revenue loyalty program liability (in thousands):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22363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2363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deferred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2363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635" cy="16319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 during the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March 31, 2023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NOTE 10 –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41" w:hanging="1241"/>
        <w:spacing w:after="0"/>
        <w:tabs>
          <w:tab w:leader="none" w:pos="1241" w:val="left"/>
        </w:tabs>
        <w:numPr>
          <w:ilvl w:val="0"/>
          <w:numId w:val="6"/>
        </w:numPr>
        <w:rPr>
          <w:rFonts w:ascii="Arial" w:cs="Arial" w:eastAsia="Arial" w:hAnsi="Arial"/>
          <w:sz w:val="17"/>
          <w:szCs w:val="17"/>
          <w:color w:val="auto"/>
        </w:rPr>
      </w:pPr>
      <w:r>
        <w:rPr>
          <w:rFonts w:ascii="Arial" w:cs="Arial" w:eastAsia="Arial" w:hAnsi="Arial"/>
          <w:sz w:val="17"/>
          <w:szCs w:val="17"/>
          <w:color w:val="auto"/>
        </w:rPr>
        <w:t>4,212</w:t>
      </w:r>
    </w:p>
    <w:p>
      <w:pPr>
        <w:spacing w:after="0" w:line="34" w:lineRule="exact"/>
        <w:rPr>
          <w:rFonts w:ascii="Arial" w:cs="Arial" w:eastAsia="Arial" w:hAnsi="Arial"/>
          <w:sz w:val="17"/>
          <w:szCs w:val="17"/>
          <w:color w:val="auto"/>
        </w:rPr>
      </w:pPr>
    </w:p>
    <w:p>
      <w:pPr>
        <w:ind w:left="1361"/>
        <w:spacing w:after="0"/>
        <w:rPr>
          <w:rFonts w:ascii="Arial" w:cs="Arial" w:eastAsia="Arial" w:hAnsi="Arial"/>
          <w:sz w:val="17"/>
          <w:szCs w:val="17"/>
          <w:color w:val="auto"/>
        </w:rPr>
      </w:pPr>
      <w:r>
        <w:rPr>
          <w:rFonts w:ascii="Arial" w:cs="Arial" w:eastAsia="Arial" w:hAnsi="Arial"/>
          <w:sz w:val="18"/>
          <w:szCs w:val="18"/>
          <w:color w:val="auto"/>
        </w:rPr>
        <w:t>669</w:t>
      </w:r>
    </w:p>
    <w:p>
      <w:pPr>
        <w:spacing w:after="0" w:line="23"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(582)</w:t>
      </w:r>
    </w:p>
    <w:p>
      <w:pPr>
        <w:spacing w:after="0" w:line="49" w:lineRule="exact"/>
        <w:rPr>
          <w:sz w:val="20"/>
          <w:szCs w:val="20"/>
          <w:color w:val="auto"/>
        </w:rPr>
      </w:pPr>
    </w:p>
    <w:p>
      <w:pPr>
        <w:ind w:left="1241" w:hanging="1241"/>
        <w:spacing w:after="0"/>
        <w:tabs>
          <w:tab w:leader="none" w:pos="1241" w:val="left"/>
        </w:tabs>
        <w:numPr>
          <w:ilvl w:val="0"/>
          <w:numId w:val="7"/>
        </w:numPr>
        <w:rPr>
          <w:rFonts w:ascii="Arial" w:cs="Arial" w:eastAsia="Arial" w:hAnsi="Arial"/>
          <w:sz w:val="17"/>
          <w:szCs w:val="17"/>
          <w:color w:val="auto"/>
        </w:rPr>
      </w:pPr>
      <w:r>
        <w:rPr>
          <w:rFonts w:ascii="Arial" w:cs="Arial" w:eastAsia="Arial" w:hAnsi="Arial"/>
          <w:sz w:val="17"/>
          <w:szCs w:val="17"/>
          <w:color w:val="auto"/>
        </w:rPr>
        <w:t>4,299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0972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10972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37" w:lineRule="exact"/>
        <w:rPr>
          <w:sz w:val="20"/>
          <w:szCs w:val="20"/>
          <w:color w:val="auto"/>
        </w:rPr>
      </w:pPr>
    </w:p>
    <w:p>
      <w:pPr>
        <w:sectPr>
          <w:pgSz w:w="11900" w:h="16838" w:orient="portrait"/>
          <w:cols w:equalWidth="0" w:num="2">
            <w:col w:w="7440" w:space="659"/>
            <w:col w:w="3141"/>
          </w:cols>
          <w:pgMar w:left="320" w:top="108"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2022</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76,000</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facility</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80,938</w:t>
            </w:r>
          </w:p>
        </w:tc>
      </w:tr>
      <w:tr>
        <w:trPr>
          <w:trHeight w:val="223"/>
        </w:trPr>
        <w:tc>
          <w:tcPr>
            <w:tcW w:w="6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156,938</w:t>
            </w:r>
          </w:p>
        </w:tc>
      </w:tr>
      <w:tr>
        <w:trPr>
          <w:trHeight w:val="230"/>
        </w:trPr>
        <w:tc>
          <w:tcPr>
            <w:tcW w:w="6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Current portion of long-term debt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(4,975)</w:t>
            </w: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origination costs</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230"/>
        </w:trPr>
        <w:tc>
          <w:tcPr>
            <w:tcW w:w="6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150,235</w:t>
            </w: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 Current portion of long-term debt is net of debt origination costs of approximately $0.5 million both at March 31, 2023 and December 31, 2022.</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and certain of its domestic subsidiaries as borrowers and the other guarantors from time to time party thereto (collectively, the “Loan Parties”) entered into an Amended and Restated Credit Agreement (the “A&amp;R Credit Agreement”) with a group of banking institutions. The A&amp;R Credit Agreement amended and restated in its entirety the Company’s previous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facility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11, 2022, the Loan Parties entered into a First Amendment Agreement (the “First Amendment”) to the A&amp;R Credit Agreement. The Amendment replaces LIBOR as a benchmark interest rate for loans under the A&amp;R Credit Agreement with the secured overnight financing rate as administered by the Federal Reserve Bank of New York (“SOFR”), and amends all applicable provisions of the A&amp;R Credit Agreement with respect to such replacement of LIBOR as the benchmark interest rate. Except as amended by the First Amendment, the A&amp;R Credit Agreement remains in full force and effect.</w:t>
      </w:r>
    </w:p>
    <w:p>
      <w:pPr>
        <w:spacing w:after="0" w:line="26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Effective as of April 18, 2023, the Company amended its A&amp;R Credit Agreement to increase the revolving credit commitments available thereunder by $70.0 million to an aggregate of $220.0 million. The credit commitments are available for general corporate purposes to support the Company’s growth and to fund working capital needs and will be subject to the same interest rate and other terms applicable to the outstanding revolving credit commitments under the A&amp;R Credit Agreement. In addition, as amended, the A&amp;R Credit Agreement provides the Company with a refreshed uncommitted incremental facility which may be utilized for new revolving credit facilities or term loans in an aggregate amount of up to $70.0 million.</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unamortized portion of debt origination costs totaled approximately $3.1 million and $3.3 million at March 31, 2023 and December 31, 2022, respectively. Amortization of debt origination costs is included as a component of interest expense in the condensed consolidated statements of income and comprehensive income and amounted to approximately $0.2 million and $0.3 million for the three months ended March 31, 2023 and 2022, respectively.</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election of the Company, interest on the term loan facility and revolving loans under the A&amp;R Credit Agreement, as amended, may be determined by reference to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 The effective interest rates for the three months ended March 31, 2023 for the term loan facility and revolving credit facility were 7.75% and 1.74%, respectively, and 3.26% and 0.72% for the three months ended March 31, 2022, respectively.</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is payable (x)(i) generally on the last day of each interest period selected for SOFR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A&amp;R Credit Agreement, as amended, contains financial covenants that require the Company to maintain a quarterly minimum fixed charge coverage ratio of 1.25:1.00 and a quarterly maximum consolidated leverage ratio of 3.25:1.00 and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 The A&amp;R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11 – FAIR VALUE MEASUREMENTS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fair value in accordance with the provisions of FASB guidance,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non-financial assets measured at fair value on a nonrecurring basis include goodwill and intangible assets. The determination of our intangible fair values includes several assumptions and inputs (Level 3) that are subject to various risks and</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uncertainties. Management believes it has made reasonable estimates and judgments concerning these risks and uncertainties. All other financial assets and liabilities are carried at amortized cost.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and cash equivalents balances are representative of their fair values as these balances are comprised of deposits available on demand or overnight. The carrying amounts of accounts receivable, prepaid wires, accounts payable and wire transfers and money orders payable are representative of their fair values because of the short turnover of these instruments.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12 –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certain other service providers and independent directors of the Company. There are approximately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March 31, 2023, 2.1 million shares remained available for future awards under the 2020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$0.1 million and $0.6 million for the three months ended March 31, 2023 and 2022, respectively, which are included in salaries and benefits in the condensed consolidated statements of income and comprehensive income. As of March 31, 2023, unrecognized compensation expense related to stock options of approximately $0.4 million is expected to be recognized over a weighted-average period of 0.9 years.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during the three months ended March 31, 2023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Weighted-</w:t>
            </w:r>
          </w:p>
        </w:tc>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9" w:lineRule="exact"/>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RSUs granted under the Plans to the Company’s employees generally vest in four equal annual installments beginning one year after the applicable date set forth in the applicable grant agreement, while RSUs issued to the Company’s independent directors vest on the one-year anniversary from the grant date. The Company recognized compensation expense for RSUs of approximately $0.5 million and $0.4 million for the three months ended March 31, 2023 and 2022, which are included in salaries and benefits in the condensed consolidated</w:t>
      </w:r>
    </w:p>
    <w:p>
      <w:pPr>
        <w:spacing w:after="0" w:line="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statements of income and comprehensive income. As of March 31, 2023, unrecognized compensation expense related to RSUs of approximately $6.7 million is expected to be recognized over a weighted-average period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during the three months ended March 31, 2023 is presented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r>
      <w:tr>
        <w:trPr>
          <w:trHeight w:val="188"/>
        </w:trPr>
        <w:tc>
          <w:tcPr>
            <w:tcW w:w="6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86"/>
              </w:rPr>
              <w:t>Average</w:t>
            </w:r>
          </w:p>
        </w:tc>
      </w:tr>
      <w:tr>
        <w:trPr>
          <w:trHeight w:val="237"/>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Number of RSUs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29"/>
        </w:trPr>
        <w:tc>
          <w:tcPr>
            <w:tcW w:w="6660" w:type="dxa"/>
            <w:vAlign w:val="bottom"/>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134,425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3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(8,409)</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17.69</w:t>
            </w:r>
          </w:p>
        </w:tc>
      </w:tr>
      <w:tr>
        <w:trPr>
          <w:trHeight w:val="25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March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379,791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ind w:right="2040" w:firstLine="8"/>
        <w:spacing w:after="0" w:line="563" w:lineRule="auto"/>
        <w:tabs>
          <w:tab w:leader="none" w:pos="165"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 xml:space="preserve">The aggregate fair value of all RSUs granted during the three months ended March 31, 2023 was approximately $3.5 million. </w:t>
      </w:r>
      <w:r>
        <w:rPr>
          <w:rFonts w:ascii="Arial" w:cs="Arial" w:eastAsia="Arial" w:hAnsi="Arial"/>
          <w:sz w:val="15"/>
          <w:szCs w:val="15"/>
          <w:u w:val="single" w:color="auto"/>
          <w:color w:val="auto"/>
        </w:rPr>
        <w:t>Share Awards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Lead Independent Director and Chairs of the Committees of the Board of Directors are granted, in aggregate, $80.5 thousand in awards of fully vested shares of the Company’s common stock, payable on a quarterly basis at the end of each quarter in payment of fees earned in such capacities. During the three months ended March 31, 2023 and 2022, 826 and 1,002 fully vested shares, respectively, were granted to the Lead Independent Director and Chairs of the Committees of the Board of Directors resulting in compensation expense of $20.1 thousand and $16.0 thousand, respectively, recorded and included in salaries and benefits in the condensed consolidated statements of income and comprehensive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RSAs issued under the Plans to the Company’s employees generally vest in four equal annual installments beginning one year after the applicable date set forth in the applicable grant agreement. The Company recognized compensation expense for RSAs granted of $0.2 million and $0.1 million for the three months ended March 31, 2023 and 2022, respectively, which are included in salaries and benefits in the condensed consolidated statements of income and comprehensive income. As of March 31, 2023, there was $3.7 million of unrecognized compensation expense related to RSAs, which is expected to be recognized over a weighted-average period of 2.1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RSA activity during the three months ended March 31, 2023 is presented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r>
      <w:tr>
        <w:trPr>
          <w:trHeight w:val="175"/>
        </w:trPr>
        <w:tc>
          <w:tcPr>
            <w:tcW w:w="6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r>
      <w:tr>
        <w:trPr>
          <w:trHeight w:val="250"/>
        </w:trPr>
        <w:tc>
          <w:tcPr>
            <w:tcW w:w="666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Number of RSAs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30"/>
        </w:trPr>
        <w:tc>
          <w:tcPr>
            <w:tcW w:w="6660" w:type="dxa"/>
            <w:vAlign w:val="bottom"/>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77,822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3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March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191,980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ind w:right="2040" w:firstLine="8"/>
        <w:spacing w:after="0" w:line="563" w:lineRule="auto"/>
        <w:tabs>
          <w:tab w:leader="none" w:pos="165"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 xml:space="preserve">The aggregate fair value of all RSAs granted during the three months ended March 31, 2023 was approximately $2.0 million. </w:t>
      </w:r>
      <w:r>
        <w:rPr>
          <w:rFonts w:ascii="Arial" w:cs="Arial" w:eastAsia="Arial" w:hAnsi="Arial"/>
          <w:sz w:val="15"/>
          <w:szCs w:val="15"/>
          <w:u w:val="single" w:color="auto"/>
          <w:color w:val="auto"/>
        </w:rPr>
        <w:t>Performance Stock Units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PSUs granted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or adjusted earnings per share parameters for a period of two years combined with a service period of three years. Compensation cost is recognized over the requisite service period when it is probable that the performance condition will be satisfied. During the third quarter of 2022, the Company reassessed the probability of vesting for PSU awards and determined that it was probable that a higher performance target will be achieved; therefore, the Company recognized a cumulative catch-up adjustment of approximately $1.1 million as additional compensation expense for the three months ended September 30, 2022. On February 28, 2023, the Compensation Committee determined that the higher performance target was achieved and approved the incremental grant of PSUs.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compensation expense for PSUs of $0.8 million and $0.2 million for the three months ended March 31, 2023 and 2022, respectively, which are included in salaries and benefits in the condensed consolidated statements of income and comprehensive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As of March 31, 2023, there was $6.7 million of unrecognized compensation expense related to PSUs, which is expected to be recognized over a weighted-average period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 activity during the three months ended March 31, 2023 is presented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8"/>
        </w:trPr>
        <w:tc>
          <w:tcPr>
            <w:tcW w:w="5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6"/>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Weighted-</w:t>
            </w:r>
          </w:p>
        </w:tc>
      </w:tr>
      <w:tr>
        <w:trPr>
          <w:trHeight w:val="176"/>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r>
      <w:tr>
        <w:trPr>
          <w:trHeight w:val="250"/>
        </w:trPr>
        <w:tc>
          <w:tcPr>
            <w:tcW w:w="5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93"/>
              </w:rPr>
              <w:t>Number of PSUs</w:t>
            </w:r>
          </w:p>
        </w:tc>
        <w:tc>
          <w:tcPr>
            <w:tcW w:w="100" w:type="dxa"/>
            <w:vAlign w:val="bottom"/>
          </w:tcPr>
          <w:p>
            <w:pPr>
              <w:spacing w:after="0"/>
              <w:rPr>
                <w:sz w:val="21"/>
                <w:szCs w:val="21"/>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180" w:type="dxa"/>
            <w:vAlign w:val="bottom"/>
          </w:tcPr>
          <w:p>
            <w:pPr>
              <w:spacing w:after="0"/>
              <w:rPr>
                <w:sz w:val="21"/>
                <w:szCs w:val="21"/>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Grant Price</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300,871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318,386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19.49</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March 31, 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619,257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ind w:right="2060" w:firstLine="8"/>
        <w:spacing w:after="0" w:line="546" w:lineRule="auto"/>
        <w:tabs>
          <w:tab w:leader="none" w:pos="165"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The aggregate fair value of all PSUs granted during the three months ended March 31, 2023 was approximately $6.2 million. NOTE 13 – EQUITY</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August 2021,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(i) without limitation so long as the Consolidated Leverage Ratio (as defined in the A&amp;R Credit Agreement, as amended),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w:t>
      </w:r>
    </w:p>
    <w:p>
      <w:pPr>
        <w:spacing w:after="0" w:line="2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accounts for purchases of treasury stock under the cost method. Any direct costs incurred to acquire treasury stock are considered stock issue costs and added to the cost of the treasury stock. During the three months ended March 31, 2023, the Company purchased 316,459 shares for an aggregate purchase price of $7.6 million. During the three months ended March 31, 2022, the Company purchased 224,388 shares for an aggregate purchase price of $3.6 million. As of March 31, 2023, there was $100.7 million available for future share repurchases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14 – EARNINGS PER SHARE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2"/>
              </w:rPr>
              <w:t>Below are basic and diluted earnings per share for the periods indicated (in thousands, except for share data):</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06"/>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w w:val="96"/>
              </w:rPr>
              <w:t>Three Months Ended March 31,</w:t>
            </w:r>
          </w:p>
        </w:tc>
      </w:tr>
      <w:tr>
        <w:trPr>
          <w:trHeight w:val="237"/>
        </w:trPr>
        <w:tc>
          <w:tcPr>
            <w:tcW w:w="8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57"/>
        </w:trPr>
        <w:tc>
          <w:tcPr>
            <w:tcW w:w="8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for basic and diluted earnings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11,654</w:t>
            </w:r>
          </w:p>
        </w:tc>
      </w:tr>
      <w:tr>
        <w:trPr>
          <w:trHeight w:val="256"/>
        </w:trPr>
        <w:tc>
          <w:tcPr>
            <w:tcW w:w="8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36,480,972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38,362,014</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20" w:type="dxa"/>
            <w:vAlign w:val="bottom"/>
          </w:tcPr>
          <w:p>
            <w:pPr>
              <w:ind w:left="140"/>
              <w:spacing w:after="0"/>
              <w:rPr>
                <w:sz w:val="20"/>
                <w:szCs w:val="20"/>
                <w:color w:val="auto"/>
              </w:rPr>
            </w:pPr>
            <w:r>
              <w:rPr>
                <w:rFonts w:ascii="Arial" w:cs="Arial" w:eastAsia="Arial" w:hAnsi="Arial"/>
                <w:sz w:val="18"/>
                <w:szCs w:val="18"/>
                <w:color w:val="auto"/>
              </w:rPr>
              <w:t>RSUs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140,639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62,058</w:t>
            </w:r>
          </w:p>
        </w:tc>
      </w:tr>
      <w:tr>
        <w:trPr>
          <w:trHeight w:val="229"/>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549,941</w:t>
            </w:r>
          </w:p>
        </w:tc>
      </w:tr>
      <w:tr>
        <w:trPr>
          <w:trHeight w:val="230"/>
        </w:trPr>
        <w:tc>
          <w:tcPr>
            <w:tcW w:w="8120" w:type="dxa"/>
            <w:vAlign w:val="bottom"/>
          </w:tcPr>
          <w:p>
            <w:pPr>
              <w:ind w:left="140"/>
              <w:spacing w:after="0"/>
              <w:rPr>
                <w:sz w:val="20"/>
                <w:szCs w:val="20"/>
                <w:color w:val="auto"/>
              </w:rPr>
            </w:pPr>
            <w:r>
              <w:rPr>
                <w:rFonts w:ascii="Arial" w:cs="Arial" w:eastAsia="Arial" w:hAnsi="Arial"/>
                <w:sz w:val="18"/>
                <w:szCs w:val="18"/>
                <w:color w:val="auto"/>
              </w:rPr>
              <w:t>RSAs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71,206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25,935</w:t>
            </w:r>
          </w:p>
        </w:tc>
      </w:tr>
      <w:tr>
        <w:trPr>
          <w:trHeight w:val="249"/>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PSUs</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333,270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77,717</w:t>
            </w:r>
          </w:p>
        </w:tc>
      </w:tr>
      <w:tr>
        <w:trPr>
          <w:trHeight w:val="217"/>
        </w:trPr>
        <w:tc>
          <w:tcPr>
            <w:tcW w:w="81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37,361,953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39,077,665</w:t>
            </w:r>
          </w:p>
        </w:tc>
      </w:tr>
      <w:tr>
        <w:trPr>
          <w:trHeight w:val="257"/>
        </w:trPr>
        <w:tc>
          <w:tcPr>
            <w:tcW w:w="8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Earnings per common share – 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there were 45.5 thousand RSUs, 25.1 thousand RSAs and 47.3 thousand PSUs excluded from the diluted earnings per share calculation because, under the treasury stock method, the inclusion of these would be anti-dilutive.</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2022, there were 304.0 thousand stock options, 55.6 thousand RSUs, 33.2 thousand RSAs and 13.1 thousand PSUs excluded from the diluted earnings per share calculation because, under the treasury stock method, the inclusion of these would be anti-dilutive.</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discussed in Note 13, the Company repurchased 316,459 and 224,388 shares of treasury stock for $7.6 million and $3.6 million in the three months ended March 31, 2023 and 2022, respectively. The effect of these repurchases on the Company’s weighted-average shares outstanding for the three months ended March 31, 2023 and 2022 was a reduction of 188,572 and 135,259 shares, respectively, due to the timing of the repurchases.</w:t>
      </w: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reconciliation between the income tax provision at the U.S. statutory tax rate and the Company’s income tax provision on the condensed consolidated statements of income and comprehensive income is below (in thousands, except for tax rates):</w:t>
      </w:r>
    </w:p>
    <w:p>
      <w:pPr>
        <w:spacing w:after="0" w:line="222" w:lineRule="exact"/>
        <w:rPr>
          <w:sz w:val="20"/>
          <w:szCs w:val="20"/>
          <w:color w:val="auto"/>
        </w:rPr>
      </w:pPr>
    </w:p>
    <w:p>
      <w:pPr>
        <w:jc w:val="center"/>
        <w:ind w:left="7760"/>
        <w:spacing w:after="0"/>
        <w:rPr>
          <w:sz w:val="20"/>
          <w:szCs w:val="20"/>
          <w:color w:val="auto"/>
        </w:rPr>
      </w:pPr>
      <w:r>
        <w:rPr>
          <w:rFonts w:ascii="Arial" w:cs="Arial" w:eastAsia="Arial" w:hAnsi="Arial"/>
          <w:sz w:val="18"/>
          <w:szCs w:val="18"/>
          <w:color w:val="auto"/>
        </w:rPr>
        <w:t>Three Months Ended</w:t>
      </w:r>
    </w:p>
    <w:p>
      <w:pPr>
        <w:jc w:val="center"/>
        <w:ind w:left="776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8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16,159</w:t>
            </w:r>
          </w:p>
        </w:tc>
      </w:tr>
      <w:tr>
        <w:trPr>
          <w:trHeight w:val="23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3,393</w:t>
            </w:r>
          </w:p>
        </w:tc>
      </w:tr>
      <w:tr>
        <w:trPr>
          <w:trHeight w:val="257"/>
        </w:trPr>
        <w:tc>
          <w:tcPr>
            <w:tcW w:w="7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 benefit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984</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Foreign tax rates different from U.S. statutory rate</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12</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137</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8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Total income tax provision</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4,505</w:t>
            </w: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income tax provision includes the expected benefit of all deferred tax assets, including our net operating loss carryforwards. With few exceptions, our net operating loss carryforwards will expire from 2039 through 2042. After consideration of all evidence, both positive and negative, management has determined that no valuation allowance is required as of March 31, 2023 on the Company’s U.S. federal or state deferred tax assets; however, a valuation allowance has been recorded as of March 31, 2023 on deferred tax assets associated with Canadian net operating loss carryforwards.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presented in the income tax reconciliation above, the tax provision recognized on the condensed consolidated statements of income and comprehensive income was impacted by state taxes, non-deductible officer compensation and share-based compensation tax benefits, and foreign tax rates applicable to the Company’s foreign subsidiaries that are higher or lower than the U.S. statutory rate. Our effective state tax rate for the three months ended March 31, 2023 was higher than our effective state tax rate for the three months ended March 31, 2022. The increase in our effective state tax rate is primarily a result of revenue from La Nacional earned during the three months ended March 31, 2023 which is sourced to states with relatively higher tax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ordinary course of business, the Company enters into leases for office space, warehouses and certain Company-operated store locations. Refer to Note 7 –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all 50 U.S.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200" w:lineRule="exact"/>
        <w:rPr>
          <w:sz w:val="20"/>
          <w:szCs w:val="20"/>
          <w:color w:val="auto"/>
        </w:rPr>
      </w:pPr>
    </w:p>
    <w:p>
      <w:pPr>
        <w:spacing w:after="0" w:line="29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applicable state licensing laws, certain domestic subsidiaries of the Company are required to maintain minimum tangible net worth and liquid assets (permissible investments) to cover the amount outstanding of wire transfers and money orders payable. As of March 31, 2023, the Company’s subsidiaries were in material compliance with these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LAN Holdings, Corp.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April 5, 2023, the Company completed the LAN Acquisition. Refer to Note 3 for additional information on the LAN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Amendment to the A&amp;R Credit Agreement</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Effective as of April 18, 2023, the Company amended its A&amp;R Credit Agreement to increase its revolving credit commitments available under the A&amp;R Credit Agreement. Refer to Note 10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2022.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leading omnichannel money remittance services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also began offering sending services from Canada to Latin America and Africa.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consumers can send money to beneficiaries in 16 LAC countries, eight countries in Africa and two countries in Asia. Our services are accessible in person through over 100,000 independent sending and paying agents and 117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spacing w:after="0" w:line="2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Money remittance services to LAC countries, mainly Mexico and Guatemala,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in the originating country and our paying agents in the destination country. Remittances paid in local currencies that are not pegged to the U.S. dollar can also generate revenue if we are successful in our daily management of currency exchange spreads.</w:t>
      </w:r>
    </w:p>
    <w:p>
      <w:pPr>
        <w:spacing w:after="0" w:line="22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money remittance services enable consumers to send funds through our broad network of locations in the United States and Canada that are primarily operated by third-party businesses, as well as through our Company-operated stores located in the United States.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For the three months ended March 31, 2023, our sending agent network decreased slightly due to closing of low volume and unproductive sending agents, with which we are no longer doing business. For the three months ended March 31, 2023, principal amount sent increased by approximately 22.4% to $5.3 billion, as compared to the same period in 2022 and total remittances processed were approximately 12.9 million, representing an increase of approximately 28.6%, as compared to the same period in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La Nacional and LAN Holdings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 2022, the Company closed on the acquisition of La Nacional effective November 1, 2022 and on April 5, 2023, we completed the acquisition of LAN Holdings. See Note 3 in Item 1 Financial Statements for additional information regarding the closing of the acquisitions of La Nacional and LAN Holdings. The acquisitions of La Nacional and LAN Holdings strengthens the Company’s presence in the Dominican Republic, Europe and other key markets in Latin America, Africa and Asia.</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97" w:lineRule="exact"/>
        <w:rPr>
          <w:sz w:val="20"/>
          <w:szCs w:val="20"/>
          <w:color w:val="auto"/>
        </w:rPr>
      </w:pPr>
    </w:p>
    <w:p>
      <w:pPr>
        <w:ind w:left="900" w:right="140" w:hanging="244"/>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ability to successfully execute, manage, integrate and obtain the anticipated financial benefits of key acquisitions and mergers, including the acquisitions of La Nacional and LAN Holdings;</w:t>
      </w:r>
    </w:p>
    <w:p>
      <w:pPr>
        <w:spacing w:after="0" w:line="6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economic factors such as inflation, the level of economic activity, recession risks and labor market conditions, as well as rising interest rates;</w:t>
      </w:r>
    </w:p>
    <w:p>
      <w:pPr>
        <w:spacing w:after="0" w:line="140" w:lineRule="exact"/>
        <w:rPr>
          <w:rFonts w:ascii="Arial" w:cs="Arial" w:eastAsia="Arial" w:hAnsi="Arial"/>
          <w:sz w:val="16"/>
          <w:szCs w:val="16"/>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health conditions, responses thereto and the economic and market effects thereof;</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117" w:lineRule="exact"/>
        <w:rPr>
          <w:rFonts w:ascii="Arial" w:cs="Arial" w:eastAsia="Arial" w:hAnsi="Arial"/>
          <w:sz w:val="18"/>
          <w:szCs w:val="18"/>
          <w:color w:val="auto"/>
        </w:rPr>
      </w:pPr>
    </w:p>
    <w:p>
      <w:pPr>
        <w:ind w:left="900" w:right="380" w:hanging="244"/>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6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favorable banking and agent relationships necessary to conduct our business;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including the introduction of new digital platforms;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data centers and mobile devices apps;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confidence in our brand and in consumer money transfers generally;</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regulatory requirements;</w:t>
      </w:r>
    </w:p>
    <w:p>
      <w:pPr>
        <w:spacing w:after="0" w:line="117" w:lineRule="exact"/>
        <w:rPr>
          <w:rFonts w:ascii="Arial" w:cs="Arial" w:eastAsia="Arial" w:hAnsi="Arial"/>
          <w:sz w:val="18"/>
          <w:szCs w:val="18"/>
          <w:color w:val="auto"/>
        </w:rPr>
      </w:pPr>
    </w:p>
    <w:p>
      <w:pPr>
        <w:ind w:left="900" w:right="440" w:hanging="244"/>
        <w:spacing w:after="0" w:line="277"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political factors, political stability, tariffs, border taxes or restrictions on remittances or transfers out of the United States and Canada;</w:t>
      </w:r>
    </w:p>
    <w:p>
      <w:pPr>
        <w:spacing w:after="0" w:line="62"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restrictions and volatility in countries in which we operate or plan to operate;</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fraud and other risks relating to the authenticity of customers’ orders;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brands and intellectual property rights;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laws in the countries we operate; and</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recruit and retain key personnel.</w:t>
      </w:r>
    </w:p>
    <w:p>
      <w:pPr>
        <w:spacing w:after="0" w:line="3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Worldwide political and economic conditions in key Latin American markets, particularly Mexico, Guatemala and certain countries in South America, continue to exhibit instability, as evidenced by higher interest rates, high unemployment rates, restricted lending activity, higher inflation, volatility in foreign currencies, low consumer confidence, supply chain disruptions, among other economic and market factors.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2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spacing w:after="0" w:line="19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w:t>
      </w:r>
    </w:p>
    <w:p>
      <w:pPr>
        <w:sectPr>
          <w:pgSz w:w="11900" w:h="16838" w:orient="portrait"/>
          <w:cols w:equalWidth="0" w:num="1">
            <w:col w:w="11240"/>
          </w:cols>
          <w:pgMar w:left="320" w:top="125" w:right="339" w:bottom="1440" w:gutter="0" w:footer="0" w:header="0"/>
        </w:sectPr>
      </w:pPr>
    </w:p>
    <w:p>
      <w:pPr>
        <w:spacing w:after="0" w:line="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procedures and performs independent testing to assess the effectiveness of our anti-money laundering and Bank Secrecy Act compliance program. We also maintain a regulatory affairs and licensing department, under the direction of our Chief Compliance Officer.</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consumers on the basis of trust, convenience, service, efficiency of outlets, value, enhanced technology and brand recognition.</w:t>
      </w:r>
    </w:p>
    <w:p>
      <w:pPr>
        <w:spacing w:after="0" w:line="1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encountered and continue to expect to encounter increasing competition as new electronic platforms emerge that enable consumers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consumer adoption.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 supplement to our GAAP condensed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52"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Service charges primarily consist of sending agent commissions and payer and bank fees. Service charges vary based on sending agent commission percentages and the amount of fees charged by payers and banks. Sending agents earn a commission on each transaction they process of approximately 50% of the transaction fee. Payer fees are based on a fixed amount per transaction processed.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Salaries and Benefits</w:t>
      </w:r>
    </w:p>
    <w:p>
      <w:pPr>
        <w:spacing w:after="0" w:line="25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and Canada, is focused on supporting and growing our sending agent network. Share-based compensation is primarily recognized as an expense on a straight-line basis over the requisite service period; unrecognized compensation expense related to stock options, restricted stock units (“RSUs”), restricted stock awards (“RSAs”) and performance stock units (“PSUs”) of approximately $17.5 million is expected to be recognized over a weighted-average period of 2.1 years.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General and administrative expenses primarily consist of fixed overhead expenses associated with our operations, such as information technology, telecommunications, rent, insurance, professional services, non-income or indirect taxes, facilities maintenance, provision for credit losses and other similar types of operating expenses. A portion of these expenses relate to our Company-operated stores;</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however, the majority relate to the overall business operation and compliance requirements of a regulated publicly traded financial services company. Selling expenses include expenses such as advertising and promotion, shipping, supplies and other expenses associated with serving and increasing our network of agents.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 Costs</w:t>
      </w:r>
    </w:p>
    <w:p>
      <w:pPr>
        <w:spacing w:after="0" w:line="25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We incurred transaction costs associated with the acquisitions of La Nacional and LAN Holdings. These costs included all internal and external costs directly related to the transaction, consisting primarily of legal, consulting, accounting and advisory fees and certain incentive bonuses. They are presented within other selling, general and administrative expenses in our condensed consolidated statements of income and comprehensive income. See Note 3 to the condensed consolidated financial statements for additional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Interest expense consists primarily of interest associated with our debt, which consists of a term loan facility and a revolving credit facility. The effective interest rates for the three months ended March 31, 2023 for the term loan facility and revolving credit facility, were 7.75% and 1.74%, respectively.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Our income tax provision includes the expected benefit of all deferred tax assets, including our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is determined by subtracting operating and non-operating expenses from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 average number of common shares outstanding calculation.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117 Company-operated stores throughout the United States and Canada. This is based on the objectives of the business and how our chief operating decision maker, the CEO and President, monitors operating performance and allocates resources.</w:t>
      </w: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6"/>
              </w:rPr>
              <w:t>Three Months Ended March 31,</w:t>
            </w:r>
          </w:p>
        </w:tc>
      </w:tr>
      <w:tr>
        <w:trPr>
          <w:trHeight w:val="237"/>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124,450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98,000</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r>
      <w:tr>
        <w:trPr>
          <w:trHeight w:val="237"/>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114,666</w:t>
            </w:r>
          </w:p>
        </w:tc>
      </w:tr>
      <w:tr>
        <w:trPr>
          <w:trHeight w:val="270"/>
        </w:trPr>
        <w:tc>
          <w:tcPr>
            <w:tcW w:w="7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76,993</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w:t>
            </w: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7,069</w:t>
            </w:r>
          </w:p>
        </w:tc>
      </w:tr>
      <w:tr>
        <w:trPr>
          <w:trHeight w:val="237"/>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36"/>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97,555</w:t>
            </w:r>
          </w:p>
        </w:tc>
      </w:tr>
      <w:tr>
        <w:trPr>
          <w:trHeight w:val="257"/>
        </w:trPr>
        <w:tc>
          <w:tcPr>
            <w:tcW w:w="7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17,111</w:t>
            </w:r>
          </w:p>
        </w:tc>
      </w:tr>
      <w:tr>
        <w:trPr>
          <w:trHeight w:val="270"/>
        </w:trPr>
        <w:tc>
          <w:tcPr>
            <w:tcW w:w="7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7"/>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57"/>
        </w:trPr>
        <w:tc>
          <w:tcPr>
            <w:tcW w:w="7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9"/>
        </w:trPr>
        <w:tc>
          <w:tcPr>
            <w:tcW w:w="71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16,159</w:t>
            </w:r>
          </w:p>
        </w:tc>
      </w:tr>
      <w:tr>
        <w:trPr>
          <w:trHeight w:val="270"/>
        </w:trPr>
        <w:tc>
          <w:tcPr>
            <w:tcW w:w="7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w:t>
            </w:r>
          </w:p>
        </w:tc>
      </w:tr>
      <w:tr>
        <w:trPr>
          <w:trHeight w:val="257"/>
        </w:trPr>
        <w:tc>
          <w:tcPr>
            <w:tcW w:w="7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7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11,654</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30"/>
        </w:trPr>
        <w:tc>
          <w:tcPr>
            <w:tcW w:w="71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0.30</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2023 Compared to Three Months Ended March 31,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 of</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w w:val="90"/>
              </w:rPr>
              <w:t>Three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r>
      <w:tr>
        <w:trPr>
          <w:trHeight w:val="236"/>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March 31, 2023</w:t>
            </w:r>
          </w:p>
        </w:tc>
        <w:tc>
          <w:tcPr>
            <w:tcW w:w="13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March 31, 2022</w:t>
            </w:r>
          </w:p>
        </w:tc>
        <w:tc>
          <w:tcPr>
            <w:tcW w:w="12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Revenues</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124,450</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98,000</w:t>
            </w:r>
          </w:p>
        </w:tc>
        <w:tc>
          <w:tcPr>
            <w:tcW w:w="126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3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r>
      <w:tr>
        <w:trPr>
          <w:trHeight w:val="255"/>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145,364</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100 %</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Wire transfer and money order fees, net of $124.5 million for the three months ended March 31, 2023 increased by $26.5 million, or 27.0%, from $98.0 million for the three months ended March 31, 2022. The increase was primarily due to a 28.6% increase in transaction volume in the first quarter of 2023 compared to the first quarter of 2022, largely due to the transactions processed by La Nacional which</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accounted for approximately 17.0% of the increase, combined with our continued growth in volume processed by our existing agent network.</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foreign exchange gain, net of $19.2 million for the three months ended March 31, 2023 increased by $3.5 million, or 22.3%, from $15.7 million for the three months ended March 31, 2022. This increase was primarily due to the increase in transaction volume and a higher average amount sent by consumers, as well as increased foreign exchange volatility in the Mexican peso and Guatemalan quetzal during the quarter ended March 31, 2023.</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of $1.8 million for the three months ended March 31, 2023 increased by 0.8 million, or 76.0%, from $1.0 million for the three months ended March 31, 2022 primarily due to the impact of the revenue generated from other ancillary services provided by La Nacional to a particular segment of its consumer base.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1"/>
              </w:rPr>
              <w:t>Three Months Ended</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 of</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March 31, 2023</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March 31, 2022</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Revenues</w:t>
            </w: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96,117</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66 %</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16,168</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11,310</w:t>
            </w:r>
          </w:p>
        </w:tc>
        <w:tc>
          <w:tcPr>
            <w:tcW w:w="12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Other selling, general and administrative expenses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11,337</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6"/>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13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2 %</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2 %</w:t>
            </w:r>
          </w:p>
        </w:tc>
      </w:tr>
      <w:tr>
        <w:trPr>
          <w:trHeight w:val="255"/>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126,525</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87 %</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$96.1 million for the three months ended March 31,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$77.0 million for the three months ended March 31, 2022. The increase of $19.1 million, or 24.8%, was primarily due to the increase in transaction volume described above.</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Salaries and benefits </w:t>
      </w:r>
      <w:r>
        <w:rPr>
          <w:rFonts w:ascii="Arial" w:cs="Arial" w:eastAsia="Arial" w:hAnsi="Arial"/>
          <w:sz w:val="17"/>
          <w:szCs w:val="17"/>
          <w:color w:val="auto"/>
        </w:rPr>
        <w:t>— Salaries and benefits of $16.2 million for the three months ended March 31, 2023 increased by $4.9 million, or 43.0%, from</w:t>
      </w:r>
      <w:r>
        <w:rPr>
          <w:rFonts w:ascii="Arial" w:cs="Arial" w:eastAsia="Arial" w:hAnsi="Arial"/>
          <w:sz w:val="17"/>
          <w:szCs w:val="17"/>
          <w:i w:val="1"/>
          <w:iCs w:val="1"/>
          <w:color w:val="auto"/>
        </w:rPr>
        <w:t xml:space="preserve"> </w:t>
      </w:r>
      <w:r>
        <w:rPr>
          <w:rFonts w:ascii="Arial" w:cs="Arial" w:eastAsia="Arial" w:hAnsi="Arial"/>
          <w:sz w:val="17"/>
          <w:szCs w:val="17"/>
          <w:color w:val="auto"/>
        </w:rPr>
        <w:t>$11.3 million for the three months ended March 31, 2022. The increase is primarily due to $4.4 million spent in talent acquisition and retention, as well as increased wages, including the additional compensation related to La Nacional employees that represents approximately 18.1% of salaries and benefits, and bonuses to recognize performance and to support the continued growth of our business and a $0.4 million increase in share-based compensation as a result of the cumulative effect of awards vesting in the three months ended March 31, 2023.</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$11.3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2023 increased by $4.2 million, or 60.4%, from $7.1 million for the three months ended March 31, 2022.</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primarily the result of:</w:t>
      </w:r>
    </w:p>
    <w:p>
      <w:pPr>
        <w:spacing w:after="0" w:line="252" w:lineRule="exact"/>
        <w:rPr>
          <w:sz w:val="20"/>
          <w:szCs w:val="20"/>
          <w:color w:val="auto"/>
        </w:rPr>
      </w:pPr>
    </w:p>
    <w:p>
      <w:pPr>
        <w:ind w:left="740" w:hanging="246"/>
        <w:spacing w:after="0" w:line="258" w:lineRule="auto"/>
        <w:tabs>
          <w:tab w:leader="none" w:pos="7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 million - higher facilities and rent expenses for scheduled maintenance and contracted lease rate increases to support our business growth and expanded corporate-store network after the La Nacional acquisition;</w:t>
      </w:r>
    </w:p>
    <w:p>
      <w:pPr>
        <w:spacing w:after="0" w:line="1" w:lineRule="exact"/>
        <w:rPr>
          <w:rFonts w:ascii="Arial" w:cs="Arial" w:eastAsia="Arial" w:hAnsi="Arial"/>
          <w:sz w:val="18"/>
          <w:szCs w:val="18"/>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$0.6 million - higher IT related expenses incurred to sustain our business expansion and to improve our technology environment;</w:t>
      </w:r>
    </w:p>
    <w:p>
      <w:pPr>
        <w:spacing w:after="0" w:line="9" w:lineRule="exact"/>
        <w:rPr>
          <w:rFonts w:ascii="Arial" w:cs="Arial" w:eastAsia="Arial" w:hAnsi="Arial"/>
          <w:sz w:val="18"/>
          <w:szCs w:val="18"/>
          <w:color w:val="auto"/>
        </w:rPr>
      </w:pPr>
    </w:p>
    <w:p>
      <w:pPr>
        <w:ind w:left="740" w:hanging="246"/>
        <w:spacing w:after="0" w:line="250" w:lineRule="auto"/>
        <w:tabs>
          <w:tab w:leader="none" w:pos="7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$0.5 million - higher insurance and other expenses to support La Nacional's daily operating activities such as customer service and compliance monitoring;</w:t>
      </w: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$0.4 million - higher travel costs, primarily of our sales force, to support our business growth and expansion;</w:t>
      </w:r>
    </w:p>
    <w:p>
      <w:pPr>
        <w:spacing w:after="0" w:line="9" w:lineRule="exact"/>
        <w:rPr>
          <w:rFonts w:ascii="Arial" w:cs="Arial" w:eastAsia="Arial" w:hAnsi="Arial"/>
          <w:sz w:val="18"/>
          <w:szCs w:val="18"/>
          <w:color w:val="auto"/>
        </w:rPr>
      </w:pPr>
    </w:p>
    <w:p>
      <w:pPr>
        <w:jc w:val="both"/>
        <w:ind w:left="740" w:hanging="246"/>
        <w:spacing w:after="0" w:line="250" w:lineRule="auto"/>
        <w:tabs>
          <w:tab w:leader="none" w:pos="735"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$0.3 million - increase in provision for credit losses due to higher net write-offs of accounts receivable during the three months ended March 31, 2023 compared to the same period in 2022, primarily as a result of sending agents that were not able to pay in accordance with the original terms and are, accordingly, subject to our normal collection procedures;</w:t>
      </w:r>
    </w:p>
    <w:p>
      <w:pPr>
        <w:spacing w:after="0" w:line="1" w:lineRule="exact"/>
        <w:rPr>
          <w:rFonts w:ascii="Arial" w:cs="Arial" w:eastAsia="Arial" w:hAnsi="Arial"/>
          <w:sz w:val="18"/>
          <w:szCs w:val="18"/>
          <w:i w:val="1"/>
          <w:iCs w:val="1"/>
          <w:color w:val="auto"/>
        </w:rPr>
      </w:pPr>
    </w:p>
    <w:p>
      <w:pPr>
        <w:ind w:left="740" w:hanging="246"/>
        <w:spacing w:after="0" w:line="250" w:lineRule="auto"/>
        <w:tabs>
          <w:tab w:leader="none" w:pos="7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$0.3 million - higher loss on disposal of assets for the three months ended March 31, 2023, primarily as a result of closure of unproductive or low volume sending agents;</w:t>
      </w: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$0.2 million - higher audit related and professional fees to support our internal audit and compliance functions;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$0.1 million - transaction costs directly related to the LAN Acquisition.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ind w:left="500"/>
        <w:spacing w:after="0"/>
        <w:tabs>
          <w:tab w:leader="none" w:pos="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$0.2 million - in lower advertising and promotion expenses, primarily as a result of higher co-branding investment by some of our paying agents.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 Depreciation and amortization of $2.9 million for the three months ended March 31, 2023 increased by $0.7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$2.2 million for the three months ended March 31, 2022. The increase is the result of an increase of $0.6 million in depreciation associated primarily with additional computer equipment acquired to support our growing business and sending agent network, as well as depreciation for assets assumed in the La Nacional acquisition and $0.4 million for amortization of intangibles resulting from the La Nacional acquisition, which was partially offset by a decrease of approximately $0.3 million in amortization related to our trade name, developed technology and agent relationships during the first quarter of 2023, as these intangibles are being amortized on an accelerated basis, which declines over time.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 Interest expense of $2.2 million for the three months ended March 31, 2023 increased by $1.2 million, or 130%, from $1.0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March 31, 2022. The increase was primarily due to higher market interest rates paid under our Amended and Restated Credit Agreement, as well as higher and more frequent drawings under our revolving credit facility during the first quarter of 2023.</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$4.9 million for the three months ended March 31, 2023, which represents an increase of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an income tax provision of $4.5 million for the three months ended March 31, 2022. The increase in the income tax provision was mainly attributable to an increase in our effective state tax rate primarily as a result of revenue from La Nacional earned during the three months ended March 31, 2023 which is sourced to states with relatively higher tax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Net Income of $11.8 million for the three months ended March 31, 2023 compared to Net Income of $11.7 million for the three months ended March 31, 2022, which resulted in an increase of $0.1 million, or 1%, due to the same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acquisition activities, which varies from period to period.</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Adjusted EBITDA is subject to certain limitations, including the following:</w:t>
      </w:r>
    </w:p>
    <w:p>
      <w:pPr>
        <w:spacing w:after="0" w:line="252"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amounts necessary to service interest or principal payments on our debt;</w:t>
      </w:r>
    </w:p>
    <w:p>
      <w:pPr>
        <w:spacing w:after="0" w:line="252"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97"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22" w:lineRule="exact"/>
        <w:rPr>
          <w:sz w:val="20"/>
          <w:szCs w:val="20"/>
          <w:color w:val="auto"/>
        </w:rPr>
      </w:pPr>
    </w:p>
    <w:p>
      <w:pPr>
        <w:ind w:left="660" w:hanging="247"/>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97"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adjust for these limitations by relying primarily on our GAAP results and using Adjusted EBITDA, as well as our other non-GAAP financial measures, only as supplemental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of intangible assets resulting from business acquisition transactions, which will recur in future periods until these assets have been fully amortized, non-cash compensation costs and other items set forth in the table below, as these charges and expenses are not considered a part of our core business operations and are not an indicator of ongoing, future company performance.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Earnings per Share - Basic and Diluted is calculated by dividing Adjusted Net Income by GAAP weighted-average common shares outstanding (basic and diluted).</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Net Income for the three months ended March 31, 2023 was $14.2 million, representing an increase of $0.8 million, or 6.0%, from Adjusted Net Income of $13.4 million for the three months ended March 31, 2022. The increase in Adjusted Net Income was primarily due to the higher net effect of the adjusting items detailed in the table below.</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7"/>
              </w:rPr>
              <w:t>Three Months Ended March 31,</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11,654</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Transaction costs (b)</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Amortization of intangibles (d)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36"/>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(e)</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13,368</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0"/>
        </w:trPr>
        <w:tc>
          <w:tcPr>
            <w:tcW w:w="6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36,480,972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38,362,014</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37,361,953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39,077,665</w:t>
            </w:r>
          </w:p>
        </w:tc>
      </w:tr>
    </w:tbl>
    <w:p>
      <w:pPr>
        <w:spacing w:after="0" w:line="322" w:lineRule="exact"/>
        <w:rPr>
          <w:sz w:val="20"/>
          <w:szCs w:val="20"/>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primarily professional and legal fees related to business acquisition transactions.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w:t>
      </w:r>
    </w:p>
    <w:p>
      <w:pPr>
        <w:spacing w:after="0" w:line="9" w:lineRule="exact"/>
        <w:rPr>
          <w:rFonts w:ascii="Arial" w:cs="Arial" w:eastAsia="Arial" w:hAnsi="Arial"/>
          <w:sz w:val="18"/>
          <w:szCs w:val="18"/>
          <w:color w:val="auto"/>
        </w:rPr>
      </w:pPr>
    </w:p>
    <w:p>
      <w:pPr>
        <w:ind w:left="400" w:hanging="311"/>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amortization of intangible assets that resulted from business acquisition transactions.</w:t>
      </w:r>
    </w:p>
    <w:p>
      <w:pPr>
        <w:spacing w:after="0" w:line="9" w:lineRule="exact"/>
        <w:rPr>
          <w:rFonts w:ascii="Arial" w:cs="Arial" w:eastAsia="Arial" w:hAnsi="Arial"/>
          <w:sz w:val="18"/>
          <w:szCs w:val="18"/>
          <w:color w:val="auto"/>
        </w:rPr>
      </w:pPr>
    </w:p>
    <w:p>
      <w:pPr>
        <w:ind w:left="420" w:hanging="331"/>
        <w:spacing w:after="0" w:line="260" w:lineRule="auto"/>
        <w:tabs>
          <w:tab w:leader="none" w:pos="4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12"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Adjusted Earnings per Share - Basic for the three months ended March 31, 2023 was $0.39, representing an increase of $0.04, or 11.4%, compared to $0.35 for the three months ended March 31, 2022. The increase in Adjusted Earnings per Share - Basic was primarily due to the higher net effect of the adjusting items detailed in the table above combined with a lower weighted average common shares total for the period due to stock repurchases.</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3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Adjusted Earnings per Share - Diluted for the three months ended March 31, 2023 was $0.38, representing an increase of $0.04, or 11.8%, compared to $0.34 for the three months ended March 31, 2022. The increase in Adjusted Earnings per Share - Diluted was primarily due to the higher net effect of the adjusting items detailed in the table above combined with a lower weighted average common shares total for the period due to stock repurchases.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color w:val="auto"/>
                <w:w w:val="90"/>
              </w:rPr>
              <w:t>Three Months Ended March 31,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46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spacing w:after="0"/>
              <w:rPr>
                <w:sz w:val="20"/>
                <w:szCs w:val="20"/>
                <w:color w:val="auto"/>
              </w:rPr>
            </w:pPr>
          </w:p>
        </w:tc>
      </w:tr>
      <w:tr>
        <w:trPr>
          <w:trHeight w:val="229"/>
        </w:trPr>
        <w:tc>
          <w:tcPr>
            <w:tcW w:w="4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Diluted</w:t>
            </w: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Basic</w:t>
            </w: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5"/>
              </w:rPr>
              <w:t>0.32</w:t>
            </w:r>
          </w:p>
        </w:tc>
        <w:tc>
          <w:tcPr>
            <w:tcW w:w="10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1"/>
              </w:rPr>
              <w:t>0.31</w:t>
            </w:r>
          </w:p>
        </w:tc>
        <w:tc>
          <w:tcPr>
            <w:tcW w:w="100" w:type="dxa"/>
            <w:vAlign w:val="bottom"/>
          </w:tcPr>
          <w:p>
            <w:pPr>
              <w:spacing w:after="0"/>
              <w:rPr>
                <w:sz w:val="19"/>
                <w:szCs w:val="19"/>
                <w:color w:val="auto"/>
              </w:rPr>
            </w:pPr>
          </w:p>
        </w:tc>
        <w:tc>
          <w:tcPr>
            <w:tcW w:w="1220" w:type="dxa"/>
            <w:vAlign w:val="bottom"/>
          </w:tcPr>
          <w:p>
            <w:pPr>
              <w:jc w:val="center"/>
              <w:ind w:right="10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0.30</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0.05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0.05</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10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NM</w:t>
            </w:r>
          </w:p>
        </w:tc>
        <w:tc>
          <w:tcPr>
            <w:tcW w:w="1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Other charges and expenses</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0.01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0.01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(0.03)</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(0.03)</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(0.02)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5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center"/>
              <w:ind w:right="10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Per share amounts are not meaningful.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for the three months ended March 31, 2023 was $24.1 million, representing an increase of $3.4 million, or 16.4%, from $20.7 million for the three months ended March 31, 2022. The increase in Adjusted EBITDA was primarily due to the higher net effect of the adjusting items detailed in the table below.</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6"/>
              </w:rPr>
              <w:t>Three Months Ended March 31,</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11,654</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4,505</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19,294</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Transaction costs (b)</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(c)</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24,093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20,703</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primarily professional and legal fees related to business acquisition transactions.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used on an ordinary course basis during the three months ended March 31, 2023. Therefore, we believe that our current cash and cash equivalents position, as well as projected cash flows generated from operations, together with borrowings under our revolving credit facility are sufficient to fund our principal and interest payments, lease expenses, our working capital needs, our business acquisitions and our expected capital expenditures for at least the next twelve months.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Agreement</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an Amended and Restated Credit Agreement (as amended as described below, the “A&amp;R Credit Agreement”) with a group of banking institutions.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November 2022, the A&amp;R Credit Agreement was amended to replace the London Inter-bank Offered Rate (“LIBOR”) as a benchmark interest rate for loans with the secured overnight financing rate as administered by the Federal Reserve Bank of New York (“SOFR”).</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as of April 18, 2023, the Company amended the A&amp;R Credit Agreement to increase the revolving credit commitments thereunder by $70.0 million to an aggregate of $220.0 million. The credit commitments are available for general corporate purposes to support the Company’s growth and to fund working capital needs and will be subject to the same interest rate and other terms applicable to the outstanding revolving credit commitments under the A&amp;R Credit Agreement. Refer to Note 10 for additional information. In addition, as amended, the A&amp;R Credit Agreement provides the Company with a refreshed uncommitted incremental facility which may be utilized for new revolving credit facilities or term loans in an aggregate amount of up to $70 million.</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2023, we had $79.8 million of borrowings under the term loan facility excluding debt origination costs of $1.6 million. As of March 31, 2023 there were $21.0 million of outstanding amounts drawn on the revolving credit facility. There were $199.0 million of additional borrowings available under these facilities as of March 31, 2023.</w:t>
      </w:r>
    </w:p>
    <w:p>
      <w:pPr>
        <w:spacing w:after="0" w:line="2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At the election of the Company, interest on the term loan facility and revolving loans under the A&amp;R Credit Agreement may be determined by reference to SOFR plus an index adjustment of 0.10% and an applicable margin ranging between 2.50% and 3.00% based upon the Company’s consolidated leverage ratio, as calculated pursuant to the terms of the A&amp;R Credit Agreement. Loans (other than Term Loans, as defined in the A&amp;R Credit Agreement), may also bear interest at the base rate plus an applicable margin ranging between 1.50% and 2.00% based upon the Company’s consolidated leverage ratio, as so calculated. The Company is also required to pay a fee on the unused portion of the revolving credit facility equal to 0.35% per annum.</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effective interest rates for the three months ended March 31, 2023 for the term loan facility and revolving credit facility were 7.75% and 1.74%, respectively. Interest is payable (x)(i) generally on the last day of each interest period selected for SOFR loans, but in any event, not less frequently than every three months, and (ii) on the last business day of each quarter for base rate loans and (y) at final maturity.</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principal amount of the term loan facility under the A&amp;R Credit Agreement must be repaid in consecutive quarterly installments of 5.0% in years 1 and 2, 7.5% in year 3, and 10.0% in years 4 and 5, in each case on the last day of each quarter, which commenced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w:t>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A&amp;R Credit Agreement contains financial covenants that require the Company to maintain a quarterly minimum fixed charge coverage ratio of 1.25:1.00 and a quarterly maximum consolidated leverage ratio of 3.25:1.00. As of March 31, 2023, we were in compliance with the covenants of the A&amp;R Credit Agreement. The A&amp;R Credit Agreement generally restricts the ability of the Company to make certain restricted payments, including the repurchase of shares of its common stock, provided that the Company may make restricted payments, among others, (i) without limitation so long as the Consolidated Leverage Ratio (as defined in the A&amp;R Credit Agreement), as of the then most recently completed four fiscal quarters of the Company, after giving pro forma effect to such restricted payments, is 2.25:1.00 or less, (ii) that do not exceed, in the aggregate during any fiscal year, the greater of (x) $23.8 million and (y) 25.00% of Consolidated EBITDA (as defined in the A&amp;R Credit Agreement) for the then most recently completed four fiscal quarters of the Company and (iii) to repurchase Company common stock from current or former employees in an aggregate amount of up to $10.0 million per calendar year.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Indebtedness—The Company's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indebtedness may limit our operating flexibility and could adversely affect our business, financial condition and results of operations.” </w:t>
      </w:r>
      <w:r>
        <w:rPr>
          <w:rFonts w:ascii="Arial" w:cs="Arial" w:eastAsia="Arial" w:hAnsi="Arial"/>
          <w:sz w:val="18"/>
          <w:szCs w:val="18"/>
          <w:color w:val="auto"/>
        </w:rPr>
        <w:t>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for the year ended December 31, 2022.</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Repurchase Program</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August 2021, the Company’s Board of Directors approved a stock repurchase program (the “Repurchase Program”) that authorizes the Company to purchase up to $40.0 million of its outstanding shares of the Company’s common stock. On March 3, 2023 the Board of Directors approved an increase to the Repurchase Program that authorizes the Company to purchase an additional $100.0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A&amp;R Credit Agreement, as amended, permits the Company to make restricted payments (including share repurchases, among others) under a variety of tests as described in the second preceding paragraph, including, without limitation, so long as the Consolidated Leverage Ratio (as defined in the A&amp;R Credit Agreement, as amended), as of the then most recently completed four fiscal quarters of the Company, after giving pro forma effect to such restricted payments, is 2.25:1.00 or less.</w:t>
      </w:r>
    </w:p>
    <w:p>
      <w:pPr>
        <w:spacing w:after="0" w:line="20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accounts for purchases of treasury stock under the cost method. Any direct costs incurred to acquire treasury stock are considered stock issue costs and added to the cost of the treasury stock. During the three months ended March 31, 2023, the Company purchased 316,459 shares for an aggregate purchase price of $7.6 million. During the three months ended March 31, 2022, the Company purchased 224,388 shares for an aggregate purchase price of $3.6 million. As of March 31, 2023, there was $100.7 million available for future share repurchases under the Repurchase Program.</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Leases</w:t>
      </w:r>
    </w:p>
    <w:p>
      <w:pPr>
        <w:spacing w:after="0" w:line="252"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We are party to operating leases for office space, warehouses and Company-operated store locations, which we use as part of our day-to-day operations. Operating lease expenses were $2.1 million and $0.5 million for the three months ended March 31, 2023 and 2022. We have not entered into finance lease commitments. For additional information on operating lease obligations, refer to Part I, Item 1, Financial Statements, Note 7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2022, we entered into a lease agreement, which expires in 2033, for our new headquarters to accommodate our growing workforce. We expect to complete the move to the new office space in the second half of 2023 following the completion of leasehold improvements. The new lease agreement provides for the Company to receive a tenant allowance amounting to approximately $3.8 million through the third quarter of 2023 and the Company will commence making monthly lease payments on November 1, 2024.</w:t>
      </w:r>
    </w:p>
    <w:p>
      <w:pPr>
        <w:spacing w:after="0" w:line="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to our cash flows for the periods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 of Cash Flows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15" w:lineRule="exact"/>
        <w:rPr>
          <w:sz w:val="20"/>
          <w:szCs w:val="20"/>
          <w:color w:val="auto"/>
        </w:rPr>
      </w:pPr>
    </w:p>
    <w:p>
      <w:pPr>
        <w:ind w:left="20" w:right="1080"/>
        <w:spacing w:after="0" w:line="418" w:lineRule="auto"/>
        <w:rPr>
          <w:sz w:val="20"/>
          <w:szCs w:val="20"/>
          <w:color w:val="auto"/>
        </w:rPr>
      </w:pPr>
      <w:r>
        <w:rPr>
          <w:rFonts w:ascii="Arial" w:cs="Arial" w:eastAsia="Arial" w:hAnsi="Arial"/>
          <w:sz w:val="15"/>
          <w:szCs w:val="15"/>
          <w:color w:val="auto"/>
        </w:rPr>
        <w:t>Effect of exchange rate changes on cash and cash equivalents 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97471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122" w:lineRule="exact"/>
        <w:rPr>
          <w:sz w:val="20"/>
          <w:szCs w:val="20"/>
          <w:color w:val="auto"/>
        </w:rPr>
      </w:pPr>
    </w:p>
    <w:p>
      <w:pPr>
        <w:ind w:left="20" w:right="2100"/>
        <w:spacing w:after="0" w:line="412" w:lineRule="auto"/>
        <w:rPr>
          <w:sz w:val="20"/>
          <w:szCs w:val="20"/>
          <w:color w:val="auto"/>
        </w:rPr>
      </w:pPr>
      <w:r>
        <w:rPr>
          <w:rFonts w:ascii="Arial" w:cs="Arial" w:eastAsia="Arial" w:hAnsi="Arial"/>
          <w:sz w:val="16"/>
          <w:szCs w:val="16"/>
          <w:color w:val="auto"/>
        </w:rPr>
        <w:t>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597471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445"/>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33,284</w:t>
            </w:r>
          </w:p>
        </w:tc>
      </w:tr>
      <w:tr>
        <w:trPr>
          <w:trHeight w:val="229"/>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(4,316)</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(4,434)</w:t>
            </w:r>
          </w:p>
        </w:tc>
      </w:tr>
      <w:tr>
        <w:trPr>
          <w:trHeight w:val="237"/>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24,763</w:t>
            </w:r>
          </w:p>
        </w:tc>
      </w:tr>
      <w:tr>
        <w:trPr>
          <w:trHeight w:val="492"/>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149,493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132,474</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157,237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30" w:lineRule="exact"/>
        <w:rPr>
          <w:sz w:val="20"/>
          <w:szCs w:val="20"/>
          <w:color w:val="auto"/>
        </w:rPr>
      </w:pPr>
    </w:p>
    <w:p>
      <w:pPr>
        <w:sectPr>
          <w:pgSz w:w="11900" w:h="16838" w:orient="portrait"/>
          <w:cols w:equalWidth="0" w:num="2">
            <w:col w:w="5520" w:space="720"/>
            <w:col w:w="5000"/>
          </w:cols>
          <w:pgMar w:left="320" w:top="125" w:right="339" w:bottom="1440" w:gutter="0" w:footer="0" w:header="0"/>
          <w:type w:val="continuous"/>
        </w:sectPr>
      </w:pPr>
    </w:p>
    <w:p>
      <w:pPr>
        <w:spacing w:after="0" w:line="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operating activities was $1.2 million for the three months ended March 31, 2023, a decrease of $32.1 million from net cash provided by operating activities of $33.3 million for the three months ended March 31, 2022. The decrease is primarily a result of a $34.9 million net change in working capital, which varies due to timing of money transmissions and payments as well as prefunding of our payers, which is higher during weekends, offset by cash generated by our improved operating results for the three months ended March 31, 2023, resulting from the further growth of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was $2.1 million for the three months ended March 31, 2023, representing an decrease of $2.2 million from net cash used in investing activities of $4.3 million for the three months ended March 31, 2022. This decrease was primarily due to higher purchases of computer equipment during the three months ended March 31, 2022 as a result of the upgrades to equipment of existing agents that took place during the three months ended March 31,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$63.8 million for the three months ended March 31, 2023, which consisted of $55.0 million of net repayments of the revolving credit facility, $7.6 million used for repurchases of common stock, a $1.1 million scheduled quarterly payment due on the term loan facility and $0.8 million of payments for stock-based awards for shares withheld for tax payments in connection with share-based compensation arrangements offset by $0.7 million in proceeds from issuance of stock as a result of exercises of stock options.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$4.4 million for the three months ended March 31, 2022, which consisted of a $1.1 million scheduled quarterly payment due on the term loan facility, $3.6 million used for repurchases of common stock and $0.3 million of payments for stock-based awards for shares withheld in connection with share-based compensation arrangements, offset by $0.6 million in proceeds from issuance of stock as a result of exercises of stock options.</w:t>
      </w: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Arial" w:cs="Arial" w:eastAsia="Arial" w:hAnsi="Arial"/>
          <w:sz w:val="18"/>
          <w:szCs w:val="18"/>
          <w:i w:val="1"/>
          <w:iCs w:val="1"/>
          <w:color w:val="auto"/>
        </w:rPr>
        <w:t>Management’s Discussion and Analysis of Financial Condition and Results of Operations - Critical Accounting Policies and Estimates</w:t>
      </w:r>
      <w:r>
        <w:rPr>
          <w:rFonts w:ascii="Arial" w:cs="Arial" w:eastAsia="Arial" w:hAnsi="Arial"/>
          <w:sz w:val="18"/>
          <w:szCs w:val="18"/>
          <w:color w:val="auto"/>
        </w:rPr>
        <w:t>” in our Annual Report on Form 10-K for the year ended December 31, 2022, for which there were no material changes during the three months ended March 31, 2023, included the following:</w:t>
      </w:r>
    </w:p>
    <w:p>
      <w:pPr>
        <w:spacing w:after="0" w:line="219" w:lineRule="exact"/>
        <w:rPr>
          <w:sz w:val="20"/>
          <w:szCs w:val="20"/>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Allowance for Credit Losses</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Business and Accounting Policies</w:t>
      </w:r>
      <w:r>
        <w:rPr>
          <w:rFonts w:ascii="Arial" w:cs="Arial" w:eastAsia="Arial" w:hAnsi="Arial"/>
          <w:sz w:val="18"/>
          <w:szCs w:val="18"/>
          <w:color w:val="auto"/>
        </w:rPr>
        <w:t>, of the Condensed Consolidated Financial Statements for information on recent accounting pronouncements.</w:t>
      </w: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$48.5 million and $41.3 million at March 31, 2023 and December 31, 2022, respectively.</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included in wire transfers and money orders payable, net in our condensed consolidated balance sheets as of March 31, 2023 and December 31, 2022, there are $24.8 million and $39.3 million, respectively, of wires payable denominated in foreign currencies, primarily Mexican pesos and Guatemalan quetzales.</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Also, included in prepaid wires, net in our condensed consolidated balance sheets as of March 31, 2023 and December 31, 2022, there are $95.9 million and $82.3 million, respectively, of prepaid wires denominated in foreign currencies, primarily Mexican pesos and Guatemalan quetzales.</w:t>
      </w:r>
    </w:p>
    <w:p>
      <w:pPr>
        <w:spacing w:after="0" w:line="17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three months ended March 31, 2023. Therefore, a 10% increase or decrease in these currency rates against the U.S. Dollar would result in a de minimis change to our overall operating results.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Spot and average exchange rates for Mexico, Guatemala and Canada currencies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394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020" w:type="dxa"/>
            <w:vAlign w:val="bottom"/>
          </w:tcPr>
          <w:p>
            <w:pPr>
              <w:spacing w:after="0"/>
              <w:rPr>
                <w:sz w:val="19"/>
                <w:szCs w:val="19"/>
                <w:color w:val="auto"/>
              </w:rPr>
            </w:pPr>
          </w:p>
        </w:tc>
      </w:tr>
      <w:tr>
        <w:trPr>
          <w:trHeight w:val="245"/>
        </w:trPr>
        <w:tc>
          <w:tcPr>
            <w:tcW w:w="3940" w:type="dxa"/>
            <w:vAlign w:val="bottom"/>
          </w:tcPr>
          <w:p>
            <w:pPr>
              <w:spacing w:after="0"/>
              <w:rPr>
                <w:sz w:val="21"/>
                <w:szCs w:val="21"/>
                <w:color w:val="auto"/>
              </w:rPr>
            </w:pPr>
          </w:p>
        </w:tc>
        <w:tc>
          <w:tcPr>
            <w:tcW w:w="1480" w:type="dxa"/>
            <w:vAlign w:val="bottom"/>
            <w:gridSpan w:val="3"/>
          </w:tcPr>
          <w:p>
            <w:pPr>
              <w:jc w:val="right"/>
              <w:ind w:right="62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300" w:type="dxa"/>
            <w:vAlign w:val="bottom"/>
            <w:gridSpan w:val="2"/>
          </w:tcPr>
          <w:p>
            <w:pPr>
              <w:ind w:left="60"/>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c>
          <w:tcPr>
            <w:tcW w:w="1480" w:type="dxa"/>
            <w:vAlign w:val="bottom"/>
            <w:gridSpan w:val="3"/>
          </w:tcPr>
          <w:p>
            <w:pPr>
              <w:jc w:val="right"/>
              <w:ind w:right="64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020" w:type="dxa"/>
            <w:vAlign w:val="bottom"/>
          </w:tcPr>
          <w:p>
            <w:pPr>
              <w:jc w:val="right"/>
              <w:ind w:right="130"/>
              <w:spacing w:after="0" w:line="237" w:lineRule="exact"/>
              <w:rPr>
                <w:sz w:val="20"/>
                <w:szCs w:val="20"/>
                <w:color w:val="auto"/>
              </w:rPr>
            </w:pPr>
            <w:r>
              <w:rPr>
                <w:rFonts w:ascii="Arial" w:cs="Arial" w:eastAsia="Arial" w:hAnsi="Arial"/>
                <w:sz w:val="18"/>
                <w:szCs w:val="18"/>
                <w:b w:val="1"/>
                <w:bCs w:val="1"/>
                <w:color w:val="auto"/>
                <w:w w:val="86"/>
              </w:rPr>
              <w:t>Average</w:t>
            </w:r>
            <w:r>
              <w:rPr>
                <w:rFonts w:ascii="Arial" w:cs="Arial" w:eastAsia="Arial" w:hAnsi="Arial"/>
                <w:sz w:val="23"/>
                <w:szCs w:val="23"/>
                <w:b w:val="1"/>
                <w:bCs w:val="1"/>
                <w:color w:val="auto"/>
                <w:w w:val="86"/>
                <w:vertAlign w:val="superscript"/>
              </w:rPr>
              <w:t>(2)</w:t>
            </w:r>
          </w:p>
        </w:tc>
      </w:tr>
      <w:tr>
        <w:trPr>
          <w:trHeight w:val="23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U.S. dollar/Guatemala Quetzal</w:t>
            </w:r>
          </w:p>
        </w:tc>
        <w:tc>
          <w:tcPr>
            <w:tcW w:w="120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bl>
    <w:p>
      <w:pPr>
        <w:spacing w:after="0" w:line="46"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Spot exchange rates are as of March 31, 2023 and December 31, 2022.</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Average exchange rates are for the three months ended March 31, 2023 and 2022.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sustained appreciation of the Mexican peso or Guatemalan quetzal as compared to the U.S. dollar could affect our margins.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discussed above, interest under the A&amp;R Credit Agreement is variable based on certain benchmark rates, including SOFR.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three months ended March 31, 2023, the Federal Reserve continued raising the fed funds rate from 4.50% to 5.00% as a countermeasure to control inflation in the United States. As a consequence, other benchmark interest rates such as SOFR and previously LIBOR increased as well. These increases have resulted in the Company incurring higher interest expense. The Company expects that the Federal Reserve will continue raising the fed funds rate through the remainder of 2023, which will continue exposing the Company to higher interest rate risk as benchmark interest rates such as SOFR will continue increasing as well. As of March 31, 2023, we had $79.8 million and $21.0 million in outstanding borrowings under the term loan facility and revolving credit facility, respectively. A hypothetical 1% increase or decrease in the interest rate on our indebtedness as of March 31, 2023 would have increased or decreased cash interest expense on our term loan facility and revolving credit facility by approximately $0.8 million and $0.2 million per annum,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maintain certain cash balances in various U.S. banks, which at times, may exceed federally insured limits. We have not incurred any losses on these accounts. In addition, we maintain various bank accounts in Mexico, Guatemala and Canada and short-term investment accounts in Mexico, which are not insured. During the three months ended March 31, 2023,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March 31, 2023, we also had $3.2 million outstanding of agent advances receivable from sending agents. Most of the agent advances receivable are collateralized by personal guarantees from the sending agents and by assets from their businesses.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credit losses was approximately $0.8 million for the three months ended March 31, 2023 (0.5% of total revenues) and $0.4 million for the three months ended March 31, 2022 (0.4% of total revenues). The increase in our provision for credit losses in the three months ended March 31, 2023 is due to higher write-offs of accounts receivable in 2023 compared to 2022 primarily as a result of sending agents that were not able to pay in accordance with the original terms and are, accordingly, subject to our normal collection procedures.</w:t>
      </w: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required by Rules 13a-15(b) and 15d-15(b) under the Exchange Act, our Chief Executive Officer and President, and Chief Financial Officer, carried out an evaluation of the effectiveness of our disclosure controls and procedures as of March 31, 2023.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March 31, 2023.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Reference is made to Note 16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2022 (the “2022 Form 10-K”). Prospective investors are encouraged to consider the risks described in our 2022 Form 10-K, our Management’s Discussion and Analysis of Financial Condition and Results of Operations contained in this Quarterly Report on Form 10-Q and in our 2022 Form 10-K, and other information publicly disclosed or contained in documents we file with the Securities and Exchange Commission before purchasing our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repurchases of our common stock during the quarter ended March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6"/>
                <w:szCs w:val="16"/>
                <w:color w:val="auto"/>
              </w:rPr>
            </w:pPr>
          </w:p>
        </w:tc>
        <w:tc>
          <w:tcPr>
            <w:tcW w:w="23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2"/>
              </w:rPr>
              <w:t>Approximate Dollar Value of</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189"/>
        </w:trPr>
        <w:tc>
          <w:tcPr>
            <w:tcW w:w="3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16"/>
                <w:szCs w:val="16"/>
                <w:color w:val="auto"/>
              </w:rPr>
            </w:pPr>
          </w:p>
        </w:tc>
        <w:tc>
          <w:tcPr>
            <w:tcW w:w="170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0"/>
              </w:rPr>
              <w:t>Average Price Paid</w:t>
            </w: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4"/>
              </w:rPr>
              <w:t>Program</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37"/>
        </w:trPr>
        <w:tc>
          <w:tcPr>
            <w:tcW w:w="3020" w:type="dxa"/>
            <w:vAlign w:val="bottom"/>
            <w:gridSpan w:val="2"/>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per Share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Program(c)</w:t>
            </w:r>
          </w:p>
        </w:tc>
        <w:tc>
          <w:tcPr>
            <w:tcW w:w="0" w:type="dxa"/>
            <w:vAlign w:val="bottom"/>
          </w:tcPr>
          <w:p>
            <w:pPr>
              <w:spacing w:after="0"/>
              <w:rPr>
                <w:sz w:val="1"/>
                <w:szCs w:val="1"/>
                <w:color w:val="auto"/>
              </w:rPr>
            </w:pPr>
          </w:p>
        </w:tc>
      </w:tr>
      <w:tr>
        <w:trPr>
          <w:trHeight w:val="230"/>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through January 31</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137,277</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5,029,405</w:t>
            </w:r>
          </w:p>
        </w:tc>
        <w:tc>
          <w:tcPr>
            <w:tcW w:w="0" w:type="dxa"/>
            <w:vAlign w:val="bottom"/>
          </w:tcPr>
          <w:p>
            <w:pPr>
              <w:spacing w:after="0"/>
              <w:rPr>
                <w:sz w:val="1"/>
                <w:szCs w:val="1"/>
                <w:color w:val="auto"/>
              </w:rPr>
            </w:pPr>
          </w:p>
        </w:tc>
      </w:tr>
      <w:tr>
        <w:trPr>
          <w:trHeight w:val="229"/>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February 1 through February 28</w:t>
            </w:r>
          </w:p>
        </w:tc>
        <w:tc>
          <w:tcPr>
            <w:tcW w:w="1980" w:type="dxa"/>
            <w:vAlign w:val="bottom"/>
          </w:tcPr>
          <w:p>
            <w:pPr>
              <w:jc w:val="right"/>
              <w:spacing w:after="0"/>
              <w:rPr>
                <w:sz w:val="20"/>
                <w:szCs w:val="20"/>
                <w:color w:val="auto"/>
              </w:rPr>
            </w:pPr>
            <w:r>
              <w:rPr>
                <w:rFonts w:ascii="Arial" w:cs="Arial" w:eastAsia="Arial" w:hAnsi="Arial"/>
                <w:sz w:val="18"/>
                <w:szCs w:val="18"/>
                <w:color w:val="auto"/>
              </w:rPr>
              <w:t>119,532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105,360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2,503,657</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through March 31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84,268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100,669,397</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341,077</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660" w:hanging="328"/>
        <w:spacing w:after="0" w:line="255"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105,360 and 73,822 shares purchased in February and March 2023, respectively, under the Repurchase Program (as defined below) and 14,172 and 10,446 shares withheld for income tax purposes in February and March 2023, respectively, in connection with shares issued under compensation and benefit programs.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August 18, 2021, the Company’s Board of Directors approved a stock repurchase program (the “Repurchase Program”) that authorizes the Company to purchase up to $40.0 million of outstanding shares of the Company’s common stock. The Repurchase Program does not have an expiration date.</w:t>
      </w:r>
    </w:p>
    <w:p>
      <w:pPr>
        <w:spacing w:after="0" w:line="1" w:lineRule="exact"/>
        <w:rPr>
          <w:rFonts w:ascii="Arial" w:cs="Arial" w:eastAsia="Arial" w:hAnsi="Arial"/>
          <w:sz w:val="18"/>
          <w:szCs w:val="18"/>
          <w:color w:val="auto"/>
        </w:rPr>
      </w:pPr>
    </w:p>
    <w:p>
      <w:pPr>
        <w:ind w:left="660" w:hanging="328"/>
        <w:spacing w:after="0" w:line="260"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3, 2023 the Board of Directors approved an increase to the Repurchase Program that authorizes the Company to purchase an additional $100.0 million of its outstanding shares.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1440" w:gutter="0" w:footer="0" w:header="0"/>
        </w:sectPr>
      </w:pP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760" w:type="dxa"/>
            <w:vAlign w:val="bottom"/>
          </w:tcPr>
          <w:p>
            <w:pPr>
              <w:ind w:left="220"/>
              <w:spacing w:after="0"/>
              <w:rPr>
                <w:sz w:val="20"/>
                <w:szCs w:val="20"/>
                <w:color w:val="auto"/>
              </w:rPr>
            </w:pPr>
            <w:r>
              <w:rPr>
                <w:rFonts w:ascii="Arial" w:cs="Arial" w:eastAsia="Arial" w:hAnsi="Arial"/>
                <w:sz w:val="18"/>
                <w:szCs w:val="18"/>
                <w:b w:val="1"/>
                <w:bCs w:val="1"/>
                <w:color w:val="auto"/>
              </w:rPr>
              <w:t>Document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Form of PSU Agreement (Employees) pursuant to the International Money Express, Inc. 2020 Omnibus Equity</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2"/>
              </w:rPr>
              <w:t>Compensation Plan (incorporated by reference to Exhibit 10.14 to the Registrant’s Annual Report on Form 10-K filed</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on March 15, 2023).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Form of PSU Agreement (Robert Lisy) pursuant to the International Money Express, Inc. 2020 Omnibus Equity</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2"/>
              </w:rPr>
              <w:t>Compensation Plan (incorporated by reference to Exhibit 10.15 to the Registrant’s Annual Report on Form 10-K filed</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line="190" w:lineRule="exact"/>
              <w:rPr>
                <w:rFonts w:ascii="Arial" w:cs="Arial" w:eastAsia="Arial" w:hAnsi="Arial"/>
                <w:sz w:val="18"/>
                <w:szCs w:val="18"/>
                <w:color w:val="0000FF"/>
              </w:rPr>
            </w:pPr>
            <w:hyperlink r:id="rId68">
              <w:r>
                <w:rPr>
                  <w:rFonts w:ascii="Arial" w:cs="Arial" w:eastAsia="Arial" w:hAnsi="Arial"/>
                  <w:sz w:val="18"/>
                  <w:szCs w:val="18"/>
                  <w:color w:val="0000FF"/>
                </w:rPr>
                <w:t>10.</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on March 15, 2023).</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Amendment to Employment Agreement effective as of January 16, 2023, between Joseph Aguilar and the Company</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5"/>
              </w:rPr>
              <w:t>(incorporated by reference to Exhibit 10.19(b) to the Registrant’s Annual Report on Form 10-K filed on March 15,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line="190" w:lineRule="exact"/>
              <w:rPr>
                <w:rFonts w:ascii="Arial" w:cs="Arial" w:eastAsia="Arial" w:hAnsi="Arial"/>
                <w:sz w:val="18"/>
                <w:szCs w:val="18"/>
                <w:color w:val="0000FF"/>
              </w:rPr>
            </w:pPr>
            <w:hyperlink r:id="rId69">
              <w:r>
                <w:rPr>
                  <w:rFonts w:ascii="Arial" w:cs="Arial" w:eastAsia="Arial" w:hAnsi="Arial"/>
                  <w:sz w:val="18"/>
                  <w:szCs w:val="18"/>
                  <w:color w:val="0000FF"/>
                </w:rPr>
                <w:t>10.</w:t>
              </w:r>
              <w:r>
                <w:rPr>
                  <w:rFonts w:ascii="Arial" w:cs="Arial" w:eastAsia="Arial" w:hAnsi="Arial"/>
                  <w:sz w:val="18"/>
                  <w:szCs w:val="18"/>
                  <w:u w:val="single" w:color="auto"/>
                  <w:color w:val="0000FF"/>
                </w:rPr>
                <w:t>3</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pursuant to Section 302 of the Sarbanes-Oxley Act - Chief Executive Officer</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pursuant to Section 302 of the Sarbanes-Oxley Act - Chief Financial Officer</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of Chief Executive Officer pursuant to 18 U.S.C. § 1350.</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of Chief Financial Officer pursuant to 18 U.S.C. § 1350.</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101.INS</w:t>
            </w:r>
          </w:p>
        </w:tc>
        <w:tc>
          <w:tcPr>
            <w:tcW w:w="8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7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w w:val="91"/>
              </w:rPr>
              <w:t>The cover page from the Company’s Quarterly Report on Form 10-Q for the quarter ended March 31, 2023, formatted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626618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66180" cy="3003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0"/>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1"/>
              </w:rPr>
              <w:t>104*</w:t>
            </w:r>
          </w:p>
        </w:tc>
        <w:tc>
          <w:tcPr>
            <w:tcW w:w="4860" w:type="dxa"/>
            <w:vAlign w:val="bottom"/>
            <w:vMerge w:val="restart"/>
          </w:tcPr>
          <w:p>
            <w:pPr>
              <w:ind w:left="480"/>
              <w:spacing w:after="0"/>
              <w:rPr>
                <w:sz w:val="20"/>
                <w:szCs w:val="20"/>
                <w:color w:val="auto"/>
              </w:rPr>
            </w:pPr>
            <w:r>
              <w:rPr>
                <w:rFonts w:ascii="Arial" w:cs="Arial" w:eastAsia="Arial" w:hAnsi="Arial"/>
                <w:sz w:val="18"/>
                <w:szCs w:val="18"/>
                <w:color w:val="auto"/>
                <w:w w:val="93"/>
              </w:rPr>
              <w:t>in Inline XBRL (included with the Exhibit 101 attachments).</w:t>
            </w:r>
          </w:p>
        </w:tc>
        <w:tc>
          <w:tcPr>
            <w:tcW w:w="0" w:type="dxa"/>
            <w:vAlign w:val="bottom"/>
          </w:tcPr>
          <w:p>
            <w:pPr>
              <w:spacing w:after="0"/>
              <w:rPr>
                <w:sz w:val="1"/>
                <w:szCs w:val="1"/>
                <w:color w:val="auto"/>
              </w:rPr>
            </w:pPr>
          </w:p>
        </w:tc>
      </w:tr>
      <w:tr>
        <w:trPr>
          <w:trHeight w:val="79"/>
        </w:trPr>
        <w:tc>
          <w:tcPr>
            <w:tcW w:w="840" w:type="dxa"/>
            <w:vAlign w:val="bottom"/>
          </w:tcPr>
          <w:p>
            <w:pPr>
              <w:spacing w:after="0"/>
              <w:rPr>
                <w:sz w:val="6"/>
                <w:szCs w:val="6"/>
                <w:color w:val="auto"/>
              </w:rPr>
            </w:pPr>
          </w:p>
        </w:tc>
        <w:tc>
          <w:tcPr>
            <w:tcW w:w="4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0" w:right="8579" w:firstLine="6"/>
        <w:spacing w:after="0" w:line="313" w:lineRule="auto"/>
        <w:tabs>
          <w:tab w:leader="none" w:pos="3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ind w:left="2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6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36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780" w:val="left"/>
        </w:tabs>
        <w:rPr>
          <w:sz w:val="20"/>
          <w:szCs w:val="20"/>
          <w:color w:val="auto"/>
        </w:rPr>
      </w:pPr>
      <w:r>
        <w:rPr>
          <w:rFonts w:ascii="Arial" w:cs="Arial" w:eastAsia="Arial" w:hAnsi="Arial"/>
          <w:sz w:val="18"/>
          <w:szCs w:val="18"/>
          <w:color w:val="auto"/>
        </w:rPr>
        <w:t>Date: May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6314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Robert Lisy</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2360" w:val="left"/>
          <w:tab w:leader="none" w:pos="2780" w:val="left"/>
        </w:tabs>
        <w:rPr>
          <w:sz w:val="20"/>
          <w:szCs w:val="20"/>
          <w:color w:val="auto"/>
        </w:rPr>
      </w:pPr>
      <w:r>
        <w:rPr>
          <w:rFonts w:ascii="Arial" w:cs="Arial" w:eastAsia="Arial" w:hAnsi="Arial"/>
          <w:sz w:val="18"/>
          <w:szCs w:val="18"/>
          <w:color w:val="auto"/>
        </w:rPr>
        <w:t>Date: May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6314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Andras Bende</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25"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34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346" w:lineRule="exact"/>
        <w:rPr>
          <w:rFonts w:ascii="Arial" w:cs="Arial" w:eastAsia="Arial" w:hAnsi="Arial"/>
          <w:sz w:val="18"/>
          <w:szCs w:val="18"/>
          <w:color w:val="auto"/>
        </w:rPr>
      </w:pPr>
    </w:p>
    <w:p>
      <w:pPr>
        <w:jc w:val="both"/>
        <w:ind w:left="660" w:hanging="652"/>
        <w:spacing w:after="0" w:line="4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660" w:hanging="652"/>
        <w:spacing w:after="0" w:line="523"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jc w:val="both"/>
        <w:ind w:left="660" w:hanging="652"/>
        <w:spacing w:after="0" w:line="46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jc w:val="both"/>
        <w:ind w:left="1300" w:hanging="644"/>
        <w:spacing w:after="0" w:line="467"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jc w:val="both"/>
        <w:ind w:left="1300" w:hanging="644"/>
        <w:spacing w:after="0" w:line="46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8"/>
          <w:szCs w:val="18"/>
          <w:color w:val="auto"/>
        </w:rPr>
      </w:pPr>
    </w:p>
    <w:p>
      <w:pPr>
        <w:ind w:left="1300" w:hanging="644"/>
        <w:spacing w:after="0" w:line="553"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644"/>
        <w:spacing w:after="0" w:line="46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32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80" w:lineRule="exact"/>
        <w:rPr>
          <w:sz w:val="20"/>
          <w:szCs w:val="20"/>
          <w:color w:val="auto"/>
        </w:rPr>
      </w:pPr>
    </w:p>
    <w:p>
      <w:pPr>
        <w:ind w:left="660" w:hanging="652"/>
        <w:spacing w:after="0" w:line="523"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1300" w:hanging="644"/>
        <w:spacing w:after="0" w:line="523" w:lineRule="auto"/>
        <w:tabs>
          <w:tab w:leader="none" w:pos="129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300" w:hanging="644"/>
        <w:spacing w:after="0" w:line="481"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2023</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Lisy</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Robert Lisy</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2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 Andras Bende, certify that:</w:t>
      </w:r>
    </w:p>
    <w:p>
      <w:pPr>
        <w:spacing w:after="0" w:line="34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346" w:lineRule="exact"/>
        <w:rPr>
          <w:rFonts w:ascii="Arial" w:cs="Arial" w:eastAsia="Arial" w:hAnsi="Arial"/>
          <w:sz w:val="18"/>
          <w:szCs w:val="18"/>
          <w:color w:val="auto"/>
        </w:rPr>
      </w:pPr>
    </w:p>
    <w:p>
      <w:pPr>
        <w:jc w:val="both"/>
        <w:ind w:left="660" w:hanging="652"/>
        <w:spacing w:after="0" w:line="46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left="660" w:hanging="652"/>
        <w:spacing w:after="0" w:line="52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jc w:val="both"/>
        <w:ind w:left="660" w:hanging="652"/>
        <w:spacing w:after="0" w:line="4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left="1300" w:hanging="644"/>
        <w:spacing w:after="0" w:line="467"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jc w:val="both"/>
        <w:ind w:left="1300" w:hanging="644"/>
        <w:spacing w:after="0" w:line="46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8"/>
          <w:szCs w:val="18"/>
          <w:color w:val="auto"/>
        </w:rPr>
      </w:pPr>
    </w:p>
    <w:p>
      <w:pPr>
        <w:ind w:left="1300" w:hanging="644"/>
        <w:spacing w:after="0" w:line="571" w:lineRule="auto"/>
        <w:tabs>
          <w:tab w:leader="none" w:pos="12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46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36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0" w:lineRule="exact"/>
        <w:rPr>
          <w:sz w:val="20"/>
          <w:szCs w:val="20"/>
          <w:color w:val="auto"/>
        </w:rPr>
      </w:pPr>
    </w:p>
    <w:p>
      <w:pPr>
        <w:ind w:left="660" w:hanging="652"/>
        <w:spacing w:after="0" w:line="523"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1300" w:hanging="644"/>
        <w:spacing w:after="0" w:line="523" w:lineRule="auto"/>
        <w:tabs>
          <w:tab w:leader="none" w:pos="129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300" w:hanging="644"/>
        <w:spacing w:after="0" w:line="481"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2023</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Andras Bende</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Andras Bende</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543"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certify, pursuant to 18 U.S.C. Section 1350, that, to my knowledge:</w:t>
      </w:r>
    </w:p>
    <w:p>
      <w:pPr>
        <w:spacing w:after="0" w:line="184" w:lineRule="exact"/>
        <w:rPr>
          <w:sz w:val="20"/>
          <w:szCs w:val="20"/>
          <w:color w:val="auto"/>
        </w:rPr>
      </w:pPr>
    </w:p>
    <w:p>
      <w:pPr>
        <w:ind w:left="660" w:right="20" w:hanging="652"/>
        <w:spacing w:after="0" w:line="5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2023 (the “Report”) fully complies with the requirements of Section 13(a) or 15(d) of the Securities Exchange Act of 1934, as amended; and</w:t>
      </w:r>
    </w:p>
    <w:p>
      <w:pPr>
        <w:spacing w:after="0" w:line="156"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2023</w:t>
      </w:r>
    </w:p>
    <w:p>
      <w:pPr>
        <w:spacing w:after="0" w:line="279"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Lisy</w:t>
            </w:r>
          </w:p>
        </w:tc>
      </w:t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Robert Lisy</w:t>
            </w:r>
          </w:p>
        </w:tc>
      </w:t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543" w:lineRule="auto"/>
        <w:rPr>
          <w:sz w:val="20"/>
          <w:szCs w:val="20"/>
          <w:color w:val="auto"/>
        </w:rPr>
      </w:pPr>
      <w:r>
        <w:rPr>
          <w:rFonts w:ascii="Arial" w:cs="Arial" w:eastAsia="Arial" w:hAnsi="Arial"/>
          <w:sz w:val="18"/>
          <w:szCs w:val="18"/>
          <w:color w:val="auto"/>
        </w:rPr>
        <w:t>I, Andras Bende, Chief Financial Officer of International Money Express, Inc. (the “Company”), certify, pursuant to 18 U.S.C. Section 1350, that, to my knowledge:</w:t>
      </w:r>
    </w:p>
    <w:p>
      <w:pPr>
        <w:spacing w:after="0" w:line="184" w:lineRule="exact"/>
        <w:rPr>
          <w:sz w:val="20"/>
          <w:szCs w:val="20"/>
          <w:color w:val="auto"/>
        </w:rPr>
      </w:pPr>
    </w:p>
    <w:p>
      <w:pPr>
        <w:ind w:left="660" w:right="20" w:hanging="652"/>
        <w:spacing w:after="0" w:line="5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2023 (the “Report”) fully complies with the requirements of Section 13(a) or 15(d) of the Securities Exchange Act of 1934, as amended; and</w:t>
      </w:r>
    </w:p>
    <w:p>
      <w:pPr>
        <w:spacing w:after="0" w:line="156"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2023</w:t>
      </w:r>
    </w:p>
    <w:p>
      <w:pPr>
        <w:spacing w:after="0" w:line="320" w:lineRule="exact"/>
        <w:rPr>
          <w:sz w:val="20"/>
          <w:szCs w:val="20"/>
          <w:color w:val="auto"/>
        </w:rPr>
      </w:pPr>
    </w:p>
    <w:tbl>
      <w:tblPr>
        <w:tblLayout w:type="fixed"/>
        <w:tblInd w:w="558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Andras Bende</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Andras Bende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decimal"/>
      <w:start w:val="5"/>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5"/>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7" Type="http://schemas.openxmlformats.org/officeDocument/2006/relationships/hyperlink" Target="https://www.sec.gov/Archives/edgar/data/1683695/000168369523000022/exhibit1014-2023formofpsua.htm" TargetMode="External"/><Relationship Id="rId68" Type="http://schemas.openxmlformats.org/officeDocument/2006/relationships/hyperlink" Target="http://www.sec.gov/Archives/edgar/data/1683695/000168369523000022/exhibit1015-2023formofpsua.htm" TargetMode="External"/><Relationship Id="rId69" Type="http://schemas.openxmlformats.org/officeDocument/2006/relationships/hyperlink" Target="http://www.sec.gov/Archives/edgar/data/1683695/000168369523000022/exhibit1019b-amendmenttoj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2023-05-05T15:14:48Z</dcterms:created>
  <dcterms:modified xsi:type="dcterms:W3CDTF">2023-05-05T15:14:48Z</dcterms:modified>
</cp:coreProperties>
</file>