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980" w:right="980" w:hanging="2989"/>
        <w:spacing w:after="0" w:line="476" w:lineRule="auto"/>
        <w:tabs>
          <w:tab w:leader="none" w:pos="1294"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9" w:lineRule="exact"/>
        <w:rPr>
          <w:rFonts w:ascii="MS PGothic" w:cs="MS PGothic" w:eastAsia="MS PGothic" w:hAnsi="MS PGothic"/>
          <w:sz w:val="18"/>
          <w:szCs w:val="18"/>
          <w:color w:val="auto"/>
        </w:rPr>
      </w:pPr>
    </w:p>
    <w:p>
      <w:pPr>
        <w:ind w:left="1300" w:hanging="338"/>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001-37986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47-4219082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9480 South Dixie Highway</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Miami, FL</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33156</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671-8000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FINTECH ACQUISITION CORP. II, 2929 Arch Street, Suite 1703, Philadelphia, PA 19104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Emerging growth company</w:t>
            </w:r>
          </w:p>
        </w:tc>
      </w:tr>
    </w:tbl>
    <w:p>
      <w:pPr>
        <w:spacing w:after="0" w:line="209"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7, 2018, there were 36,182,783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26, 2018 (the “Closing Date”), FinTech Acquisition Corp. II (“FinTech”) consummated the previously announced transactions contemplated by the Agreement and Plan of Merger (the “Merger Agreement”), dated as of December 19, 2017, by and among FinTech, FinTech II Merger Sub Inc., a wholly-owned subsidiary of FinTech (“Merger Sub 1”), FinTech II Merger Sub 2 LLC, a wholly-owned subsidiary of FinTech (“Merger Sub 2”), Intermex Holdings II, Inc. (“Intermex”) and SPC Intermex Representative LLC (“SPC Intermex”). The Merger Agreement provided for the acquisition of Intermex by FinTech pursuant to the merger of Intermex with and into Merger Sub 1 (the “First Merger”), with Intermex continuing as the surviving entity, and immediately following the consummation of the First Merger, the merger of Intermex with and into Merger Sub 2, with Merger Sub 2 continuing as the surviving entity (such merger together with the First Merger, the “Merger”).</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closing of the Merger (the “Closing”), the registrant changed its name from FinTech Acquisition Corp. II to International Money Express, Inc. and Merger Sub 2 changed its name from FinTech II Merger Sub 2 LLC to International Money Express Sub 2, LLC. Unless otherwise stated, this Report contains information about FinTech before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2"/>
        </w:trPr>
        <w:tc>
          <w:tcPr>
            <w:tcW w:w="10280" w:type="dxa"/>
            <w:vAlign w:val="bottom"/>
            <w:gridSpan w:val="18"/>
          </w:tcPr>
          <w:p>
            <w:pPr>
              <w:spacing w:after="0"/>
              <w:rPr>
                <w:sz w:val="20"/>
                <w:szCs w:val="20"/>
                <w:color w:val="auto"/>
              </w:rPr>
            </w:pPr>
            <w:r>
              <w:rPr>
                <w:rFonts w:ascii="Arial" w:cs="Arial" w:eastAsia="Arial" w:hAnsi="Arial"/>
                <w:sz w:val="18"/>
                <w:szCs w:val="18"/>
                <w:b w:val="1"/>
                <w:bCs w:val="1"/>
                <w:color w:val="auto"/>
              </w:rPr>
              <w:t>PART 1 - FINANCIAL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2018 (unaudited) and December 31, 2017</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for the Three and Six Months Ended June 30, 2018 and 2017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for the Three and Six Months Ended June 30, 2018 and 2017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758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Defaults Upon Senior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SIGNATURES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60" w:type="dxa"/>
            <w:vAlign w:val="bottom"/>
          </w:tcPr>
          <w:p>
            <w:pPr>
              <w:jc w:val="center"/>
              <w:ind w:left="2330"/>
              <w:spacing w:after="0"/>
              <w:rPr>
                <w:sz w:val="20"/>
                <w:szCs w:val="20"/>
                <w:color w:val="auto"/>
              </w:rPr>
            </w:pPr>
            <w:r>
              <w:rPr>
                <w:rFonts w:ascii="Arial" w:cs="Arial" w:eastAsia="Arial" w:hAnsi="Arial"/>
                <w:sz w:val="18"/>
                <w:szCs w:val="18"/>
                <w:b w:val="1"/>
                <w:bCs w:val="1"/>
                <w:color w:val="auto"/>
              </w:rPr>
              <w:t>PART 1 - 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jc w:val="center"/>
              <w:ind w:left="2330"/>
              <w:spacing w:after="0"/>
              <w:rPr>
                <w:sz w:val="20"/>
                <w:szCs w:val="20"/>
                <w:color w:val="auto"/>
              </w:rPr>
            </w:pPr>
            <w:r>
              <w:rPr>
                <w:rFonts w:ascii="Arial" w:cs="Arial" w:eastAsia="Arial" w:hAnsi="Arial"/>
                <w:sz w:val="18"/>
                <w:szCs w:val="18"/>
                <w:b w:val="1"/>
                <w:bCs w:val="1"/>
                <w:color w:val="auto"/>
              </w:rPr>
              <w:t>INTERNATIONAL MONEY EXPRESS,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jc w:val="center"/>
              <w:ind w:left="2350"/>
              <w:spacing w:after="0"/>
              <w:rPr>
                <w:sz w:val="20"/>
                <w:szCs w:val="20"/>
                <w:color w:val="auto"/>
              </w:rPr>
            </w:pPr>
            <w:r>
              <w:rPr>
                <w:rFonts w:ascii="Arial" w:cs="Arial" w:eastAsia="Arial" w:hAnsi="Arial"/>
                <w:sz w:val="18"/>
                <w:szCs w:val="18"/>
                <w:b w:val="1"/>
                <w:bCs w:val="1"/>
                <w:color w:val="auto"/>
                <w:w w:val="98"/>
              </w:rPr>
              <w:t>(formerly known as FINTECH ACQUISITION CORP. II)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i w:val="1"/>
                <w:iCs w:val="1"/>
                <w:color w:val="auto"/>
                <w:w w:val="93"/>
              </w:rPr>
              <w:t>(Unaudited)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110,694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held-to-maturity securities held in Trust Account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176,418,186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175,883,186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176,580,539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176,259,327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747,805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Advances from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Promissory note – related party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1,318,157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917,259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Deferred underwriting fees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9,190,000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legal fees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10,533,157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10,132,259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subject to possible redemption, $0.0001 par value; 16,104,738 and 16,112,706 shares (at redemption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of approximately $10.00 per share as of June 30, 2018 and December 31, 2017,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161,047,380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161,127,060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Preferred stock, $0.0001 par value; 5,000,000 authorized, none issued and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$0.0001 par value; 35,000,000 shares authorized; 7,788,595 and 7,780,627 shares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outstanding (excluding 16,104,738 and 16,112,706 shares subject to possible redemption) as of June 30, 2018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5,268,064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5,188,385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(268,841)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176,580,539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176,259,327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614,652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(614,652)</w:t>
            </w:r>
          </w:p>
        </w:tc>
        <w:tc>
          <w:tcPr>
            <w:tcW w:w="240" w:type="dxa"/>
            <w:vAlign w:val="bottom"/>
          </w:tcPr>
          <w:p>
            <w:pPr>
              <w:spacing w:after="0"/>
              <w:rPr>
                <w:sz w:val="18"/>
                <w:szCs w:val="18"/>
                <w:color w:val="auto"/>
              </w:rPr>
            </w:pPr>
          </w:p>
        </w:tc>
        <w:tc>
          <w:tcPr>
            <w:tcW w:w="1220" w:type="dxa"/>
            <w:vAlign w:val="bottom"/>
            <w:gridSpan w:val="2"/>
          </w:tcPr>
          <w:p>
            <w:pPr>
              <w:jc w:val="right"/>
              <w:ind w:right="194"/>
              <w:spacing w:after="0"/>
              <w:rPr>
                <w:sz w:val="20"/>
                <w:szCs w:val="20"/>
                <w:color w:val="auto"/>
              </w:rPr>
            </w:pPr>
            <w:r>
              <w:rPr>
                <w:rFonts w:ascii="Arial" w:cs="Arial" w:eastAsia="Arial" w:hAnsi="Arial"/>
                <w:sz w:val="18"/>
                <w:szCs w:val="18"/>
                <w:b w:val="1"/>
                <w:bCs w:val="1"/>
                <w:color w:val="auto"/>
              </w:rPr>
              <w:t>(106,063)</w:t>
            </w:r>
          </w:p>
        </w:tc>
        <w:tc>
          <w:tcPr>
            <w:tcW w:w="200" w:type="dxa"/>
            <w:vAlign w:val="bottom"/>
          </w:tcPr>
          <w:p>
            <w:pPr>
              <w:spacing w:after="0"/>
              <w:rPr>
                <w:sz w:val="18"/>
                <w:szCs w:val="18"/>
                <w:color w:val="auto"/>
              </w:rPr>
            </w:pPr>
          </w:p>
        </w:tc>
        <w:tc>
          <w:tcPr>
            <w:tcW w:w="12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(1,027,825)</w:t>
            </w:r>
          </w:p>
        </w:tc>
        <w:tc>
          <w:tcPr>
            <w:tcW w:w="260" w:type="dxa"/>
            <w:vAlign w:val="bottom"/>
          </w:tcPr>
          <w:p>
            <w:pPr>
              <w:spacing w:after="0"/>
              <w:rPr>
                <w:sz w:val="18"/>
                <w:szCs w:val="18"/>
                <w:color w:val="auto"/>
              </w:rPr>
            </w:pPr>
          </w:p>
        </w:tc>
        <w:tc>
          <w:tcPr>
            <w:tcW w:w="10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(332,819)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income: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708,882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340,465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1,193,551</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5"/>
              <w:spacing w:after="0"/>
              <w:rPr>
                <w:sz w:val="20"/>
                <w:szCs w:val="20"/>
                <w:color w:val="auto"/>
              </w:rPr>
            </w:pPr>
            <w:r>
              <w:rPr>
                <w:rFonts w:ascii="Arial" w:cs="Arial" w:eastAsia="Arial" w:hAnsi="Arial"/>
                <w:sz w:val="18"/>
                <w:szCs w:val="18"/>
                <w:color w:val="auto"/>
              </w:rPr>
              <w:t>(144,675)</w:t>
            </w:r>
          </w:p>
        </w:tc>
        <w:tc>
          <w:tcPr>
            <w:tcW w:w="240" w:type="dxa"/>
            <w:vAlign w:val="bottom"/>
          </w:tcPr>
          <w:p>
            <w:pPr>
              <w:spacing w:after="0"/>
              <w:rPr>
                <w:sz w:val="19"/>
                <w:szCs w:val="19"/>
                <w:color w:val="auto"/>
              </w:rPr>
            </w:pPr>
          </w:p>
        </w:tc>
        <w:tc>
          <w:tcPr>
            <w:tcW w:w="1220" w:type="dxa"/>
            <w:vAlign w:val="bottom"/>
            <w:gridSpan w:val="2"/>
          </w:tcPr>
          <w:p>
            <w:pPr>
              <w:jc w:val="right"/>
              <w:ind w:right="194"/>
              <w:spacing w:after="0"/>
              <w:rPr>
                <w:sz w:val="20"/>
                <w:szCs w:val="20"/>
                <w:color w:val="auto"/>
              </w:rPr>
            </w:pPr>
            <w:r>
              <w:rPr>
                <w:rFonts w:ascii="Arial" w:cs="Arial" w:eastAsia="Arial" w:hAnsi="Arial"/>
                <w:sz w:val="18"/>
                <w:szCs w:val="18"/>
                <w:color w:val="auto"/>
              </w:rPr>
              <w:t>(109,457)</w:t>
            </w:r>
          </w:p>
        </w:tc>
        <w:tc>
          <w:tcPr>
            <w:tcW w:w="200" w:type="dxa"/>
            <w:vAlign w:val="bottom"/>
          </w:tcPr>
          <w:p>
            <w:pPr>
              <w:spacing w:after="0"/>
              <w:rPr>
                <w:sz w:val="19"/>
                <w:szCs w:val="19"/>
                <w:color w:val="auto"/>
              </w:rPr>
            </w:pPr>
          </w:p>
        </w:tc>
        <w:tc>
          <w:tcPr>
            <w:tcW w:w="1240" w:type="dxa"/>
            <w:vAlign w:val="bottom"/>
            <w:gridSpan w:val="2"/>
          </w:tcPr>
          <w:p>
            <w:pPr>
              <w:jc w:val="right"/>
              <w:ind w:right="205"/>
              <w:spacing w:after="0"/>
              <w:rPr>
                <w:sz w:val="20"/>
                <w:szCs w:val="20"/>
                <w:color w:val="auto"/>
              </w:rPr>
            </w:pPr>
            <w:r>
              <w:rPr>
                <w:rFonts w:ascii="Arial" w:cs="Arial" w:eastAsia="Arial" w:hAnsi="Arial"/>
                <w:sz w:val="18"/>
                <w:szCs w:val="18"/>
                <w:color w:val="auto"/>
              </w:rPr>
              <w:t>(245,412)</w:t>
            </w:r>
          </w:p>
        </w:tc>
        <w:tc>
          <w:tcPr>
            <w:tcW w:w="260" w:type="dxa"/>
            <w:vAlign w:val="bottom"/>
          </w:tcPr>
          <w:p>
            <w:pPr>
              <w:spacing w:after="0"/>
              <w:rPr>
                <w:sz w:val="19"/>
                <w:szCs w:val="19"/>
                <w:color w:val="auto"/>
              </w:rPr>
            </w:pPr>
          </w:p>
        </w:tc>
        <w:tc>
          <w:tcPr>
            <w:tcW w:w="1080" w:type="dxa"/>
            <w:vAlign w:val="bottom"/>
            <w:gridSpan w:val="2"/>
          </w:tcPr>
          <w:p>
            <w:pPr>
              <w:jc w:val="right"/>
              <w:ind w:right="85"/>
              <w:spacing w:after="0"/>
              <w:rPr>
                <w:sz w:val="20"/>
                <w:szCs w:val="20"/>
                <w:color w:val="auto"/>
              </w:rPr>
            </w:pPr>
            <w:r>
              <w:rPr>
                <w:rFonts w:ascii="Arial" w:cs="Arial" w:eastAsia="Arial" w:hAnsi="Arial"/>
                <w:sz w:val="18"/>
                <w:szCs w:val="18"/>
                <w:color w:val="auto"/>
              </w:rPr>
              <w:t>(109,457)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b w:val="1"/>
                <w:bCs w:val="1"/>
                <w:color w:val="auto"/>
              </w:rPr>
              <w:t>Net Income (Loss)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(50,445)</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124,945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(79,686)</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(40,145)</w:t>
            </w:r>
          </w:p>
        </w:tc>
        <w:tc>
          <w:tcPr>
            <w:tcW w:w="0" w:type="dxa"/>
            <w:vAlign w:val="bottom"/>
          </w:tcPr>
          <w:p>
            <w:pPr>
              <w:spacing w:after="0"/>
              <w:rPr>
                <w:sz w:val="1"/>
                <w:szCs w:val="1"/>
                <w:color w:val="auto"/>
              </w:rPr>
            </w:pPr>
          </w:p>
        </w:tc>
      </w:tr>
      <w:tr>
        <w:trPr>
          <w:trHeight w:val="21"/>
        </w:trPr>
        <w:tc>
          <w:tcPr>
            <w:tcW w:w="4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7,783,551</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87"/>
              </w:rPr>
              <w:t>(1)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7,070,173</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5"/>
                <w:szCs w:val="15"/>
                <w:color w:val="auto"/>
                <w:w w:val="87"/>
              </w:rPr>
              <w:t>(1)</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7,783,163</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87"/>
              </w:rPr>
              <w:t>(1)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7,426,344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7,783,551</w:t>
            </w:r>
          </w:p>
        </w:tc>
        <w:tc>
          <w:tcPr>
            <w:tcW w:w="340" w:type="dxa"/>
            <w:vAlign w:val="bottom"/>
          </w:tcPr>
          <w:p>
            <w:pPr>
              <w:jc w:val="right"/>
              <w:ind w:right="85"/>
              <w:spacing w:after="0"/>
              <w:rPr>
                <w:sz w:val="20"/>
                <w:szCs w:val="20"/>
                <w:color w:val="auto"/>
              </w:rPr>
            </w:pPr>
            <w:r>
              <w:rPr>
                <w:rFonts w:ascii="Arial" w:cs="Arial" w:eastAsia="Arial" w:hAnsi="Arial"/>
                <w:sz w:val="15"/>
                <w:szCs w:val="15"/>
                <w:color w:val="auto"/>
                <w:w w:val="87"/>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21,321,280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7,783,163</w:t>
            </w:r>
          </w:p>
        </w:tc>
        <w:tc>
          <w:tcPr>
            <w:tcW w:w="320" w:type="dxa"/>
            <w:vAlign w:val="bottom"/>
          </w:tcPr>
          <w:p>
            <w:pPr>
              <w:jc w:val="right"/>
              <w:ind w:right="65"/>
              <w:spacing w:after="0"/>
              <w:rPr>
                <w:sz w:val="20"/>
                <w:szCs w:val="20"/>
                <w:color w:val="auto"/>
              </w:rPr>
            </w:pPr>
            <w:r>
              <w:rPr>
                <w:rFonts w:ascii="Arial" w:cs="Arial" w:eastAsia="Arial" w:hAnsi="Arial"/>
                <w:sz w:val="15"/>
                <w:szCs w:val="15"/>
                <w:color w:val="auto"/>
                <w:w w:val="87"/>
              </w:rPr>
              <w:t>(1)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7,426,334</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
        </w:trPr>
        <w:tc>
          <w:tcPr>
            <w:tcW w:w="4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b w:val="1"/>
                <w:bCs w:val="1"/>
                <w:color w:val="auto"/>
              </w:rPr>
              <w:t>(0.01)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b w:val="1"/>
                <w:bCs w:val="1"/>
                <w:color w:val="auto"/>
              </w:rPr>
              <w:t>(0.01)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(0.01)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(0.01)</w:t>
            </w:r>
          </w:p>
        </w:tc>
        <w:tc>
          <w:tcPr>
            <w:tcW w:w="260" w:type="dxa"/>
            <w:vAlign w:val="bottom"/>
          </w:tcPr>
          <w:p>
            <w:pPr>
              <w:spacing w:after="0"/>
              <w:rPr>
                <w:sz w:val="18"/>
                <w:szCs w:val="18"/>
                <w:color w:val="auto"/>
              </w:rPr>
            </w:pPr>
          </w:p>
        </w:tc>
        <w:tc>
          <w:tcPr>
            <w:tcW w:w="10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7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number excludes an aggregate of up to 16,104,738 shares and 16,127,226 shares subject to possible redemption at June 30, 2018 and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rPr>
              <w:t>INTERNATIONAL MONEY EXPRESS,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(formerly known as FINTECH ACQUISITION CORP. II)</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earned on held-to-maturity securities held in Trust Account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(256,369)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5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(1,359,473)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deposited into Trust Account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withdrawn from Trust Account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684,143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658,551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(175,000,000)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171,940,000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sale of Placement Units</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 from issuance of common stock to Initial Stockholders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Advances from related party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Repayment of promissory note – related party</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(231,846)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5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390,000</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175,447,687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(310,922)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362,581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 Ending of period</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51,659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163,746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underwriting fees charged to additional paid in capital</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Deferred legal fees charged to additional paid in capital</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161,314,270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(79,680)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International Money Express, Inc. (formerly known as FinTech Acquisition Corp. II) (the “Company”), was incorporated in Delaware on May 28, 2015 as a blank check company. The Company was formed for the purpose of acquiring, through a merger, capital stock exchange, asset acquisition, stock purchase, reorganization or other similar business transaction, one or more operating businesses or assets (a “Business Combination”). In connection with the acquisition (the “Acquisition”) of Intermex Holdings II, Inc. (“Intermex”) (see Note 7), the Company formed two wholly-owned subsidiaries, FinTech II Merger Sub Inc., which was incorporated in Delaware in November 2017 (“Merger Sub I”), and FinTech II Merger Sub 2 LLC, which was formed in Delaware in November 2017 (“Merger Sub II”). Both Merger Sub I and Merger Sub II did not have any activity as of June 30, 2018. The Company has neither engaged in any operations nor generated operating revenues to date.</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June 30, 2018, the Company had not yet commenced operations. All activity through June 30, 2018 relates to the Company’s formation and its initial public offering of 17,500,000 units (the “Initial Public Offering”), the sale of 420,000 units (the “Placement Units”) in a private placement to the Company’s sponsor, FinTech Investors Holding II, LLC (the “Sponsor”), and Cantor Fitzgerald &amp; Co., the representative of the underwriters for the Initial Public Offering (“Cantor”), identifying a target company for a Business Combination and activities in connection with the Acquisition, described in Note 7. The Business Combination was consummated on July 26, 2018. In connection with the consummation of the Business Combination, the Company changed its name from “FinTech Acquisition Corp. II” to “International Money Express, Inc.”</w:t>
      </w:r>
    </w:p>
    <w:p>
      <w:pPr>
        <w:spacing w:after="0" w:line="201" w:lineRule="exact"/>
        <w:rPr>
          <w:sz w:val="20"/>
          <w:szCs w:val="20"/>
          <w:color w:val="auto"/>
        </w:rPr>
      </w:pPr>
    </w:p>
    <w:p>
      <w:pPr>
        <w:ind w:right="654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10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 for the year ended December 31, 2017 as filed with the SEC on March 15, 2018, which contains the audited financial statements and notes thereto. The financial information as of December 31, 2017 is derived from the audited financial statements presented in the Company’s Annual Report on Form 10-K for the year ended December 31, 2017. The interim results for the three and six months ended June 30, 2018 are not indicative of the results to be expected for the year ending December 31, 2018 or for any future interim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All significant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420"/>
          </w:cols>
          <w:pgMar w:left="240" w:top="121" w:right="239" w:bottom="939"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39"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2018 and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held-to-maturity securities held in Trust Account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and December 31, 2017, the assets held in the Trust Account were held in cash and U.S. Treasury Bills.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Prior to the consummation of the Merger, the Company’s common stock featured certain redemption rights that are considered to be outside of the Company’s control and subject to occurrence of uncertain future events. Accordingly, at June 30, 2018 and December 31, 2017, 16,104,738 and 16,112,706 shares of common stock subject to possible redemption, respectively, are presented as temporary equity, outside of the stockholders’ equity section on the Company’s condensed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Offering costs consist principally of legal, accounting and underwriting costs incurred that were directly related to the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amounting to $12,912,088 were charged to stockholders’ equity upon completion of the Initial Public Offering.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30, 2018 and December 31, 2017. The Company is currently not aware of any issues under review that could result in significant payments, accruals or material deviation from its position.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income (loss) per common share is computed by dividing net income (loss) by the weighted average number of common shares outstanding for the period. Shares of common stock subject to possible redemption at June 30, 2018 and 2017 have been excluded from the calculation of basic income (loss) per share since such shares, if redeemed, only participate in their pro rata share of the earnings on the assets held in the trust account (the “Trust Account”). The Company has not considered the effect of warrants to purchase 8,960,000 shares of common stock in the calculation of diluted income (loss) per share, since the exercise of the warrants was contingent upon the occurrence of future events, including the consummation of a Business Combination. Diluted net income per share for the three months ended June 30, 2017 includes the effect of 21,321,280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coverage of $250,000. At June 30, 2018 and December 31, 2017, the Company had not experienced losses on this account and management believes the Company is not exposed to significant risks on such account.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Measurements and Disclosures,” approximates the carrying amounts represented in the accompanying condensed consolidated balance sheets, primarily due to their short-term nature.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consolidated financial statements.</w:t>
      </w:r>
    </w:p>
    <w:p>
      <w:pPr>
        <w:spacing w:after="0" w:line="193" w:lineRule="exact"/>
        <w:rPr>
          <w:sz w:val="20"/>
          <w:szCs w:val="20"/>
          <w:color w:val="auto"/>
        </w:rPr>
      </w:pPr>
    </w:p>
    <w:p>
      <w:pPr>
        <w:ind w:right="82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28, 2015, the Company issued an aggregate of 5,298,333 shares of common stock to the Sponsor and certain other stockholders of the Company (the “Initial Stockholders” and, with respect to the shares of common stock issued, the “Founder Shares”) for an aggregate purchase price of $25,000. In January 2017, the Company issued an additional 701,667 Founder Shares for an aggregate purchase price of $3,311. As such, total Founder Shares of 6,000,000 included an aggregate of up to 760,000 shares subject to forfeiture by the Initial Stockholders to the extent that the underwriters’ over-allotment was not exercised in full or in part, so that the Initial Stockholders would collectively own 25% of the Company’s issued and outstanding shares after the Initial Public Offering. As a result of the underwriters’ election to exercise their over-allotment option to purchase 2,200,000 Units on January 25, 2017 and waiver of the remainder of their over-allotment option, 733,333 Founder Shares were no longer subject to forfeiture and 26,667 Founder Shares were forfeited. Accordingly, a total of 5,973,333 Founder Shares were outstanding as of June 30, 2018 and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order to finance transaction costs in connection with a Business Combination, the Sponsor has committed to loan the Company funds as may be required up to a maximum of $1,100,000 (“Working Capital Loans”), which will be repaid upon the consummation of a Business Combination. However, if the Company does not consummate a Business Combination, the Company may use funds held outside the Trust Account to repay the Working Capital Loans; however, no proceeds from the Trust Account may be used for such repayment, other than interest income earned thereon in an amount, when taken together with amounts released to the Company for working capital purposes, that does not exceed $500,000. If such funds are insufficient to repay the Working Capital Loans, the unpaid amounts would be forgiven. Any part or all of the Working Capital Loans may be converted into additional warrants at $0.75 per one-half of one warrant (warrants to purchase a maximum of 733,333 whole shares if the full $1,100,000 is loaned and that amount is converted into warrants) of the post-Business Combination entity at the option of the Sponsor. The warrants would be identical to the warrants included in the Private Units (the “Placement Warrants”). There were Working Capital Loans outstanding as of June 30, 2018 and December 31, 2017 in the amount of $390,000 and $0, respectively. As of June 30, 2018, $275,000 of the Working Capital Loans are classified as advances from related party in the accompanying condensed balance sheet and $115,000 of the Working Capital Loans are classified as promissory note – related party in the accompanying condensed balance sheet. Upon the closing of the Business Combination on July 26, 2018, the Working Capital Loans were settled in cash for an aggregate amount of $390,000.</w:t>
      </w:r>
    </w:p>
    <w:p>
      <w:pPr>
        <w:sectPr>
          <w:pgSz w:w="11900" w:h="16838" w:orient="portrait"/>
          <w:cols w:equalWidth="0" w:num="1">
            <w:col w:w="11420"/>
          </w:cols>
          <w:pgMar w:left="240" w:top="121" w:right="239" w:bottom="1074"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074"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7780" w:firstLine="8"/>
        <w:spacing w:after="0" w:line="53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Registration Rights</w:t>
      </w:r>
    </w:p>
    <w:p>
      <w:pPr>
        <w:spacing w:after="0" w:line="1" w:lineRule="exact"/>
        <w:rPr>
          <w:sz w:val="20"/>
          <w:szCs w:val="20"/>
          <w:color w:val="auto"/>
        </w:rPr>
      </w:pPr>
    </w:p>
    <w:p>
      <w:pPr>
        <w:jc w:val="both"/>
        <w:ind w:firstLine="711"/>
        <w:spacing w:after="0" w:line="255" w:lineRule="auto"/>
        <w:rPr>
          <w:sz w:val="20"/>
          <w:szCs w:val="20"/>
          <w:color w:val="auto"/>
        </w:rPr>
      </w:pPr>
      <w:r>
        <w:rPr>
          <w:rFonts w:ascii="Arial" w:cs="Arial" w:eastAsia="Arial" w:hAnsi="Arial"/>
          <w:sz w:val="18"/>
          <w:szCs w:val="18"/>
          <w:color w:val="auto"/>
        </w:rPr>
        <w:t>Pursuant to a registration rights agreement entered into on January 19, 2017, the holders of the shares of common stock issued to certain of the Company’s initial stockholders (the “Founder Shares”), Placement Units (including any securities contained therein) and the warrants that may be issued upon conversion of the Working Capital Loans (and any shares of common stock issuable upon the exercise of the Placement Warrants or the warrants issued upon conversion of the Working Capital Loans) are entitled to certain customary registration rights. The Company will bear the expenses incurred in connection with the filing of any such registration statements. In connection with the Acquisition, the Company entered into a new registration agreement and the existing registration rights agreement was terminated.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underwriters in our Initial Public Offering were paid a cash underwriting discount of two percent (2.0%) of the gross proceeds of the Initial Public Offering, or $3,060,000. In addition, the underwriters are entitled to a deferred fee of (i) five percent (5.0%) of the gross proceeds of the Initial Public Offering, excluding any amounts raised pursuant to the overallotment option, and (ii) seven percent (7.0%) of the gross proceeds of the Units sold in the Initial Public Offering pursuant to the overallotment option, or an aggregate of $9,190,000. Upon the Closing on July 26, 2018, the deferred fee owed to the underwriters was settled in cash from the amounts held in the Trust Account in the amount of $8.9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Legal Fees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was obligated to pay its attorneys a deferred legal fee of $25,000 upon consummation of a Business Combination or dissolution of the Company if a Business Combination was not completed within the Combination Period. Accordingly, the Company recorded $25,000 as deferred legal fees payable in the accompanying condensed consolidated balance sheet at June 30, 2018 and December 31, 2017. Upon the Closing on July 26, 2018, the deferred legal fee was settled in cash from the amounts held in the Trust Account.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As of June 30, 2018, the Company was authorized to issue 5,000,000 shares of preferred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with such designations, rights and preferences as may be determined from time to time by the Company’s Board of Directors. At June 30, 2018 and December 31, 2017, there were no shares of preferred stock issued or outstanding.</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35,000,000 shares of common stock with a par value of $0.0001 per share. Holders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are entitled to one vote for each common share. At June 30, 2018 and December 31, 2017, there were 7,788,595 and 7,780,627 shares of common stock issued and outstanding, respectively (excluding 16,104,738 and 16,112,706 shares of common stock subject to possible redemption, respectively). On July 20, 2018, the Company’s stockholders approved an increase in the number of authorized shares to 200,000,000 shares of common stock.</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In its Initial Public Offering completed on January 25, 2017, the Company sold 17,500,000 Units at a purchase price of $10.00 per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Unit consisted of one share of the Company’s common stock and one-half of one whole warrant (each, a “Public Warrant”) to purchase one share of the Company’s common stock exercisable at $11.50. Following the Closing, the Public warrants have been separated from the shares of common stock and trade separately. Public Warrants may only be exercised for a whole number of shares. No fractional shares will be issued upon exercise of the Public Warrants. The Public Warrants will become exercisable on August 25, 2018; provided that in each case the Company has an effective registration statement under the Securities Act covering the shares of common stock issuable upon exercise of the Public Warrants and a current prospectus relating to them is available. The Company has agreed that as soon as practicable, but in no event later than 20 business days after the closing of a Business Combination,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the Company’s common stock is at the time of any exercise of a warrant not listed on a national securities exchange such that it satisfies the definition of a “covered security” under the Securities Act, the Company, at its option, may require holders of Public Warrants who exercise their warrants to do so on a “cashless basis” in accordance with Section 3(a)(9) of the Securities Act and, in the event the Company so elects, the Company will not be required to file or maintain in effect a registration statement. The Public Warrants will expire on July 26, 2023 or earlier upon redemption or liquidation.</w:t>
      </w:r>
    </w:p>
    <w:p>
      <w:pPr>
        <w:sectPr>
          <w:pgSz w:w="11900" w:h="16838" w:orient="portrait"/>
          <w:cols w:equalWidth="0" w:num="1">
            <w:col w:w="11420"/>
          </w:cols>
          <w:pgMar w:left="240" w:top="121"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Simultaneous with the Initial Public Offering, the Sponsor and Cantor purchased an aggregate of 420,000 Placement Units at a purchase price of $10.00 per Unit. Each Placement Unit consists of one share of common stock and one-half of one warrant (each, a “Placement Warrant”) to purchase one share of the Company’s common stock exercisable at $11.50. The Placement Warrants are identical to the Public Warrants underlying the Units sold in the Initial Public Offering, except that the Placement Warrants and the common stock issuable upon the exercise of the Placement Warrants is not transferable, assignable or salable until 30 days after the completion of a Business Combination, subject to certain limited exceptions.</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the Placement Warrants will be non-redeemable so long as they are held by the Sponsor, Cantor or their permitted transferees. If the Placement Warrants are held by someone other than the Sponsor, Cantor or their permitted transferees, the Placement Warrants will be redeemable by the Company and exercisable by such holders on the same basis as the Public Warrants. In addition, for as long as the Placement Warrants are held by Cantor or its designees or affiliates, they may not be exercised after five years from the effective date of the registration statement for the Initial Public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redeem the Public Warrants (except as described above with respect to the Placement Warrants):</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$24.00 per share for any 20 trading days within a 30-trading day period ending on the third trading day prior to the date on which the Company sends the notice of redemption to the warrant holders; and</w:t>
      </w:r>
    </w:p>
    <w:p>
      <w:pPr>
        <w:spacing w:after="0" w:line="1" w:lineRule="exact"/>
        <w:rPr>
          <w:rFonts w:ascii="Arial" w:cs="Arial" w:eastAsia="Arial" w:hAnsi="Arial"/>
          <w:sz w:val="18"/>
          <w:szCs w:val="18"/>
          <w:color w:val="auto"/>
        </w:rPr>
      </w:pPr>
    </w:p>
    <w:p>
      <w:pPr>
        <w:ind w:left="980" w:right="100" w:hanging="324"/>
        <w:spacing w:after="0" w:line="32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Accounting Standards Codification (“ASC”) 320 “Investments - Debt and Equity Securities.” Held-to-maturity securities are those securities which the Company has the ability and intent to hold until maturity. Held-to-maturity treasury securities are recorded at amortized cost on the accompanying condensed consolidated balance sheet and adjusted for the amortization or accretion of premiums or discounts.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held in the Trust Account amounted to $261,580 and $6,050 at June 30, 2018 and December 31, 2017,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holding gains and fair value of held-to-maturity securities at June 30, 2018 and December 31, 2017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00" w:type="dxa"/>
            <w:vAlign w:val="bottom"/>
          </w:tcPr>
          <w:p>
            <w:pPr>
              <w:ind w:left="1760"/>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4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 (Mature on 7/12/2018)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176,156,606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176,167,162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(Mature on 1/18/2018)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175,877,136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175,796,330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0" w:lineRule="exact"/>
        <w:rPr>
          <w:sz w:val="20"/>
          <w:szCs w:val="20"/>
          <w:color w:val="auto"/>
        </w:rPr>
      </w:pPr>
    </w:p>
    <w:p>
      <w:pPr>
        <w:ind w:left="1460" w:right="440" w:hanging="809"/>
        <w:spacing w:after="0" w:line="342" w:lineRule="auto"/>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460" w:right="420" w:hanging="809"/>
        <w:spacing w:after="0" w:line="277" w:lineRule="auto"/>
        <w:tabs>
          <w:tab w:leader="none" w:pos="144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at fair value as of June 30, 2018 and December 31, 2017, and indicates the fair value hierarchy of the valuation inputs the Company utilized to determine such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3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 held in Trust Account</w:t>
            </w:r>
          </w:p>
        </w:tc>
        <w:tc>
          <w:tcPr>
            <w:tcW w:w="12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176,167,162</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175,796,330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MERGER</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26, 2018 (the “Closing Date”), FinTech consummated the previously announced transactions contemplated by the Merger Agreement, dated as of December 19, 2017, by and among FinTech, Merger Sub 1, Merger Sub 2, Intermex and SPC Intermex. The Merger Agreement provided for the acquisition of Intermex by FinTech pursuant to the merger of Intermex with and into Merger Sub 1 (the “First Merger”), with Intermex continuing as the surviving entity, and immediately following the consummation of the First Merger, the merger of Intermex with and into Merger Sub 2, with Merger Sub 2 continuing as the surviving entity (such merger together with the First Merger, the “Merger”).</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Merger, each outstanding share of Intermex common stock (“Intermex Common Stock”) converted into the right to receive a combination of cash and shares of the Company’s common stock, as calculated pursuant to the terms of the Merger Agreement.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Closing, the aggregate consideration paid by the Company in the Merger consisted of (i) $102,000,000 in cash ($2,000,000 of which was placed in escrow at closing as security for working capital adjustments) and (ii) 17.2 million shares of the Company’s common stock. The cash consideration was funded from the cash held in the Company’s Trust Account after permitted redemptions.</w:t>
      </w: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FINTECH ACQUISITION CORP. 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Closing, the Company redeemed a total of 4,938,232 shares of its common stock at a redemption price of $10.086957 per share pursuant to the terms of the Company’s amended and restated certificate of incorporation, resulting in a total payment to redeeming stockholders of $49,811,734.</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consummation of the Merger, the Company entered into a registration rights agreement and a shareholders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consolidated financial statements were issued. Other than as described in Notes 5 and 7, the Company did not identify any subsequent events that would have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in this report to “we,” “us,” “our” or the “Company” refer to International Money Express, Inc. (formerly known as FinTech Acquisition Corp. II). References to our “management” or our “management team” refer to our officers and directors, and references to the “Sponsor” refer to FinTech Investor Holdings II, LLC. The following discussion and analysis of our financial condition and results of operations should be read in conjunction with the condensed consolidated financial statements and the notes thereto contained elsewhere in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Quarterly Report on Form 10-Q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our Annual Report on Form 10-K filed with the U.S. Securities and Exchange Commission (the “SEC”). Our securities filings can be accessed on the EDGAR section of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Except as expressly required by applicable securities law, the Company disclaims any intention or obligation to update or revise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2018, we were a blank check company incorporated on May 28, 2015 as a Delaware corporation formed for the purpose of effecting a merger, capital stock exchange, asset acquisition, stock purchase, reorganization or similar business combination with one or more businesses (a “Business Combination”). We intend to use cash from the proceeds of our Initial Public Offering and the private placement of our Units that occurred simultaneously with the completion of the Initial Public Offering (the “Private Placement”), our capital stock, debt or a combination of cash, stock and debt to effectuate our initial Business Combination. The Business Combination was consummated on July 26,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26, 2018 (the “Closing Date”), we consummated the previously announced transactions contemplated by the Merger Agreement, dated as of December 19, 2017, which provides for the acquisition (the “Acquisition”) of Intermex by us pursuant to the Merger. See Note 7 to our Condensed Consolidated Financial Statements – Merger, for a description of the terms of the Merger Agreement.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Merger on July 26, 2018, each outstanding share of Intermex Common Stock was converted into the right to receive a combination of cash and shares of our common stock, as calculated pursuant to the terms of the Merger Agreement.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Closing, the aggregate consideration paid by us in the Merger consisted of (i) $102,000,000 in cash ($2,000,000 of which was placed in escrow at closing as security for working capital adjustments) and (ii) 17.2 million shares of our common stock. The cash consideration was funded from the cash held in our Trust Account after permitted redemptions.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neither engaged in any operations nor generated any revenues as of June 30, 2018. Our only activities from inception to June 30, 2018 have been organizational activities, preparation for and consummation of our Initial Public Offering identifying a target company for a Business Combination and activities in connection with the Acquisition. We do not expect to generate any operating revenues prior to the completion of our initial Business Combination.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consummation of our Initial Public Offering on January 25, 2017, we deposited $175,000,000 of the gross proceeds of the Initial Public Offering and Private Placement into a trust account (the “Trust Account”). Funds in the Trust Account are invested in U.S. government treasury bills with a maturity of 180 days or less or money market funds investing solely in U.S. treasuries and meeting the conditions specified in Rule 2a-7 under the Investment Company Act of 1940, as amended (the “Investment Company Act”). Following our Initial Public Offering we have generated, and expect to continue to generate, non-operating income in the form of interest income on cash and marketable securities held in the Trust Account. We expect to incur increased operating expenses as a result of being a public company (for legal, financial reporting, accounting and auditing compliance), as well as for due diligence expenses relating to an initial Business Combination.</w:t>
      </w:r>
    </w:p>
    <w:p>
      <w:pPr>
        <w:sectPr>
          <w:pgSz w:w="11900" w:h="16838" w:orient="portrait"/>
          <w:cols w:equalWidth="0" w:num="1">
            <w:col w:w="11420"/>
          </w:cols>
          <w:pgMar w:left="240" w:top="122"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months ended June 30, 2018, we had a net loss of $50,445 and $79,686, respectively, which consists of operating costs of $614,652 and $1,027,825, respectively, and a provision for income taxes of $144,675 and $245,412, respectively, offset by interest income on cash and marketable securities held in the Trust Account of $708,882 and $1,193,551, respectively.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2017, we had net income of $124,945, which consists of interest income on marketable securities held in the Trust Account of $340,465, offset by operating costs of $106,063 and a provision for income taxes of $109,457.</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2017, we had a net loss of $40,145, which consists of operating costs of $332,819, interest income on marketable securities held in the Trust Account of $402,131 and a provision for income taxes of $109,457.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the consummation of the Initial Public Offering on January 25, 2017, our only source of liquidity was the sale of 6,000,000 shares (the “Founder Shares”) of our common stock (“Common Stock”) to our Sponsor and certain of our initial stockholders for an aggregate purchase price of $28,311, and monies loaned to us by our Sponsor to fund organizational costs and expenses in connection with our Initial Public Offering. As of December 31, 2017, all such loans from the sponsor were repaid.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2017, we consummated the Initial Public Offering of 17,500,000 Units at a price of $10.00 per Unit generating gross proceeds of $175,000,000. Simultaneously with the closing of the Initial Public Offering, we sold an aggregate of 420,000 Units (the “Placement Units”) in the Private Placement for an aggregate purchase price of $4,200,000, or $10.00 per Unit, to the Sponsor (390,000 Units) and Cantor Fitzgerald &amp; Co. (30,000 Units), the underwriter for the Initial Public Offering, pursuant to an exemption from registration contained in Section 4(a)(2) of the Securities Act. Each Placement Unit consists of one share of common stock and one-half of one warrant to purchase one share of common stock at an exercise price of $11.50 per share, subject to adjustment (a “Placement Warrant”). Following the Initial Public Offering, $175,000,000 of the gross proceeds of the Initial Public Offering and the Private Placement were placed into the Trust Account.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we had cash of $51,659 held outside the Trust Account. At June 30, 2018, we had $928,157 of accounts payable, accrued expenses and income taxes payable, $275,000 in advances from a related party, $115,000 in promissory notes to a related party, $25,000 of deferred legal fees payable relating to the Initial Public Offering and $9,190,000 of deferred underwriting fees. As of June 30, 2018, the deferred underwriting fees were held in the Trust Account.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we had cash and marketable securities held in the Trust Account of $176,418,186 (including approximately $1,418,000 of interest income) consisting of U.S. treasury bills with a maturity of 180 days or less. Interest income on the balance in the Trust Account may be used by us for working capital purposes (not to exceed $500,000 in the aggregate) and to pay taxes or any dissolution expenses. Through June 30, 2018, we have withdrawn approximately $1,184,000 from the interest earned on the Trust Account.</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June 30, 2018, cash used in operating activities was $1,359,473, consisting primarily of a net loss of $79,686, changes in operating assets and liabilities of $86,236 and interest earned on cash and marketable securities held in the Trust Account of $1,193,551.</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2017, cash used in operating activities was $366,555, consisting primarily of a net loss of $40,145 and interest earned on cash and marketable securities held in the Trust Account of $402,131. Changes in operating assets and liabilities provided $75,721 of cash for operating activities.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substantially all of the funds held in the Trust Account to complete our Business Combination on July 26, 2018. Funds held in the Trust Account were also used to fund the redemption of common stock.</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Sponsor committed to loan us funds from time to time of up to a maximum of $1,100,000 to finance transaction costs in connection with an initial Business Combination and for working capital requirements following our Initial Public Offering. See Note 3 to our Condensed Consolidated Financial Statements - Related Party Transactions, for a description of the terms of this loan. As of June 30, 2018, $275,000 in advances were outstanding and $115,000 in loans were outstanding. Upon the closing of the Business Combination on July 26, 2018, the advances and loans were settled in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condensed consolidated financial statements and related disclosures in conformity with accounting principles generally accepted in the United States (“GAAP”)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The Company has identified the following critical accounting policy: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shares outstanding for the period. Shares of common stock subject to possible redemption at June 30, 2018 and 2017 have been excluded from the calculation of basic loss per share since such shares, if redeemed, only participate in their pro rata share of the Trust Account earnings. We have not considered the effect of warrants to purchase 8,960,000 shares of common stock in the calculation of diluted loss per share, since the exercise of the warrants is contingent upon the occurrence of future events. Diluted net income per share for the three months ended June 30, 2017 includes the effect of 21,321,280 shares of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risk is the sensitivity of income to changes in interest rates, foreign exchanges, commodity prices, equity prices and other market driven rates or prices. We were incorporated as a blank check company on May 28, 2015 as a Delaware corporation formed for the purpose of effecting a Business Combination with one or more businesses. As of June 30, 2018, we were not engaged in any substantive commercial business. Accordingly, as of June 30, 2018, we were not exposed to significant risks associated with foreign exchange rates, commodity prices, equity prices or other market driven rates or prices. Given our limited risk in our exposure to government securities and money market funds, we do not view the interest rate risk to be significant.</w:t>
      </w:r>
    </w:p>
    <w:p>
      <w:pPr>
        <w:spacing w:after="0" w:line="1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our disclosure controls and procedures as of June 30, 2018. Based upon their evaluation, our Chief Executive Officer and Chief Financial Officer concluded that, as of June 30, 2018, our disclosure controls and procedures (as defined in Rules 13a-15(e) and 15d-15(e) under the Exchange Act) were effective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that could cause our actual results to differ materially from those in this report are any of the risks described in our Annual Report on Form 10-K for the year ended December 31, 2017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report, there have been no material changes to the risk factors disclosed in our Annual Report on Form 10-K filed with the SEC.</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Exhibit No.</w:t>
            </w:r>
          </w:p>
        </w:tc>
        <w:tc>
          <w:tcPr>
            <w:tcW w:w="101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center"/>
              <w:ind w:right="440"/>
              <w:spacing w:after="0" w:line="17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14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of the Chief Executive Officer required by Rule 13a-14(a) or Rule 15d-14(a)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center"/>
              <w:ind w:right="440"/>
              <w:spacing w:after="0" w:line="17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10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Certification of the Chief Financial Officer required by Rule 13a-14(a) or Rule 15d-14(a)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440"/>
              <w:spacing w:after="0" w:line="17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10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the Chief Executive Officer required by Rule 13a-14(b) or Rule 15d-14(b) and 18 U.S.C. 1350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center"/>
              <w:ind w:right="440"/>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10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Certification of the Chief Financial Officer required by Rule 13a-14(b) or Rule 15d-14(b) and 18 U.S.C.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7"/>
              </w:rPr>
              <w:t>101.INS*</w:t>
            </w:r>
          </w:p>
        </w:tc>
        <w:tc>
          <w:tcPr>
            <w:tcW w:w="10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101.CAL*</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101.SCH*</w:t>
            </w:r>
          </w:p>
        </w:tc>
        <w:tc>
          <w:tcPr>
            <w:tcW w:w="10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4"/>
              </w:rPr>
              <w:t>101.DEF*</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101.LAB*</w:t>
            </w:r>
          </w:p>
        </w:tc>
        <w:tc>
          <w:tcPr>
            <w:tcW w:w="10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3"/>
              </w:rPr>
              <w:t>101.PRE*</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45"/>
        </w:trPr>
        <w:tc>
          <w:tcPr>
            <w:tcW w:w="1280" w:type="dxa"/>
            <w:vAlign w:val="bottom"/>
            <w:gridSpan w:val="4"/>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40" w:type="dxa"/>
            <w:vAlign w:val="bottom"/>
            <w:gridSpan w:val="2"/>
          </w:tcPr>
          <w:p>
            <w:pPr>
              <w:jc w:val="right"/>
              <w:ind w:right="555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7"/>
          <w:szCs w:val="17"/>
          <w:color w:val="auto"/>
        </w:rPr>
        <w:t>By: /s/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Robert Lisy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7"/>
          <w:szCs w:val="17"/>
          <w:color w:val="auto"/>
        </w:rPr>
        <w:t>By: /s/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Tony Lauro II</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right="620" w:hanging="441"/>
        <w:spacing w:after="0" w:line="286" w:lineRule="auto"/>
        <w:tabs>
          <w:tab w:leader="none" w:pos="98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980" w:right="720" w:hanging="441"/>
        <w:spacing w:after="0" w:line="342" w:lineRule="auto"/>
        <w:tabs>
          <w:tab w:leader="none" w:pos="980"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hanging="441"/>
        <w:spacing w:after="0" w:line="264" w:lineRule="auto"/>
        <w:tabs>
          <w:tab w:leader="none" w:pos="98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8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Date: August 14, 2018</w:t>
            </w:r>
          </w:p>
        </w:tc>
        <w:tc>
          <w:tcPr>
            <w:tcW w:w="328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Lisy</w:t>
            </w:r>
          </w:p>
        </w:tc>
      </w:tr>
      <w:tr>
        <w:trPr>
          <w:trHeight w:val="202"/>
        </w:trPr>
        <w:tc>
          <w:tcPr>
            <w:tcW w:w="4260" w:type="dxa"/>
            <w:vAlign w:val="bottom"/>
          </w:tcPr>
          <w:p>
            <w:pPr>
              <w:spacing w:after="0"/>
              <w:rPr>
                <w:sz w:val="17"/>
                <w:szCs w:val="17"/>
                <w:color w:val="auto"/>
              </w:rPr>
            </w:pPr>
          </w:p>
        </w:tc>
        <w:tc>
          <w:tcPr>
            <w:tcW w:w="3280" w:type="dxa"/>
            <w:vAlign w:val="bottom"/>
          </w:tcPr>
          <w:p>
            <w:pPr>
              <w:ind w:left="2600"/>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Robert Lisy</w:t>
            </w:r>
          </w:p>
        </w:tc>
      </w:tr>
      <w:tr>
        <w:trPr>
          <w:trHeight w:val="216"/>
        </w:trPr>
        <w:tc>
          <w:tcPr>
            <w:tcW w:w="4260" w:type="dxa"/>
            <w:vAlign w:val="bottom"/>
          </w:tcPr>
          <w:p>
            <w:pPr>
              <w:spacing w:after="0"/>
              <w:rPr>
                <w:sz w:val="18"/>
                <w:szCs w:val="18"/>
                <w:color w:val="auto"/>
              </w:rPr>
            </w:pPr>
          </w:p>
        </w:tc>
        <w:tc>
          <w:tcPr>
            <w:tcW w:w="328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5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right="620" w:hanging="486"/>
        <w:spacing w:after="0" w:line="286"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980" w:right="720" w:hanging="486"/>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hanging="486"/>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80" w:hanging="486"/>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Date: August 14, 2018</w:t>
            </w:r>
          </w:p>
        </w:tc>
        <w:tc>
          <w:tcPr>
            <w:tcW w:w="3320" w:type="dxa"/>
            <w:vAlign w:val="bottom"/>
          </w:tcPr>
          <w:p>
            <w:pPr>
              <w:ind w:left="26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Lauro II</w:t>
            </w:r>
          </w:p>
        </w:tc>
      </w:tr>
      <w:tr>
        <w:trPr>
          <w:trHeight w:val="202"/>
        </w:trPr>
        <w:tc>
          <w:tcPr>
            <w:tcW w:w="4240" w:type="dxa"/>
            <w:vAlign w:val="bottom"/>
          </w:tcPr>
          <w:p>
            <w:pPr>
              <w:spacing w:after="0"/>
              <w:rPr>
                <w:sz w:val="17"/>
                <w:szCs w:val="17"/>
                <w:color w:val="auto"/>
              </w:rPr>
            </w:pPr>
          </w:p>
        </w:tc>
        <w:tc>
          <w:tcPr>
            <w:tcW w:w="332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Tony Lauro II</w:t>
            </w:r>
          </w:p>
        </w:tc>
      </w:tr>
      <w:tr>
        <w:trPr>
          <w:trHeight w:val="216"/>
        </w:trPr>
        <w:tc>
          <w:tcPr>
            <w:tcW w:w="4240" w:type="dxa"/>
            <w:vAlign w:val="bottom"/>
          </w:tcPr>
          <w:p>
            <w:pPr>
              <w:spacing w:after="0"/>
              <w:rPr>
                <w:sz w:val="18"/>
                <w:szCs w:val="18"/>
                <w:color w:val="auto"/>
              </w:rPr>
            </w:pPr>
          </w:p>
        </w:tc>
        <w:tc>
          <w:tcPr>
            <w:tcW w:w="3320" w:type="dxa"/>
            <w:vAlign w:val="bottom"/>
          </w:tcPr>
          <w:p>
            <w:pPr>
              <w:ind w:left="262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01"/>
        </w:trPr>
        <w:tc>
          <w:tcPr>
            <w:tcW w:w="4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Lisy, President and Chief Executive Officer of International Money Express, Inc. (the “Company”), certify, pursuant to 18 U.S.C. Section 1350, that, to my knowledge:</w:t>
      </w:r>
    </w:p>
    <w:p>
      <w:pPr>
        <w:spacing w:after="0" w:line="197" w:lineRule="exact"/>
        <w:rPr>
          <w:sz w:val="20"/>
          <w:szCs w:val="20"/>
          <w:color w:val="auto"/>
        </w:rPr>
      </w:pPr>
    </w:p>
    <w:p>
      <w:pPr>
        <w:ind w:left="500" w:right="14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2018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Date: August 14, 2018</w:t>
            </w:r>
          </w:p>
        </w:tc>
        <w:tc>
          <w:tcPr>
            <w:tcW w:w="3320" w:type="dxa"/>
            <w:vAlign w:val="bottom"/>
          </w:tcPr>
          <w:p>
            <w:pPr>
              <w:ind w:left="26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Lisy</w:t>
            </w:r>
          </w:p>
        </w:tc>
      </w:tr>
      <w:tr>
        <w:trPr>
          <w:trHeight w:val="202"/>
        </w:trPr>
        <w:tc>
          <w:tcPr>
            <w:tcW w:w="4240" w:type="dxa"/>
            <w:vAlign w:val="bottom"/>
          </w:tcPr>
          <w:p>
            <w:pPr>
              <w:spacing w:after="0"/>
              <w:rPr>
                <w:sz w:val="17"/>
                <w:szCs w:val="17"/>
                <w:color w:val="auto"/>
              </w:rPr>
            </w:pPr>
          </w:p>
        </w:tc>
        <w:tc>
          <w:tcPr>
            <w:tcW w:w="332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Robert Lisy</w:t>
            </w:r>
          </w:p>
        </w:tc>
      </w:tr>
      <w:tr>
        <w:trPr>
          <w:trHeight w:val="216"/>
        </w:trPr>
        <w:tc>
          <w:tcPr>
            <w:tcW w:w="4240" w:type="dxa"/>
            <w:vAlign w:val="bottom"/>
          </w:tcPr>
          <w:p>
            <w:pPr>
              <w:spacing w:after="0"/>
              <w:rPr>
                <w:sz w:val="18"/>
                <w:szCs w:val="18"/>
                <w:color w:val="auto"/>
              </w:rPr>
            </w:pPr>
          </w:p>
        </w:tc>
        <w:tc>
          <w:tcPr>
            <w:tcW w:w="3320" w:type="dxa"/>
            <w:vAlign w:val="bottom"/>
          </w:tcPr>
          <w:p>
            <w:pPr>
              <w:ind w:left="262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4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97" w:lineRule="exact"/>
        <w:rPr>
          <w:sz w:val="20"/>
          <w:szCs w:val="20"/>
          <w:color w:val="auto"/>
        </w:rPr>
      </w:pPr>
    </w:p>
    <w:p>
      <w:pPr>
        <w:ind w:left="500" w:right="14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2018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Date: August 14, 2018</w:t>
            </w:r>
          </w:p>
        </w:tc>
        <w:tc>
          <w:tcPr>
            <w:tcW w:w="3320" w:type="dxa"/>
            <w:vAlign w:val="bottom"/>
          </w:tcPr>
          <w:p>
            <w:pPr>
              <w:ind w:left="26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Lauro II</w:t>
            </w:r>
          </w:p>
        </w:tc>
      </w:tr>
      <w:tr>
        <w:trPr>
          <w:trHeight w:val="202"/>
        </w:trPr>
        <w:tc>
          <w:tcPr>
            <w:tcW w:w="4240" w:type="dxa"/>
            <w:vAlign w:val="bottom"/>
          </w:tcPr>
          <w:p>
            <w:pPr>
              <w:spacing w:after="0"/>
              <w:rPr>
                <w:sz w:val="17"/>
                <w:szCs w:val="17"/>
                <w:color w:val="auto"/>
              </w:rPr>
            </w:pPr>
          </w:p>
        </w:tc>
        <w:tc>
          <w:tcPr>
            <w:tcW w:w="332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Tony Lauro II</w:t>
            </w:r>
          </w:p>
        </w:tc>
      </w:tr>
      <w:tr>
        <w:trPr>
          <w:trHeight w:val="216"/>
        </w:trPr>
        <w:tc>
          <w:tcPr>
            <w:tcW w:w="4240" w:type="dxa"/>
            <w:vAlign w:val="bottom"/>
          </w:tcPr>
          <w:p>
            <w:pPr>
              <w:spacing w:after="0"/>
              <w:rPr>
                <w:sz w:val="18"/>
                <w:szCs w:val="18"/>
                <w:color w:val="auto"/>
              </w:rPr>
            </w:pPr>
          </w:p>
        </w:tc>
        <w:tc>
          <w:tcPr>
            <w:tcW w:w="3320" w:type="dxa"/>
            <w:vAlign w:val="bottom"/>
          </w:tcPr>
          <w:p>
            <w:pPr>
              <w:ind w:left="262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01"/>
        </w:trPr>
        <w:tc>
          <w:tcPr>
            <w:tcW w:w="4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2019-12-28T19:48:34Z</dcterms:created>
  <dcterms:modified xsi:type="dcterms:W3CDTF">2019-12-28T19:48:34Z</dcterms:modified>
</cp:coreProperties>
</file>